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7C" w:rsidRDefault="00D87E7C" w:rsidP="00290C63">
      <w:pPr>
        <w:rPr>
          <w:rFonts w:eastAsiaTheme="majorEastAsia" w:cstheme="majorBidi"/>
          <w:noProof/>
          <w:sz w:val="36"/>
          <w:szCs w:val="36"/>
          <w:lang w:eastAsia="en-AU"/>
        </w:rPr>
      </w:pPr>
      <w:r w:rsidRPr="00D87E7C">
        <w:rPr>
          <w:noProof/>
          <w:lang w:eastAsia="en-AU"/>
        </w:rPr>
        <w:drawing>
          <wp:anchor distT="0" distB="0" distL="114300" distR="114300" simplePos="0" relativeHeight="251666432" behindDoc="1" locked="0" layoutInCell="1" allowOverlap="1" wp14:anchorId="5F3E7F97" wp14:editId="7BB1A482">
            <wp:simplePos x="0" y="0"/>
            <wp:positionH relativeFrom="column">
              <wp:posOffset>-1098341</wp:posOffset>
            </wp:positionH>
            <wp:positionV relativeFrom="paragraph">
              <wp:posOffset>-912760</wp:posOffset>
            </wp:positionV>
            <wp:extent cx="7572375" cy="10703560"/>
            <wp:effectExtent l="0" t="0" r="952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EC0040">
            <w:t xml:space="preserve">DRAFT </w:t>
          </w:r>
          <w:r w:rsidR="00DA4752">
            <w:t>DECISION</w:t>
          </w:r>
        </w:p>
        <w:p w:rsidR="00415F31" w:rsidRDefault="00EC0040" w:rsidP="008F07A3">
          <w:pPr>
            <w:pStyle w:val="ReportSubtitle"/>
          </w:pPr>
          <w:r>
            <w:t xml:space="preserve">Roma to Brisbane Gas Pipeline </w:t>
          </w:r>
        </w:p>
        <w:p w:rsidR="00D87E7C" w:rsidRDefault="00D87E7C" w:rsidP="008F07A3">
          <w:pPr>
            <w:pStyle w:val="ReportSubtitle"/>
          </w:pPr>
          <w:r>
            <w:t>Access Arrangement</w:t>
          </w:r>
        </w:p>
        <w:p w:rsidR="000A6C7B" w:rsidRDefault="00DA4752" w:rsidP="008F07A3">
          <w:pPr>
            <w:pStyle w:val="ReportSubtitle"/>
          </w:pPr>
          <w:r>
            <w:t xml:space="preserve"> </w:t>
          </w:r>
          <w:r w:rsidR="00666F6A">
            <w:t>201</w:t>
          </w:r>
          <w:r w:rsidR="00EC0040">
            <w:t>7</w:t>
          </w:r>
          <w:r w:rsidR="00666F6A">
            <w:t>–2022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6B3297" w:rsidP="00327A1E">
          <w:pPr>
            <w:pStyle w:val="ReportDate"/>
          </w:pPr>
          <w:r>
            <w:t>July</w:t>
          </w:r>
          <w:r w:rsidR="00D87E7C">
            <w:t xml:space="preserve"> </w:t>
          </w:r>
          <w:r w:rsidR="00122F86">
            <w:t>2017</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FD4060">
        <w:t>7</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B9562D" w:rsidRDefault="000A6C7B" w:rsidP="00B9562D">
      <w:pPr>
        <w:pStyle w:val="Copyright"/>
      </w:pPr>
      <w:r>
        <w:t>Tel:</w:t>
      </w:r>
      <w:r w:rsidR="002C3581">
        <w:t xml:space="preserve"> 1300 585 165</w:t>
      </w:r>
      <w:r w:rsidR="00951978">
        <w:br/>
      </w: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CC7A1C">
      <w:pPr>
        <w:pStyle w:val="UnnumberedHeading"/>
        <w:numPr>
          <w:ilvl w:val="0"/>
          <w:numId w:val="23"/>
        </w:numPr>
      </w:pPr>
      <w:bookmarkStart w:id="4" w:name="_Toc487037123"/>
      <w:r>
        <w:lastRenderedPageBreak/>
        <w:t>N</w:t>
      </w:r>
      <w:r w:rsidR="008F07A3">
        <w:t>ote</w:t>
      </w:r>
      <w:bookmarkEnd w:id="0"/>
      <w:bookmarkEnd w:id="1"/>
      <w:bookmarkEnd w:id="2"/>
      <w:bookmarkEnd w:id="3"/>
      <w:bookmarkEnd w:id="4"/>
    </w:p>
    <w:p w:rsidR="00D87E7C" w:rsidRDefault="00D87E7C" w:rsidP="00D87E7C">
      <w:pPr>
        <w:numPr>
          <w:ilvl w:val="0"/>
          <w:numId w:val="23"/>
        </w:numPr>
      </w:pPr>
      <w:r>
        <w:t>This attachment forms part of the AER's draft decision on the access arrangement for the Roma to Brisbane Gas Pipeline for 2016</w:t>
      </w:r>
      <w:r w:rsidRPr="00D904FA">
        <w:t>–</w:t>
      </w:r>
      <w:r>
        <w:t>21. It should be read with all other parts of the draft decision.</w:t>
      </w:r>
    </w:p>
    <w:p w:rsidR="00D87E7C" w:rsidRDefault="00D87E7C" w:rsidP="00D87E7C">
      <w:pPr>
        <w:numPr>
          <w:ilvl w:val="0"/>
          <w:numId w:val="23"/>
        </w:numPr>
      </w:pPr>
      <w:r>
        <w:t>The draft decision includes the following documents:</w:t>
      </w:r>
    </w:p>
    <w:p w:rsidR="00D87E7C" w:rsidRDefault="00D87E7C" w:rsidP="00D87E7C">
      <w:pPr>
        <w:numPr>
          <w:ilvl w:val="0"/>
          <w:numId w:val="23"/>
        </w:numPr>
      </w:pPr>
      <w:r>
        <w:t>Overview</w:t>
      </w:r>
    </w:p>
    <w:p w:rsidR="00D87E7C" w:rsidRDefault="00D87E7C" w:rsidP="00D87E7C">
      <w:r>
        <w:t>Attachment 1 - Services covered by the access arrangement</w:t>
      </w:r>
    </w:p>
    <w:p w:rsidR="00D87E7C" w:rsidRDefault="00D87E7C" w:rsidP="00D87E7C">
      <w:r>
        <w:t>Attachment 2 - Capital base</w:t>
      </w:r>
    </w:p>
    <w:p w:rsidR="00D87E7C" w:rsidRDefault="00D87E7C" w:rsidP="00D87E7C">
      <w:r>
        <w:t>Attachment 3 - Rate of return</w:t>
      </w:r>
    </w:p>
    <w:p w:rsidR="00D87E7C" w:rsidRDefault="00D87E7C" w:rsidP="00D87E7C">
      <w:r>
        <w:t>Attachment 4 - Value of imputation credits</w:t>
      </w:r>
    </w:p>
    <w:p w:rsidR="00D87E7C" w:rsidRDefault="00D87E7C" w:rsidP="00D87E7C">
      <w:r>
        <w:t>Attachment 5 - Regulatory depreciation</w:t>
      </w:r>
    </w:p>
    <w:p w:rsidR="00D87E7C" w:rsidRDefault="00D87E7C" w:rsidP="00D87E7C">
      <w:r>
        <w:t xml:space="preserve">Attachment 6 - Capital expenditure </w:t>
      </w:r>
    </w:p>
    <w:p w:rsidR="00D87E7C" w:rsidRDefault="00D87E7C" w:rsidP="00D87E7C">
      <w:r>
        <w:t>Attachment 7 - Operating expenditure</w:t>
      </w:r>
    </w:p>
    <w:p w:rsidR="00D87E7C" w:rsidRDefault="00D87E7C" w:rsidP="00D87E7C">
      <w:r>
        <w:t>Attachment 8 - Corporate income tax</w:t>
      </w:r>
    </w:p>
    <w:p w:rsidR="00D87E7C" w:rsidRDefault="00D87E7C" w:rsidP="00D87E7C">
      <w:r>
        <w:t>Attachment 9 - Efficiency carryover mechanism</w:t>
      </w:r>
    </w:p>
    <w:p w:rsidR="00D87E7C" w:rsidRDefault="00D87E7C" w:rsidP="00D87E7C">
      <w:r>
        <w:t>Attachment 10 - Reference tariff setting</w:t>
      </w:r>
    </w:p>
    <w:p w:rsidR="00D87E7C" w:rsidRDefault="00D87E7C" w:rsidP="00D87E7C">
      <w:r>
        <w:t>Attachment 11 - Reference tariff variation mechanism</w:t>
      </w:r>
    </w:p>
    <w:p w:rsidR="00D87E7C" w:rsidRDefault="00D87E7C" w:rsidP="00D87E7C">
      <w:r>
        <w:t>Attachment 12 - Non-tariff components</w:t>
      </w:r>
    </w:p>
    <w:p w:rsidR="00D87E7C" w:rsidRDefault="00D87E7C" w:rsidP="00D87E7C">
      <w:r>
        <w:t>Attachment 13 - Demand</w:t>
      </w:r>
    </w:p>
    <w:p w:rsidR="00D87E7C" w:rsidRDefault="00D87E7C" w:rsidP="00CC7A1C">
      <w:pPr>
        <w:pStyle w:val="UnnumberedHeading"/>
        <w:numPr>
          <w:ilvl w:val="0"/>
          <w:numId w:val="23"/>
        </w:numPr>
      </w:pPr>
    </w:p>
    <w:p w:rsidR="002C3581" w:rsidRPr="008F07A3" w:rsidRDefault="002C3581" w:rsidP="007A451A">
      <w:pPr>
        <w:sectPr w:rsidR="002C3581" w:rsidRPr="008F07A3" w:rsidSect="002C3581">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start="0" w:chapStyle="1"/>
          <w:cols w:space="720"/>
          <w:docGrid w:linePitch="326"/>
        </w:sectPr>
      </w:pPr>
    </w:p>
    <w:p w:rsidR="00DE563D" w:rsidRPr="00A72B34" w:rsidRDefault="00DE563D" w:rsidP="00CC7A1C">
      <w:pPr>
        <w:pStyle w:val="UnnumberedHeading"/>
        <w:numPr>
          <w:ilvl w:val="0"/>
          <w:numId w:val="23"/>
        </w:numPr>
      </w:pPr>
      <w:bookmarkStart w:id="5" w:name="_Toc403144133"/>
      <w:bookmarkStart w:id="6" w:name="_Toc487037124"/>
      <w:r>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bookmarkStart w:id="7" w:name="_GoBack" w:displacedByCustomXml="prev"/>
        <w:bookmarkEnd w:id="7" w:displacedByCustomXml="prev"/>
        <w:p w:rsidR="002C24D6" w:rsidRDefault="001046E2">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87037123" w:history="1">
            <w:r w:rsidR="002C24D6" w:rsidRPr="00265E4A">
              <w:rPr>
                <w:rStyle w:val="Hyperlink"/>
              </w:rPr>
              <w:t>Note</w:t>
            </w:r>
            <w:r w:rsidR="002C24D6">
              <w:rPr>
                <w:webHidden/>
              </w:rPr>
              <w:tab/>
            </w:r>
            <w:r w:rsidR="002C24D6">
              <w:rPr>
                <w:webHidden/>
              </w:rPr>
              <w:fldChar w:fldCharType="begin"/>
            </w:r>
            <w:r w:rsidR="002C24D6">
              <w:rPr>
                <w:webHidden/>
              </w:rPr>
              <w:instrText xml:space="preserve"> PAGEREF _Toc487037123 \h </w:instrText>
            </w:r>
            <w:r w:rsidR="002C24D6">
              <w:rPr>
                <w:webHidden/>
              </w:rPr>
            </w:r>
            <w:r w:rsidR="002C24D6">
              <w:rPr>
                <w:webHidden/>
              </w:rPr>
              <w:fldChar w:fldCharType="separate"/>
            </w:r>
            <w:r w:rsidR="002C24D6">
              <w:rPr>
                <w:webHidden/>
              </w:rPr>
              <w:t>3-2</w:t>
            </w:r>
            <w:r w:rsidR="002C24D6">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24" w:history="1">
            <w:r w:rsidRPr="00265E4A">
              <w:rPr>
                <w:rStyle w:val="Hyperlink"/>
              </w:rPr>
              <w:t>Contents</w:t>
            </w:r>
            <w:r>
              <w:rPr>
                <w:webHidden/>
              </w:rPr>
              <w:tab/>
            </w:r>
            <w:r>
              <w:rPr>
                <w:webHidden/>
              </w:rPr>
              <w:fldChar w:fldCharType="begin"/>
            </w:r>
            <w:r>
              <w:rPr>
                <w:webHidden/>
              </w:rPr>
              <w:instrText xml:space="preserve"> PAGEREF _Toc487037124 \h </w:instrText>
            </w:r>
            <w:r>
              <w:rPr>
                <w:webHidden/>
              </w:rPr>
            </w:r>
            <w:r>
              <w:rPr>
                <w:webHidden/>
              </w:rPr>
              <w:fldChar w:fldCharType="separate"/>
            </w:r>
            <w:r>
              <w:rPr>
                <w:webHidden/>
              </w:rPr>
              <w:t>3-4</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25" w:history="1">
            <w:r w:rsidRPr="00265E4A">
              <w:rPr>
                <w:rStyle w:val="Hyperlink"/>
              </w:rPr>
              <w:t>Shortened forms</w:t>
            </w:r>
            <w:r>
              <w:rPr>
                <w:webHidden/>
              </w:rPr>
              <w:tab/>
            </w:r>
            <w:r>
              <w:rPr>
                <w:webHidden/>
              </w:rPr>
              <w:fldChar w:fldCharType="begin"/>
            </w:r>
            <w:r>
              <w:rPr>
                <w:webHidden/>
              </w:rPr>
              <w:instrText xml:space="preserve"> PAGEREF _Toc487037125 \h </w:instrText>
            </w:r>
            <w:r>
              <w:rPr>
                <w:webHidden/>
              </w:rPr>
            </w:r>
            <w:r>
              <w:rPr>
                <w:webHidden/>
              </w:rPr>
              <w:fldChar w:fldCharType="separate"/>
            </w:r>
            <w:r>
              <w:rPr>
                <w:webHidden/>
              </w:rPr>
              <w:t>3-10</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26" w:history="1">
            <w:r w:rsidRPr="00265E4A">
              <w:rPr>
                <w:rStyle w:val="Hyperlink"/>
              </w:rPr>
              <w:t>3</w:t>
            </w:r>
            <w:r>
              <w:rPr>
                <w:rFonts w:asciiTheme="minorHAnsi" w:eastAsiaTheme="minorEastAsia" w:hAnsiTheme="minorHAnsi"/>
                <w:b w:val="0"/>
                <w:color w:val="auto"/>
                <w:sz w:val="22"/>
                <w:lang w:val="en-AU" w:eastAsia="en-AU"/>
              </w:rPr>
              <w:tab/>
            </w:r>
            <w:r w:rsidRPr="00265E4A">
              <w:rPr>
                <w:rStyle w:val="Hyperlink"/>
              </w:rPr>
              <w:t>Rate of return</w:t>
            </w:r>
            <w:r>
              <w:rPr>
                <w:webHidden/>
              </w:rPr>
              <w:tab/>
            </w:r>
            <w:r>
              <w:rPr>
                <w:webHidden/>
              </w:rPr>
              <w:fldChar w:fldCharType="begin"/>
            </w:r>
            <w:r>
              <w:rPr>
                <w:webHidden/>
              </w:rPr>
              <w:instrText xml:space="preserve"> PAGEREF _Toc487037126 \h </w:instrText>
            </w:r>
            <w:r>
              <w:rPr>
                <w:webHidden/>
              </w:rPr>
            </w:r>
            <w:r>
              <w:rPr>
                <w:webHidden/>
              </w:rPr>
              <w:fldChar w:fldCharType="separate"/>
            </w:r>
            <w:r>
              <w:rPr>
                <w:webHidden/>
              </w:rPr>
              <w:t>3-12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27" w:history="1">
            <w:r w:rsidRPr="00265E4A">
              <w:rPr>
                <w:rStyle w:val="Hyperlink"/>
              </w:rPr>
              <w:t>3.1</w:t>
            </w:r>
            <w:r>
              <w:rPr>
                <w:rFonts w:asciiTheme="minorHAnsi" w:eastAsiaTheme="minorEastAsia" w:hAnsiTheme="minorHAnsi"/>
                <w:b w:val="0"/>
                <w:color w:val="auto"/>
                <w:sz w:val="22"/>
                <w:lang w:eastAsia="en-AU"/>
              </w:rPr>
              <w:tab/>
            </w:r>
            <w:r w:rsidRPr="00265E4A">
              <w:rPr>
                <w:rStyle w:val="Hyperlink"/>
              </w:rPr>
              <w:t>Draft decision</w:t>
            </w:r>
            <w:r>
              <w:rPr>
                <w:webHidden/>
              </w:rPr>
              <w:tab/>
            </w:r>
            <w:r>
              <w:rPr>
                <w:webHidden/>
              </w:rPr>
              <w:fldChar w:fldCharType="begin"/>
            </w:r>
            <w:r>
              <w:rPr>
                <w:webHidden/>
              </w:rPr>
              <w:instrText xml:space="preserve"> PAGEREF _Toc487037127 \h </w:instrText>
            </w:r>
            <w:r>
              <w:rPr>
                <w:webHidden/>
              </w:rPr>
            </w:r>
            <w:r>
              <w:rPr>
                <w:webHidden/>
              </w:rPr>
              <w:fldChar w:fldCharType="separate"/>
            </w:r>
            <w:r>
              <w:rPr>
                <w:webHidden/>
              </w:rPr>
              <w:t>3-12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28" w:history="1">
            <w:r w:rsidRPr="00265E4A">
              <w:rPr>
                <w:rStyle w:val="Hyperlink"/>
              </w:rPr>
              <w:t>3.2</w:t>
            </w:r>
            <w:r>
              <w:rPr>
                <w:rFonts w:asciiTheme="minorHAnsi" w:eastAsiaTheme="minorEastAsia" w:hAnsiTheme="minorHAnsi"/>
                <w:b w:val="0"/>
                <w:color w:val="auto"/>
                <w:sz w:val="22"/>
                <w:lang w:eastAsia="en-AU"/>
              </w:rPr>
              <w:tab/>
            </w:r>
            <w:r w:rsidRPr="00265E4A">
              <w:rPr>
                <w:rStyle w:val="Hyperlink"/>
              </w:rPr>
              <w:t>APTPPL's  proposal</w:t>
            </w:r>
            <w:r>
              <w:rPr>
                <w:webHidden/>
              </w:rPr>
              <w:tab/>
            </w:r>
            <w:r>
              <w:rPr>
                <w:webHidden/>
              </w:rPr>
              <w:fldChar w:fldCharType="begin"/>
            </w:r>
            <w:r>
              <w:rPr>
                <w:webHidden/>
              </w:rPr>
              <w:instrText xml:space="preserve"> PAGEREF _Toc487037128 \h </w:instrText>
            </w:r>
            <w:r>
              <w:rPr>
                <w:webHidden/>
              </w:rPr>
            </w:r>
            <w:r>
              <w:rPr>
                <w:webHidden/>
              </w:rPr>
              <w:fldChar w:fldCharType="separate"/>
            </w:r>
            <w:r>
              <w:rPr>
                <w:webHidden/>
              </w:rPr>
              <w:t>3-16</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29" w:history="1">
            <w:r w:rsidRPr="00265E4A">
              <w:rPr>
                <w:rStyle w:val="Hyperlink"/>
              </w:rPr>
              <w:t>3.3</w:t>
            </w:r>
            <w:r>
              <w:rPr>
                <w:rFonts w:asciiTheme="minorHAnsi" w:eastAsiaTheme="minorEastAsia" w:hAnsiTheme="minorHAnsi"/>
                <w:b w:val="0"/>
                <w:color w:val="auto"/>
                <w:sz w:val="22"/>
                <w:lang w:eastAsia="en-AU"/>
              </w:rPr>
              <w:tab/>
            </w:r>
            <w:r w:rsidRPr="00265E4A">
              <w:rPr>
                <w:rStyle w:val="Hyperlink"/>
              </w:rPr>
              <w:t>AER’s assessment approach</w:t>
            </w:r>
            <w:r>
              <w:rPr>
                <w:webHidden/>
              </w:rPr>
              <w:tab/>
            </w:r>
            <w:r>
              <w:rPr>
                <w:webHidden/>
              </w:rPr>
              <w:fldChar w:fldCharType="begin"/>
            </w:r>
            <w:r>
              <w:rPr>
                <w:webHidden/>
              </w:rPr>
              <w:instrText xml:space="preserve"> PAGEREF _Toc487037129 \h </w:instrText>
            </w:r>
            <w:r>
              <w:rPr>
                <w:webHidden/>
              </w:rPr>
            </w:r>
            <w:r>
              <w:rPr>
                <w:webHidden/>
              </w:rPr>
              <w:fldChar w:fldCharType="separate"/>
            </w:r>
            <w:r>
              <w:rPr>
                <w:webHidden/>
              </w:rPr>
              <w:t>3-17</w:t>
            </w:r>
            <w:r>
              <w:rPr>
                <w:webHidden/>
              </w:rPr>
              <w:fldChar w:fldCharType="end"/>
            </w:r>
          </w:hyperlink>
        </w:p>
        <w:p w:rsidR="002C24D6" w:rsidRDefault="002C24D6">
          <w:pPr>
            <w:pStyle w:val="TOC3"/>
            <w:rPr>
              <w:rFonts w:asciiTheme="minorHAnsi" w:eastAsiaTheme="minorEastAsia" w:hAnsiTheme="minorHAnsi"/>
              <w:lang w:eastAsia="en-AU"/>
            </w:rPr>
          </w:pPr>
          <w:hyperlink w:anchor="_Toc487037130" w:history="1">
            <w:r w:rsidRPr="00265E4A">
              <w:rPr>
                <w:rStyle w:val="Hyperlink"/>
              </w:rPr>
              <w:t>3.3.1</w:t>
            </w:r>
            <w:r>
              <w:rPr>
                <w:rFonts w:asciiTheme="minorHAnsi" w:eastAsiaTheme="minorEastAsia" w:hAnsiTheme="minorHAnsi"/>
                <w:lang w:eastAsia="en-AU"/>
              </w:rPr>
              <w:tab/>
            </w:r>
            <w:r w:rsidRPr="00265E4A">
              <w:rPr>
                <w:rStyle w:val="Hyperlink"/>
              </w:rPr>
              <w:t>National electricity and gas laws</w:t>
            </w:r>
            <w:r>
              <w:rPr>
                <w:webHidden/>
              </w:rPr>
              <w:tab/>
            </w:r>
            <w:r>
              <w:rPr>
                <w:webHidden/>
              </w:rPr>
              <w:fldChar w:fldCharType="begin"/>
            </w:r>
            <w:r>
              <w:rPr>
                <w:webHidden/>
              </w:rPr>
              <w:instrText xml:space="preserve"> PAGEREF _Toc487037130 \h </w:instrText>
            </w:r>
            <w:r>
              <w:rPr>
                <w:webHidden/>
              </w:rPr>
            </w:r>
            <w:r>
              <w:rPr>
                <w:webHidden/>
              </w:rPr>
              <w:fldChar w:fldCharType="separate"/>
            </w:r>
            <w:r>
              <w:rPr>
                <w:webHidden/>
              </w:rPr>
              <w:t>3-17</w:t>
            </w:r>
            <w:r>
              <w:rPr>
                <w:webHidden/>
              </w:rPr>
              <w:fldChar w:fldCharType="end"/>
            </w:r>
          </w:hyperlink>
        </w:p>
        <w:p w:rsidR="002C24D6" w:rsidRDefault="002C24D6">
          <w:pPr>
            <w:pStyle w:val="TOC3"/>
            <w:rPr>
              <w:rFonts w:asciiTheme="minorHAnsi" w:eastAsiaTheme="minorEastAsia" w:hAnsiTheme="minorHAnsi"/>
              <w:lang w:eastAsia="en-AU"/>
            </w:rPr>
          </w:pPr>
          <w:hyperlink w:anchor="_Toc487037131" w:history="1">
            <w:r w:rsidRPr="00265E4A">
              <w:rPr>
                <w:rStyle w:val="Hyperlink"/>
              </w:rPr>
              <w:t>3.3.2</w:t>
            </w:r>
            <w:r>
              <w:rPr>
                <w:rFonts w:asciiTheme="minorHAnsi" w:eastAsiaTheme="minorEastAsia" w:hAnsiTheme="minorHAnsi"/>
                <w:lang w:eastAsia="en-AU"/>
              </w:rPr>
              <w:tab/>
            </w:r>
            <w:r w:rsidRPr="00265E4A">
              <w:rPr>
                <w:rStyle w:val="Hyperlink"/>
              </w:rPr>
              <w:t>The overall rate of return</w:t>
            </w:r>
            <w:r>
              <w:rPr>
                <w:webHidden/>
              </w:rPr>
              <w:tab/>
            </w:r>
            <w:r>
              <w:rPr>
                <w:webHidden/>
              </w:rPr>
              <w:fldChar w:fldCharType="begin"/>
            </w:r>
            <w:r>
              <w:rPr>
                <w:webHidden/>
              </w:rPr>
              <w:instrText xml:space="preserve"> PAGEREF _Toc487037131 \h </w:instrText>
            </w:r>
            <w:r>
              <w:rPr>
                <w:webHidden/>
              </w:rPr>
            </w:r>
            <w:r>
              <w:rPr>
                <w:webHidden/>
              </w:rPr>
              <w:fldChar w:fldCharType="separate"/>
            </w:r>
            <w:r>
              <w:rPr>
                <w:webHidden/>
              </w:rPr>
              <w:t>3-18</w:t>
            </w:r>
            <w:r>
              <w:rPr>
                <w:webHidden/>
              </w:rPr>
              <w:fldChar w:fldCharType="end"/>
            </w:r>
          </w:hyperlink>
        </w:p>
        <w:p w:rsidR="002C24D6" w:rsidRDefault="002C24D6">
          <w:pPr>
            <w:pStyle w:val="TOC3"/>
            <w:rPr>
              <w:rFonts w:asciiTheme="minorHAnsi" w:eastAsiaTheme="minorEastAsia" w:hAnsiTheme="minorHAnsi"/>
              <w:lang w:eastAsia="en-AU"/>
            </w:rPr>
          </w:pPr>
          <w:hyperlink w:anchor="_Toc487037132" w:history="1">
            <w:r w:rsidRPr="00265E4A">
              <w:rPr>
                <w:rStyle w:val="Hyperlink"/>
              </w:rPr>
              <w:t>3.3.3</w:t>
            </w:r>
            <w:r>
              <w:rPr>
                <w:rFonts w:asciiTheme="minorHAnsi" w:eastAsiaTheme="minorEastAsia" w:hAnsiTheme="minorHAnsi"/>
                <w:lang w:eastAsia="en-AU"/>
              </w:rPr>
              <w:tab/>
            </w:r>
            <w:r w:rsidRPr="00265E4A">
              <w:rPr>
                <w:rStyle w:val="Hyperlink"/>
              </w:rPr>
              <w:t>Allowed rate of return objective</w:t>
            </w:r>
            <w:r>
              <w:rPr>
                <w:webHidden/>
              </w:rPr>
              <w:tab/>
            </w:r>
            <w:r>
              <w:rPr>
                <w:webHidden/>
              </w:rPr>
              <w:fldChar w:fldCharType="begin"/>
            </w:r>
            <w:r>
              <w:rPr>
                <w:webHidden/>
              </w:rPr>
              <w:instrText xml:space="preserve"> PAGEREF _Toc487037132 \h </w:instrText>
            </w:r>
            <w:r>
              <w:rPr>
                <w:webHidden/>
              </w:rPr>
            </w:r>
            <w:r>
              <w:rPr>
                <w:webHidden/>
              </w:rPr>
              <w:fldChar w:fldCharType="separate"/>
            </w:r>
            <w:r>
              <w:rPr>
                <w:webHidden/>
              </w:rPr>
              <w:t>3-19</w:t>
            </w:r>
            <w:r>
              <w:rPr>
                <w:webHidden/>
              </w:rPr>
              <w:fldChar w:fldCharType="end"/>
            </w:r>
          </w:hyperlink>
        </w:p>
        <w:p w:rsidR="002C24D6" w:rsidRDefault="002C24D6">
          <w:pPr>
            <w:pStyle w:val="TOC3"/>
            <w:rPr>
              <w:rFonts w:asciiTheme="minorHAnsi" w:eastAsiaTheme="minorEastAsia" w:hAnsiTheme="minorHAnsi"/>
              <w:lang w:eastAsia="en-AU"/>
            </w:rPr>
          </w:pPr>
          <w:hyperlink w:anchor="_Toc487037133" w:history="1">
            <w:r w:rsidRPr="00265E4A">
              <w:rPr>
                <w:rStyle w:val="Hyperlink"/>
              </w:rPr>
              <w:t>3.3.4</w:t>
            </w:r>
            <w:r>
              <w:rPr>
                <w:rFonts w:asciiTheme="minorHAnsi" w:eastAsiaTheme="minorEastAsia" w:hAnsiTheme="minorHAnsi"/>
                <w:lang w:eastAsia="en-AU"/>
              </w:rPr>
              <w:tab/>
            </w:r>
            <w:r w:rsidRPr="00265E4A">
              <w:rPr>
                <w:rStyle w:val="Hyperlink"/>
              </w:rPr>
              <w:t>Return on debt factors in the rules</w:t>
            </w:r>
            <w:r>
              <w:rPr>
                <w:webHidden/>
              </w:rPr>
              <w:tab/>
            </w:r>
            <w:r>
              <w:rPr>
                <w:webHidden/>
              </w:rPr>
              <w:fldChar w:fldCharType="begin"/>
            </w:r>
            <w:r>
              <w:rPr>
                <w:webHidden/>
              </w:rPr>
              <w:instrText xml:space="preserve"> PAGEREF _Toc487037133 \h </w:instrText>
            </w:r>
            <w:r>
              <w:rPr>
                <w:webHidden/>
              </w:rPr>
            </w:r>
            <w:r>
              <w:rPr>
                <w:webHidden/>
              </w:rPr>
              <w:fldChar w:fldCharType="separate"/>
            </w:r>
            <w:r>
              <w:rPr>
                <w:webHidden/>
              </w:rPr>
              <w:t>3-32</w:t>
            </w:r>
            <w:r>
              <w:rPr>
                <w:webHidden/>
              </w:rPr>
              <w:fldChar w:fldCharType="end"/>
            </w:r>
          </w:hyperlink>
        </w:p>
        <w:p w:rsidR="002C24D6" w:rsidRDefault="002C24D6">
          <w:pPr>
            <w:pStyle w:val="TOC3"/>
            <w:rPr>
              <w:rFonts w:asciiTheme="minorHAnsi" w:eastAsiaTheme="minorEastAsia" w:hAnsiTheme="minorHAnsi"/>
              <w:lang w:eastAsia="en-AU"/>
            </w:rPr>
          </w:pPr>
          <w:hyperlink w:anchor="_Toc487037134" w:history="1">
            <w:r w:rsidRPr="00265E4A">
              <w:rPr>
                <w:rStyle w:val="Hyperlink"/>
              </w:rPr>
              <w:t>3.3.5</w:t>
            </w:r>
            <w:r>
              <w:rPr>
                <w:rFonts w:asciiTheme="minorHAnsi" w:eastAsiaTheme="minorEastAsia" w:hAnsiTheme="minorHAnsi"/>
                <w:lang w:eastAsia="en-AU"/>
              </w:rPr>
              <w:tab/>
            </w:r>
            <w:r w:rsidRPr="00265E4A">
              <w:rPr>
                <w:rStyle w:val="Hyperlink"/>
              </w:rPr>
              <w:t>Rate of return Guideline</w:t>
            </w:r>
            <w:r>
              <w:rPr>
                <w:webHidden/>
              </w:rPr>
              <w:tab/>
            </w:r>
            <w:r>
              <w:rPr>
                <w:webHidden/>
              </w:rPr>
              <w:fldChar w:fldCharType="begin"/>
            </w:r>
            <w:r>
              <w:rPr>
                <w:webHidden/>
              </w:rPr>
              <w:instrText xml:space="preserve"> PAGEREF _Toc487037134 \h </w:instrText>
            </w:r>
            <w:r>
              <w:rPr>
                <w:webHidden/>
              </w:rPr>
            </w:r>
            <w:r>
              <w:rPr>
                <w:webHidden/>
              </w:rPr>
              <w:fldChar w:fldCharType="separate"/>
            </w:r>
            <w:r>
              <w:rPr>
                <w:webHidden/>
              </w:rPr>
              <w:t>3-35</w:t>
            </w:r>
            <w:r>
              <w:rPr>
                <w:webHidden/>
              </w:rPr>
              <w:fldChar w:fldCharType="end"/>
            </w:r>
          </w:hyperlink>
        </w:p>
        <w:p w:rsidR="002C24D6" w:rsidRDefault="002C24D6">
          <w:pPr>
            <w:pStyle w:val="TOC3"/>
            <w:rPr>
              <w:rFonts w:asciiTheme="minorHAnsi" w:eastAsiaTheme="minorEastAsia" w:hAnsiTheme="minorHAnsi"/>
              <w:lang w:eastAsia="en-AU"/>
            </w:rPr>
          </w:pPr>
          <w:hyperlink w:anchor="_Toc487037135" w:history="1">
            <w:r w:rsidRPr="00265E4A">
              <w:rPr>
                <w:rStyle w:val="Hyperlink"/>
              </w:rPr>
              <w:t>3.3.6</w:t>
            </w:r>
            <w:r>
              <w:rPr>
                <w:rFonts w:asciiTheme="minorHAnsi" w:eastAsiaTheme="minorEastAsia" w:hAnsiTheme="minorHAnsi"/>
                <w:lang w:eastAsia="en-AU"/>
              </w:rPr>
              <w:tab/>
            </w:r>
            <w:r w:rsidRPr="00265E4A">
              <w:rPr>
                <w:rStyle w:val="Hyperlink"/>
              </w:rPr>
              <w:t>Interrelationships</w:t>
            </w:r>
            <w:r>
              <w:rPr>
                <w:webHidden/>
              </w:rPr>
              <w:tab/>
            </w:r>
            <w:r>
              <w:rPr>
                <w:webHidden/>
              </w:rPr>
              <w:fldChar w:fldCharType="begin"/>
            </w:r>
            <w:r>
              <w:rPr>
                <w:webHidden/>
              </w:rPr>
              <w:instrText xml:space="preserve"> PAGEREF _Toc487037135 \h </w:instrText>
            </w:r>
            <w:r>
              <w:rPr>
                <w:webHidden/>
              </w:rPr>
            </w:r>
            <w:r>
              <w:rPr>
                <w:webHidden/>
              </w:rPr>
              <w:fldChar w:fldCharType="separate"/>
            </w:r>
            <w:r>
              <w:rPr>
                <w:webHidden/>
              </w:rPr>
              <w:t>3-41</w:t>
            </w:r>
            <w:r>
              <w:rPr>
                <w:webHidden/>
              </w:rPr>
              <w:fldChar w:fldCharType="end"/>
            </w:r>
          </w:hyperlink>
        </w:p>
        <w:p w:rsidR="002C24D6" w:rsidRDefault="002C24D6">
          <w:pPr>
            <w:pStyle w:val="TOC3"/>
            <w:rPr>
              <w:rFonts w:asciiTheme="minorHAnsi" w:eastAsiaTheme="minorEastAsia" w:hAnsiTheme="minorHAnsi"/>
              <w:lang w:eastAsia="en-AU"/>
            </w:rPr>
          </w:pPr>
          <w:hyperlink w:anchor="_Toc487037136" w:history="1">
            <w:r w:rsidRPr="00265E4A">
              <w:rPr>
                <w:rStyle w:val="Hyperlink"/>
              </w:rPr>
              <w:t>3.3.7</w:t>
            </w:r>
            <w:r>
              <w:rPr>
                <w:rFonts w:asciiTheme="minorHAnsi" w:eastAsiaTheme="minorEastAsia" w:hAnsiTheme="minorHAnsi"/>
                <w:lang w:eastAsia="en-AU"/>
              </w:rPr>
              <w:tab/>
            </w:r>
            <w:r w:rsidRPr="00265E4A">
              <w:rPr>
                <w:rStyle w:val="Hyperlink"/>
              </w:rPr>
              <w:t>Consideration of relevant material</w:t>
            </w:r>
            <w:r>
              <w:rPr>
                <w:webHidden/>
              </w:rPr>
              <w:tab/>
            </w:r>
            <w:r>
              <w:rPr>
                <w:webHidden/>
              </w:rPr>
              <w:fldChar w:fldCharType="begin"/>
            </w:r>
            <w:r>
              <w:rPr>
                <w:webHidden/>
              </w:rPr>
              <w:instrText xml:space="preserve"> PAGEREF _Toc487037136 \h </w:instrText>
            </w:r>
            <w:r>
              <w:rPr>
                <w:webHidden/>
              </w:rPr>
            </w:r>
            <w:r>
              <w:rPr>
                <w:webHidden/>
              </w:rPr>
              <w:fldChar w:fldCharType="separate"/>
            </w:r>
            <w:r>
              <w:rPr>
                <w:webHidden/>
              </w:rPr>
              <w:t>3-44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37" w:history="1">
            <w:r w:rsidRPr="00265E4A">
              <w:rPr>
                <w:rStyle w:val="Hyperlink"/>
              </w:rPr>
              <w:t>3.4</w:t>
            </w:r>
            <w:r>
              <w:rPr>
                <w:rFonts w:asciiTheme="minorHAnsi" w:eastAsiaTheme="minorEastAsia" w:hAnsiTheme="minorHAnsi"/>
                <w:b w:val="0"/>
                <w:color w:val="auto"/>
                <w:sz w:val="22"/>
                <w:lang w:eastAsia="en-AU"/>
              </w:rPr>
              <w:tab/>
            </w:r>
            <w:r w:rsidRPr="00265E4A">
              <w:rPr>
                <w:rStyle w:val="Hyperlink"/>
              </w:rPr>
              <w:t>Reasons for draft decision</w:t>
            </w:r>
            <w:r>
              <w:rPr>
                <w:webHidden/>
              </w:rPr>
              <w:tab/>
            </w:r>
            <w:r>
              <w:rPr>
                <w:webHidden/>
              </w:rPr>
              <w:fldChar w:fldCharType="begin"/>
            </w:r>
            <w:r>
              <w:rPr>
                <w:webHidden/>
              </w:rPr>
              <w:instrText xml:space="preserve"> PAGEREF _Toc487037137 \h </w:instrText>
            </w:r>
            <w:r>
              <w:rPr>
                <w:webHidden/>
              </w:rPr>
            </w:r>
            <w:r>
              <w:rPr>
                <w:webHidden/>
              </w:rPr>
              <w:fldChar w:fldCharType="separate"/>
            </w:r>
            <w:r>
              <w:rPr>
                <w:webHidden/>
              </w:rPr>
              <w:t>3-50</w:t>
            </w:r>
            <w:r>
              <w:rPr>
                <w:webHidden/>
              </w:rPr>
              <w:fldChar w:fldCharType="end"/>
            </w:r>
          </w:hyperlink>
        </w:p>
        <w:p w:rsidR="002C24D6" w:rsidRDefault="002C24D6">
          <w:pPr>
            <w:pStyle w:val="TOC3"/>
            <w:rPr>
              <w:rFonts w:asciiTheme="minorHAnsi" w:eastAsiaTheme="minorEastAsia" w:hAnsiTheme="minorHAnsi"/>
              <w:lang w:eastAsia="en-AU"/>
            </w:rPr>
          </w:pPr>
          <w:hyperlink w:anchor="_Toc487037138" w:history="1">
            <w:r w:rsidRPr="00265E4A">
              <w:rPr>
                <w:rStyle w:val="Hyperlink"/>
              </w:rPr>
              <w:t>3.4.1</w:t>
            </w:r>
            <w:r>
              <w:rPr>
                <w:rFonts w:asciiTheme="minorHAnsi" w:eastAsiaTheme="minorEastAsia" w:hAnsiTheme="minorHAnsi"/>
                <w:lang w:eastAsia="en-AU"/>
              </w:rPr>
              <w:tab/>
            </w:r>
            <w:r w:rsidRPr="00265E4A">
              <w:rPr>
                <w:rStyle w:val="Hyperlink"/>
              </w:rPr>
              <w:t>Return on equity</w:t>
            </w:r>
            <w:r>
              <w:rPr>
                <w:webHidden/>
              </w:rPr>
              <w:tab/>
            </w:r>
            <w:r>
              <w:rPr>
                <w:webHidden/>
              </w:rPr>
              <w:fldChar w:fldCharType="begin"/>
            </w:r>
            <w:r>
              <w:rPr>
                <w:webHidden/>
              </w:rPr>
              <w:instrText xml:space="preserve"> PAGEREF _Toc487037138 \h </w:instrText>
            </w:r>
            <w:r>
              <w:rPr>
                <w:webHidden/>
              </w:rPr>
            </w:r>
            <w:r>
              <w:rPr>
                <w:webHidden/>
              </w:rPr>
              <w:fldChar w:fldCharType="separate"/>
            </w:r>
            <w:r>
              <w:rPr>
                <w:webHidden/>
              </w:rPr>
              <w:t>3-51</w:t>
            </w:r>
            <w:r>
              <w:rPr>
                <w:webHidden/>
              </w:rPr>
              <w:fldChar w:fldCharType="end"/>
            </w:r>
          </w:hyperlink>
        </w:p>
        <w:p w:rsidR="002C24D6" w:rsidRDefault="002C24D6">
          <w:pPr>
            <w:pStyle w:val="TOC3"/>
            <w:rPr>
              <w:rFonts w:asciiTheme="minorHAnsi" w:eastAsiaTheme="minorEastAsia" w:hAnsiTheme="minorHAnsi"/>
              <w:lang w:eastAsia="en-AU"/>
            </w:rPr>
          </w:pPr>
          <w:hyperlink w:anchor="_Toc487037139" w:history="1">
            <w:r w:rsidRPr="00265E4A">
              <w:rPr>
                <w:rStyle w:val="Hyperlink"/>
              </w:rPr>
              <w:t>3.4.2</w:t>
            </w:r>
            <w:r>
              <w:rPr>
                <w:rFonts w:asciiTheme="minorHAnsi" w:eastAsiaTheme="minorEastAsia" w:hAnsiTheme="minorHAnsi"/>
                <w:lang w:eastAsia="en-AU"/>
              </w:rPr>
              <w:tab/>
            </w:r>
            <w:r w:rsidRPr="00265E4A">
              <w:rPr>
                <w:rStyle w:val="Hyperlink"/>
              </w:rPr>
              <w:t>Return on debt</w:t>
            </w:r>
            <w:r>
              <w:rPr>
                <w:webHidden/>
              </w:rPr>
              <w:tab/>
            </w:r>
            <w:r>
              <w:rPr>
                <w:webHidden/>
              </w:rPr>
              <w:fldChar w:fldCharType="begin"/>
            </w:r>
            <w:r>
              <w:rPr>
                <w:webHidden/>
              </w:rPr>
              <w:instrText xml:space="preserve"> PAGEREF _Toc487037139 \h </w:instrText>
            </w:r>
            <w:r>
              <w:rPr>
                <w:webHidden/>
              </w:rPr>
            </w:r>
            <w:r>
              <w:rPr>
                <w:webHidden/>
              </w:rPr>
              <w:fldChar w:fldCharType="separate"/>
            </w:r>
            <w:r>
              <w:rPr>
                <w:webHidden/>
              </w:rPr>
              <w:t>3-118</w:t>
            </w:r>
            <w:r>
              <w:rPr>
                <w:webHidden/>
              </w:rPr>
              <w:fldChar w:fldCharType="end"/>
            </w:r>
          </w:hyperlink>
        </w:p>
        <w:p w:rsidR="002C24D6" w:rsidRDefault="002C24D6">
          <w:pPr>
            <w:pStyle w:val="TOC3"/>
            <w:rPr>
              <w:rFonts w:asciiTheme="minorHAnsi" w:eastAsiaTheme="minorEastAsia" w:hAnsiTheme="minorHAnsi"/>
              <w:lang w:eastAsia="en-AU"/>
            </w:rPr>
          </w:pPr>
          <w:hyperlink w:anchor="_Toc487037140" w:history="1">
            <w:r w:rsidRPr="00265E4A">
              <w:rPr>
                <w:rStyle w:val="Hyperlink"/>
              </w:rPr>
              <w:t>3.4.3</w:t>
            </w:r>
            <w:r>
              <w:rPr>
                <w:rFonts w:asciiTheme="minorHAnsi" w:eastAsiaTheme="minorEastAsia" w:hAnsiTheme="minorHAnsi"/>
                <w:lang w:eastAsia="en-AU"/>
              </w:rPr>
              <w:tab/>
            </w:r>
            <w:r w:rsidRPr="00265E4A">
              <w:rPr>
                <w:rStyle w:val="Hyperlink"/>
              </w:rPr>
              <w:t>Gearing ratio</w:t>
            </w:r>
            <w:r>
              <w:rPr>
                <w:webHidden/>
              </w:rPr>
              <w:tab/>
            </w:r>
            <w:r>
              <w:rPr>
                <w:webHidden/>
              </w:rPr>
              <w:fldChar w:fldCharType="begin"/>
            </w:r>
            <w:r>
              <w:rPr>
                <w:webHidden/>
              </w:rPr>
              <w:instrText xml:space="preserve"> PAGEREF _Toc487037140 \h </w:instrText>
            </w:r>
            <w:r>
              <w:rPr>
                <w:webHidden/>
              </w:rPr>
            </w:r>
            <w:r>
              <w:rPr>
                <w:webHidden/>
              </w:rPr>
              <w:fldChar w:fldCharType="separate"/>
            </w:r>
            <w:r>
              <w:rPr>
                <w:webHidden/>
              </w:rPr>
              <w:t>3-154</w:t>
            </w:r>
            <w:r>
              <w:rPr>
                <w:webHidden/>
              </w:rPr>
              <w:fldChar w:fldCharType="end"/>
            </w:r>
          </w:hyperlink>
        </w:p>
        <w:p w:rsidR="002C24D6" w:rsidRDefault="002C24D6">
          <w:pPr>
            <w:pStyle w:val="TOC3"/>
            <w:rPr>
              <w:rFonts w:asciiTheme="minorHAnsi" w:eastAsiaTheme="minorEastAsia" w:hAnsiTheme="minorHAnsi"/>
              <w:lang w:eastAsia="en-AU"/>
            </w:rPr>
          </w:pPr>
          <w:hyperlink w:anchor="_Toc487037141" w:history="1">
            <w:r w:rsidRPr="00265E4A">
              <w:rPr>
                <w:rStyle w:val="Hyperlink"/>
              </w:rPr>
              <w:t>3.4.4</w:t>
            </w:r>
            <w:r>
              <w:rPr>
                <w:rFonts w:asciiTheme="minorHAnsi" w:eastAsiaTheme="minorEastAsia" w:hAnsiTheme="minorHAnsi"/>
                <w:lang w:eastAsia="en-AU"/>
              </w:rPr>
              <w:tab/>
            </w:r>
            <w:r w:rsidRPr="00265E4A">
              <w:rPr>
                <w:rStyle w:val="Hyperlink"/>
              </w:rPr>
              <w:t>Expected inflation rate</w:t>
            </w:r>
            <w:r>
              <w:rPr>
                <w:webHidden/>
              </w:rPr>
              <w:tab/>
            </w:r>
            <w:r>
              <w:rPr>
                <w:webHidden/>
              </w:rPr>
              <w:fldChar w:fldCharType="begin"/>
            </w:r>
            <w:r>
              <w:rPr>
                <w:webHidden/>
              </w:rPr>
              <w:instrText xml:space="preserve"> PAGEREF _Toc487037141 \h </w:instrText>
            </w:r>
            <w:r>
              <w:rPr>
                <w:webHidden/>
              </w:rPr>
            </w:r>
            <w:r>
              <w:rPr>
                <w:webHidden/>
              </w:rPr>
              <w:fldChar w:fldCharType="separate"/>
            </w:r>
            <w:r>
              <w:rPr>
                <w:webHidden/>
              </w:rPr>
              <w:t>3-155</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42" w:history="1">
            <w:r w:rsidRPr="00265E4A">
              <w:rPr>
                <w:rStyle w:val="Hyperlink"/>
              </w:rPr>
              <w:t>3.5</w:t>
            </w:r>
            <w:r>
              <w:rPr>
                <w:rFonts w:asciiTheme="minorHAnsi" w:eastAsiaTheme="minorEastAsia" w:hAnsiTheme="minorHAnsi"/>
                <w:b w:val="0"/>
                <w:color w:val="auto"/>
                <w:sz w:val="22"/>
                <w:lang w:eastAsia="en-AU"/>
              </w:rPr>
              <w:tab/>
            </w:r>
            <w:r w:rsidRPr="00265E4A">
              <w:rPr>
                <w:rStyle w:val="Hyperlink"/>
              </w:rPr>
              <w:t>Revisions</w:t>
            </w:r>
            <w:r>
              <w:rPr>
                <w:webHidden/>
              </w:rPr>
              <w:tab/>
            </w:r>
            <w:r>
              <w:rPr>
                <w:webHidden/>
              </w:rPr>
              <w:fldChar w:fldCharType="begin"/>
            </w:r>
            <w:r>
              <w:rPr>
                <w:webHidden/>
              </w:rPr>
              <w:instrText xml:space="preserve"> PAGEREF _Toc487037142 \h </w:instrText>
            </w:r>
            <w:r>
              <w:rPr>
                <w:webHidden/>
              </w:rPr>
            </w:r>
            <w:r>
              <w:rPr>
                <w:webHidden/>
              </w:rPr>
              <w:fldChar w:fldCharType="separate"/>
            </w:r>
            <w:r>
              <w:rPr>
                <w:webHidden/>
              </w:rPr>
              <w:t>3-168</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43" w:history="1">
            <w:r w:rsidRPr="00265E4A">
              <w:rPr>
                <w:rStyle w:val="Hyperlink"/>
              </w:rPr>
              <w:t>A</w:t>
            </w:r>
            <w:r>
              <w:rPr>
                <w:rFonts w:asciiTheme="minorHAnsi" w:eastAsiaTheme="minorEastAsia" w:hAnsiTheme="minorHAnsi"/>
                <w:b w:val="0"/>
                <w:color w:val="auto"/>
                <w:sz w:val="22"/>
                <w:lang w:val="en-AU" w:eastAsia="en-AU"/>
              </w:rPr>
              <w:tab/>
            </w:r>
            <w:r w:rsidRPr="00265E4A">
              <w:rPr>
                <w:rStyle w:val="Hyperlink"/>
              </w:rPr>
              <w:t>Our foundation model approach</w:t>
            </w:r>
            <w:r>
              <w:rPr>
                <w:webHidden/>
              </w:rPr>
              <w:tab/>
            </w:r>
            <w:r>
              <w:rPr>
                <w:webHidden/>
              </w:rPr>
              <w:fldChar w:fldCharType="begin"/>
            </w:r>
            <w:r>
              <w:rPr>
                <w:webHidden/>
              </w:rPr>
              <w:instrText xml:space="preserve"> PAGEREF _Toc487037143 \h </w:instrText>
            </w:r>
            <w:r>
              <w:rPr>
                <w:webHidden/>
              </w:rPr>
            </w:r>
            <w:r>
              <w:rPr>
                <w:webHidden/>
              </w:rPr>
              <w:fldChar w:fldCharType="separate"/>
            </w:r>
            <w:r>
              <w:rPr>
                <w:webHidden/>
              </w:rPr>
              <w:t>3-169</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44" w:history="1">
            <w:r w:rsidRPr="00265E4A">
              <w:rPr>
                <w:rStyle w:val="Hyperlink"/>
              </w:rPr>
              <w:t>B</w:t>
            </w:r>
            <w:r>
              <w:rPr>
                <w:rFonts w:asciiTheme="minorHAnsi" w:eastAsiaTheme="minorEastAsia" w:hAnsiTheme="minorHAnsi"/>
                <w:b w:val="0"/>
                <w:color w:val="auto"/>
                <w:sz w:val="22"/>
                <w:lang w:val="en-AU" w:eastAsia="en-AU"/>
              </w:rPr>
              <w:tab/>
            </w:r>
            <w:r w:rsidRPr="00265E4A">
              <w:rPr>
                <w:rStyle w:val="Hyperlink"/>
              </w:rPr>
              <w:t>Equity models</w:t>
            </w:r>
            <w:r>
              <w:rPr>
                <w:webHidden/>
              </w:rPr>
              <w:tab/>
            </w:r>
            <w:r>
              <w:rPr>
                <w:webHidden/>
              </w:rPr>
              <w:fldChar w:fldCharType="begin"/>
            </w:r>
            <w:r>
              <w:rPr>
                <w:webHidden/>
              </w:rPr>
              <w:instrText xml:space="preserve"> PAGEREF _Toc487037144 \h </w:instrText>
            </w:r>
            <w:r>
              <w:rPr>
                <w:webHidden/>
              </w:rPr>
            </w:r>
            <w:r>
              <w:rPr>
                <w:webHidden/>
              </w:rPr>
              <w:fldChar w:fldCharType="separate"/>
            </w:r>
            <w:r>
              <w:rPr>
                <w:webHidden/>
              </w:rPr>
              <w:t>3-173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45" w:history="1">
            <w:r w:rsidRPr="00265E4A">
              <w:rPr>
                <w:rStyle w:val="Hyperlink"/>
                <w14:scene3d>
                  <w14:camera w14:prst="orthographicFront"/>
                  <w14:lightRig w14:rig="threePt" w14:dir="t">
                    <w14:rot w14:lat="0" w14:lon="0" w14:rev="0"/>
                  </w14:lightRig>
                </w14:scene3d>
              </w:rPr>
              <w:t>B.1</w:t>
            </w:r>
            <w:r>
              <w:rPr>
                <w:rFonts w:asciiTheme="minorHAnsi" w:eastAsiaTheme="minorEastAsia" w:hAnsiTheme="minorHAnsi"/>
                <w:b w:val="0"/>
                <w:color w:val="auto"/>
                <w:sz w:val="22"/>
                <w:lang w:eastAsia="en-AU"/>
              </w:rPr>
              <w:tab/>
            </w:r>
            <w:r w:rsidRPr="00265E4A">
              <w:rPr>
                <w:rStyle w:val="Hyperlink"/>
              </w:rPr>
              <w:t>Sharpe-Lintner CAPM</w:t>
            </w:r>
            <w:r>
              <w:rPr>
                <w:webHidden/>
              </w:rPr>
              <w:tab/>
            </w:r>
            <w:r>
              <w:rPr>
                <w:webHidden/>
              </w:rPr>
              <w:fldChar w:fldCharType="begin"/>
            </w:r>
            <w:r>
              <w:rPr>
                <w:webHidden/>
              </w:rPr>
              <w:instrText xml:space="preserve"> PAGEREF _Toc487037145 \h </w:instrText>
            </w:r>
            <w:r>
              <w:rPr>
                <w:webHidden/>
              </w:rPr>
            </w:r>
            <w:r>
              <w:rPr>
                <w:webHidden/>
              </w:rPr>
              <w:fldChar w:fldCharType="separate"/>
            </w:r>
            <w:r>
              <w:rPr>
                <w:webHidden/>
              </w:rPr>
              <w:t>3-174</w:t>
            </w:r>
            <w:r>
              <w:rPr>
                <w:webHidden/>
              </w:rPr>
              <w:fldChar w:fldCharType="end"/>
            </w:r>
          </w:hyperlink>
        </w:p>
        <w:p w:rsidR="002C24D6" w:rsidRDefault="002C24D6">
          <w:pPr>
            <w:pStyle w:val="TOC3"/>
            <w:rPr>
              <w:rFonts w:asciiTheme="minorHAnsi" w:eastAsiaTheme="minorEastAsia" w:hAnsiTheme="minorHAnsi"/>
              <w:lang w:eastAsia="en-AU"/>
            </w:rPr>
          </w:pPr>
          <w:hyperlink w:anchor="_Toc487037146" w:history="1">
            <w:r w:rsidRPr="00265E4A">
              <w:rPr>
                <w:rStyle w:val="Hyperlink"/>
              </w:rPr>
              <w:t>B.1.1</w:t>
            </w:r>
            <w:r>
              <w:rPr>
                <w:rFonts w:asciiTheme="minorHAnsi" w:eastAsiaTheme="minorEastAsia" w:hAnsiTheme="minorHAnsi"/>
                <w:lang w:eastAsia="en-AU"/>
              </w:rPr>
              <w:tab/>
            </w:r>
            <w:r w:rsidRPr="00265E4A">
              <w:rPr>
                <w:rStyle w:val="Hyperlink"/>
              </w:rPr>
              <w:t>Submissions supporting the use of the Sharpe-Lintner CAPM as the foundation model</w:t>
            </w:r>
            <w:r>
              <w:rPr>
                <w:webHidden/>
              </w:rPr>
              <w:tab/>
            </w:r>
            <w:r>
              <w:rPr>
                <w:webHidden/>
              </w:rPr>
              <w:fldChar w:fldCharType="begin"/>
            </w:r>
            <w:r>
              <w:rPr>
                <w:webHidden/>
              </w:rPr>
              <w:instrText xml:space="preserve"> PAGEREF _Toc487037146 \h </w:instrText>
            </w:r>
            <w:r>
              <w:rPr>
                <w:webHidden/>
              </w:rPr>
            </w:r>
            <w:r>
              <w:rPr>
                <w:webHidden/>
              </w:rPr>
              <w:fldChar w:fldCharType="separate"/>
            </w:r>
            <w:r>
              <w:rPr>
                <w:webHidden/>
              </w:rPr>
              <w:t>3-179</w:t>
            </w:r>
            <w:r>
              <w:rPr>
                <w:webHidden/>
              </w:rPr>
              <w:fldChar w:fldCharType="end"/>
            </w:r>
          </w:hyperlink>
        </w:p>
        <w:p w:rsidR="002C24D6" w:rsidRDefault="002C24D6">
          <w:pPr>
            <w:pStyle w:val="TOC3"/>
            <w:rPr>
              <w:rFonts w:asciiTheme="minorHAnsi" w:eastAsiaTheme="minorEastAsia" w:hAnsiTheme="minorHAnsi"/>
              <w:lang w:eastAsia="en-AU"/>
            </w:rPr>
          </w:pPr>
          <w:hyperlink w:anchor="_Toc487037147" w:history="1">
            <w:r w:rsidRPr="00265E4A">
              <w:rPr>
                <w:rStyle w:val="Hyperlink"/>
              </w:rPr>
              <w:t>B.1.2</w:t>
            </w:r>
            <w:r>
              <w:rPr>
                <w:rFonts w:asciiTheme="minorHAnsi" w:eastAsiaTheme="minorEastAsia" w:hAnsiTheme="minorHAnsi"/>
                <w:lang w:eastAsia="en-AU"/>
              </w:rPr>
              <w:tab/>
            </w:r>
            <w:r w:rsidRPr="00265E4A">
              <w:rPr>
                <w:rStyle w:val="Hyperlink"/>
              </w:rPr>
              <w:t>Empirical tests of the Sharpe-Lintner CAPM</w:t>
            </w:r>
            <w:r>
              <w:rPr>
                <w:webHidden/>
              </w:rPr>
              <w:tab/>
            </w:r>
            <w:r>
              <w:rPr>
                <w:webHidden/>
              </w:rPr>
              <w:fldChar w:fldCharType="begin"/>
            </w:r>
            <w:r>
              <w:rPr>
                <w:webHidden/>
              </w:rPr>
              <w:instrText xml:space="preserve"> PAGEREF _Toc487037147 \h </w:instrText>
            </w:r>
            <w:r>
              <w:rPr>
                <w:webHidden/>
              </w:rPr>
            </w:r>
            <w:r>
              <w:rPr>
                <w:webHidden/>
              </w:rPr>
              <w:fldChar w:fldCharType="separate"/>
            </w:r>
            <w:r>
              <w:rPr>
                <w:webHidden/>
              </w:rPr>
              <w:t>3-181</w:t>
            </w:r>
            <w:r>
              <w:rPr>
                <w:webHidden/>
              </w:rPr>
              <w:fldChar w:fldCharType="end"/>
            </w:r>
          </w:hyperlink>
        </w:p>
        <w:p w:rsidR="002C24D6" w:rsidRDefault="002C24D6">
          <w:pPr>
            <w:pStyle w:val="TOC3"/>
            <w:rPr>
              <w:rFonts w:asciiTheme="minorHAnsi" w:eastAsiaTheme="minorEastAsia" w:hAnsiTheme="minorHAnsi"/>
              <w:lang w:eastAsia="en-AU"/>
            </w:rPr>
          </w:pPr>
          <w:hyperlink w:anchor="_Toc487037148" w:history="1">
            <w:r w:rsidRPr="00265E4A">
              <w:rPr>
                <w:rStyle w:val="Hyperlink"/>
              </w:rPr>
              <w:t>B.1.3</w:t>
            </w:r>
            <w:r>
              <w:rPr>
                <w:rFonts w:asciiTheme="minorHAnsi" w:eastAsiaTheme="minorEastAsia" w:hAnsiTheme="minorHAnsi"/>
                <w:lang w:eastAsia="en-AU"/>
              </w:rPr>
              <w:tab/>
            </w:r>
            <w:r w:rsidRPr="00265E4A">
              <w:rPr>
                <w:rStyle w:val="Hyperlink"/>
              </w:rPr>
              <w:t>Evidence from estimates of other models</w:t>
            </w:r>
            <w:r>
              <w:rPr>
                <w:webHidden/>
              </w:rPr>
              <w:tab/>
            </w:r>
            <w:r>
              <w:rPr>
                <w:webHidden/>
              </w:rPr>
              <w:fldChar w:fldCharType="begin"/>
            </w:r>
            <w:r>
              <w:rPr>
                <w:webHidden/>
              </w:rPr>
              <w:instrText xml:space="preserve"> PAGEREF _Toc487037148 \h </w:instrText>
            </w:r>
            <w:r>
              <w:rPr>
                <w:webHidden/>
              </w:rPr>
            </w:r>
            <w:r>
              <w:rPr>
                <w:webHidden/>
              </w:rPr>
              <w:fldChar w:fldCharType="separate"/>
            </w:r>
            <w:r>
              <w:rPr>
                <w:webHidden/>
              </w:rPr>
              <w:t>3-189</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49" w:history="1">
            <w:r w:rsidRPr="00265E4A">
              <w:rPr>
                <w:rStyle w:val="Hyperlink"/>
                <w14:scene3d>
                  <w14:camera w14:prst="orthographicFront"/>
                  <w14:lightRig w14:rig="threePt" w14:dir="t">
                    <w14:rot w14:lat="0" w14:lon="0" w14:rev="0"/>
                  </w14:lightRig>
                </w14:scene3d>
              </w:rPr>
              <w:t>B.2</w:t>
            </w:r>
            <w:r>
              <w:rPr>
                <w:rFonts w:asciiTheme="minorHAnsi" w:eastAsiaTheme="minorEastAsia" w:hAnsiTheme="minorHAnsi"/>
                <w:b w:val="0"/>
                <w:color w:val="auto"/>
                <w:sz w:val="22"/>
                <w:lang w:eastAsia="en-AU"/>
              </w:rPr>
              <w:tab/>
            </w:r>
            <w:r w:rsidRPr="00265E4A">
              <w:rPr>
                <w:rStyle w:val="Hyperlink"/>
              </w:rPr>
              <w:t>Black CAPM</w:t>
            </w:r>
            <w:r>
              <w:rPr>
                <w:webHidden/>
              </w:rPr>
              <w:tab/>
            </w:r>
            <w:r>
              <w:rPr>
                <w:webHidden/>
              </w:rPr>
              <w:fldChar w:fldCharType="begin"/>
            </w:r>
            <w:r>
              <w:rPr>
                <w:webHidden/>
              </w:rPr>
              <w:instrText xml:space="preserve"> PAGEREF _Toc487037149 \h </w:instrText>
            </w:r>
            <w:r>
              <w:rPr>
                <w:webHidden/>
              </w:rPr>
            </w:r>
            <w:r>
              <w:rPr>
                <w:webHidden/>
              </w:rPr>
              <w:fldChar w:fldCharType="separate"/>
            </w:r>
            <w:r>
              <w:rPr>
                <w:webHidden/>
              </w:rPr>
              <w:t>3-190</w:t>
            </w:r>
            <w:r>
              <w:rPr>
                <w:webHidden/>
              </w:rPr>
              <w:fldChar w:fldCharType="end"/>
            </w:r>
          </w:hyperlink>
        </w:p>
        <w:p w:rsidR="002C24D6" w:rsidRDefault="002C24D6">
          <w:pPr>
            <w:pStyle w:val="TOC3"/>
            <w:rPr>
              <w:rFonts w:asciiTheme="minorHAnsi" w:eastAsiaTheme="minorEastAsia" w:hAnsiTheme="minorHAnsi"/>
              <w:lang w:eastAsia="en-AU"/>
            </w:rPr>
          </w:pPr>
          <w:hyperlink w:anchor="_Toc487037150" w:history="1">
            <w:r w:rsidRPr="00265E4A">
              <w:rPr>
                <w:rStyle w:val="Hyperlink"/>
              </w:rPr>
              <w:t>B.2.1</w:t>
            </w:r>
            <w:r>
              <w:rPr>
                <w:rFonts w:asciiTheme="minorHAnsi" w:eastAsiaTheme="minorEastAsia" w:hAnsiTheme="minorHAnsi"/>
                <w:lang w:eastAsia="en-AU"/>
              </w:rPr>
              <w:tab/>
            </w:r>
            <w:r w:rsidRPr="00265E4A">
              <w:rPr>
                <w:rStyle w:val="Hyperlink"/>
              </w:rPr>
              <w:t>Empirical reliability of the Black CAPM</w:t>
            </w:r>
            <w:r>
              <w:rPr>
                <w:webHidden/>
              </w:rPr>
              <w:tab/>
            </w:r>
            <w:r>
              <w:rPr>
                <w:webHidden/>
              </w:rPr>
              <w:fldChar w:fldCharType="begin"/>
            </w:r>
            <w:r>
              <w:rPr>
                <w:webHidden/>
              </w:rPr>
              <w:instrText xml:space="preserve"> PAGEREF _Toc487037150 \h </w:instrText>
            </w:r>
            <w:r>
              <w:rPr>
                <w:webHidden/>
              </w:rPr>
            </w:r>
            <w:r>
              <w:rPr>
                <w:webHidden/>
              </w:rPr>
              <w:fldChar w:fldCharType="separate"/>
            </w:r>
            <w:r>
              <w:rPr>
                <w:webHidden/>
              </w:rPr>
              <w:t>3-193</w:t>
            </w:r>
            <w:r>
              <w:rPr>
                <w:webHidden/>
              </w:rPr>
              <w:fldChar w:fldCharType="end"/>
            </w:r>
          </w:hyperlink>
        </w:p>
        <w:p w:rsidR="002C24D6" w:rsidRDefault="002C24D6">
          <w:pPr>
            <w:pStyle w:val="TOC3"/>
            <w:rPr>
              <w:rFonts w:asciiTheme="minorHAnsi" w:eastAsiaTheme="minorEastAsia" w:hAnsiTheme="minorHAnsi"/>
              <w:lang w:eastAsia="en-AU"/>
            </w:rPr>
          </w:pPr>
          <w:hyperlink w:anchor="_Toc487037151" w:history="1">
            <w:r w:rsidRPr="00265E4A">
              <w:rPr>
                <w:rStyle w:val="Hyperlink"/>
              </w:rPr>
              <w:t>B.2.2</w:t>
            </w:r>
            <w:r>
              <w:rPr>
                <w:rFonts w:asciiTheme="minorHAnsi" w:eastAsiaTheme="minorEastAsia" w:hAnsiTheme="minorHAnsi"/>
                <w:lang w:eastAsia="en-AU"/>
              </w:rPr>
              <w:tab/>
            </w:r>
            <w:r w:rsidRPr="00265E4A">
              <w:rPr>
                <w:rStyle w:val="Hyperlink"/>
              </w:rPr>
              <w:t>Low beta bias may not reflect ex ante priced risk</w:t>
            </w:r>
            <w:r>
              <w:rPr>
                <w:webHidden/>
              </w:rPr>
              <w:tab/>
            </w:r>
            <w:r>
              <w:rPr>
                <w:webHidden/>
              </w:rPr>
              <w:fldChar w:fldCharType="begin"/>
            </w:r>
            <w:r>
              <w:rPr>
                <w:webHidden/>
              </w:rPr>
              <w:instrText xml:space="preserve"> PAGEREF _Toc487037151 \h </w:instrText>
            </w:r>
            <w:r>
              <w:rPr>
                <w:webHidden/>
              </w:rPr>
            </w:r>
            <w:r>
              <w:rPr>
                <w:webHidden/>
              </w:rPr>
              <w:fldChar w:fldCharType="separate"/>
            </w:r>
            <w:r>
              <w:rPr>
                <w:webHidden/>
              </w:rPr>
              <w:t>3-199</w:t>
            </w:r>
            <w:r>
              <w:rPr>
                <w:webHidden/>
              </w:rPr>
              <w:fldChar w:fldCharType="end"/>
            </w:r>
          </w:hyperlink>
        </w:p>
        <w:p w:rsidR="002C24D6" w:rsidRDefault="002C24D6">
          <w:pPr>
            <w:pStyle w:val="TOC3"/>
            <w:rPr>
              <w:rFonts w:asciiTheme="minorHAnsi" w:eastAsiaTheme="minorEastAsia" w:hAnsiTheme="minorHAnsi"/>
              <w:lang w:eastAsia="en-AU"/>
            </w:rPr>
          </w:pPr>
          <w:hyperlink w:anchor="_Toc487037152" w:history="1">
            <w:r w:rsidRPr="00265E4A">
              <w:rPr>
                <w:rStyle w:val="Hyperlink"/>
              </w:rPr>
              <w:t>B.2.3</w:t>
            </w:r>
            <w:r>
              <w:rPr>
                <w:rFonts w:asciiTheme="minorHAnsi" w:eastAsiaTheme="minorEastAsia" w:hAnsiTheme="minorHAnsi"/>
                <w:lang w:eastAsia="en-AU"/>
              </w:rPr>
              <w:tab/>
            </w:r>
            <w:r w:rsidRPr="00265E4A">
              <w:rPr>
                <w:rStyle w:val="Hyperlink"/>
              </w:rPr>
              <w:t>AER's role for the theory of the Black CAPM</w:t>
            </w:r>
            <w:r>
              <w:rPr>
                <w:webHidden/>
              </w:rPr>
              <w:tab/>
            </w:r>
            <w:r>
              <w:rPr>
                <w:webHidden/>
              </w:rPr>
              <w:fldChar w:fldCharType="begin"/>
            </w:r>
            <w:r>
              <w:rPr>
                <w:webHidden/>
              </w:rPr>
              <w:instrText xml:space="preserve"> PAGEREF _Toc487037152 \h </w:instrText>
            </w:r>
            <w:r>
              <w:rPr>
                <w:webHidden/>
              </w:rPr>
            </w:r>
            <w:r>
              <w:rPr>
                <w:webHidden/>
              </w:rPr>
              <w:fldChar w:fldCharType="separate"/>
            </w:r>
            <w:r>
              <w:rPr>
                <w:webHidden/>
              </w:rPr>
              <w:t>3-200</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53" w:history="1">
            <w:r w:rsidRPr="00265E4A">
              <w:rPr>
                <w:rStyle w:val="Hyperlink"/>
                <w14:scene3d>
                  <w14:camera w14:prst="orthographicFront"/>
                  <w14:lightRig w14:rig="threePt" w14:dir="t">
                    <w14:rot w14:lat="0" w14:lon="0" w14:rev="0"/>
                  </w14:lightRig>
                </w14:scene3d>
              </w:rPr>
              <w:t>B.3</w:t>
            </w:r>
            <w:r>
              <w:rPr>
                <w:rFonts w:asciiTheme="minorHAnsi" w:eastAsiaTheme="minorEastAsia" w:hAnsiTheme="minorHAnsi"/>
                <w:b w:val="0"/>
                <w:color w:val="auto"/>
                <w:sz w:val="22"/>
                <w:lang w:eastAsia="en-AU"/>
              </w:rPr>
              <w:tab/>
            </w:r>
            <w:r w:rsidRPr="00265E4A">
              <w:rPr>
                <w:rStyle w:val="Hyperlink"/>
              </w:rPr>
              <w:t>Fama-French model</w:t>
            </w:r>
            <w:r>
              <w:rPr>
                <w:webHidden/>
              </w:rPr>
              <w:tab/>
            </w:r>
            <w:r>
              <w:rPr>
                <w:webHidden/>
              </w:rPr>
              <w:fldChar w:fldCharType="begin"/>
            </w:r>
            <w:r>
              <w:rPr>
                <w:webHidden/>
              </w:rPr>
              <w:instrText xml:space="preserve"> PAGEREF _Toc487037153 \h </w:instrText>
            </w:r>
            <w:r>
              <w:rPr>
                <w:webHidden/>
              </w:rPr>
            </w:r>
            <w:r>
              <w:rPr>
                <w:webHidden/>
              </w:rPr>
              <w:fldChar w:fldCharType="separate"/>
            </w:r>
            <w:r>
              <w:rPr>
                <w:webHidden/>
              </w:rPr>
              <w:t>3-204</w:t>
            </w:r>
            <w:r>
              <w:rPr>
                <w:webHidden/>
              </w:rPr>
              <w:fldChar w:fldCharType="end"/>
            </w:r>
          </w:hyperlink>
        </w:p>
        <w:p w:rsidR="002C24D6" w:rsidRDefault="002C24D6">
          <w:pPr>
            <w:pStyle w:val="TOC3"/>
            <w:rPr>
              <w:rFonts w:asciiTheme="minorHAnsi" w:eastAsiaTheme="minorEastAsia" w:hAnsiTheme="minorHAnsi"/>
              <w:lang w:eastAsia="en-AU"/>
            </w:rPr>
          </w:pPr>
          <w:hyperlink w:anchor="_Toc487037154" w:history="1">
            <w:r w:rsidRPr="00265E4A">
              <w:rPr>
                <w:rStyle w:val="Hyperlink"/>
              </w:rPr>
              <w:t>B.3.1</w:t>
            </w:r>
            <w:r>
              <w:rPr>
                <w:rFonts w:asciiTheme="minorHAnsi" w:eastAsiaTheme="minorEastAsia" w:hAnsiTheme="minorHAnsi"/>
                <w:lang w:eastAsia="en-AU"/>
              </w:rPr>
              <w:tab/>
            </w:r>
            <w:r w:rsidRPr="00265E4A">
              <w:rPr>
                <w:rStyle w:val="Hyperlink"/>
              </w:rPr>
              <w:t>Sensitivity to methodological choices</w:t>
            </w:r>
            <w:r>
              <w:rPr>
                <w:webHidden/>
              </w:rPr>
              <w:tab/>
            </w:r>
            <w:r>
              <w:rPr>
                <w:webHidden/>
              </w:rPr>
              <w:fldChar w:fldCharType="begin"/>
            </w:r>
            <w:r>
              <w:rPr>
                <w:webHidden/>
              </w:rPr>
              <w:instrText xml:space="preserve"> PAGEREF _Toc487037154 \h </w:instrText>
            </w:r>
            <w:r>
              <w:rPr>
                <w:webHidden/>
              </w:rPr>
            </w:r>
            <w:r>
              <w:rPr>
                <w:webHidden/>
              </w:rPr>
              <w:fldChar w:fldCharType="separate"/>
            </w:r>
            <w:r>
              <w:rPr>
                <w:webHidden/>
              </w:rPr>
              <w:t>3-207</w:t>
            </w:r>
            <w:r>
              <w:rPr>
                <w:webHidden/>
              </w:rPr>
              <w:fldChar w:fldCharType="end"/>
            </w:r>
          </w:hyperlink>
        </w:p>
        <w:p w:rsidR="002C24D6" w:rsidRDefault="002C24D6">
          <w:pPr>
            <w:pStyle w:val="TOC3"/>
            <w:rPr>
              <w:rFonts w:asciiTheme="minorHAnsi" w:eastAsiaTheme="minorEastAsia" w:hAnsiTheme="minorHAnsi"/>
              <w:lang w:eastAsia="en-AU"/>
            </w:rPr>
          </w:pPr>
          <w:hyperlink w:anchor="_Toc487037155" w:history="1">
            <w:r w:rsidRPr="00265E4A">
              <w:rPr>
                <w:rStyle w:val="Hyperlink"/>
              </w:rPr>
              <w:t>B.3.2</w:t>
            </w:r>
            <w:r>
              <w:rPr>
                <w:rFonts w:asciiTheme="minorHAnsi" w:eastAsiaTheme="minorEastAsia" w:hAnsiTheme="minorHAnsi"/>
                <w:lang w:eastAsia="en-AU"/>
              </w:rPr>
              <w:tab/>
            </w:r>
            <w:r w:rsidRPr="00265E4A">
              <w:rPr>
                <w:rStyle w:val="Hyperlink"/>
              </w:rPr>
              <w:t>Fama-French factors may not reflect ex ante priced risk</w:t>
            </w:r>
            <w:r>
              <w:rPr>
                <w:webHidden/>
              </w:rPr>
              <w:tab/>
            </w:r>
            <w:r>
              <w:rPr>
                <w:webHidden/>
              </w:rPr>
              <w:fldChar w:fldCharType="begin"/>
            </w:r>
            <w:r>
              <w:rPr>
                <w:webHidden/>
              </w:rPr>
              <w:instrText xml:space="preserve"> PAGEREF _Toc487037155 \h </w:instrText>
            </w:r>
            <w:r>
              <w:rPr>
                <w:webHidden/>
              </w:rPr>
            </w:r>
            <w:r>
              <w:rPr>
                <w:webHidden/>
              </w:rPr>
              <w:fldChar w:fldCharType="separate"/>
            </w:r>
            <w:r>
              <w:rPr>
                <w:webHidden/>
              </w:rPr>
              <w:t>3-211</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56" w:history="1">
            <w:r w:rsidRPr="00265E4A">
              <w:rPr>
                <w:rStyle w:val="Hyperlink"/>
                <w14:scene3d>
                  <w14:camera w14:prst="orthographicFront"/>
                  <w14:lightRig w14:rig="threePt" w14:dir="t">
                    <w14:rot w14:lat="0" w14:lon="0" w14:rev="0"/>
                  </w14:lightRig>
                </w14:scene3d>
              </w:rPr>
              <w:t>B.4</w:t>
            </w:r>
            <w:r>
              <w:rPr>
                <w:rFonts w:asciiTheme="minorHAnsi" w:eastAsiaTheme="minorEastAsia" w:hAnsiTheme="minorHAnsi"/>
                <w:b w:val="0"/>
                <w:color w:val="auto"/>
                <w:sz w:val="22"/>
                <w:lang w:eastAsia="en-AU"/>
              </w:rPr>
              <w:tab/>
            </w:r>
            <w:r w:rsidRPr="00265E4A">
              <w:rPr>
                <w:rStyle w:val="Hyperlink"/>
              </w:rPr>
              <w:t>Dividend growth model</w:t>
            </w:r>
            <w:r>
              <w:rPr>
                <w:webHidden/>
              </w:rPr>
              <w:tab/>
            </w:r>
            <w:r>
              <w:rPr>
                <w:webHidden/>
              </w:rPr>
              <w:fldChar w:fldCharType="begin"/>
            </w:r>
            <w:r>
              <w:rPr>
                <w:webHidden/>
              </w:rPr>
              <w:instrText xml:space="preserve"> PAGEREF _Toc487037156 \h </w:instrText>
            </w:r>
            <w:r>
              <w:rPr>
                <w:webHidden/>
              </w:rPr>
            </w:r>
            <w:r>
              <w:rPr>
                <w:webHidden/>
              </w:rPr>
              <w:fldChar w:fldCharType="separate"/>
            </w:r>
            <w:r>
              <w:rPr>
                <w:webHidden/>
              </w:rPr>
              <w:t>3-212</w:t>
            </w:r>
            <w:r>
              <w:rPr>
                <w:webHidden/>
              </w:rPr>
              <w:fldChar w:fldCharType="end"/>
            </w:r>
          </w:hyperlink>
        </w:p>
        <w:p w:rsidR="002C24D6" w:rsidRDefault="002C24D6">
          <w:pPr>
            <w:pStyle w:val="TOC3"/>
            <w:rPr>
              <w:rFonts w:asciiTheme="minorHAnsi" w:eastAsiaTheme="minorEastAsia" w:hAnsiTheme="minorHAnsi"/>
              <w:lang w:eastAsia="en-AU"/>
            </w:rPr>
          </w:pPr>
          <w:hyperlink w:anchor="_Toc487037157" w:history="1">
            <w:r w:rsidRPr="00265E4A">
              <w:rPr>
                <w:rStyle w:val="Hyperlink"/>
              </w:rPr>
              <w:t>B.4.1</w:t>
            </w:r>
            <w:r>
              <w:rPr>
                <w:rFonts w:asciiTheme="minorHAnsi" w:eastAsiaTheme="minorEastAsia" w:hAnsiTheme="minorHAnsi"/>
                <w:lang w:eastAsia="en-AU"/>
              </w:rPr>
              <w:tab/>
            </w:r>
            <w:r w:rsidRPr="00265E4A">
              <w:rPr>
                <w:rStyle w:val="Hyperlink"/>
              </w:rPr>
              <w:t>SFG's construction of the dividend growth model</w:t>
            </w:r>
            <w:r>
              <w:rPr>
                <w:webHidden/>
              </w:rPr>
              <w:tab/>
            </w:r>
            <w:r>
              <w:rPr>
                <w:webHidden/>
              </w:rPr>
              <w:fldChar w:fldCharType="begin"/>
            </w:r>
            <w:r>
              <w:rPr>
                <w:webHidden/>
              </w:rPr>
              <w:instrText xml:space="preserve"> PAGEREF _Toc487037157 \h </w:instrText>
            </w:r>
            <w:r>
              <w:rPr>
                <w:webHidden/>
              </w:rPr>
            </w:r>
            <w:r>
              <w:rPr>
                <w:webHidden/>
              </w:rPr>
              <w:fldChar w:fldCharType="separate"/>
            </w:r>
            <w:r>
              <w:rPr>
                <w:webHidden/>
              </w:rPr>
              <w:t>3-216</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58" w:history="1">
            <w:r w:rsidRPr="00265E4A">
              <w:rPr>
                <w:rStyle w:val="Hyperlink"/>
                <w14:scene3d>
                  <w14:camera w14:prst="orthographicFront"/>
                  <w14:lightRig w14:rig="threePt" w14:dir="t">
                    <w14:rot w14:lat="0" w14:lon="0" w14:rev="0"/>
                  </w14:lightRig>
                </w14:scene3d>
              </w:rPr>
              <w:t>B.5</w:t>
            </w:r>
            <w:r>
              <w:rPr>
                <w:rFonts w:asciiTheme="minorHAnsi" w:eastAsiaTheme="minorEastAsia" w:hAnsiTheme="minorHAnsi"/>
                <w:b w:val="0"/>
                <w:color w:val="auto"/>
                <w:sz w:val="22"/>
                <w:lang w:eastAsia="en-AU"/>
              </w:rPr>
              <w:tab/>
            </w:r>
            <w:r w:rsidRPr="00265E4A">
              <w:rPr>
                <w:rStyle w:val="Hyperlink"/>
              </w:rPr>
              <w:t>Wright CAPM and historical CAPM</w:t>
            </w:r>
            <w:r>
              <w:rPr>
                <w:webHidden/>
              </w:rPr>
              <w:tab/>
            </w:r>
            <w:r>
              <w:rPr>
                <w:webHidden/>
              </w:rPr>
              <w:fldChar w:fldCharType="begin"/>
            </w:r>
            <w:r>
              <w:rPr>
                <w:webHidden/>
              </w:rPr>
              <w:instrText xml:space="preserve"> PAGEREF _Toc487037158 \h </w:instrText>
            </w:r>
            <w:r>
              <w:rPr>
                <w:webHidden/>
              </w:rPr>
            </w:r>
            <w:r>
              <w:rPr>
                <w:webHidden/>
              </w:rPr>
              <w:fldChar w:fldCharType="separate"/>
            </w:r>
            <w:r>
              <w:rPr>
                <w:webHidden/>
              </w:rPr>
              <w:t>3-219</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59" w:history="1">
            <w:r w:rsidRPr="00265E4A">
              <w:rPr>
                <w:rStyle w:val="Hyperlink"/>
              </w:rPr>
              <w:t>C</w:t>
            </w:r>
            <w:r>
              <w:rPr>
                <w:rFonts w:asciiTheme="minorHAnsi" w:eastAsiaTheme="minorEastAsia" w:hAnsiTheme="minorHAnsi"/>
                <w:b w:val="0"/>
                <w:color w:val="auto"/>
                <w:sz w:val="22"/>
                <w:lang w:val="en-AU" w:eastAsia="en-AU"/>
              </w:rPr>
              <w:tab/>
            </w:r>
            <w:r w:rsidRPr="00265E4A">
              <w:rPr>
                <w:rStyle w:val="Hyperlink"/>
              </w:rPr>
              <w:t>Historical stock returns</w:t>
            </w:r>
            <w:r>
              <w:rPr>
                <w:webHidden/>
              </w:rPr>
              <w:tab/>
            </w:r>
            <w:r>
              <w:rPr>
                <w:webHidden/>
              </w:rPr>
              <w:fldChar w:fldCharType="begin"/>
            </w:r>
            <w:r>
              <w:rPr>
                <w:webHidden/>
              </w:rPr>
              <w:instrText xml:space="preserve"> PAGEREF _Toc487037159 \h </w:instrText>
            </w:r>
            <w:r>
              <w:rPr>
                <w:webHidden/>
              </w:rPr>
            </w:r>
            <w:r>
              <w:rPr>
                <w:webHidden/>
              </w:rPr>
              <w:fldChar w:fldCharType="separate"/>
            </w:r>
            <w:r>
              <w:rPr>
                <w:webHidden/>
              </w:rPr>
              <w:t>3-225</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0" w:history="1">
            <w:r w:rsidRPr="00265E4A">
              <w:rPr>
                <w:rStyle w:val="Hyperlink"/>
                <w14:scene3d>
                  <w14:camera w14:prst="orthographicFront"/>
                  <w14:lightRig w14:rig="threePt" w14:dir="t">
                    <w14:rot w14:lat="0" w14:lon="0" w14:rev="0"/>
                  </w14:lightRig>
                </w14:scene3d>
              </w:rPr>
              <w:t>C.1</w:t>
            </w:r>
            <w:r>
              <w:rPr>
                <w:rFonts w:asciiTheme="minorHAnsi" w:eastAsiaTheme="minorEastAsia" w:hAnsiTheme="minorHAnsi"/>
                <w:b w:val="0"/>
                <w:color w:val="auto"/>
                <w:sz w:val="22"/>
                <w:lang w:eastAsia="en-AU"/>
              </w:rPr>
              <w:tab/>
            </w:r>
            <w:r w:rsidRPr="00265E4A">
              <w:rPr>
                <w:rStyle w:val="Hyperlink"/>
              </w:rPr>
              <w:t>Prevailing estimates: excess returns</w:t>
            </w:r>
            <w:r>
              <w:rPr>
                <w:webHidden/>
              </w:rPr>
              <w:tab/>
            </w:r>
            <w:r>
              <w:rPr>
                <w:webHidden/>
              </w:rPr>
              <w:fldChar w:fldCharType="begin"/>
            </w:r>
            <w:r>
              <w:rPr>
                <w:webHidden/>
              </w:rPr>
              <w:instrText xml:space="preserve"> PAGEREF _Toc487037160 \h </w:instrText>
            </w:r>
            <w:r>
              <w:rPr>
                <w:webHidden/>
              </w:rPr>
            </w:r>
            <w:r>
              <w:rPr>
                <w:webHidden/>
              </w:rPr>
              <w:fldChar w:fldCharType="separate"/>
            </w:r>
            <w:r>
              <w:rPr>
                <w:webHidden/>
              </w:rPr>
              <w:t>3-225</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1" w:history="1">
            <w:r w:rsidRPr="00265E4A">
              <w:rPr>
                <w:rStyle w:val="Hyperlink"/>
                <w14:scene3d>
                  <w14:camera w14:prst="orthographicFront"/>
                  <w14:lightRig w14:rig="threePt" w14:dir="t">
                    <w14:rot w14:lat="0" w14:lon="0" w14:rev="0"/>
                  </w14:lightRig>
                </w14:scene3d>
              </w:rPr>
              <w:t>C.2</w:t>
            </w:r>
            <w:r>
              <w:rPr>
                <w:rFonts w:asciiTheme="minorHAnsi" w:eastAsiaTheme="minorEastAsia" w:hAnsiTheme="minorHAnsi"/>
                <w:b w:val="0"/>
                <w:color w:val="auto"/>
                <w:sz w:val="22"/>
                <w:lang w:eastAsia="en-AU"/>
              </w:rPr>
              <w:tab/>
            </w:r>
            <w:r w:rsidRPr="00265E4A">
              <w:rPr>
                <w:rStyle w:val="Hyperlink"/>
              </w:rPr>
              <w:t>Prevailing estimates: total returns</w:t>
            </w:r>
            <w:r>
              <w:rPr>
                <w:webHidden/>
              </w:rPr>
              <w:tab/>
            </w:r>
            <w:r>
              <w:rPr>
                <w:webHidden/>
              </w:rPr>
              <w:fldChar w:fldCharType="begin"/>
            </w:r>
            <w:r>
              <w:rPr>
                <w:webHidden/>
              </w:rPr>
              <w:instrText xml:space="preserve"> PAGEREF _Toc487037161 \h </w:instrText>
            </w:r>
            <w:r>
              <w:rPr>
                <w:webHidden/>
              </w:rPr>
            </w:r>
            <w:r>
              <w:rPr>
                <w:webHidden/>
              </w:rPr>
              <w:fldChar w:fldCharType="separate"/>
            </w:r>
            <w:r>
              <w:rPr>
                <w:webHidden/>
              </w:rPr>
              <w:t>3-226</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2" w:history="1">
            <w:r w:rsidRPr="00265E4A">
              <w:rPr>
                <w:rStyle w:val="Hyperlink"/>
                <w14:scene3d>
                  <w14:camera w14:prst="orthographicFront"/>
                  <w14:lightRig w14:rig="threePt" w14:dir="t">
                    <w14:rot w14:lat="0" w14:lon="0" w14:rev="0"/>
                  </w14:lightRig>
                </w14:scene3d>
              </w:rPr>
              <w:t>C.3</w:t>
            </w:r>
            <w:r>
              <w:rPr>
                <w:rFonts w:asciiTheme="minorHAnsi" w:eastAsiaTheme="minorEastAsia" w:hAnsiTheme="minorHAnsi"/>
                <w:b w:val="0"/>
                <w:color w:val="auto"/>
                <w:sz w:val="22"/>
                <w:lang w:eastAsia="en-AU"/>
              </w:rPr>
              <w:tab/>
            </w:r>
            <w:r w:rsidRPr="00265E4A">
              <w:rPr>
                <w:rStyle w:val="Hyperlink"/>
              </w:rPr>
              <w:t>Arithmetic and geometric averages</w:t>
            </w:r>
            <w:r>
              <w:rPr>
                <w:webHidden/>
              </w:rPr>
              <w:tab/>
            </w:r>
            <w:r>
              <w:rPr>
                <w:webHidden/>
              </w:rPr>
              <w:fldChar w:fldCharType="begin"/>
            </w:r>
            <w:r>
              <w:rPr>
                <w:webHidden/>
              </w:rPr>
              <w:instrText xml:space="preserve"> PAGEREF _Toc487037162 \h </w:instrText>
            </w:r>
            <w:r>
              <w:rPr>
                <w:webHidden/>
              </w:rPr>
            </w:r>
            <w:r>
              <w:rPr>
                <w:webHidden/>
              </w:rPr>
              <w:fldChar w:fldCharType="separate"/>
            </w:r>
            <w:r>
              <w:rPr>
                <w:webHidden/>
              </w:rPr>
              <w:t>3-227</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63" w:history="1">
            <w:r w:rsidRPr="00265E4A">
              <w:rPr>
                <w:rStyle w:val="Hyperlink"/>
              </w:rPr>
              <w:t>D</w:t>
            </w:r>
            <w:r>
              <w:rPr>
                <w:rFonts w:asciiTheme="minorHAnsi" w:eastAsiaTheme="minorEastAsia" w:hAnsiTheme="minorHAnsi"/>
                <w:b w:val="0"/>
                <w:color w:val="auto"/>
                <w:sz w:val="22"/>
                <w:lang w:val="en-AU" w:eastAsia="en-AU"/>
              </w:rPr>
              <w:tab/>
            </w:r>
            <w:r w:rsidRPr="00265E4A">
              <w:rPr>
                <w:rStyle w:val="Hyperlink"/>
              </w:rPr>
              <w:t>AER's dividend growth model</w:t>
            </w:r>
            <w:r>
              <w:rPr>
                <w:webHidden/>
              </w:rPr>
              <w:tab/>
            </w:r>
            <w:r>
              <w:rPr>
                <w:webHidden/>
              </w:rPr>
              <w:fldChar w:fldCharType="begin"/>
            </w:r>
            <w:r>
              <w:rPr>
                <w:webHidden/>
              </w:rPr>
              <w:instrText xml:space="preserve"> PAGEREF _Toc487037163 \h </w:instrText>
            </w:r>
            <w:r>
              <w:rPr>
                <w:webHidden/>
              </w:rPr>
            </w:r>
            <w:r>
              <w:rPr>
                <w:webHidden/>
              </w:rPr>
              <w:fldChar w:fldCharType="separate"/>
            </w:r>
            <w:r>
              <w:rPr>
                <w:webHidden/>
              </w:rPr>
              <w:t>3-232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4" w:history="1">
            <w:r w:rsidRPr="00265E4A">
              <w:rPr>
                <w:rStyle w:val="Hyperlink"/>
                <w14:scene3d>
                  <w14:camera w14:prst="orthographicFront"/>
                  <w14:lightRig w14:rig="threePt" w14:dir="t">
                    <w14:rot w14:lat="0" w14:lon="0" w14:rev="0"/>
                  </w14:lightRig>
                </w14:scene3d>
              </w:rPr>
              <w:t>D.1</w:t>
            </w:r>
            <w:r>
              <w:rPr>
                <w:rFonts w:asciiTheme="minorHAnsi" w:eastAsiaTheme="minorEastAsia" w:hAnsiTheme="minorHAnsi"/>
                <w:b w:val="0"/>
                <w:color w:val="auto"/>
                <w:sz w:val="22"/>
                <w:lang w:eastAsia="en-AU"/>
              </w:rPr>
              <w:tab/>
            </w:r>
            <w:r w:rsidRPr="00265E4A">
              <w:rPr>
                <w:rStyle w:val="Hyperlink"/>
              </w:rPr>
              <w:t>Prevailing estimates</w:t>
            </w:r>
            <w:r>
              <w:rPr>
                <w:webHidden/>
              </w:rPr>
              <w:tab/>
            </w:r>
            <w:r>
              <w:rPr>
                <w:webHidden/>
              </w:rPr>
              <w:fldChar w:fldCharType="begin"/>
            </w:r>
            <w:r>
              <w:rPr>
                <w:webHidden/>
              </w:rPr>
              <w:instrText xml:space="preserve"> PAGEREF _Toc487037164 \h </w:instrText>
            </w:r>
            <w:r>
              <w:rPr>
                <w:webHidden/>
              </w:rPr>
            </w:r>
            <w:r>
              <w:rPr>
                <w:webHidden/>
              </w:rPr>
              <w:fldChar w:fldCharType="separate"/>
            </w:r>
            <w:r>
              <w:rPr>
                <w:webHidden/>
              </w:rPr>
              <w:t>3-232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5" w:history="1">
            <w:r w:rsidRPr="00265E4A">
              <w:rPr>
                <w:rStyle w:val="Hyperlink"/>
                <w14:scene3d>
                  <w14:camera w14:prst="orthographicFront"/>
                  <w14:lightRig w14:rig="threePt" w14:dir="t">
                    <w14:rot w14:lat="0" w14:lon="0" w14:rev="0"/>
                  </w14:lightRig>
                </w14:scene3d>
              </w:rPr>
              <w:t>D.2</w:t>
            </w:r>
            <w:r>
              <w:rPr>
                <w:rFonts w:asciiTheme="minorHAnsi" w:eastAsiaTheme="minorEastAsia" w:hAnsiTheme="minorHAnsi"/>
                <w:b w:val="0"/>
                <w:color w:val="auto"/>
                <w:sz w:val="22"/>
                <w:lang w:eastAsia="en-AU"/>
              </w:rPr>
              <w:tab/>
            </w:r>
            <w:r w:rsidRPr="00265E4A">
              <w:rPr>
                <w:rStyle w:val="Hyperlink"/>
              </w:rPr>
              <w:t>Sensitivity analysis</w:t>
            </w:r>
            <w:r>
              <w:rPr>
                <w:webHidden/>
              </w:rPr>
              <w:tab/>
            </w:r>
            <w:r>
              <w:rPr>
                <w:webHidden/>
              </w:rPr>
              <w:fldChar w:fldCharType="begin"/>
            </w:r>
            <w:r>
              <w:rPr>
                <w:webHidden/>
              </w:rPr>
              <w:instrText xml:space="preserve"> PAGEREF _Toc487037165 \h </w:instrText>
            </w:r>
            <w:r>
              <w:rPr>
                <w:webHidden/>
              </w:rPr>
            </w:r>
            <w:r>
              <w:rPr>
                <w:webHidden/>
              </w:rPr>
              <w:fldChar w:fldCharType="separate"/>
            </w:r>
            <w:r>
              <w:rPr>
                <w:webHidden/>
              </w:rPr>
              <w:t>3-233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6" w:history="1">
            <w:r w:rsidRPr="00265E4A">
              <w:rPr>
                <w:rStyle w:val="Hyperlink"/>
                <w14:scene3d>
                  <w14:camera w14:prst="orthographicFront"/>
                  <w14:lightRig w14:rig="threePt" w14:dir="t">
                    <w14:rot w14:lat="0" w14:lon="0" w14:rev="0"/>
                  </w14:lightRig>
                </w14:scene3d>
              </w:rPr>
              <w:t>D.3</w:t>
            </w:r>
            <w:r>
              <w:rPr>
                <w:rFonts w:asciiTheme="minorHAnsi" w:eastAsiaTheme="minorEastAsia" w:hAnsiTheme="minorHAnsi"/>
                <w:b w:val="0"/>
                <w:color w:val="auto"/>
                <w:sz w:val="22"/>
                <w:lang w:eastAsia="en-AU"/>
              </w:rPr>
              <w:tab/>
            </w:r>
            <w:r w:rsidRPr="00265E4A">
              <w:rPr>
                <w:rStyle w:val="Hyperlink"/>
              </w:rPr>
              <w:t>Preferred construction of the dividend growth model</w:t>
            </w:r>
            <w:r>
              <w:rPr>
                <w:webHidden/>
              </w:rPr>
              <w:tab/>
            </w:r>
            <w:r>
              <w:rPr>
                <w:webHidden/>
              </w:rPr>
              <w:fldChar w:fldCharType="begin"/>
            </w:r>
            <w:r>
              <w:rPr>
                <w:webHidden/>
              </w:rPr>
              <w:instrText xml:space="preserve"> PAGEREF _Toc487037166 \h </w:instrText>
            </w:r>
            <w:r>
              <w:rPr>
                <w:webHidden/>
              </w:rPr>
            </w:r>
            <w:r>
              <w:rPr>
                <w:webHidden/>
              </w:rPr>
              <w:fldChar w:fldCharType="separate"/>
            </w:r>
            <w:r>
              <w:rPr>
                <w:webHidden/>
              </w:rPr>
              <w:t>3-234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7" w:history="1">
            <w:r w:rsidRPr="00265E4A">
              <w:rPr>
                <w:rStyle w:val="Hyperlink"/>
                <w14:scene3d>
                  <w14:camera w14:prst="orthographicFront"/>
                  <w14:lightRig w14:rig="threePt" w14:dir="t">
                    <w14:rot w14:lat="0" w14:lon="0" w14:rev="0"/>
                  </w14:lightRig>
                </w14:scene3d>
              </w:rPr>
              <w:t>D.4</w:t>
            </w:r>
            <w:r>
              <w:rPr>
                <w:rFonts w:asciiTheme="minorHAnsi" w:eastAsiaTheme="minorEastAsia" w:hAnsiTheme="minorHAnsi"/>
                <w:b w:val="0"/>
                <w:color w:val="auto"/>
                <w:sz w:val="22"/>
                <w:lang w:eastAsia="en-AU"/>
              </w:rPr>
              <w:tab/>
            </w:r>
            <w:r w:rsidRPr="00265E4A">
              <w:rPr>
                <w:rStyle w:val="Hyperlink"/>
              </w:rPr>
              <w:t>Sources of potential upward bias</w:t>
            </w:r>
            <w:r>
              <w:rPr>
                <w:webHidden/>
              </w:rPr>
              <w:tab/>
            </w:r>
            <w:r>
              <w:rPr>
                <w:webHidden/>
              </w:rPr>
              <w:fldChar w:fldCharType="begin"/>
            </w:r>
            <w:r>
              <w:rPr>
                <w:webHidden/>
              </w:rPr>
              <w:instrText xml:space="preserve"> PAGEREF _Toc487037167 \h </w:instrText>
            </w:r>
            <w:r>
              <w:rPr>
                <w:webHidden/>
              </w:rPr>
            </w:r>
            <w:r>
              <w:rPr>
                <w:webHidden/>
              </w:rPr>
              <w:fldChar w:fldCharType="separate"/>
            </w:r>
            <w:r>
              <w:rPr>
                <w:webHidden/>
              </w:rPr>
              <w:t>3-236</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68" w:history="1">
            <w:r w:rsidRPr="00265E4A">
              <w:rPr>
                <w:rStyle w:val="Hyperlink"/>
              </w:rPr>
              <w:t>E</w:t>
            </w:r>
            <w:r>
              <w:rPr>
                <w:rFonts w:asciiTheme="minorHAnsi" w:eastAsiaTheme="minorEastAsia" w:hAnsiTheme="minorHAnsi"/>
                <w:b w:val="0"/>
                <w:color w:val="auto"/>
                <w:sz w:val="22"/>
                <w:lang w:val="en-AU" w:eastAsia="en-AU"/>
              </w:rPr>
              <w:tab/>
            </w:r>
            <w:r w:rsidRPr="00265E4A">
              <w:rPr>
                <w:rStyle w:val="Hyperlink"/>
              </w:rPr>
              <w:t>Return on equity conditioning variables</w:t>
            </w:r>
            <w:r>
              <w:rPr>
                <w:webHidden/>
              </w:rPr>
              <w:tab/>
            </w:r>
            <w:r>
              <w:rPr>
                <w:webHidden/>
              </w:rPr>
              <w:fldChar w:fldCharType="begin"/>
            </w:r>
            <w:r>
              <w:rPr>
                <w:webHidden/>
              </w:rPr>
              <w:instrText xml:space="preserve"> PAGEREF _Toc487037168 \h </w:instrText>
            </w:r>
            <w:r>
              <w:rPr>
                <w:webHidden/>
              </w:rPr>
            </w:r>
            <w:r>
              <w:rPr>
                <w:webHidden/>
              </w:rPr>
              <w:fldChar w:fldCharType="separate"/>
            </w:r>
            <w:r>
              <w:rPr>
                <w:webHidden/>
              </w:rPr>
              <w:t>3-241</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69" w:history="1">
            <w:r w:rsidRPr="00265E4A">
              <w:rPr>
                <w:rStyle w:val="Hyperlink"/>
                <w14:scene3d>
                  <w14:camera w14:prst="orthographicFront"/>
                  <w14:lightRig w14:rig="threePt" w14:dir="t">
                    <w14:rot w14:lat="0" w14:lon="0" w14:rev="0"/>
                  </w14:lightRig>
                </w14:scene3d>
              </w:rPr>
              <w:t>E.1</w:t>
            </w:r>
            <w:r>
              <w:rPr>
                <w:rFonts w:asciiTheme="minorHAnsi" w:eastAsiaTheme="minorEastAsia" w:hAnsiTheme="minorHAnsi"/>
                <w:b w:val="0"/>
                <w:color w:val="auto"/>
                <w:sz w:val="22"/>
                <w:lang w:eastAsia="en-AU"/>
              </w:rPr>
              <w:tab/>
            </w:r>
            <w:r w:rsidRPr="00265E4A">
              <w:rPr>
                <w:rStyle w:val="Hyperlink"/>
              </w:rPr>
              <w:t>Implied volatility</w:t>
            </w:r>
            <w:r>
              <w:rPr>
                <w:webHidden/>
              </w:rPr>
              <w:tab/>
            </w:r>
            <w:r>
              <w:rPr>
                <w:webHidden/>
              </w:rPr>
              <w:fldChar w:fldCharType="begin"/>
            </w:r>
            <w:r>
              <w:rPr>
                <w:webHidden/>
              </w:rPr>
              <w:instrText xml:space="preserve"> PAGEREF _Toc487037169 \h </w:instrText>
            </w:r>
            <w:r>
              <w:rPr>
                <w:webHidden/>
              </w:rPr>
            </w:r>
            <w:r>
              <w:rPr>
                <w:webHidden/>
              </w:rPr>
              <w:fldChar w:fldCharType="separate"/>
            </w:r>
            <w:r>
              <w:rPr>
                <w:webHidden/>
              </w:rPr>
              <w:t>3-242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0" w:history="1">
            <w:r w:rsidRPr="00265E4A">
              <w:rPr>
                <w:rStyle w:val="Hyperlink"/>
                <w14:scene3d>
                  <w14:camera w14:prst="orthographicFront"/>
                  <w14:lightRig w14:rig="threePt" w14:dir="t">
                    <w14:rot w14:lat="0" w14:lon="0" w14:rev="0"/>
                  </w14:lightRig>
                </w14:scene3d>
              </w:rPr>
              <w:t>E.2</w:t>
            </w:r>
            <w:r>
              <w:rPr>
                <w:rFonts w:asciiTheme="minorHAnsi" w:eastAsiaTheme="minorEastAsia" w:hAnsiTheme="minorHAnsi"/>
                <w:b w:val="0"/>
                <w:color w:val="auto"/>
                <w:sz w:val="22"/>
                <w:lang w:eastAsia="en-AU"/>
              </w:rPr>
              <w:tab/>
            </w:r>
            <w:r w:rsidRPr="00265E4A">
              <w:rPr>
                <w:rStyle w:val="Hyperlink"/>
              </w:rPr>
              <w:t>Dividend yields</w:t>
            </w:r>
            <w:r>
              <w:rPr>
                <w:webHidden/>
              </w:rPr>
              <w:tab/>
            </w:r>
            <w:r>
              <w:rPr>
                <w:webHidden/>
              </w:rPr>
              <w:fldChar w:fldCharType="begin"/>
            </w:r>
            <w:r>
              <w:rPr>
                <w:webHidden/>
              </w:rPr>
              <w:instrText xml:space="preserve"> PAGEREF _Toc487037170 \h </w:instrText>
            </w:r>
            <w:r>
              <w:rPr>
                <w:webHidden/>
              </w:rPr>
            </w:r>
            <w:r>
              <w:rPr>
                <w:webHidden/>
              </w:rPr>
              <w:fldChar w:fldCharType="separate"/>
            </w:r>
            <w:r>
              <w:rPr>
                <w:webHidden/>
              </w:rPr>
              <w:t>3-243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1" w:history="1">
            <w:r w:rsidRPr="00265E4A">
              <w:rPr>
                <w:rStyle w:val="Hyperlink"/>
                <w14:scene3d>
                  <w14:camera w14:prst="orthographicFront"/>
                  <w14:lightRig w14:rig="threePt" w14:dir="t">
                    <w14:rot w14:lat="0" w14:lon="0" w14:rev="0"/>
                  </w14:lightRig>
                </w14:scene3d>
              </w:rPr>
              <w:t>E.3</w:t>
            </w:r>
            <w:r>
              <w:rPr>
                <w:rFonts w:asciiTheme="minorHAnsi" w:eastAsiaTheme="minorEastAsia" w:hAnsiTheme="minorHAnsi"/>
                <w:b w:val="0"/>
                <w:color w:val="auto"/>
                <w:sz w:val="22"/>
                <w:lang w:eastAsia="en-AU"/>
              </w:rPr>
              <w:tab/>
            </w:r>
            <w:r w:rsidRPr="00265E4A">
              <w:rPr>
                <w:rStyle w:val="Hyperlink"/>
              </w:rPr>
              <w:t>Yield spreads</w:t>
            </w:r>
            <w:r>
              <w:rPr>
                <w:webHidden/>
              </w:rPr>
              <w:tab/>
            </w:r>
            <w:r>
              <w:rPr>
                <w:webHidden/>
              </w:rPr>
              <w:fldChar w:fldCharType="begin"/>
            </w:r>
            <w:r>
              <w:rPr>
                <w:webHidden/>
              </w:rPr>
              <w:instrText xml:space="preserve"> PAGEREF _Toc487037171 \h </w:instrText>
            </w:r>
            <w:r>
              <w:rPr>
                <w:webHidden/>
              </w:rPr>
            </w:r>
            <w:r>
              <w:rPr>
                <w:webHidden/>
              </w:rPr>
              <w:fldChar w:fldCharType="separate"/>
            </w:r>
            <w:r>
              <w:rPr>
                <w:webHidden/>
              </w:rPr>
              <w:t>3-244</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72" w:history="1">
            <w:r w:rsidRPr="00265E4A">
              <w:rPr>
                <w:rStyle w:val="Hyperlink"/>
              </w:rPr>
              <w:t>F</w:t>
            </w:r>
            <w:r>
              <w:rPr>
                <w:rFonts w:asciiTheme="minorHAnsi" w:eastAsiaTheme="minorEastAsia" w:hAnsiTheme="minorHAnsi"/>
                <w:b w:val="0"/>
                <w:color w:val="auto"/>
                <w:sz w:val="22"/>
                <w:lang w:val="en-AU" w:eastAsia="en-AU"/>
              </w:rPr>
              <w:tab/>
            </w:r>
            <w:r w:rsidRPr="00265E4A">
              <w:rPr>
                <w:rStyle w:val="Hyperlink"/>
              </w:rPr>
              <w:t>Other practitioner's return on equity estimates</w:t>
            </w:r>
            <w:r>
              <w:rPr>
                <w:webHidden/>
              </w:rPr>
              <w:tab/>
            </w:r>
            <w:r>
              <w:rPr>
                <w:webHidden/>
              </w:rPr>
              <w:fldChar w:fldCharType="begin"/>
            </w:r>
            <w:r>
              <w:rPr>
                <w:webHidden/>
              </w:rPr>
              <w:instrText xml:space="preserve"> PAGEREF _Toc487037172 \h </w:instrText>
            </w:r>
            <w:r>
              <w:rPr>
                <w:webHidden/>
              </w:rPr>
            </w:r>
            <w:r>
              <w:rPr>
                <w:webHidden/>
              </w:rPr>
              <w:fldChar w:fldCharType="separate"/>
            </w:r>
            <w:r>
              <w:rPr>
                <w:webHidden/>
              </w:rPr>
              <w:t>3-250</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3" w:history="1">
            <w:r w:rsidRPr="00265E4A">
              <w:rPr>
                <w:rStyle w:val="Hyperlink"/>
                <w14:scene3d>
                  <w14:camera w14:prst="orthographicFront"/>
                  <w14:lightRig w14:rig="threePt" w14:dir="t">
                    <w14:rot w14:lat="0" w14:lon="0" w14:rev="0"/>
                  </w14:lightRig>
                </w14:scene3d>
              </w:rPr>
              <w:t>F.1</w:t>
            </w:r>
            <w:r>
              <w:rPr>
                <w:rFonts w:asciiTheme="minorHAnsi" w:eastAsiaTheme="minorEastAsia" w:hAnsiTheme="minorHAnsi"/>
                <w:b w:val="0"/>
                <w:color w:val="auto"/>
                <w:sz w:val="22"/>
                <w:lang w:eastAsia="en-AU"/>
              </w:rPr>
              <w:tab/>
            </w:r>
            <w:r w:rsidRPr="00265E4A">
              <w:rPr>
                <w:rStyle w:val="Hyperlink"/>
              </w:rPr>
              <w:t>Prevailing estimates: surveys</w:t>
            </w:r>
            <w:r>
              <w:rPr>
                <w:webHidden/>
              </w:rPr>
              <w:tab/>
            </w:r>
            <w:r>
              <w:rPr>
                <w:webHidden/>
              </w:rPr>
              <w:fldChar w:fldCharType="begin"/>
            </w:r>
            <w:r>
              <w:rPr>
                <w:webHidden/>
              </w:rPr>
              <w:instrText xml:space="preserve"> PAGEREF _Toc487037173 \h </w:instrText>
            </w:r>
            <w:r>
              <w:rPr>
                <w:webHidden/>
              </w:rPr>
            </w:r>
            <w:r>
              <w:rPr>
                <w:webHidden/>
              </w:rPr>
              <w:fldChar w:fldCharType="separate"/>
            </w:r>
            <w:r>
              <w:rPr>
                <w:webHidden/>
              </w:rPr>
              <w:t>3-251</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4" w:history="1">
            <w:r w:rsidRPr="00265E4A">
              <w:rPr>
                <w:rStyle w:val="Hyperlink"/>
                <w14:scene3d>
                  <w14:camera w14:prst="orthographicFront"/>
                  <w14:lightRig w14:rig="threePt" w14:dir="t">
                    <w14:rot w14:lat="0" w14:lon="0" w14:rev="0"/>
                  </w14:lightRig>
                </w14:scene3d>
              </w:rPr>
              <w:t>F.2</w:t>
            </w:r>
            <w:r>
              <w:rPr>
                <w:rFonts w:asciiTheme="minorHAnsi" w:eastAsiaTheme="minorEastAsia" w:hAnsiTheme="minorHAnsi"/>
                <w:b w:val="0"/>
                <w:color w:val="auto"/>
                <w:sz w:val="22"/>
                <w:lang w:eastAsia="en-AU"/>
              </w:rPr>
              <w:tab/>
            </w:r>
            <w:r w:rsidRPr="00265E4A">
              <w:rPr>
                <w:rStyle w:val="Hyperlink"/>
              </w:rPr>
              <w:t>Prevailing estimates: broker reports</w:t>
            </w:r>
            <w:r>
              <w:rPr>
                <w:webHidden/>
              </w:rPr>
              <w:tab/>
            </w:r>
            <w:r>
              <w:rPr>
                <w:webHidden/>
              </w:rPr>
              <w:fldChar w:fldCharType="begin"/>
            </w:r>
            <w:r>
              <w:rPr>
                <w:webHidden/>
              </w:rPr>
              <w:instrText xml:space="preserve"> PAGEREF _Toc487037174 \h </w:instrText>
            </w:r>
            <w:r>
              <w:rPr>
                <w:webHidden/>
              </w:rPr>
            </w:r>
            <w:r>
              <w:rPr>
                <w:webHidden/>
              </w:rPr>
              <w:fldChar w:fldCharType="separate"/>
            </w:r>
            <w:r>
              <w:rPr>
                <w:webHidden/>
              </w:rPr>
              <w:t>3-253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5" w:history="1">
            <w:r w:rsidRPr="00265E4A">
              <w:rPr>
                <w:rStyle w:val="Hyperlink"/>
                <w14:scene3d>
                  <w14:camera w14:prst="orthographicFront"/>
                  <w14:lightRig w14:rig="threePt" w14:dir="t">
                    <w14:rot w14:lat="0" w14:lon="0" w14:rev="0"/>
                  </w14:lightRig>
                </w14:scene3d>
              </w:rPr>
              <w:t>F.3</w:t>
            </w:r>
            <w:r>
              <w:rPr>
                <w:rFonts w:asciiTheme="minorHAnsi" w:eastAsiaTheme="minorEastAsia" w:hAnsiTheme="minorHAnsi"/>
                <w:b w:val="0"/>
                <w:color w:val="auto"/>
                <w:sz w:val="22"/>
                <w:lang w:eastAsia="en-AU"/>
              </w:rPr>
              <w:tab/>
            </w:r>
            <w:r w:rsidRPr="00265E4A">
              <w:rPr>
                <w:rStyle w:val="Hyperlink"/>
              </w:rPr>
              <w:t>Prevailing estimates: valuation reports</w:t>
            </w:r>
            <w:r>
              <w:rPr>
                <w:webHidden/>
              </w:rPr>
              <w:tab/>
            </w:r>
            <w:r>
              <w:rPr>
                <w:webHidden/>
              </w:rPr>
              <w:fldChar w:fldCharType="begin"/>
            </w:r>
            <w:r>
              <w:rPr>
                <w:webHidden/>
              </w:rPr>
              <w:instrText xml:space="preserve"> PAGEREF _Toc487037175 \h </w:instrText>
            </w:r>
            <w:r>
              <w:rPr>
                <w:webHidden/>
              </w:rPr>
            </w:r>
            <w:r>
              <w:rPr>
                <w:webHidden/>
              </w:rPr>
              <w:fldChar w:fldCharType="separate"/>
            </w:r>
            <w:r>
              <w:rPr>
                <w:webHidden/>
              </w:rPr>
              <w:t>3-255</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6" w:history="1">
            <w:r w:rsidRPr="00265E4A">
              <w:rPr>
                <w:rStyle w:val="Hyperlink"/>
                <w14:scene3d>
                  <w14:camera w14:prst="orthographicFront"/>
                  <w14:lightRig w14:rig="threePt" w14:dir="t">
                    <w14:rot w14:lat="0" w14:lon="0" w14:rev="0"/>
                  </w14:lightRig>
                </w14:scene3d>
              </w:rPr>
              <w:t>F.4</w:t>
            </w:r>
            <w:r>
              <w:rPr>
                <w:rFonts w:asciiTheme="minorHAnsi" w:eastAsiaTheme="minorEastAsia" w:hAnsiTheme="minorHAnsi"/>
                <w:b w:val="0"/>
                <w:color w:val="auto"/>
                <w:sz w:val="22"/>
                <w:lang w:eastAsia="en-AU"/>
              </w:rPr>
              <w:tab/>
            </w:r>
            <w:r w:rsidRPr="00265E4A">
              <w:rPr>
                <w:rStyle w:val="Hyperlink"/>
              </w:rPr>
              <w:t>Prevailing estimates: other regulators</w:t>
            </w:r>
            <w:r>
              <w:rPr>
                <w:webHidden/>
              </w:rPr>
              <w:tab/>
            </w:r>
            <w:r>
              <w:rPr>
                <w:webHidden/>
              </w:rPr>
              <w:fldChar w:fldCharType="begin"/>
            </w:r>
            <w:r>
              <w:rPr>
                <w:webHidden/>
              </w:rPr>
              <w:instrText xml:space="preserve"> PAGEREF _Toc487037176 \h </w:instrText>
            </w:r>
            <w:r>
              <w:rPr>
                <w:webHidden/>
              </w:rPr>
            </w:r>
            <w:r>
              <w:rPr>
                <w:webHidden/>
              </w:rPr>
              <w:fldChar w:fldCharType="separate"/>
            </w:r>
            <w:r>
              <w:rPr>
                <w:webHidden/>
              </w:rPr>
              <w:t>3-257</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7" w:history="1">
            <w:r w:rsidRPr="00265E4A">
              <w:rPr>
                <w:rStyle w:val="Hyperlink"/>
                <w14:scene3d>
                  <w14:camera w14:prst="orthographicFront"/>
                  <w14:lightRig w14:rig="threePt" w14:dir="t">
                    <w14:rot w14:lat="0" w14:lon="0" w14:rev="0"/>
                  </w14:lightRig>
                </w14:scene3d>
              </w:rPr>
              <w:t>F.5</w:t>
            </w:r>
            <w:r>
              <w:rPr>
                <w:rFonts w:asciiTheme="minorHAnsi" w:eastAsiaTheme="minorEastAsia" w:hAnsiTheme="minorHAnsi"/>
                <w:b w:val="0"/>
                <w:color w:val="auto"/>
                <w:sz w:val="22"/>
                <w:lang w:eastAsia="en-AU"/>
              </w:rPr>
              <w:tab/>
            </w:r>
            <w:r w:rsidRPr="00265E4A">
              <w:rPr>
                <w:rStyle w:val="Hyperlink"/>
              </w:rPr>
              <w:t>Relationship between risk free rate and market risk premium in valuation reports</w:t>
            </w:r>
            <w:r>
              <w:rPr>
                <w:webHidden/>
              </w:rPr>
              <w:tab/>
            </w:r>
            <w:r>
              <w:rPr>
                <w:webHidden/>
              </w:rPr>
              <w:fldChar w:fldCharType="begin"/>
            </w:r>
            <w:r>
              <w:rPr>
                <w:webHidden/>
              </w:rPr>
              <w:instrText xml:space="preserve"> PAGEREF _Toc487037177 \h </w:instrText>
            </w:r>
            <w:r>
              <w:rPr>
                <w:webHidden/>
              </w:rPr>
            </w:r>
            <w:r>
              <w:rPr>
                <w:webHidden/>
              </w:rPr>
              <w:fldChar w:fldCharType="separate"/>
            </w:r>
            <w:r>
              <w:rPr>
                <w:webHidden/>
              </w:rPr>
              <w:t>3-260</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78" w:history="1">
            <w:r w:rsidRPr="00265E4A">
              <w:rPr>
                <w:rStyle w:val="Hyperlink"/>
              </w:rPr>
              <w:t>G</w:t>
            </w:r>
            <w:r>
              <w:rPr>
                <w:rFonts w:asciiTheme="minorHAnsi" w:eastAsiaTheme="minorEastAsia" w:hAnsiTheme="minorHAnsi"/>
                <w:b w:val="0"/>
                <w:color w:val="auto"/>
                <w:sz w:val="22"/>
                <w:lang w:val="en-AU" w:eastAsia="en-AU"/>
              </w:rPr>
              <w:tab/>
            </w:r>
            <w:r w:rsidRPr="00265E4A">
              <w:rPr>
                <w:rStyle w:val="Hyperlink"/>
              </w:rPr>
              <w:t>Empirical estimates of equity beta</w:t>
            </w:r>
            <w:r>
              <w:rPr>
                <w:webHidden/>
              </w:rPr>
              <w:tab/>
            </w:r>
            <w:r>
              <w:rPr>
                <w:webHidden/>
              </w:rPr>
              <w:fldChar w:fldCharType="begin"/>
            </w:r>
            <w:r>
              <w:rPr>
                <w:webHidden/>
              </w:rPr>
              <w:instrText xml:space="preserve"> PAGEREF _Toc487037178 \h </w:instrText>
            </w:r>
            <w:r>
              <w:rPr>
                <w:webHidden/>
              </w:rPr>
            </w:r>
            <w:r>
              <w:rPr>
                <w:webHidden/>
              </w:rPr>
              <w:fldChar w:fldCharType="separate"/>
            </w:r>
            <w:r>
              <w:rPr>
                <w:webHidden/>
              </w:rPr>
              <w:t>3-262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79" w:history="1">
            <w:r w:rsidRPr="00265E4A">
              <w:rPr>
                <w:rStyle w:val="Hyperlink"/>
                <w14:scene3d>
                  <w14:camera w14:prst="orthographicFront"/>
                  <w14:lightRig w14:rig="threePt" w14:dir="t">
                    <w14:rot w14:lat="0" w14:lon="0" w14:rev="0"/>
                  </w14:lightRig>
                </w14:scene3d>
              </w:rPr>
              <w:t>G.1</w:t>
            </w:r>
            <w:r>
              <w:rPr>
                <w:rFonts w:asciiTheme="minorHAnsi" w:eastAsiaTheme="minorEastAsia" w:hAnsiTheme="minorHAnsi"/>
                <w:b w:val="0"/>
                <w:color w:val="auto"/>
                <w:sz w:val="22"/>
                <w:lang w:eastAsia="en-AU"/>
              </w:rPr>
              <w:tab/>
            </w:r>
            <w:r w:rsidRPr="00265E4A">
              <w:rPr>
                <w:rStyle w:val="Hyperlink"/>
              </w:rPr>
              <w:t>Australian empirical estimates from Henry's 2014 report</w:t>
            </w:r>
            <w:r>
              <w:rPr>
                <w:webHidden/>
              </w:rPr>
              <w:tab/>
            </w:r>
            <w:r>
              <w:rPr>
                <w:webHidden/>
              </w:rPr>
              <w:fldChar w:fldCharType="begin"/>
            </w:r>
            <w:r>
              <w:rPr>
                <w:webHidden/>
              </w:rPr>
              <w:instrText xml:space="preserve"> PAGEREF _Toc487037179 \h </w:instrText>
            </w:r>
            <w:r>
              <w:rPr>
                <w:webHidden/>
              </w:rPr>
            </w:r>
            <w:r>
              <w:rPr>
                <w:webHidden/>
              </w:rPr>
              <w:fldChar w:fldCharType="separate"/>
            </w:r>
            <w:r>
              <w:rPr>
                <w:webHidden/>
              </w:rPr>
              <w:t>3-263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80" w:history="1">
            <w:r w:rsidRPr="00265E4A">
              <w:rPr>
                <w:rStyle w:val="Hyperlink"/>
                <w14:scene3d>
                  <w14:camera w14:prst="orthographicFront"/>
                  <w14:lightRig w14:rig="threePt" w14:dir="t">
                    <w14:rot w14:lat="0" w14:lon="0" w14:rev="0"/>
                  </w14:lightRig>
                </w14:scene3d>
              </w:rPr>
              <w:t>G.2</w:t>
            </w:r>
            <w:r>
              <w:rPr>
                <w:rFonts w:asciiTheme="minorHAnsi" w:eastAsiaTheme="minorEastAsia" w:hAnsiTheme="minorHAnsi"/>
                <w:b w:val="0"/>
                <w:color w:val="auto"/>
                <w:sz w:val="22"/>
                <w:lang w:eastAsia="en-AU"/>
              </w:rPr>
              <w:tab/>
            </w:r>
            <w:r w:rsidRPr="00265E4A">
              <w:rPr>
                <w:rStyle w:val="Hyperlink"/>
              </w:rPr>
              <w:t>Australian empirical estimates from other studies</w:t>
            </w:r>
            <w:r>
              <w:rPr>
                <w:webHidden/>
              </w:rPr>
              <w:tab/>
            </w:r>
            <w:r>
              <w:rPr>
                <w:webHidden/>
              </w:rPr>
              <w:fldChar w:fldCharType="begin"/>
            </w:r>
            <w:r>
              <w:rPr>
                <w:webHidden/>
              </w:rPr>
              <w:instrText xml:space="preserve"> PAGEREF _Toc487037180 \h </w:instrText>
            </w:r>
            <w:r>
              <w:rPr>
                <w:webHidden/>
              </w:rPr>
            </w:r>
            <w:r>
              <w:rPr>
                <w:webHidden/>
              </w:rPr>
              <w:fldChar w:fldCharType="separate"/>
            </w:r>
            <w:r>
              <w:rPr>
                <w:webHidden/>
              </w:rPr>
              <w:t>3-266</w:t>
            </w:r>
            <w:r>
              <w:rPr>
                <w:webHidden/>
              </w:rPr>
              <w:fldChar w:fldCharType="end"/>
            </w:r>
          </w:hyperlink>
        </w:p>
        <w:p w:rsidR="002C24D6" w:rsidRDefault="002C24D6">
          <w:pPr>
            <w:pStyle w:val="TOC3"/>
            <w:rPr>
              <w:rFonts w:asciiTheme="minorHAnsi" w:eastAsiaTheme="minorEastAsia" w:hAnsiTheme="minorHAnsi"/>
              <w:lang w:eastAsia="en-AU"/>
            </w:rPr>
          </w:pPr>
          <w:hyperlink w:anchor="_Toc487037181" w:history="1">
            <w:r w:rsidRPr="00265E4A">
              <w:rPr>
                <w:rStyle w:val="Hyperlink"/>
              </w:rPr>
              <w:t>G.2.1</w:t>
            </w:r>
            <w:r>
              <w:rPr>
                <w:rFonts w:asciiTheme="minorHAnsi" w:eastAsiaTheme="minorEastAsia" w:hAnsiTheme="minorHAnsi"/>
                <w:lang w:eastAsia="en-AU"/>
              </w:rPr>
              <w:tab/>
            </w:r>
            <w:r w:rsidRPr="00265E4A">
              <w:rPr>
                <w:rStyle w:val="Hyperlink"/>
              </w:rPr>
              <w:t>September and November 2016 CEG report</w:t>
            </w:r>
            <w:r>
              <w:rPr>
                <w:webHidden/>
              </w:rPr>
              <w:tab/>
            </w:r>
            <w:r>
              <w:rPr>
                <w:webHidden/>
              </w:rPr>
              <w:fldChar w:fldCharType="begin"/>
            </w:r>
            <w:r>
              <w:rPr>
                <w:webHidden/>
              </w:rPr>
              <w:instrText xml:space="preserve"> PAGEREF _Toc487037181 \h </w:instrText>
            </w:r>
            <w:r>
              <w:rPr>
                <w:webHidden/>
              </w:rPr>
            </w:r>
            <w:r>
              <w:rPr>
                <w:webHidden/>
              </w:rPr>
              <w:fldChar w:fldCharType="separate"/>
            </w:r>
            <w:r>
              <w:rPr>
                <w:webHidden/>
              </w:rPr>
              <w:t>3-269</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82" w:history="1">
            <w:r w:rsidRPr="00265E4A">
              <w:rPr>
                <w:rStyle w:val="Hyperlink"/>
                <w14:scene3d>
                  <w14:camera w14:prst="orthographicFront"/>
                  <w14:lightRig w14:rig="threePt" w14:dir="t">
                    <w14:rot w14:lat="0" w14:lon="0" w14:rev="0"/>
                  </w14:lightRig>
                </w14:scene3d>
              </w:rPr>
              <w:t>G.3</w:t>
            </w:r>
            <w:r>
              <w:rPr>
                <w:rFonts w:asciiTheme="minorHAnsi" w:eastAsiaTheme="minorEastAsia" w:hAnsiTheme="minorHAnsi"/>
                <w:b w:val="0"/>
                <w:color w:val="auto"/>
                <w:sz w:val="22"/>
                <w:lang w:eastAsia="en-AU"/>
              </w:rPr>
              <w:tab/>
            </w:r>
            <w:r w:rsidRPr="00265E4A">
              <w:rPr>
                <w:rStyle w:val="Hyperlink"/>
              </w:rPr>
              <w:t>International empirical estimates</w:t>
            </w:r>
            <w:r>
              <w:rPr>
                <w:webHidden/>
              </w:rPr>
              <w:tab/>
            </w:r>
            <w:r>
              <w:rPr>
                <w:webHidden/>
              </w:rPr>
              <w:fldChar w:fldCharType="begin"/>
            </w:r>
            <w:r>
              <w:rPr>
                <w:webHidden/>
              </w:rPr>
              <w:instrText xml:space="preserve"> PAGEREF _Toc487037182 \h </w:instrText>
            </w:r>
            <w:r>
              <w:rPr>
                <w:webHidden/>
              </w:rPr>
            </w:r>
            <w:r>
              <w:rPr>
                <w:webHidden/>
              </w:rPr>
              <w:fldChar w:fldCharType="separate"/>
            </w:r>
            <w:r>
              <w:rPr>
                <w:webHidden/>
              </w:rPr>
              <w:t>3-276</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83" w:history="1">
            <w:r w:rsidRPr="00265E4A">
              <w:rPr>
                <w:rStyle w:val="Hyperlink"/>
                <w14:scene3d>
                  <w14:camera w14:prst="orthographicFront"/>
                  <w14:lightRig w14:rig="threePt" w14:dir="t">
                    <w14:rot w14:lat="0" w14:lon="0" w14:rev="0"/>
                  </w14:lightRig>
                </w14:scene3d>
              </w:rPr>
              <w:t>G.4</w:t>
            </w:r>
            <w:r>
              <w:rPr>
                <w:rFonts w:asciiTheme="minorHAnsi" w:eastAsiaTheme="minorEastAsia" w:hAnsiTheme="minorHAnsi"/>
                <w:b w:val="0"/>
                <w:color w:val="auto"/>
                <w:sz w:val="22"/>
                <w:lang w:eastAsia="en-AU"/>
              </w:rPr>
              <w:tab/>
            </w:r>
            <w:r w:rsidRPr="00265E4A">
              <w:rPr>
                <w:rStyle w:val="Hyperlink"/>
              </w:rPr>
              <w:t>Choice of comparator set</w:t>
            </w:r>
            <w:r>
              <w:rPr>
                <w:webHidden/>
              </w:rPr>
              <w:tab/>
            </w:r>
            <w:r>
              <w:rPr>
                <w:webHidden/>
              </w:rPr>
              <w:fldChar w:fldCharType="begin"/>
            </w:r>
            <w:r>
              <w:rPr>
                <w:webHidden/>
              </w:rPr>
              <w:instrText xml:space="preserve"> PAGEREF _Toc487037183 \h </w:instrText>
            </w:r>
            <w:r>
              <w:rPr>
                <w:webHidden/>
              </w:rPr>
            </w:r>
            <w:r>
              <w:rPr>
                <w:webHidden/>
              </w:rPr>
              <w:fldChar w:fldCharType="separate"/>
            </w:r>
            <w:r>
              <w:rPr>
                <w:webHidden/>
              </w:rPr>
              <w:t>3-278</w:t>
            </w:r>
            <w:r>
              <w:rPr>
                <w:webHidden/>
              </w:rPr>
              <w:fldChar w:fldCharType="end"/>
            </w:r>
          </w:hyperlink>
        </w:p>
        <w:p w:rsidR="002C24D6" w:rsidRDefault="002C24D6">
          <w:pPr>
            <w:pStyle w:val="TOC3"/>
            <w:rPr>
              <w:rFonts w:asciiTheme="minorHAnsi" w:eastAsiaTheme="minorEastAsia" w:hAnsiTheme="minorHAnsi"/>
              <w:lang w:eastAsia="en-AU"/>
            </w:rPr>
          </w:pPr>
          <w:hyperlink w:anchor="_Toc487037184" w:history="1">
            <w:r w:rsidRPr="00265E4A">
              <w:rPr>
                <w:rStyle w:val="Hyperlink"/>
              </w:rPr>
              <w:t>G.4.1</w:t>
            </w:r>
            <w:r>
              <w:rPr>
                <w:rFonts w:asciiTheme="minorHAnsi" w:eastAsiaTheme="minorEastAsia" w:hAnsiTheme="minorHAnsi"/>
                <w:lang w:eastAsia="en-AU"/>
              </w:rPr>
              <w:tab/>
            </w:r>
            <w:r w:rsidRPr="00265E4A">
              <w:rPr>
                <w:rStyle w:val="Hyperlink"/>
              </w:rPr>
              <w:t>Comparator set for Australian empirical analysis</w:t>
            </w:r>
            <w:r>
              <w:rPr>
                <w:webHidden/>
              </w:rPr>
              <w:tab/>
            </w:r>
            <w:r>
              <w:rPr>
                <w:webHidden/>
              </w:rPr>
              <w:fldChar w:fldCharType="begin"/>
            </w:r>
            <w:r>
              <w:rPr>
                <w:webHidden/>
              </w:rPr>
              <w:instrText xml:space="preserve"> PAGEREF _Toc487037184 \h </w:instrText>
            </w:r>
            <w:r>
              <w:rPr>
                <w:webHidden/>
              </w:rPr>
            </w:r>
            <w:r>
              <w:rPr>
                <w:webHidden/>
              </w:rPr>
              <w:fldChar w:fldCharType="separate"/>
            </w:r>
            <w:r>
              <w:rPr>
                <w:webHidden/>
              </w:rPr>
              <w:t>3-279</w:t>
            </w:r>
            <w:r>
              <w:rPr>
                <w:webHidden/>
              </w:rPr>
              <w:fldChar w:fldCharType="end"/>
            </w:r>
          </w:hyperlink>
        </w:p>
        <w:p w:rsidR="002C24D6" w:rsidRDefault="002C24D6">
          <w:pPr>
            <w:pStyle w:val="TOC3"/>
            <w:rPr>
              <w:rFonts w:asciiTheme="minorHAnsi" w:eastAsiaTheme="minorEastAsia" w:hAnsiTheme="minorHAnsi"/>
              <w:lang w:eastAsia="en-AU"/>
            </w:rPr>
          </w:pPr>
          <w:hyperlink w:anchor="_Toc487037185" w:history="1">
            <w:r w:rsidRPr="00265E4A">
              <w:rPr>
                <w:rStyle w:val="Hyperlink"/>
              </w:rPr>
              <w:t>G.4.2</w:t>
            </w:r>
            <w:r>
              <w:rPr>
                <w:rFonts w:asciiTheme="minorHAnsi" w:eastAsiaTheme="minorEastAsia" w:hAnsiTheme="minorHAnsi"/>
                <w:lang w:eastAsia="en-AU"/>
              </w:rPr>
              <w:tab/>
            </w:r>
            <w:r w:rsidRPr="00265E4A">
              <w:rPr>
                <w:rStyle w:val="Hyperlink"/>
              </w:rPr>
              <w:t>Precision and stability of Australian empirical estimates</w:t>
            </w:r>
            <w:r>
              <w:rPr>
                <w:webHidden/>
              </w:rPr>
              <w:tab/>
            </w:r>
            <w:r>
              <w:rPr>
                <w:webHidden/>
              </w:rPr>
              <w:fldChar w:fldCharType="begin"/>
            </w:r>
            <w:r>
              <w:rPr>
                <w:webHidden/>
              </w:rPr>
              <w:instrText xml:space="preserve"> PAGEREF _Toc487037185 \h </w:instrText>
            </w:r>
            <w:r>
              <w:rPr>
                <w:webHidden/>
              </w:rPr>
            </w:r>
            <w:r>
              <w:rPr>
                <w:webHidden/>
              </w:rPr>
              <w:fldChar w:fldCharType="separate"/>
            </w:r>
            <w:r>
              <w:rPr>
                <w:webHidden/>
              </w:rPr>
              <w:t>3-281</w:t>
            </w:r>
            <w:r>
              <w:rPr>
                <w:webHidden/>
              </w:rPr>
              <w:fldChar w:fldCharType="end"/>
            </w:r>
          </w:hyperlink>
        </w:p>
        <w:p w:rsidR="002C24D6" w:rsidRDefault="002C24D6">
          <w:pPr>
            <w:pStyle w:val="TOC3"/>
            <w:rPr>
              <w:rFonts w:asciiTheme="minorHAnsi" w:eastAsiaTheme="minorEastAsia" w:hAnsiTheme="minorHAnsi"/>
              <w:lang w:eastAsia="en-AU"/>
            </w:rPr>
          </w:pPr>
          <w:hyperlink w:anchor="_Toc487037186" w:history="1">
            <w:r w:rsidRPr="00265E4A">
              <w:rPr>
                <w:rStyle w:val="Hyperlink"/>
              </w:rPr>
              <w:t>G.4.3</w:t>
            </w:r>
            <w:r>
              <w:rPr>
                <w:rFonts w:asciiTheme="minorHAnsi" w:eastAsiaTheme="minorEastAsia" w:hAnsiTheme="minorHAnsi"/>
                <w:lang w:eastAsia="en-AU"/>
              </w:rPr>
              <w:tab/>
            </w:r>
            <w:r w:rsidRPr="00265E4A">
              <w:rPr>
                <w:rStyle w:val="Hyperlink"/>
              </w:rPr>
              <w:t>Use of international energy firms</w:t>
            </w:r>
            <w:r>
              <w:rPr>
                <w:webHidden/>
              </w:rPr>
              <w:tab/>
            </w:r>
            <w:r>
              <w:rPr>
                <w:webHidden/>
              </w:rPr>
              <w:fldChar w:fldCharType="begin"/>
            </w:r>
            <w:r>
              <w:rPr>
                <w:webHidden/>
              </w:rPr>
              <w:instrText xml:space="preserve"> PAGEREF _Toc487037186 \h </w:instrText>
            </w:r>
            <w:r>
              <w:rPr>
                <w:webHidden/>
              </w:rPr>
            </w:r>
            <w:r>
              <w:rPr>
                <w:webHidden/>
              </w:rPr>
              <w:fldChar w:fldCharType="separate"/>
            </w:r>
            <w:r>
              <w:rPr>
                <w:webHidden/>
              </w:rPr>
              <w:t>3-283</w:t>
            </w:r>
            <w:r>
              <w:rPr>
                <w:webHidden/>
              </w:rPr>
              <w:fldChar w:fldCharType="end"/>
            </w:r>
          </w:hyperlink>
        </w:p>
        <w:p w:rsidR="002C24D6" w:rsidRDefault="002C24D6">
          <w:pPr>
            <w:pStyle w:val="TOC3"/>
            <w:rPr>
              <w:rFonts w:asciiTheme="minorHAnsi" w:eastAsiaTheme="minorEastAsia" w:hAnsiTheme="minorHAnsi"/>
              <w:lang w:eastAsia="en-AU"/>
            </w:rPr>
          </w:pPr>
          <w:hyperlink w:anchor="_Toc487037187" w:history="1">
            <w:r w:rsidRPr="00265E4A">
              <w:rPr>
                <w:rStyle w:val="Hyperlink"/>
              </w:rPr>
              <w:t>G.4.4</w:t>
            </w:r>
            <w:r>
              <w:rPr>
                <w:rFonts w:asciiTheme="minorHAnsi" w:eastAsiaTheme="minorEastAsia" w:hAnsiTheme="minorHAnsi"/>
                <w:lang w:eastAsia="en-AU"/>
              </w:rPr>
              <w:tab/>
            </w:r>
            <w:r w:rsidRPr="00265E4A">
              <w:rPr>
                <w:rStyle w:val="Hyperlink"/>
              </w:rPr>
              <w:t>Use of non-energy infrastructure firms</w:t>
            </w:r>
            <w:r>
              <w:rPr>
                <w:webHidden/>
              </w:rPr>
              <w:tab/>
            </w:r>
            <w:r>
              <w:rPr>
                <w:webHidden/>
              </w:rPr>
              <w:fldChar w:fldCharType="begin"/>
            </w:r>
            <w:r>
              <w:rPr>
                <w:webHidden/>
              </w:rPr>
              <w:instrText xml:space="preserve"> PAGEREF _Toc487037187 \h </w:instrText>
            </w:r>
            <w:r>
              <w:rPr>
                <w:webHidden/>
              </w:rPr>
            </w:r>
            <w:r>
              <w:rPr>
                <w:webHidden/>
              </w:rPr>
              <w:fldChar w:fldCharType="separate"/>
            </w:r>
            <w:r>
              <w:rPr>
                <w:webHidden/>
              </w:rPr>
              <w:t>3-286</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88" w:history="1">
            <w:r w:rsidRPr="00265E4A">
              <w:rPr>
                <w:rStyle w:val="Hyperlink"/>
              </w:rPr>
              <w:t>H</w:t>
            </w:r>
            <w:r>
              <w:rPr>
                <w:rFonts w:asciiTheme="minorHAnsi" w:eastAsiaTheme="minorEastAsia" w:hAnsiTheme="minorHAnsi"/>
                <w:b w:val="0"/>
                <w:color w:val="auto"/>
                <w:sz w:val="22"/>
                <w:lang w:val="en-AU" w:eastAsia="en-AU"/>
              </w:rPr>
              <w:tab/>
            </w:r>
            <w:r w:rsidRPr="00265E4A">
              <w:rPr>
                <w:rStyle w:val="Hyperlink"/>
              </w:rPr>
              <w:t>Response to previous submissions on the equity beta</w:t>
            </w:r>
            <w:r>
              <w:rPr>
                <w:webHidden/>
              </w:rPr>
              <w:tab/>
            </w:r>
            <w:r>
              <w:rPr>
                <w:webHidden/>
              </w:rPr>
              <w:fldChar w:fldCharType="begin"/>
            </w:r>
            <w:r>
              <w:rPr>
                <w:webHidden/>
              </w:rPr>
              <w:instrText xml:space="preserve"> PAGEREF _Toc487037188 \h </w:instrText>
            </w:r>
            <w:r>
              <w:rPr>
                <w:webHidden/>
              </w:rPr>
            </w:r>
            <w:r>
              <w:rPr>
                <w:webHidden/>
              </w:rPr>
              <w:fldChar w:fldCharType="separate"/>
            </w:r>
            <w:r>
              <w:rPr>
                <w:webHidden/>
              </w:rPr>
              <w:t>3-290</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89" w:history="1">
            <w:r w:rsidRPr="00265E4A">
              <w:rPr>
                <w:rStyle w:val="Hyperlink"/>
                <w14:scene3d>
                  <w14:camera w14:prst="orthographicFront"/>
                  <w14:lightRig w14:rig="threePt" w14:dir="t">
                    <w14:rot w14:lat="0" w14:lon="0" w14:rev="0"/>
                  </w14:lightRig>
                </w14:scene3d>
              </w:rPr>
              <w:t>H.1</w:t>
            </w:r>
            <w:r>
              <w:rPr>
                <w:rFonts w:asciiTheme="minorHAnsi" w:eastAsiaTheme="minorEastAsia" w:hAnsiTheme="minorHAnsi"/>
                <w:b w:val="0"/>
                <w:color w:val="auto"/>
                <w:sz w:val="22"/>
                <w:lang w:eastAsia="en-AU"/>
              </w:rPr>
              <w:tab/>
            </w:r>
            <w:r w:rsidRPr="00265E4A">
              <w:rPr>
                <w:rStyle w:val="Hyperlink"/>
              </w:rPr>
              <w:t>Empirical analysis</w:t>
            </w:r>
            <w:r>
              <w:rPr>
                <w:webHidden/>
              </w:rPr>
              <w:tab/>
            </w:r>
            <w:r>
              <w:rPr>
                <w:webHidden/>
              </w:rPr>
              <w:fldChar w:fldCharType="begin"/>
            </w:r>
            <w:r>
              <w:rPr>
                <w:webHidden/>
              </w:rPr>
              <w:instrText xml:space="preserve"> PAGEREF _Toc487037189 \h </w:instrText>
            </w:r>
            <w:r>
              <w:rPr>
                <w:webHidden/>
              </w:rPr>
            </w:r>
            <w:r>
              <w:rPr>
                <w:webHidden/>
              </w:rPr>
              <w:fldChar w:fldCharType="separate"/>
            </w:r>
            <w:r>
              <w:rPr>
                <w:webHidden/>
              </w:rPr>
              <w:t>3-290</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0" w:history="1">
            <w:r w:rsidRPr="00265E4A">
              <w:rPr>
                <w:rStyle w:val="Hyperlink"/>
                <w14:scene3d>
                  <w14:camera w14:prst="orthographicFront"/>
                  <w14:lightRig w14:rig="threePt" w14:dir="t">
                    <w14:rot w14:lat="0" w14:lon="0" w14:rev="0"/>
                  </w14:lightRig>
                </w14:scene3d>
              </w:rPr>
              <w:t>H.2</w:t>
            </w:r>
            <w:r>
              <w:rPr>
                <w:rFonts w:asciiTheme="minorHAnsi" w:eastAsiaTheme="minorEastAsia" w:hAnsiTheme="minorHAnsi"/>
                <w:b w:val="0"/>
                <w:color w:val="auto"/>
                <w:sz w:val="22"/>
                <w:lang w:eastAsia="en-AU"/>
              </w:rPr>
              <w:tab/>
            </w:r>
            <w:r w:rsidRPr="00265E4A">
              <w:rPr>
                <w:rStyle w:val="Hyperlink"/>
              </w:rPr>
              <w:t>Australian empirical estimates</w:t>
            </w:r>
            <w:r>
              <w:rPr>
                <w:webHidden/>
              </w:rPr>
              <w:tab/>
            </w:r>
            <w:r>
              <w:rPr>
                <w:webHidden/>
              </w:rPr>
              <w:fldChar w:fldCharType="begin"/>
            </w:r>
            <w:r>
              <w:rPr>
                <w:webHidden/>
              </w:rPr>
              <w:instrText xml:space="preserve"> PAGEREF _Toc487037190 \h </w:instrText>
            </w:r>
            <w:r>
              <w:rPr>
                <w:webHidden/>
              </w:rPr>
            </w:r>
            <w:r>
              <w:rPr>
                <w:webHidden/>
              </w:rPr>
              <w:fldChar w:fldCharType="separate"/>
            </w:r>
            <w:r>
              <w:rPr>
                <w:webHidden/>
              </w:rPr>
              <w:t>3-295</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1" w:history="1">
            <w:r w:rsidRPr="00265E4A">
              <w:rPr>
                <w:rStyle w:val="Hyperlink"/>
                <w14:scene3d>
                  <w14:camera w14:prst="orthographicFront"/>
                  <w14:lightRig w14:rig="threePt" w14:dir="t">
                    <w14:rot w14:lat="0" w14:lon="0" w14:rev="0"/>
                  </w14:lightRig>
                </w14:scene3d>
              </w:rPr>
              <w:t>H.3</w:t>
            </w:r>
            <w:r>
              <w:rPr>
                <w:rFonts w:asciiTheme="minorHAnsi" w:eastAsiaTheme="minorEastAsia" w:hAnsiTheme="minorHAnsi"/>
                <w:b w:val="0"/>
                <w:color w:val="auto"/>
                <w:sz w:val="22"/>
                <w:lang w:eastAsia="en-AU"/>
              </w:rPr>
              <w:tab/>
            </w:r>
            <w:r w:rsidRPr="00265E4A">
              <w:rPr>
                <w:rStyle w:val="Hyperlink"/>
              </w:rPr>
              <w:t>International empirical estimates</w:t>
            </w:r>
            <w:r>
              <w:rPr>
                <w:webHidden/>
              </w:rPr>
              <w:tab/>
            </w:r>
            <w:r>
              <w:rPr>
                <w:webHidden/>
              </w:rPr>
              <w:fldChar w:fldCharType="begin"/>
            </w:r>
            <w:r>
              <w:rPr>
                <w:webHidden/>
              </w:rPr>
              <w:instrText xml:space="preserve"> PAGEREF _Toc487037191 \h </w:instrText>
            </w:r>
            <w:r>
              <w:rPr>
                <w:webHidden/>
              </w:rPr>
            </w:r>
            <w:r>
              <w:rPr>
                <w:webHidden/>
              </w:rPr>
              <w:fldChar w:fldCharType="separate"/>
            </w:r>
            <w:r>
              <w:rPr>
                <w:webHidden/>
              </w:rPr>
              <w:t>3-299</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2" w:history="1">
            <w:r w:rsidRPr="00265E4A">
              <w:rPr>
                <w:rStyle w:val="Hyperlink"/>
                <w14:scene3d>
                  <w14:camera w14:prst="orthographicFront"/>
                  <w14:lightRig w14:rig="threePt" w14:dir="t">
                    <w14:rot w14:lat="0" w14:lon="0" w14:rev="0"/>
                  </w14:lightRig>
                </w14:scene3d>
              </w:rPr>
              <w:t>H.4</w:t>
            </w:r>
            <w:r>
              <w:rPr>
                <w:rFonts w:asciiTheme="minorHAnsi" w:eastAsiaTheme="minorEastAsia" w:hAnsiTheme="minorHAnsi"/>
                <w:b w:val="0"/>
                <w:color w:val="auto"/>
                <w:sz w:val="22"/>
                <w:lang w:eastAsia="en-AU"/>
              </w:rPr>
              <w:tab/>
            </w:r>
            <w:r w:rsidRPr="00265E4A">
              <w:rPr>
                <w:rStyle w:val="Hyperlink"/>
              </w:rPr>
              <w:t>Theoretical principles underpinnning the Black CAPM</w:t>
            </w:r>
            <w:r>
              <w:rPr>
                <w:webHidden/>
              </w:rPr>
              <w:tab/>
            </w:r>
            <w:r>
              <w:rPr>
                <w:webHidden/>
              </w:rPr>
              <w:fldChar w:fldCharType="begin"/>
            </w:r>
            <w:r>
              <w:rPr>
                <w:webHidden/>
              </w:rPr>
              <w:instrText xml:space="preserve"> PAGEREF _Toc487037192 \h </w:instrText>
            </w:r>
            <w:r>
              <w:rPr>
                <w:webHidden/>
              </w:rPr>
            </w:r>
            <w:r>
              <w:rPr>
                <w:webHidden/>
              </w:rPr>
              <w:fldChar w:fldCharType="separate"/>
            </w:r>
            <w:r>
              <w:rPr>
                <w:webHidden/>
              </w:rPr>
              <w:t>3-300</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3" w:history="1">
            <w:r w:rsidRPr="00265E4A">
              <w:rPr>
                <w:rStyle w:val="Hyperlink"/>
                <w14:scene3d>
                  <w14:camera w14:prst="orthographicFront"/>
                  <w14:lightRig w14:rig="threePt" w14:dir="t">
                    <w14:rot w14:lat="0" w14:lon="0" w14:rev="0"/>
                  </w14:lightRig>
                </w14:scene3d>
              </w:rPr>
              <w:t>H.5</w:t>
            </w:r>
            <w:r>
              <w:rPr>
                <w:rFonts w:asciiTheme="minorHAnsi" w:eastAsiaTheme="minorEastAsia" w:hAnsiTheme="minorHAnsi"/>
                <w:b w:val="0"/>
                <w:color w:val="auto"/>
                <w:sz w:val="22"/>
                <w:lang w:eastAsia="en-AU"/>
              </w:rPr>
              <w:tab/>
            </w:r>
            <w:r w:rsidRPr="00265E4A">
              <w:rPr>
                <w:rStyle w:val="Hyperlink"/>
              </w:rPr>
              <w:t>Conceptual analysis</w:t>
            </w:r>
            <w:r>
              <w:rPr>
                <w:webHidden/>
              </w:rPr>
              <w:tab/>
            </w:r>
            <w:r>
              <w:rPr>
                <w:webHidden/>
              </w:rPr>
              <w:fldChar w:fldCharType="begin"/>
            </w:r>
            <w:r>
              <w:rPr>
                <w:webHidden/>
              </w:rPr>
              <w:instrText xml:space="preserve"> PAGEREF _Toc487037193 \h </w:instrText>
            </w:r>
            <w:r>
              <w:rPr>
                <w:webHidden/>
              </w:rPr>
            </w:r>
            <w:r>
              <w:rPr>
                <w:webHidden/>
              </w:rPr>
              <w:fldChar w:fldCharType="separate"/>
            </w:r>
            <w:r>
              <w:rPr>
                <w:webHidden/>
              </w:rPr>
              <w:t>3-302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4" w:history="1">
            <w:r w:rsidRPr="00265E4A">
              <w:rPr>
                <w:rStyle w:val="Hyperlink"/>
                <w14:scene3d>
                  <w14:camera w14:prst="orthographicFront"/>
                  <w14:lightRig w14:rig="threePt" w14:dir="t">
                    <w14:rot w14:lat="0" w14:lon="0" w14:rev="0"/>
                  </w14:lightRig>
                </w14:scene3d>
              </w:rPr>
              <w:t>H.6</w:t>
            </w:r>
            <w:r>
              <w:rPr>
                <w:rFonts w:asciiTheme="minorHAnsi" w:eastAsiaTheme="minorEastAsia" w:hAnsiTheme="minorHAnsi"/>
                <w:b w:val="0"/>
                <w:color w:val="auto"/>
                <w:sz w:val="22"/>
                <w:lang w:eastAsia="en-AU"/>
              </w:rPr>
              <w:tab/>
            </w:r>
            <w:r w:rsidRPr="00265E4A">
              <w:rPr>
                <w:rStyle w:val="Hyperlink"/>
              </w:rPr>
              <w:t>Other issues</w:t>
            </w:r>
            <w:r>
              <w:rPr>
                <w:webHidden/>
              </w:rPr>
              <w:tab/>
            </w:r>
            <w:r>
              <w:rPr>
                <w:webHidden/>
              </w:rPr>
              <w:fldChar w:fldCharType="begin"/>
            </w:r>
            <w:r>
              <w:rPr>
                <w:webHidden/>
              </w:rPr>
              <w:instrText xml:space="preserve"> PAGEREF _Toc487037194 \h </w:instrText>
            </w:r>
            <w:r>
              <w:rPr>
                <w:webHidden/>
              </w:rPr>
            </w:r>
            <w:r>
              <w:rPr>
                <w:webHidden/>
              </w:rPr>
              <w:fldChar w:fldCharType="separate"/>
            </w:r>
            <w:r>
              <w:rPr>
                <w:webHidden/>
              </w:rPr>
              <w:t>3-304</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195" w:history="1">
            <w:r w:rsidRPr="00265E4A">
              <w:rPr>
                <w:rStyle w:val="Hyperlink"/>
              </w:rPr>
              <w:t>I</w:t>
            </w:r>
            <w:r>
              <w:rPr>
                <w:rFonts w:asciiTheme="minorHAnsi" w:eastAsiaTheme="minorEastAsia" w:hAnsiTheme="minorHAnsi"/>
                <w:b w:val="0"/>
                <w:color w:val="auto"/>
                <w:sz w:val="22"/>
                <w:lang w:val="en-AU" w:eastAsia="en-AU"/>
              </w:rPr>
              <w:tab/>
            </w:r>
            <w:r w:rsidRPr="00265E4A">
              <w:rPr>
                <w:rStyle w:val="Hyperlink"/>
              </w:rPr>
              <w:t>Previous MRP issues</w:t>
            </w:r>
            <w:r>
              <w:rPr>
                <w:webHidden/>
              </w:rPr>
              <w:tab/>
            </w:r>
            <w:r>
              <w:rPr>
                <w:webHidden/>
              </w:rPr>
              <w:fldChar w:fldCharType="begin"/>
            </w:r>
            <w:r>
              <w:rPr>
                <w:webHidden/>
              </w:rPr>
              <w:instrText xml:space="preserve"> PAGEREF _Toc487037195 \h </w:instrText>
            </w:r>
            <w:r>
              <w:rPr>
                <w:webHidden/>
              </w:rPr>
            </w:r>
            <w:r>
              <w:rPr>
                <w:webHidden/>
              </w:rPr>
              <w:fldChar w:fldCharType="separate"/>
            </w:r>
            <w:r>
              <w:rPr>
                <w:webHidden/>
              </w:rPr>
              <w:t>3-306</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6" w:history="1">
            <w:r w:rsidRPr="00265E4A">
              <w:rPr>
                <w:rStyle w:val="Hyperlink"/>
                <w14:scene3d>
                  <w14:camera w14:prst="orthographicFront"/>
                  <w14:lightRig w14:rig="threePt" w14:dir="t">
                    <w14:rot w14:lat="0" w14:lon="0" w14:rev="0"/>
                  </w14:lightRig>
                </w14:scene3d>
              </w:rPr>
              <w:t>I.1</w:t>
            </w:r>
            <w:r>
              <w:rPr>
                <w:rFonts w:asciiTheme="minorHAnsi" w:eastAsiaTheme="minorEastAsia" w:hAnsiTheme="minorHAnsi"/>
                <w:b w:val="0"/>
                <w:color w:val="auto"/>
                <w:sz w:val="22"/>
                <w:lang w:eastAsia="en-AU"/>
              </w:rPr>
              <w:tab/>
            </w:r>
            <w:r w:rsidRPr="00265E4A">
              <w:rPr>
                <w:rStyle w:val="Hyperlink"/>
              </w:rPr>
              <w:t>Historical excess returns</w:t>
            </w:r>
            <w:r>
              <w:rPr>
                <w:webHidden/>
              </w:rPr>
              <w:tab/>
            </w:r>
            <w:r>
              <w:rPr>
                <w:webHidden/>
              </w:rPr>
              <w:fldChar w:fldCharType="begin"/>
            </w:r>
            <w:r>
              <w:rPr>
                <w:webHidden/>
              </w:rPr>
              <w:instrText xml:space="preserve"> PAGEREF _Toc487037196 \h </w:instrText>
            </w:r>
            <w:r>
              <w:rPr>
                <w:webHidden/>
              </w:rPr>
            </w:r>
            <w:r>
              <w:rPr>
                <w:webHidden/>
              </w:rPr>
              <w:fldChar w:fldCharType="separate"/>
            </w:r>
            <w:r>
              <w:rPr>
                <w:webHidden/>
              </w:rPr>
              <w:t>3-306</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7" w:history="1">
            <w:r w:rsidRPr="00265E4A">
              <w:rPr>
                <w:rStyle w:val="Hyperlink"/>
                <w14:scene3d>
                  <w14:camera w14:prst="orthographicFront"/>
                  <w14:lightRig w14:rig="threePt" w14:dir="t">
                    <w14:rot w14:lat="0" w14:lon="0" w14:rev="0"/>
                  </w14:lightRig>
                </w14:scene3d>
              </w:rPr>
              <w:t>I.2</w:t>
            </w:r>
            <w:r>
              <w:rPr>
                <w:rFonts w:asciiTheme="minorHAnsi" w:eastAsiaTheme="minorEastAsia" w:hAnsiTheme="minorHAnsi"/>
                <w:b w:val="0"/>
                <w:color w:val="auto"/>
                <w:sz w:val="22"/>
                <w:lang w:eastAsia="en-AU"/>
              </w:rPr>
              <w:tab/>
            </w:r>
            <w:r w:rsidRPr="00265E4A">
              <w:rPr>
                <w:rStyle w:val="Hyperlink"/>
              </w:rPr>
              <w:t>Dividend growth model</w:t>
            </w:r>
            <w:r>
              <w:rPr>
                <w:webHidden/>
              </w:rPr>
              <w:tab/>
            </w:r>
            <w:r>
              <w:rPr>
                <w:webHidden/>
              </w:rPr>
              <w:fldChar w:fldCharType="begin"/>
            </w:r>
            <w:r>
              <w:rPr>
                <w:webHidden/>
              </w:rPr>
              <w:instrText xml:space="preserve"> PAGEREF _Toc487037197 \h </w:instrText>
            </w:r>
            <w:r>
              <w:rPr>
                <w:webHidden/>
              </w:rPr>
            </w:r>
            <w:r>
              <w:rPr>
                <w:webHidden/>
              </w:rPr>
              <w:fldChar w:fldCharType="separate"/>
            </w:r>
            <w:r>
              <w:rPr>
                <w:webHidden/>
              </w:rPr>
              <w:t>3-308</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8" w:history="1">
            <w:r w:rsidRPr="00265E4A">
              <w:rPr>
                <w:rStyle w:val="Hyperlink"/>
                <w14:scene3d>
                  <w14:camera w14:prst="orthographicFront"/>
                  <w14:lightRig w14:rig="threePt" w14:dir="t">
                    <w14:rot w14:lat="0" w14:lon="0" w14:rev="0"/>
                  </w14:lightRig>
                </w14:scene3d>
              </w:rPr>
              <w:t>I.3</w:t>
            </w:r>
            <w:r>
              <w:rPr>
                <w:rFonts w:asciiTheme="minorHAnsi" w:eastAsiaTheme="minorEastAsia" w:hAnsiTheme="minorHAnsi"/>
                <w:b w:val="0"/>
                <w:color w:val="auto"/>
                <w:sz w:val="22"/>
                <w:lang w:eastAsia="en-AU"/>
              </w:rPr>
              <w:tab/>
            </w:r>
            <w:r w:rsidRPr="00265E4A">
              <w:rPr>
                <w:rStyle w:val="Hyperlink"/>
              </w:rPr>
              <w:t>Wright CAPM</w:t>
            </w:r>
            <w:r>
              <w:rPr>
                <w:webHidden/>
              </w:rPr>
              <w:tab/>
            </w:r>
            <w:r>
              <w:rPr>
                <w:webHidden/>
              </w:rPr>
              <w:fldChar w:fldCharType="begin"/>
            </w:r>
            <w:r>
              <w:rPr>
                <w:webHidden/>
              </w:rPr>
              <w:instrText xml:space="preserve"> PAGEREF _Toc487037198 \h </w:instrText>
            </w:r>
            <w:r>
              <w:rPr>
                <w:webHidden/>
              </w:rPr>
            </w:r>
            <w:r>
              <w:rPr>
                <w:webHidden/>
              </w:rPr>
              <w:fldChar w:fldCharType="separate"/>
            </w:r>
            <w:r>
              <w:rPr>
                <w:webHidden/>
              </w:rPr>
              <w:t>3-311</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199" w:history="1">
            <w:r w:rsidRPr="00265E4A">
              <w:rPr>
                <w:rStyle w:val="Hyperlink"/>
                <w14:scene3d>
                  <w14:camera w14:prst="orthographicFront"/>
                  <w14:lightRig w14:rig="threePt" w14:dir="t">
                    <w14:rot w14:lat="0" w14:lon="0" w14:rev="0"/>
                  </w14:lightRig>
                </w14:scene3d>
              </w:rPr>
              <w:t>I.4</w:t>
            </w:r>
            <w:r>
              <w:rPr>
                <w:rFonts w:asciiTheme="minorHAnsi" w:eastAsiaTheme="minorEastAsia" w:hAnsiTheme="minorHAnsi"/>
                <w:b w:val="0"/>
                <w:color w:val="auto"/>
                <w:sz w:val="22"/>
                <w:lang w:eastAsia="en-AU"/>
              </w:rPr>
              <w:tab/>
            </w:r>
            <w:r w:rsidRPr="00265E4A">
              <w:rPr>
                <w:rStyle w:val="Hyperlink"/>
              </w:rPr>
              <w:t>Surveys</w:t>
            </w:r>
            <w:r>
              <w:rPr>
                <w:webHidden/>
              </w:rPr>
              <w:tab/>
            </w:r>
            <w:r>
              <w:rPr>
                <w:webHidden/>
              </w:rPr>
              <w:fldChar w:fldCharType="begin"/>
            </w:r>
            <w:r>
              <w:rPr>
                <w:webHidden/>
              </w:rPr>
              <w:instrText xml:space="preserve"> PAGEREF _Toc487037199 \h </w:instrText>
            </w:r>
            <w:r>
              <w:rPr>
                <w:webHidden/>
              </w:rPr>
            </w:r>
            <w:r>
              <w:rPr>
                <w:webHidden/>
              </w:rPr>
              <w:fldChar w:fldCharType="separate"/>
            </w:r>
            <w:r>
              <w:rPr>
                <w:webHidden/>
              </w:rPr>
              <w:t>3-312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00" w:history="1">
            <w:r w:rsidRPr="00265E4A">
              <w:rPr>
                <w:rStyle w:val="Hyperlink"/>
                <w14:scene3d>
                  <w14:camera w14:prst="orthographicFront"/>
                  <w14:lightRig w14:rig="threePt" w14:dir="t">
                    <w14:rot w14:lat="0" w14:lon="0" w14:rev="0"/>
                  </w14:lightRig>
                </w14:scene3d>
              </w:rPr>
              <w:t>I.5</w:t>
            </w:r>
            <w:r>
              <w:rPr>
                <w:rFonts w:asciiTheme="minorHAnsi" w:eastAsiaTheme="minorEastAsia" w:hAnsiTheme="minorHAnsi"/>
                <w:b w:val="0"/>
                <w:color w:val="auto"/>
                <w:sz w:val="22"/>
                <w:lang w:eastAsia="en-AU"/>
              </w:rPr>
              <w:tab/>
            </w:r>
            <w:r w:rsidRPr="00265E4A">
              <w:rPr>
                <w:rStyle w:val="Hyperlink"/>
              </w:rPr>
              <w:t>Other regulators’ decision</w:t>
            </w:r>
            <w:r>
              <w:rPr>
                <w:webHidden/>
              </w:rPr>
              <w:tab/>
            </w:r>
            <w:r>
              <w:rPr>
                <w:webHidden/>
              </w:rPr>
              <w:fldChar w:fldCharType="begin"/>
            </w:r>
            <w:r>
              <w:rPr>
                <w:webHidden/>
              </w:rPr>
              <w:instrText xml:space="preserve"> PAGEREF _Toc487037200 \h </w:instrText>
            </w:r>
            <w:r>
              <w:rPr>
                <w:webHidden/>
              </w:rPr>
            </w:r>
            <w:r>
              <w:rPr>
                <w:webHidden/>
              </w:rPr>
              <w:fldChar w:fldCharType="separate"/>
            </w:r>
            <w:r>
              <w:rPr>
                <w:webHidden/>
              </w:rPr>
              <w:t>3-313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01" w:history="1">
            <w:r w:rsidRPr="00265E4A">
              <w:rPr>
                <w:rStyle w:val="Hyperlink"/>
                <w14:scene3d>
                  <w14:camera w14:prst="orthographicFront"/>
                  <w14:lightRig w14:rig="threePt" w14:dir="t">
                    <w14:rot w14:lat="0" w14:lon="0" w14:rev="0"/>
                  </w14:lightRig>
                </w14:scene3d>
              </w:rPr>
              <w:t>I.6</w:t>
            </w:r>
            <w:r>
              <w:rPr>
                <w:rFonts w:asciiTheme="minorHAnsi" w:eastAsiaTheme="minorEastAsia" w:hAnsiTheme="minorHAnsi"/>
                <w:b w:val="0"/>
                <w:color w:val="auto"/>
                <w:sz w:val="22"/>
                <w:lang w:eastAsia="en-AU"/>
              </w:rPr>
              <w:tab/>
            </w:r>
            <w:r w:rsidRPr="00265E4A">
              <w:rPr>
                <w:rStyle w:val="Hyperlink"/>
              </w:rPr>
              <w:t>Conditioning variables</w:t>
            </w:r>
            <w:r>
              <w:rPr>
                <w:webHidden/>
              </w:rPr>
              <w:tab/>
            </w:r>
            <w:r>
              <w:rPr>
                <w:webHidden/>
              </w:rPr>
              <w:fldChar w:fldCharType="begin"/>
            </w:r>
            <w:r>
              <w:rPr>
                <w:webHidden/>
              </w:rPr>
              <w:instrText xml:space="preserve"> PAGEREF _Toc487037201 \h </w:instrText>
            </w:r>
            <w:r>
              <w:rPr>
                <w:webHidden/>
              </w:rPr>
            </w:r>
            <w:r>
              <w:rPr>
                <w:webHidden/>
              </w:rPr>
              <w:fldChar w:fldCharType="separate"/>
            </w:r>
            <w:r>
              <w:rPr>
                <w:webHidden/>
              </w:rPr>
              <w:t>3-314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02" w:history="1">
            <w:r w:rsidRPr="00265E4A">
              <w:rPr>
                <w:rStyle w:val="Hyperlink"/>
                <w14:scene3d>
                  <w14:camera w14:prst="orthographicFront"/>
                  <w14:lightRig w14:rig="threePt" w14:dir="t">
                    <w14:rot w14:lat="0" w14:lon="0" w14:rev="0"/>
                  </w14:lightRig>
                </w14:scene3d>
              </w:rPr>
              <w:t>I.7</w:t>
            </w:r>
            <w:r>
              <w:rPr>
                <w:rFonts w:asciiTheme="minorHAnsi" w:eastAsiaTheme="minorEastAsia" w:hAnsiTheme="minorHAnsi"/>
                <w:b w:val="0"/>
                <w:color w:val="auto"/>
                <w:sz w:val="22"/>
                <w:lang w:eastAsia="en-AU"/>
              </w:rPr>
              <w:tab/>
            </w:r>
            <w:r w:rsidRPr="00265E4A">
              <w:rPr>
                <w:rStyle w:val="Hyperlink"/>
              </w:rPr>
              <w:t>Other market data</w:t>
            </w:r>
            <w:r>
              <w:rPr>
                <w:webHidden/>
              </w:rPr>
              <w:tab/>
            </w:r>
            <w:r>
              <w:rPr>
                <w:webHidden/>
              </w:rPr>
              <w:fldChar w:fldCharType="begin"/>
            </w:r>
            <w:r>
              <w:rPr>
                <w:webHidden/>
              </w:rPr>
              <w:instrText xml:space="preserve"> PAGEREF _Toc487037202 \h </w:instrText>
            </w:r>
            <w:r>
              <w:rPr>
                <w:webHidden/>
              </w:rPr>
            </w:r>
            <w:r>
              <w:rPr>
                <w:webHidden/>
              </w:rPr>
              <w:fldChar w:fldCharType="separate"/>
            </w:r>
            <w:r>
              <w:rPr>
                <w:webHidden/>
              </w:rPr>
              <w:t>3-314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03" w:history="1">
            <w:r w:rsidRPr="00265E4A">
              <w:rPr>
                <w:rStyle w:val="Hyperlink"/>
                <w14:scene3d>
                  <w14:camera w14:prst="orthographicFront"/>
                  <w14:lightRig w14:rig="threePt" w14:dir="t">
                    <w14:rot w14:lat="0" w14:lon="0" w14:rev="0"/>
                  </w14:lightRig>
                </w14:scene3d>
              </w:rPr>
              <w:t>I.8</w:t>
            </w:r>
            <w:r>
              <w:rPr>
                <w:rFonts w:asciiTheme="minorHAnsi" w:eastAsiaTheme="minorEastAsia" w:hAnsiTheme="minorHAnsi"/>
                <w:b w:val="0"/>
                <w:color w:val="auto"/>
                <w:sz w:val="22"/>
                <w:lang w:eastAsia="en-AU"/>
              </w:rPr>
              <w:tab/>
            </w:r>
            <w:r w:rsidRPr="00265E4A">
              <w:rPr>
                <w:rStyle w:val="Hyperlink"/>
              </w:rPr>
              <w:t>Overall Market Risk Premium</w:t>
            </w:r>
            <w:r>
              <w:rPr>
                <w:webHidden/>
              </w:rPr>
              <w:tab/>
            </w:r>
            <w:r>
              <w:rPr>
                <w:webHidden/>
              </w:rPr>
              <w:fldChar w:fldCharType="begin"/>
            </w:r>
            <w:r>
              <w:rPr>
                <w:webHidden/>
              </w:rPr>
              <w:instrText xml:space="preserve"> PAGEREF _Toc487037203 \h </w:instrText>
            </w:r>
            <w:r>
              <w:rPr>
                <w:webHidden/>
              </w:rPr>
            </w:r>
            <w:r>
              <w:rPr>
                <w:webHidden/>
              </w:rPr>
              <w:fldChar w:fldCharType="separate"/>
            </w:r>
            <w:r>
              <w:rPr>
                <w:webHidden/>
              </w:rPr>
              <w:t>3-316</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204" w:history="1">
            <w:r w:rsidRPr="00265E4A">
              <w:rPr>
                <w:rStyle w:val="Hyperlink"/>
              </w:rPr>
              <w:t>J</w:t>
            </w:r>
            <w:r>
              <w:rPr>
                <w:rFonts w:asciiTheme="minorHAnsi" w:eastAsiaTheme="minorEastAsia" w:hAnsiTheme="minorHAnsi"/>
                <w:b w:val="0"/>
                <w:color w:val="auto"/>
                <w:sz w:val="22"/>
                <w:lang w:val="en-AU" w:eastAsia="en-AU"/>
              </w:rPr>
              <w:tab/>
            </w:r>
            <w:r w:rsidRPr="00265E4A">
              <w:rPr>
                <w:rStyle w:val="Hyperlink"/>
              </w:rPr>
              <w:t>Return on debt approach</w:t>
            </w:r>
            <w:r>
              <w:rPr>
                <w:webHidden/>
              </w:rPr>
              <w:tab/>
            </w:r>
            <w:r>
              <w:rPr>
                <w:webHidden/>
              </w:rPr>
              <w:fldChar w:fldCharType="begin"/>
            </w:r>
            <w:r>
              <w:rPr>
                <w:webHidden/>
              </w:rPr>
              <w:instrText xml:space="preserve"> PAGEREF _Toc487037204 \h </w:instrText>
            </w:r>
            <w:r>
              <w:rPr>
                <w:webHidden/>
              </w:rPr>
            </w:r>
            <w:r>
              <w:rPr>
                <w:webHidden/>
              </w:rPr>
              <w:fldChar w:fldCharType="separate"/>
            </w:r>
            <w:r>
              <w:rPr>
                <w:webHidden/>
              </w:rPr>
              <w:t>3-318</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05" w:history="1">
            <w:r w:rsidRPr="00265E4A">
              <w:rPr>
                <w:rStyle w:val="Hyperlink"/>
                <w14:scene3d>
                  <w14:camera w14:prst="orthographicFront"/>
                  <w14:lightRig w14:rig="threePt" w14:dir="t">
                    <w14:rot w14:lat="0" w14:lon="0" w14:rev="0"/>
                  </w14:lightRig>
                </w14:scene3d>
              </w:rPr>
              <w:t>J.1</w:t>
            </w:r>
            <w:r>
              <w:rPr>
                <w:rFonts w:asciiTheme="minorHAnsi" w:eastAsiaTheme="minorEastAsia" w:hAnsiTheme="minorHAnsi"/>
                <w:b w:val="0"/>
                <w:color w:val="auto"/>
                <w:sz w:val="22"/>
                <w:lang w:eastAsia="en-AU"/>
              </w:rPr>
              <w:tab/>
            </w:r>
            <w:r w:rsidRPr="00265E4A">
              <w:rPr>
                <w:rStyle w:val="Hyperlink"/>
              </w:rPr>
              <w:t>Interpretation of the ARORO</w:t>
            </w:r>
            <w:r>
              <w:rPr>
                <w:webHidden/>
              </w:rPr>
              <w:tab/>
            </w:r>
            <w:r>
              <w:rPr>
                <w:webHidden/>
              </w:rPr>
              <w:fldChar w:fldCharType="begin"/>
            </w:r>
            <w:r>
              <w:rPr>
                <w:webHidden/>
              </w:rPr>
              <w:instrText xml:space="preserve"> PAGEREF _Toc487037205 \h </w:instrText>
            </w:r>
            <w:r>
              <w:rPr>
                <w:webHidden/>
              </w:rPr>
            </w:r>
            <w:r>
              <w:rPr>
                <w:webHidden/>
              </w:rPr>
              <w:fldChar w:fldCharType="separate"/>
            </w:r>
            <w:r>
              <w:rPr>
                <w:webHidden/>
              </w:rPr>
              <w:t>3-319</w:t>
            </w:r>
            <w:r>
              <w:rPr>
                <w:webHidden/>
              </w:rPr>
              <w:fldChar w:fldCharType="end"/>
            </w:r>
          </w:hyperlink>
        </w:p>
        <w:p w:rsidR="002C24D6" w:rsidRDefault="002C24D6">
          <w:pPr>
            <w:pStyle w:val="TOC3"/>
            <w:rPr>
              <w:rFonts w:asciiTheme="minorHAnsi" w:eastAsiaTheme="minorEastAsia" w:hAnsiTheme="minorHAnsi"/>
              <w:lang w:eastAsia="en-AU"/>
            </w:rPr>
          </w:pPr>
          <w:hyperlink w:anchor="_Toc487037206" w:history="1">
            <w:r w:rsidRPr="00265E4A">
              <w:rPr>
                <w:rStyle w:val="Hyperlink"/>
              </w:rPr>
              <w:t>J.1.1</w:t>
            </w:r>
            <w:r>
              <w:rPr>
                <w:rFonts w:asciiTheme="minorHAnsi" w:eastAsiaTheme="minorEastAsia" w:hAnsiTheme="minorHAnsi"/>
                <w:lang w:eastAsia="en-AU"/>
              </w:rPr>
              <w:tab/>
            </w:r>
            <w:r w:rsidRPr="00265E4A">
              <w:rPr>
                <w:rStyle w:val="Hyperlink"/>
              </w:rPr>
              <w:t>Efficient financing costs</w:t>
            </w:r>
            <w:r>
              <w:rPr>
                <w:webHidden/>
              </w:rPr>
              <w:tab/>
            </w:r>
            <w:r>
              <w:rPr>
                <w:webHidden/>
              </w:rPr>
              <w:fldChar w:fldCharType="begin"/>
            </w:r>
            <w:r>
              <w:rPr>
                <w:webHidden/>
              </w:rPr>
              <w:instrText xml:space="preserve"> PAGEREF _Toc487037206 \h </w:instrText>
            </w:r>
            <w:r>
              <w:rPr>
                <w:webHidden/>
              </w:rPr>
            </w:r>
            <w:r>
              <w:rPr>
                <w:webHidden/>
              </w:rPr>
              <w:fldChar w:fldCharType="separate"/>
            </w:r>
            <w:r>
              <w:rPr>
                <w:webHidden/>
              </w:rPr>
              <w:t>3-319</w:t>
            </w:r>
            <w:r>
              <w:rPr>
                <w:webHidden/>
              </w:rPr>
              <w:fldChar w:fldCharType="end"/>
            </w:r>
          </w:hyperlink>
        </w:p>
        <w:p w:rsidR="002C24D6" w:rsidRDefault="002C24D6">
          <w:pPr>
            <w:pStyle w:val="TOC3"/>
            <w:rPr>
              <w:rFonts w:asciiTheme="minorHAnsi" w:eastAsiaTheme="minorEastAsia" w:hAnsiTheme="minorHAnsi"/>
              <w:lang w:eastAsia="en-AU"/>
            </w:rPr>
          </w:pPr>
          <w:hyperlink w:anchor="_Toc487037207" w:history="1">
            <w:r w:rsidRPr="00265E4A">
              <w:rPr>
                <w:rStyle w:val="Hyperlink"/>
              </w:rPr>
              <w:t>J.1.2</w:t>
            </w:r>
            <w:r>
              <w:rPr>
                <w:rFonts w:asciiTheme="minorHAnsi" w:eastAsiaTheme="minorEastAsia" w:hAnsiTheme="minorHAnsi"/>
                <w:lang w:eastAsia="en-AU"/>
              </w:rPr>
              <w:tab/>
            </w:r>
            <w:r w:rsidRPr="00265E4A">
              <w:rPr>
                <w:rStyle w:val="Hyperlink"/>
              </w:rPr>
              <w:t>Benchmark efficient entity</w:t>
            </w:r>
            <w:r>
              <w:rPr>
                <w:webHidden/>
              </w:rPr>
              <w:tab/>
            </w:r>
            <w:r>
              <w:rPr>
                <w:webHidden/>
              </w:rPr>
              <w:fldChar w:fldCharType="begin"/>
            </w:r>
            <w:r>
              <w:rPr>
                <w:webHidden/>
              </w:rPr>
              <w:instrText xml:space="preserve"> PAGEREF _Toc487037207 \h </w:instrText>
            </w:r>
            <w:r>
              <w:rPr>
                <w:webHidden/>
              </w:rPr>
            </w:r>
            <w:r>
              <w:rPr>
                <w:webHidden/>
              </w:rPr>
              <w:fldChar w:fldCharType="separate"/>
            </w:r>
            <w:r>
              <w:rPr>
                <w:webHidden/>
              </w:rPr>
              <w:t>3-321</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08" w:history="1">
            <w:r w:rsidRPr="00265E4A">
              <w:rPr>
                <w:rStyle w:val="Hyperlink"/>
                <w14:scene3d>
                  <w14:camera w14:prst="orthographicFront"/>
                  <w14:lightRig w14:rig="threePt" w14:dir="t">
                    <w14:rot w14:lat="0" w14:lon="0" w14:rev="0"/>
                  </w14:lightRig>
                </w14:scene3d>
              </w:rPr>
              <w:t>J.2</w:t>
            </w:r>
            <w:r>
              <w:rPr>
                <w:rFonts w:asciiTheme="minorHAnsi" w:eastAsiaTheme="minorEastAsia" w:hAnsiTheme="minorHAnsi"/>
                <w:b w:val="0"/>
                <w:color w:val="auto"/>
                <w:sz w:val="22"/>
                <w:lang w:eastAsia="en-AU"/>
              </w:rPr>
              <w:tab/>
            </w:r>
            <w:r w:rsidRPr="00265E4A">
              <w:rPr>
                <w:rStyle w:val="Hyperlink"/>
              </w:rPr>
              <w:t>Requirements under the ARORO</w:t>
            </w:r>
            <w:r>
              <w:rPr>
                <w:webHidden/>
              </w:rPr>
              <w:tab/>
            </w:r>
            <w:r>
              <w:rPr>
                <w:webHidden/>
              </w:rPr>
              <w:fldChar w:fldCharType="begin"/>
            </w:r>
            <w:r>
              <w:rPr>
                <w:webHidden/>
              </w:rPr>
              <w:instrText xml:space="preserve"> PAGEREF _Toc487037208 \h </w:instrText>
            </w:r>
            <w:r>
              <w:rPr>
                <w:webHidden/>
              </w:rPr>
            </w:r>
            <w:r>
              <w:rPr>
                <w:webHidden/>
              </w:rPr>
              <w:fldChar w:fldCharType="separate"/>
            </w:r>
            <w:r>
              <w:rPr>
                <w:webHidden/>
              </w:rPr>
              <w:t>3-324</w:t>
            </w:r>
            <w:r>
              <w:rPr>
                <w:webHidden/>
              </w:rPr>
              <w:fldChar w:fldCharType="end"/>
            </w:r>
          </w:hyperlink>
        </w:p>
        <w:p w:rsidR="002C24D6" w:rsidRDefault="002C24D6">
          <w:pPr>
            <w:pStyle w:val="TOC3"/>
            <w:rPr>
              <w:rFonts w:asciiTheme="minorHAnsi" w:eastAsiaTheme="minorEastAsia" w:hAnsiTheme="minorHAnsi"/>
              <w:lang w:eastAsia="en-AU"/>
            </w:rPr>
          </w:pPr>
          <w:hyperlink w:anchor="_Toc487037209" w:history="1">
            <w:r w:rsidRPr="00265E4A">
              <w:rPr>
                <w:rStyle w:val="Hyperlink"/>
              </w:rPr>
              <w:t>J.2.1</w:t>
            </w:r>
            <w:r>
              <w:rPr>
                <w:rFonts w:asciiTheme="minorHAnsi" w:eastAsiaTheme="minorEastAsia" w:hAnsiTheme="minorHAnsi"/>
                <w:lang w:eastAsia="en-AU"/>
              </w:rPr>
              <w:tab/>
            </w:r>
            <w:r w:rsidRPr="00265E4A">
              <w:rPr>
                <w:rStyle w:val="Hyperlink"/>
              </w:rPr>
              <w:t>Ex-ante efficient compensation</w:t>
            </w:r>
            <w:r>
              <w:rPr>
                <w:webHidden/>
              </w:rPr>
              <w:tab/>
            </w:r>
            <w:r>
              <w:rPr>
                <w:webHidden/>
              </w:rPr>
              <w:fldChar w:fldCharType="begin"/>
            </w:r>
            <w:r>
              <w:rPr>
                <w:webHidden/>
              </w:rPr>
              <w:instrText xml:space="preserve"> PAGEREF _Toc487037209 \h </w:instrText>
            </w:r>
            <w:r>
              <w:rPr>
                <w:webHidden/>
              </w:rPr>
            </w:r>
            <w:r>
              <w:rPr>
                <w:webHidden/>
              </w:rPr>
              <w:fldChar w:fldCharType="separate"/>
            </w:r>
            <w:r>
              <w:rPr>
                <w:webHidden/>
              </w:rPr>
              <w:t>3-325</w:t>
            </w:r>
            <w:r>
              <w:rPr>
                <w:webHidden/>
              </w:rPr>
              <w:fldChar w:fldCharType="end"/>
            </w:r>
          </w:hyperlink>
        </w:p>
        <w:p w:rsidR="002C24D6" w:rsidRDefault="002C24D6">
          <w:pPr>
            <w:pStyle w:val="TOC3"/>
            <w:rPr>
              <w:rFonts w:asciiTheme="minorHAnsi" w:eastAsiaTheme="minorEastAsia" w:hAnsiTheme="minorHAnsi"/>
              <w:lang w:eastAsia="en-AU"/>
            </w:rPr>
          </w:pPr>
          <w:hyperlink w:anchor="_Toc487037210" w:history="1">
            <w:r w:rsidRPr="00265E4A">
              <w:rPr>
                <w:rStyle w:val="Hyperlink"/>
              </w:rPr>
              <w:t>J.2.2</w:t>
            </w:r>
            <w:r>
              <w:rPr>
                <w:rFonts w:asciiTheme="minorHAnsi" w:eastAsiaTheme="minorEastAsia" w:hAnsiTheme="minorHAnsi"/>
                <w:lang w:eastAsia="en-AU"/>
              </w:rPr>
              <w:tab/>
            </w:r>
            <w:r w:rsidRPr="00265E4A">
              <w:rPr>
                <w:rStyle w:val="Hyperlink"/>
              </w:rPr>
              <w:t>Consistency with the NEL/NGL</w:t>
            </w:r>
            <w:r>
              <w:rPr>
                <w:webHidden/>
              </w:rPr>
              <w:tab/>
            </w:r>
            <w:r>
              <w:rPr>
                <w:webHidden/>
              </w:rPr>
              <w:fldChar w:fldCharType="begin"/>
            </w:r>
            <w:r>
              <w:rPr>
                <w:webHidden/>
              </w:rPr>
              <w:instrText xml:space="preserve"> PAGEREF _Toc487037210 \h </w:instrText>
            </w:r>
            <w:r>
              <w:rPr>
                <w:webHidden/>
              </w:rPr>
            </w:r>
            <w:r>
              <w:rPr>
                <w:webHidden/>
              </w:rPr>
              <w:fldChar w:fldCharType="separate"/>
            </w:r>
            <w:r>
              <w:rPr>
                <w:webHidden/>
              </w:rPr>
              <w:t>3-332</w:t>
            </w:r>
            <w:r>
              <w:rPr>
                <w:webHidden/>
              </w:rPr>
              <w:fldChar w:fldCharType="end"/>
            </w:r>
          </w:hyperlink>
        </w:p>
        <w:p w:rsidR="002C24D6" w:rsidRDefault="002C24D6">
          <w:pPr>
            <w:pStyle w:val="TOC3"/>
            <w:rPr>
              <w:rFonts w:asciiTheme="minorHAnsi" w:eastAsiaTheme="minorEastAsia" w:hAnsiTheme="minorHAnsi"/>
              <w:lang w:eastAsia="en-AU"/>
            </w:rPr>
          </w:pPr>
          <w:hyperlink w:anchor="_Toc487037211" w:history="1">
            <w:r w:rsidRPr="00265E4A">
              <w:rPr>
                <w:rStyle w:val="Hyperlink"/>
              </w:rPr>
              <w:t>J.2.3</w:t>
            </w:r>
            <w:r>
              <w:rPr>
                <w:rFonts w:asciiTheme="minorHAnsi" w:eastAsiaTheme="minorEastAsia" w:hAnsiTheme="minorHAnsi"/>
                <w:lang w:eastAsia="en-AU"/>
              </w:rPr>
              <w:tab/>
            </w:r>
            <w:r w:rsidRPr="00265E4A">
              <w:rPr>
                <w:rStyle w:val="Hyperlink"/>
              </w:rPr>
              <w:t>Requirement for a revenue-neutral transition if there is a regime change</w:t>
            </w:r>
            <w:r>
              <w:rPr>
                <w:webHidden/>
              </w:rPr>
              <w:tab/>
            </w:r>
            <w:r>
              <w:rPr>
                <w:webHidden/>
              </w:rPr>
              <w:fldChar w:fldCharType="begin"/>
            </w:r>
            <w:r>
              <w:rPr>
                <w:webHidden/>
              </w:rPr>
              <w:instrText xml:space="preserve"> PAGEREF _Toc487037211 \h </w:instrText>
            </w:r>
            <w:r>
              <w:rPr>
                <w:webHidden/>
              </w:rPr>
            </w:r>
            <w:r>
              <w:rPr>
                <w:webHidden/>
              </w:rPr>
              <w:fldChar w:fldCharType="separate"/>
            </w:r>
            <w:r>
              <w:rPr>
                <w:webHidden/>
              </w:rPr>
              <w:t>3-333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12" w:history="1">
            <w:r w:rsidRPr="00265E4A">
              <w:rPr>
                <w:rStyle w:val="Hyperlink"/>
                <w14:scene3d>
                  <w14:camera w14:prst="orthographicFront"/>
                  <w14:lightRig w14:rig="threePt" w14:dir="t">
                    <w14:rot w14:lat="0" w14:lon="0" w14:rev="0"/>
                  </w14:lightRig>
                </w14:scene3d>
              </w:rPr>
              <w:t>J.3</w:t>
            </w:r>
            <w:r>
              <w:rPr>
                <w:rFonts w:asciiTheme="minorHAnsi" w:eastAsiaTheme="minorEastAsia" w:hAnsiTheme="minorHAnsi"/>
                <w:b w:val="0"/>
                <w:color w:val="auto"/>
                <w:sz w:val="22"/>
                <w:lang w:eastAsia="en-AU"/>
              </w:rPr>
              <w:tab/>
            </w:r>
            <w:r w:rsidRPr="00265E4A">
              <w:rPr>
                <w:rStyle w:val="Hyperlink"/>
              </w:rPr>
              <w:t>On-the-day and trailing average approaches</w:t>
            </w:r>
            <w:r>
              <w:rPr>
                <w:webHidden/>
              </w:rPr>
              <w:tab/>
            </w:r>
            <w:r>
              <w:rPr>
                <w:webHidden/>
              </w:rPr>
              <w:fldChar w:fldCharType="begin"/>
            </w:r>
            <w:r>
              <w:rPr>
                <w:webHidden/>
              </w:rPr>
              <w:instrText xml:space="preserve"> PAGEREF _Toc487037212 \h </w:instrText>
            </w:r>
            <w:r>
              <w:rPr>
                <w:webHidden/>
              </w:rPr>
            </w:r>
            <w:r>
              <w:rPr>
                <w:webHidden/>
              </w:rPr>
              <w:fldChar w:fldCharType="separate"/>
            </w:r>
            <w:r>
              <w:rPr>
                <w:webHidden/>
              </w:rPr>
              <w:t>3-336</w:t>
            </w:r>
            <w:r>
              <w:rPr>
                <w:webHidden/>
              </w:rPr>
              <w:fldChar w:fldCharType="end"/>
            </w:r>
          </w:hyperlink>
        </w:p>
        <w:p w:rsidR="002C24D6" w:rsidRDefault="002C24D6">
          <w:pPr>
            <w:pStyle w:val="TOC3"/>
            <w:rPr>
              <w:rFonts w:asciiTheme="minorHAnsi" w:eastAsiaTheme="minorEastAsia" w:hAnsiTheme="minorHAnsi"/>
              <w:lang w:eastAsia="en-AU"/>
            </w:rPr>
          </w:pPr>
          <w:hyperlink w:anchor="_Toc487037213" w:history="1">
            <w:r w:rsidRPr="00265E4A">
              <w:rPr>
                <w:rStyle w:val="Hyperlink"/>
              </w:rPr>
              <w:t>J.3.1</w:t>
            </w:r>
            <w:r>
              <w:rPr>
                <w:rFonts w:asciiTheme="minorHAnsi" w:eastAsiaTheme="minorEastAsia" w:hAnsiTheme="minorHAnsi"/>
                <w:lang w:eastAsia="en-AU"/>
              </w:rPr>
              <w:tab/>
            </w:r>
            <w:r w:rsidRPr="00265E4A">
              <w:rPr>
                <w:rStyle w:val="Hyperlink"/>
              </w:rPr>
              <w:t>On-the-day approach</w:t>
            </w:r>
            <w:r>
              <w:rPr>
                <w:webHidden/>
              </w:rPr>
              <w:tab/>
            </w:r>
            <w:r>
              <w:rPr>
                <w:webHidden/>
              </w:rPr>
              <w:fldChar w:fldCharType="begin"/>
            </w:r>
            <w:r>
              <w:rPr>
                <w:webHidden/>
              </w:rPr>
              <w:instrText xml:space="preserve"> PAGEREF _Toc487037213 \h </w:instrText>
            </w:r>
            <w:r>
              <w:rPr>
                <w:webHidden/>
              </w:rPr>
            </w:r>
            <w:r>
              <w:rPr>
                <w:webHidden/>
              </w:rPr>
              <w:fldChar w:fldCharType="separate"/>
            </w:r>
            <w:r>
              <w:rPr>
                <w:webHidden/>
              </w:rPr>
              <w:t>3-336</w:t>
            </w:r>
            <w:r>
              <w:rPr>
                <w:webHidden/>
              </w:rPr>
              <w:fldChar w:fldCharType="end"/>
            </w:r>
          </w:hyperlink>
        </w:p>
        <w:p w:rsidR="002C24D6" w:rsidRDefault="002C24D6">
          <w:pPr>
            <w:pStyle w:val="TOC3"/>
            <w:rPr>
              <w:rFonts w:asciiTheme="minorHAnsi" w:eastAsiaTheme="minorEastAsia" w:hAnsiTheme="minorHAnsi"/>
              <w:lang w:eastAsia="en-AU"/>
            </w:rPr>
          </w:pPr>
          <w:hyperlink w:anchor="_Toc487037214" w:history="1">
            <w:r w:rsidRPr="00265E4A">
              <w:rPr>
                <w:rStyle w:val="Hyperlink"/>
              </w:rPr>
              <w:t>J.3.2</w:t>
            </w:r>
            <w:r>
              <w:rPr>
                <w:rFonts w:asciiTheme="minorHAnsi" w:eastAsiaTheme="minorEastAsia" w:hAnsiTheme="minorHAnsi"/>
                <w:lang w:eastAsia="en-AU"/>
              </w:rPr>
              <w:tab/>
            </w:r>
            <w:r w:rsidRPr="00265E4A">
              <w:rPr>
                <w:rStyle w:val="Hyperlink"/>
              </w:rPr>
              <w:t>Trailing average approach</w:t>
            </w:r>
            <w:r>
              <w:rPr>
                <w:webHidden/>
              </w:rPr>
              <w:tab/>
            </w:r>
            <w:r>
              <w:rPr>
                <w:webHidden/>
              </w:rPr>
              <w:fldChar w:fldCharType="begin"/>
            </w:r>
            <w:r>
              <w:rPr>
                <w:webHidden/>
              </w:rPr>
              <w:instrText xml:space="preserve"> PAGEREF _Toc487037214 \h </w:instrText>
            </w:r>
            <w:r>
              <w:rPr>
                <w:webHidden/>
              </w:rPr>
            </w:r>
            <w:r>
              <w:rPr>
                <w:webHidden/>
              </w:rPr>
              <w:fldChar w:fldCharType="separate"/>
            </w:r>
            <w:r>
              <w:rPr>
                <w:webHidden/>
              </w:rPr>
              <w:t>3-341</w:t>
            </w:r>
            <w:r>
              <w:rPr>
                <w:webHidden/>
              </w:rPr>
              <w:fldChar w:fldCharType="end"/>
            </w:r>
          </w:hyperlink>
        </w:p>
        <w:p w:rsidR="002C24D6" w:rsidRDefault="002C24D6">
          <w:pPr>
            <w:pStyle w:val="TOC3"/>
            <w:rPr>
              <w:rFonts w:asciiTheme="minorHAnsi" w:eastAsiaTheme="minorEastAsia" w:hAnsiTheme="minorHAnsi"/>
              <w:lang w:eastAsia="en-AU"/>
            </w:rPr>
          </w:pPr>
          <w:hyperlink w:anchor="_Toc487037215" w:history="1">
            <w:r w:rsidRPr="00265E4A">
              <w:rPr>
                <w:rStyle w:val="Hyperlink"/>
              </w:rPr>
              <w:t>J.3.3</w:t>
            </w:r>
            <w:r>
              <w:rPr>
                <w:rFonts w:asciiTheme="minorHAnsi" w:eastAsiaTheme="minorEastAsia" w:hAnsiTheme="minorHAnsi"/>
                <w:lang w:eastAsia="en-AU"/>
              </w:rPr>
              <w:tab/>
            </w:r>
            <w:r w:rsidRPr="00265E4A">
              <w:rPr>
                <w:rStyle w:val="Hyperlink"/>
              </w:rPr>
              <w:t>Mathematical explanation</w:t>
            </w:r>
            <w:r>
              <w:rPr>
                <w:webHidden/>
              </w:rPr>
              <w:tab/>
            </w:r>
            <w:r>
              <w:rPr>
                <w:webHidden/>
              </w:rPr>
              <w:fldChar w:fldCharType="begin"/>
            </w:r>
            <w:r>
              <w:rPr>
                <w:webHidden/>
              </w:rPr>
              <w:instrText xml:space="preserve"> PAGEREF _Toc487037215 \h </w:instrText>
            </w:r>
            <w:r>
              <w:rPr>
                <w:webHidden/>
              </w:rPr>
            </w:r>
            <w:r>
              <w:rPr>
                <w:webHidden/>
              </w:rPr>
              <w:fldChar w:fldCharType="separate"/>
            </w:r>
            <w:r>
              <w:rPr>
                <w:webHidden/>
              </w:rPr>
              <w:t>3-342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16" w:history="1">
            <w:r w:rsidRPr="00265E4A">
              <w:rPr>
                <w:rStyle w:val="Hyperlink"/>
                <w14:scene3d>
                  <w14:camera w14:prst="orthographicFront"/>
                  <w14:lightRig w14:rig="threePt" w14:dir="t">
                    <w14:rot w14:lat="0" w14:lon="0" w14:rev="0"/>
                  </w14:lightRig>
                </w14:scene3d>
              </w:rPr>
              <w:t>J.4</w:t>
            </w:r>
            <w:r>
              <w:rPr>
                <w:rFonts w:asciiTheme="minorHAnsi" w:eastAsiaTheme="minorEastAsia" w:hAnsiTheme="minorHAnsi"/>
                <w:b w:val="0"/>
                <w:color w:val="auto"/>
                <w:sz w:val="22"/>
                <w:lang w:eastAsia="en-AU"/>
              </w:rPr>
              <w:tab/>
            </w:r>
            <w:r w:rsidRPr="00265E4A">
              <w:rPr>
                <w:rStyle w:val="Hyperlink"/>
              </w:rPr>
              <w:t>A full transition satisfies the ARORO</w:t>
            </w:r>
            <w:r>
              <w:rPr>
                <w:webHidden/>
              </w:rPr>
              <w:tab/>
            </w:r>
            <w:r>
              <w:rPr>
                <w:webHidden/>
              </w:rPr>
              <w:fldChar w:fldCharType="begin"/>
            </w:r>
            <w:r>
              <w:rPr>
                <w:webHidden/>
              </w:rPr>
              <w:instrText xml:space="preserve"> PAGEREF _Toc487037216 \h </w:instrText>
            </w:r>
            <w:r>
              <w:rPr>
                <w:webHidden/>
              </w:rPr>
            </w:r>
            <w:r>
              <w:rPr>
                <w:webHidden/>
              </w:rPr>
              <w:fldChar w:fldCharType="separate"/>
            </w:r>
            <w:r>
              <w:rPr>
                <w:webHidden/>
              </w:rPr>
              <w:t>3-351</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17" w:history="1">
            <w:r w:rsidRPr="00265E4A">
              <w:rPr>
                <w:rStyle w:val="Hyperlink"/>
                <w14:scene3d>
                  <w14:camera w14:prst="orthographicFront"/>
                  <w14:lightRig w14:rig="threePt" w14:dir="t">
                    <w14:rot w14:lat="0" w14:lon="0" w14:rev="0"/>
                  </w14:lightRig>
                </w14:scene3d>
              </w:rPr>
              <w:t>J.5</w:t>
            </w:r>
            <w:r>
              <w:rPr>
                <w:rFonts w:asciiTheme="minorHAnsi" w:eastAsiaTheme="minorEastAsia" w:hAnsiTheme="minorHAnsi"/>
                <w:b w:val="0"/>
                <w:color w:val="auto"/>
                <w:sz w:val="22"/>
                <w:lang w:eastAsia="en-AU"/>
              </w:rPr>
              <w:tab/>
            </w:r>
            <w:r w:rsidRPr="00265E4A">
              <w:rPr>
                <w:rStyle w:val="Hyperlink"/>
              </w:rPr>
              <w:t>An immediate (or hybrid) transition will not satisfy the ARORO</w:t>
            </w:r>
            <w:r>
              <w:rPr>
                <w:webHidden/>
              </w:rPr>
              <w:tab/>
            </w:r>
            <w:r>
              <w:rPr>
                <w:webHidden/>
              </w:rPr>
              <w:fldChar w:fldCharType="begin"/>
            </w:r>
            <w:r>
              <w:rPr>
                <w:webHidden/>
              </w:rPr>
              <w:instrText xml:space="preserve"> PAGEREF _Toc487037217 \h </w:instrText>
            </w:r>
            <w:r>
              <w:rPr>
                <w:webHidden/>
              </w:rPr>
            </w:r>
            <w:r>
              <w:rPr>
                <w:webHidden/>
              </w:rPr>
              <w:fldChar w:fldCharType="separate"/>
            </w:r>
            <w:r>
              <w:rPr>
                <w:webHidden/>
              </w:rPr>
              <w:t>3-352</w:t>
            </w:r>
            <w:r>
              <w:rPr>
                <w:webHidden/>
              </w:rPr>
              <w:fldChar w:fldCharType="end"/>
            </w:r>
          </w:hyperlink>
        </w:p>
        <w:p w:rsidR="002C24D6" w:rsidRDefault="002C24D6">
          <w:pPr>
            <w:pStyle w:val="TOC3"/>
            <w:rPr>
              <w:rFonts w:asciiTheme="minorHAnsi" w:eastAsiaTheme="minorEastAsia" w:hAnsiTheme="minorHAnsi"/>
              <w:lang w:eastAsia="en-AU"/>
            </w:rPr>
          </w:pPr>
          <w:hyperlink w:anchor="_Toc487037218" w:history="1">
            <w:r w:rsidRPr="00265E4A">
              <w:rPr>
                <w:rStyle w:val="Hyperlink"/>
              </w:rPr>
              <w:t>J.5.1</w:t>
            </w:r>
            <w:r>
              <w:rPr>
                <w:rFonts w:asciiTheme="minorHAnsi" w:eastAsiaTheme="minorEastAsia" w:hAnsiTheme="minorHAnsi"/>
                <w:lang w:eastAsia="en-AU"/>
              </w:rPr>
              <w:tab/>
            </w:r>
            <w:r w:rsidRPr="00265E4A">
              <w:rPr>
                <w:rStyle w:val="Hyperlink"/>
              </w:rPr>
              <w:t>Mathematical explanation</w:t>
            </w:r>
            <w:r>
              <w:rPr>
                <w:webHidden/>
              </w:rPr>
              <w:tab/>
            </w:r>
            <w:r>
              <w:rPr>
                <w:webHidden/>
              </w:rPr>
              <w:fldChar w:fldCharType="begin"/>
            </w:r>
            <w:r>
              <w:rPr>
                <w:webHidden/>
              </w:rPr>
              <w:instrText xml:space="preserve"> PAGEREF _Toc487037218 \h </w:instrText>
            </w:r>
            <w:r>
              <w:rPr>
                <w:webHidden/>
              </w:rPr>
            </w:r>
            <w:r>
              <w:rPr>
                <w:webHidden/>
              </w:rPr>
              <w:fldChar w:fldCharType="separate"/>
            </w:r>
            <w:r>
              <w:rPr>
                <w:webHidden/>
              </w:rPr>
              <w:t>3-353</w:t>
            </w:r>
            <w:r>
              <w:rPr>
                <w:webHidden/>
              </w:rPr>
              <w:fldChar w:fldCharType="end"/>
            </w:r>
          </w:hyperlink>
        </w:p>
        <w:p w:rsidR="002C24D6" w:rsidRDefault="002C24D6">
          <w:pPr>
            <w:pStyle w:val="TOC3"/>
            <w:rPr>
              <w:rFonts w:asciiTheme="minorHAnsi" w:eastAsiaTheme="minorEastAsia" w:hAnsiTheme="minorHAnsi"/>
              <w:lang w:eastAsia="en-AU"/>
            </w:rPr>
          </w:pPr>
          <w:hyperlink w:anchor="_Toc487037219" w:history="1">
            <w:r w:rsidRPr="00265E4A">
              <w:rPr>
                <w:rStyle w:val="Hyperlink"/>
              </w:rPr>
              <w:t>J.5.2</w:t>
            </w:r>
            <w:r>
              <w:rPr>
                <w:rFonts w:asciiTheme="minorHAnsi" w:eastAsiaTheme="minorEastAsia" w:hAnsiTheme="minorHAnsi"/>
                <w:lang w:eastAsia="en-AU"/>
              </w:rPr>
              <w:tab/>
            </w:r>
            <w:r w:rsidRPr="00265E4A">
              <w:rPr>
                <w:rStyle w:val="Hyperlink"/>
              </w:rPr>
              <w:t>Initial proposal of APTPPL</w:t>
            </w:r>
            <w:r>
              <w:rPr>
                <w:webHidden/>
              </w:rPr>
              <w:tab/>
            </w:r>
            <w:r>
              <w:rPr>
                <w:webHidden/>
              </w:rPr>
              <w:fldChar w:fldCharType="begin"/>
            </w:r>
            <w:r>
              <w:rPr>
                <w:webHidden/>
              </w:rPr>
              <w:instrText xml:space="preserve"> PAGEREF _Toc487037219 \h </w:instrText>
            </w:r>
            <w:r>
              <w:rPr>
                <w:webHidden/>
              </w:rPr>
            </w:r>
            <w:r>
              <w:rPr>
                <w:webHidden/>
              </w:rPr>
              <w:fldChar w:fldCharType="separate"/>
            </w:r>
            <w:r>
              <w:rPr>
                <w:webHidden/>
              </w:rPr>
              <w:t>3-357</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220" w:history="1">
            <w:r w:rsidRPr="00265E4A">
              <w:rPr>
                <w:rStyle w:val="Hyperlink"/>
              </w:rPr>
              <w:t>K</w:t>
            </w:r>
            <w:r>
              <w:rPr>
                <w:rFonts w:asciiTheme="minorHAnsi" w:eastAsiaTheme="minorEastAsia" w:hAnsiTheme="minorHAnsi"/>
                <w:b w:val="0"/>
                <w:color w:val="auto"/>
                <w:sz w:val="22"/>
                <w:lang w:val="en-AU" w:eastAsia="en-AU"/>
              </w:rPr>
              <w:tab/>
            </w:r>
            <w:r w:rsidRPr="00265E4A">
              <w:rPr>
                <w:rStyle w:val="Hyperlink"/>
              </w:rPr>
              <w:t>Return on debt implementation</w:t>
            </w:r>
            <w:r>
              <w:rPr>
                <w:webHidden/>
              </w:rPr>
              <w:tab/>
            </w:r>
            <w:r>
              <w:rPr>
                <w:webHidden/>
              </w:rPr>
              <w:fldChar w:fldCharType="begin"/>
            </w:r>
            <w:r>
              <w:rPr>
                <w:webHidden/>
              </w:rPr>
              <w:instrText xml:space="preserve"> PAGEREF _Toc487037220 \h </w:instrText>
            </w:r>
            <w:r>
              <w:rPr>
                <w:webHidden/>
              </w:rPr>
            </w:r>
            <w:r>
              <w:rPr>
                <w:webHidden/>
              </w:rPr>
              <w:fldChar w:fldCharType="separate"/>
            </w:r>
            <w:r>
              <w:rPr>
                <w:webHidden/>
              </w:rPr>
              <w:t>3-372</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21" w:history="1">
            <w:r w:rsidRPr="00265E4A">
              <w:rPr>
                <w:rStyle w:val="Hyperlink"/>
                <w14:scene3d>
                  <w14:camera w14:prst="orthographicFront"/>
                  <w14:lightRig w14:rig="threePt" w14:dir="t">
                    <w14:rot w14:lat="0" w14:lon="0" w14:rev="0"/>
                  </w14:lightRig>
                </w14:scene3d>
              </w:rPr>
              <w:t>K.1</w:t>
            </w:r>
            <w:r>
              <w:rPr>
                <w:rFonts w:asciiTheme="minorHAnsi" w:eastAsiaTheme="minorEastAsia" w:hAnsiTheme="minorHAnsi"/>
                <w:b w:val="0"/>
                <w:color w:val="auto"/>
                <w:sz w:val="22"/>
                <w:lang w:eastAsia="en-AU"/>
              </w:rPr>
              <w:tab/>
            </w:r>
            <w:r w:rsidRPr="00265E4A">
              <w:rPr>
                <w:rStyle w:val="Hyperlink"/>
              </w:rPr>
              <w:t>Criticisms of our current approach</w:t>
            </w:r>
            <w:r>
              <w:rPr>
                <w:webHidden/>
              </w:rPr>
              <w:tab/>
            </w:r>
            <w:r>
              <w:rPr>
                <w:webHidden/>
              </w:rPr>
              <w:fldChar w:fldCharType="begin"/>
            </w:r>
            <w:r>
              <w:rPr>
                <w:webHidden/>
              </w:rPr>
              <w:instrText xml:space="preserve"> PAGEREF _Toc487037221 \h </w:instrText>
            </w:r>
            <w:r>
              <w:rPr>
                <w:webHidden/>
              </w:rPr>
            </w:r>
            <w:r>
              <w:rPr>
                <w:webHidden/>
              </w:rPr>
              <w:fldChar w:fldCharType="separate"/>
            </w:r>
            <w:r>
              <w:rPr>
                <w:webHidden/>
              </w:rPr>
              <w:t>3-372</w:t>
            </w:r>
            <w:r>
              <w:rPr>
                <w:webHidden/>
              </w:rPr>
              <w:fldChar w:fldCharType="end"/>
            </w:r>
          </w:hyperlink>
        </w:p>
        <w:p w:rsidR="002C24D6" w:rsidRDefault="002C24D6">
          <w:pPr>
            <w:pStyle w:val="TOC3"/>
            <w:rPr>
              <w:rFonts w:asciiTheme="minorHAnsi" w:eastAsiaTheme="minorEastAsia" w:hAnsiTheme="minorHAnsi"/>
              <w:lang w:eastAsia="en-AU"/>
            </w:rPr>
          </w:pPr>
          <w:hyperlink w:anchor="_Toc487037222" w:history="1">
            <w:r w:rsidRPr="00265E4A">
              <w:rPr>
                <w:rStyle w:val="Hyperlink"/>
              </w:rPr>
              <w:t>K.1.1</w:t>
            </w:r>
            <w:r>
              <w:rPr>
                <w:rFonts w:asciiTheme="minorHAnsi" w:eastAsiaTheme="minorEastAsia" w:hAnsiTheme="minorHAnsi"/>
                <w:lang w:eastAsia="en-AU"/>
              </w:rPr>
              <w:tab/>
            </w:r>
            <w:r w:rsidRPr="00265E4A">
              <w:rPr>
                <w:rStyle w:val="Hyperlink"/>
              </w:rPr>
              <w:t>Using appropriate criteria</w:t>
            </w:r>
            <w:r>
              <w:rPr>
                <w:webHidden/>
              </w:rPr>
              <w:tab/>
            </w:r>
            <w:r>
              <w:rPr>
                <w:webHidden/>
              </w:rPr>
              <w:fldChar w:fldCharType="begin"/>
            </w:r>
            <w:r>
              <w:rPr>
                <w:webHidden/>
              </w:rPr>
              <w:instrText xml:space="preserve"> PAGEREF _Toc487037222 \h </w:instrText>
            </w:r>
            <w:r>
              <w:rPr>
                <w:webHidden/>
              </w:rPr>
            </w:r>
            <w:r>
              <w:rPr>
                <w:webHidden/>
              </w:rPr>
              <w:fldChar w:fldCharType="separate"/>
            </w:r>
            <w:r>
              <w:rPr>
                <w:webHidden/>
              </w:rPr>
              <w:t>3-373</w:t>
            </w:r>
            <w:r>
              <w:rPr>
                <w:webHidden/>
              </w:rPr>
              <w:fldChar w:fldCharType="end"/>
            </w:r>
          </w:hyperlink>
        </w:p>
        <w:p w:rsidR="002C24D6" w:rsidRDefault="002C24D6">
          <w:pPr>
            <w:pStyle w:val="TOC3"/>
            <w:rPr>
              <w:rFonts w:asciiTheme="minorHAnsi" w:eastAsiaTheme="minorEastAsia" w:hAnsiTheme="minorHAnsi"/>
              <w:lang w:eastAsia="en-AU"/>
            </w:rPr>
          </w:pPr>
          <w:hyperlink w:anchor="_Toc487037223" w:history="1">
            <w:r w:rsidRPr="00265E4A">
              <w:rPr>
                <w:rStyle w:val="Hyperlink"/>
              </w:rPr>
              <w:t>K.1.2</w:t>
            </w:r>
            <w:r>
              <w:rPr>
                <w:rFonts w:asciiTheme="minorHAnsi" w:eastAsiaTheme="minorEastAsia" w:hAnsiTheme="minorHAnsi"/>
                <w:lang w:eastAsia="en-AU"/>
              </w:rPr>
              <w:tab/>
            </w:r>
            <w:r w:rsidRPr="00265E4A">
              <w:rPr>
                <w:rStyle w:val="Hyperlink"/>
              </w:rPr>
              <w:t>Issues with the RBA curve</w:t>
            </w:r>
            <w:r>
              <w:rPr>
                <w:webHidden/>
              </w:rPr>
              <w:tab/>
            </w:r>
            <w:r>
              <w:rPr>
                <w:webHidden/>
              </w:rPr>
              <w:fldChar w:fldCharType="begin"/>
            </w:r>
            <w:r>
              <w:rPr>
                <w:webHidden/>
              </w:rPr>
              <w:instrText xml:space="preserve"> PAGEREF _Toc487037223 \h </w:instrText>
            </w:r>
            <w:r>
              <w:rPr>
                <w:webHidden/>
              </w:rPr>
            </w:r>
            <w:r>
              <w:rPr>
                <w:webHidden/>
              </w:rPr>
              <w:fldChar w:fldCharType="separate"/>
            </w:r>
            <w:r>
              <w:rPr>
                <w:webHidden/>
              </w:rPr>
              <w:t>3-374</w:t>
            </w:r>
            <w:r>
              <w:rPr>
                <w:webHidden/>
              </w:rPr>
              <w:fldChar w:fldCharType="end"/>
            </w:r>
          </w:hyperlink>
        </w:p>
        <w:p w:rsidR="002C24D6" w:rsidRDefault="002C24D6">
          <w:pPr>
            <w:pStyle w:val="TOC3"/>
            <w:rPr>
              <w:rFonts w:asciiTheme="minorHAnsi" w:eastAsiaTheme="minorEastAsia" w:hAnsiTheme="minorHAnsi"/>
              <w:lang w:eastAsia="en-AU"/>
            </w:rPr>
          </w:pPr>
          <w:hyperlink w:anchor="_Toc487037224" w:history="1">
            <w:r w:rsidRPr="00265E4A">
              <w:rPr>
                <w:rStyle w:val="Hyperlink"/>
                <w:i/>
              </w:rPr>
              <w:t>K.1.3</w:t>
            </w:r>
            <w:r>
              <w:rPr>
                <w:rFonts w:asciiTheme="minorHAnsi" w:eastAsiaTheme="minorEastAsia" w:hAnsiTheme="minorHAnsi"/>
                <w:lang w:eastAsia="en-AU"/>
              </w:rPr>
              <w:tab/>
            </w:r>
            <w:r w:rsidRPr="00265E4A">
              <w:rPr>
                <w:rStyle w:val="Hyperlink"/>
                <w:i/>
              </w:rPr>
              <w:t>CEG's analysis of sample size</w:t>
            </w:r>
            <w:r>
              <w:rPr>
                <w:webHidden/>
              </w:rPr>
              <w:tab/>
            </w:r>
            <w:r>
              <w:rPr>
                <w:webHidden/>
              </w:rPr>
              <w:fldChar w:fldCharType="begin"/>
            </w:r>
            <w:r>
              <w:rPr>
                <w:webHidden/>
              </w:rPr>
              <w:instrText xml:space="preserve"> PAGEREF _Toc487037224 \h </w:instrText>
            </w:r>
            <w:r>
              <w:rPr>
                <w:webHidden/>
              </w:rPr>
            </w:r>
            <w:r>
              <w:rPr>
                <w:webHidden/>
              </w:rPr>
              <w:fldChar w:fldCharType="separate"/>
            </w:r>
            <w:r>
              <w:rPr>
                <w:webHidden/>
              </w:rPr>
              <w:t>3-379</w:t>
            </w:r>
            <w:r>
              <w:rPr>
                <w:webHidden/>
              </w:rPr>
              <w:fldChar w:fldCharType="end"/>
            </w:r>
          </w:hyperlink>
        </w:p>
        <w:p w:rsidR="002C24D6" w:rsidRDefault="002C24D6">
          <w:pPr>
            <w:pStyle w:val="TOC3"/>
            <w:rPr>
              <w:rFonts w:asciiTheme="minorHAnsi" w:eastAsiaTheme="minorEastAsia" w:hAnsiTheme="minorHAnsi"/>
              <w:lang w:eastAsia="en-AU"/>
            </w:rPr>
          </w:pPr>
          <w:hyperlink w:anchor="_Toc487037225" w:history="1">
            <w:r w:rsidRPr="00265E4A">
              <w:rPr>
                <w:rStyle w:val="Hyperlink"/>
              </w:rPr>
              <w:t>K.1.4</w:t>
            </w:r>
            <w:r>
              <w:rPr>
                <w:rFonts w:asciiTheme="minorHAnsi" w:eastAsiaTheme="minorEastAsia" w:hAnsiTheme="minorHAnsi"/>
                <w:lang w:eastAsia="en-AU"/>
              </w:rPr>
              <w:tab/>
            </w:r>
            <w:r w:rsidRPr="00265E4A">
              <w:rPr>
                <w:rStyle w:val="Hyperlink"/>
              </w:rPr>
              <w:t>Response of BVAL curve to Asciano, Mirvac and Jemena bonds</w:t>
            </w:r>
            <w:r>
              <w:rPr>
                <w:webHidden/>
              </w:rPr>
              <w:tab/>
            </w:r>
            <w:r>
              <w:rPr>
                <w:webHidden/>
              </w:rPr>
              <w:fldChar w:fldCharType="begin"/>
            </w:r>
            <w:r>
              <w:rPr>
                <w:webHidden/>
              </w:rPr>
              <w:instrText xml:space="preserve"> PAGEREF _Toc487037225 \h </w:instrText>
            </w:r>
            <w:r>
              <w:rPr>
                <w:webHidden/>
              </w:rPr>
            </w:r>
            <w:r>
              <w:rPr>
                <w:webHidden/>
              </w:rPr>
              <w:fldChar w:fldCharType="separate"/>
            </w:r>
            <w:r>
              <w:rPr>
                <w:webHidden/>
              </w:rPr>
              <w:t>3-379</w:t>
            </w:r>
            <w:r>
              <w:rPr>
                <w:webHidden/>
              </w:rPr>
              <w:fldChar w:fldCharType="end"/>
            </w:r>
          </w:hyperlink>
        </w:p>
        <w:p w:rsidR="002C24D6" w:rsidRDefault="002C24D6">
          <w:pPr>
            <w:pStyle w:val="TOC3"/>
            <w:rPr>
              <w:rFonts w:asciiTheme="minorHAnsi" w:eastAsiaTheme="minorEastAsia" w:hAnsiTheme="minorHAnsi"/>
              <w:lang w:eastAsia="en-AU"/>
            </w:rPr>
          </w:pPr>
          <w:hyperlink w:anchor="_Toc487037226" w:history="1">
            <w:r w:rsidRPr="00265E4A">
              <w:rPr>
                <w:rStyle w:val="Hyperlink"/>
              </w:rPr>
              <w:t>K.1.5</w:t>
            </w:r>
            <w:r>
              <w:rPr>
                <w:rFonts w:asciiTheme="minorHAnsi" w:eastAsiaTheme="minorEastAsia" w:hAnsiTheme="minorHAnsi"/>
                <w:lang w:eastAsia="en-AU"/>
              </w:rPr>
              <w:tab/>
            </w:r>
            <w:r w:rsidRPr="00265E4A">
              <w:rPr>
                <w:rStyle w:val="Hyperlink"/>
              </w:rPr>
              <w:t>BVAL and our overall approach still likely to be conservative</w:t>
            </w:r>
            <w:r>
              <w:rPr>
                <w:webHidden/>
              </w:rPr>
              <w:tab/>
            </w:r>
            <w:r>
              <w:rPr>
                <w:webHidden/>
              </w:rPr>
              <w:fldChar w:fldCharType="begin"/>
            </w:r>
            <w:r>
              <w:rPr>
                <w:webHidden/>
              </w:rPr>
              <w:instrText xml:space="preserve"> PAGEREF _Toc487037226 \h </w:instrText>
            </w:r>
            <w:r>
              <w:rPr>
                <w:webHidden/>
              </w:rPr>
            </w:r>
            <w:r>
              <w:rPr>
                <w:webHidden/>
              </w:rPr>
              <w:fldChar w:fldCharType="separate"/>
            </w:r>
            <w:r>
              <w:rPr>
                <w:webHidden/>
              </w:rPr>
              <w:t>3-383</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27" w:history="1">
            <w:r w:rsidRPr="00265E4A">
              <w:rPr>
                <w:rStyle w:val="Hyperlink"/>
                <w14:scene3d>
                  <w14:camera w14:prst="orthographicFront"/>
                  <w14:lightRig w14:rig="threePt" w14:dir="t">
                    <w14:rot w14:lat="0" w14:lon="0" w14:rev="0"/>
                  </w14:lightRig>
                </w14:scene3d>
              </w:rPr>
              <w:t>K.2</w:t>
            </w:r>
            <w:r>
              <w:rPr>
                <w:rFonts w:asciiTheme="minorHAnsi" w:eastAsiaTheme="minorEastAsia" w:hAnsiTheme="minorHAnsi"/>
                <w:b w:val="0"/>
                <w:color w:val="auto"/>
                <w:sz w:val="22"/>
                <w:lang w:eastAsia="en-AU"/>
              </w:rPr>
              <w:tab/>
            </w:r>
            <w:r w:rsidRPr="00265E4A">
              <w:rPr>
                <w:rStyle w:val="Hyperlink"/>
              </w:rPr>
              <w:t>The Thomson Reuters curve</w:t>
            </w:r>
            <w:r>
              <w:rPr>
                <w:webHidden/>
              </w:rPr>
              <w:tab/>
            </w:r>
            <w:r>
              <w:rPr>
                <w:webHidden/>
              </w:rPr>
              <w:fldChar w:fldCharType="begin"/>
            </w:r>
            <w:r>
              <w:rPr>
                <w:webHidden/>
              </w:rPr>
              <w:instrText xml:space="preserve"> PAGEREF _Toc487037227 \h </w:instrText>
            </w:r>
            <w:r>
              <w:rPr>
                <w:webHidden/>
              </w:rPr>
            </w:r>
            <w:r>
              <w:rPr>
                <w:webHidden/>
              </w:rPr>
              <w:fldChar w:fldCharType="separate"/>
            </w:r>
            <w:r>
              <w:rPr>
                <w:webHidden/>
              </w:rPr>
              <w:t>3-383</w:t>
            </w:r>
            <w:r>
              <w:rPr>
                <w:webHidden/>
              </w:rPr>
              <w:fldChar w:fldCharType="end"/>
            </w:r>
          </w:hyperlink>
        </w:p>
        <w:p w:rsidR="002C24D6" w:rsidRDefault="002C24D6">
          <w:pPr>
            <w:pStyle w:val="TOC3"/>
            <w:rPr>
              <w:rFonts w:asciiTheme="minorHAnsi" w:eastAsiaTheme="minorEastAsia" w:hAnsiTheme="minorHAnsi"/>
              <w:lang w:eastAsia="en-AU"/>
            </w:rPr>
          </w:pPr>
          <w:hyperlink w:anchor="_Toc487037228" w:history="1">
            <w:r w:rsidRPr="00265E4A">
              <w:rPr>
                <w:rStyle w:val="Hyperlink"/>
              </w:rPr>
              <w:t>K.2.1</w:t>
            </w:r>
            <w:r>
              <w:rPr>
                <w:rFonts w:asciiTheme="minorHAnsi" w:eastAsiaTheme="minorEastAsia" w:hAnsiTheme="minorHAnsi"/>
                <w:lang w:eastAsia="en-AU"/>
              </w:rPr>
              <w:tab/>
            </w:r>
            <w:r w:rsidRPr="00265E4A">
              <w:rPr>
                <w:rStyle w:val="Hyperlink"/>
              </w:rPr>
              <w:t>Implementation concerns</w:t>
            </w:r>
            <w:r>
              <w:rPr>
                <w:webHidden/>
              </w:rPr>
              <w:tab/>
            </w:r>
            <w:r>
              <w:rPr>
                <w:webHidden/>
              </w:rPr>
              <w:fldChar w:fldCharType="begin"/>
            </w:r>
            <w:r>
              <w:rPr>
                <w:webHidden/>
              </w:rPr>
              <w:instrText xml:space="preserve"> PAGEREF _Toc487037228 \h </w:instrText>
            </w:r>
            <w:r>
              <w:rPr>
                <w:webHidden/>
              </w:rPr>
            </w:r>
            <w:r>
              <w:rPr>
                <w:webHidden/>
              </w:rPr>
              <w:fldChar w:fldCharType="separate"/>
            </w:r>
            <w:r>
              <w:rPr>
                <w:webHidden/>
              </w:rPr>
              <w:t>3-384</w:t>
            </w:r>
            <w:r>
              <w:rPr>
                <w:webHidden/>
              </w:rPr>
              <w:fldChar w:fldCharType="end"/>
            </w:r>
          </w:hyperlink>
        </w:p>
        <w:p w:rsidR="002C24D6" w:rsidRDefault="002C24D6">
          <w:pPr>
            <w:pStyle w:val="TOC3"/>
            <w:rPr>
              <w:rFonts w:asciiTheme="minorHAnsi" w:eastAsiaTheme="minorEastAsia" w:hAnsiTheme="minorHAnsi"/>
              <w:lang w:eastAsia="en-AU"/>
            </w:rPr>
          </w:pPr>
          <w:hyperlink w:anchor="_Toc487037229" w:history="1">
            <w:r w:rsidRPr="00265E4A">
              <w:rPr>
                <w:rStyle w:val="Hyperlink"/>
              </w:rPr>
              <w:t>K.2.2</w:t>
            </w:r>
            <w:r>
              <w:rPr>
                <w:rFonts w:asciiTheme="minorHAnsi" w:eastAsiaTheme="minorEastAsia" w:hAnsiTheme="minorHAnsi"/>
                <w:lang w:eastAsia="en-AU"/>
              </w:rPr>
              <w:tab/>
            </w:r>
            <w:r w:rsidRPr="00265E4A">
              <w:rPr>
                <w:rStyle w:val="Hyperlink"/>
              </w:rPr>
              <w:t>Immaterial in simplest case</w:t>
            </w:r>
            <w:r>
              <w:rPr>
                <w:webHidden/>
              </w:rPr>
              <w:tab/>
            </w:r>
            <w:r>
              <w:rPr>
                <w:webHidden/>
              </w:rPr>
              <w:fldChar w:fldCharType="begin"/>
            </w:r>
            <w:r>
              <w:rPr>
                <w:webHidden/>
              </w:rPr>
              <w:instrText xml:space="preserve"> PAGEREF _Toc487037229 \h </w:instrText>
            </w:r>
            <w:r>
              <w:rPr>
                <w:webHidden/>
              </w:rPr>
            </w:r>
            <w:r>
              <w:rPr>
                <w:webHidden/>
              </w:rPr>
              <w:fldChar w:fldCharType="separate"/>
            </w:r>
            <w:r>
              <w:rPr>
                <w:webHidden/>
              </w:rPr>
              <w:t>3-387</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30" w:history="1">
            <w:r w:rsidRPr="00265E4A">
              <w:rPr>
                <w:rStyle w:val="Hyperlink"/>
                <w14:scene3d>
                  <w14:camera w14:prst="orthographicFront"/>
                  <w14:lightRig w14:rig="threePt" w14:dir="t">
                    <w14:rot w14:lat="0" w14:lon="0" w14:rev="0"/>
                  </w14:lightRig>
                </w14:scene3d>
              </w:rPr>
              <w:t>K.3</w:t>
            </w:r>
            <w:r>
              <w:rPr>
                <w:rFonts w:asciiTheme="minorHAnsi" w:eastAsiaTheme="minorEastAsia" w:hAnsiTheme="minorHAnsi"/>
                <w:b w:val="0"/>
                <w:color w:val="auto"/>
                <w:sz w:val="22"/>
                <w:lang w:eastAsia="en-AU"/>
              </w:rPr>
              <w:tab/>
            </w:r>
            <w:r w:rsidRPr="00265E4A">
              <w:rPr>
                <w:rStyle w:val="Hyperlink"/>
              </w:rPr>
              <w:t>Other issues</w:t>
            </w:r>
            <w:r>
              <w:rPr>
                <w:webHidden/>
              </w:rPr>
              <w:tab/>
            </w:r>
            <w:r>
              <w:rPr>
                <w:webHidden/>
              </w:rPr>
              <w:fldChar w:fldCharType="begin"/>
            </w:r>
            <w:r>
              <w:rPr>
                <w:webHidden/>
              </w:rPr>
              <w:instrText xml:space="preserve"> PAGEREF _Toc487037230 \h </w:instrText>
            </w:r>
            <w:r>
              <w:rPr>
                <w:webHidden/>
              </w:rPr>
            </w:r>
            <w:r>
              <w:rPr>
                <w:webHidden/>
              </w:rPr>
              <w:fldChar w:fldCharType="separate"/>
            </w:r>
            <w:r>
              <w:rPr>
                <w:webHidden/>
              </w:rPr>
              <w:t>3-388</w:t>
            </w:r>
            <w:r>
              <w:rPr>
                <w:webHidden/>
              </w:rPr>
              <w:fldChar w:fldCharType="end"/>
            </w:r>
          </w:hyperlink>
        </w:p>
        <w:p w:rsidR="002C24D6" w:rsidRDefault="002C24D6">
          <w:pPr>
            <w:pStyle w:val="TOC3"/>
            <w:rPr>
              <w:rFonts w:asciiTheme="minorHAnsi" w:eastAsiaTheme="minorEastAsia" w:hAnsiTheme="minorHAnsi"/>
              <w:lang w:eastAsia="en-AU"/>
            </w:rPr>
          </w:pPr>
          <w:hyperlink w:anchor="_Toc487037231" w:history="1">
            <w:r w:rsidRPr="00265E4A">
              <w:rPr>
                <w:rStyle w:val="Hyperlink"/>
              </w:rPr>
              <w:t>K.3.1</w:t>
            </w:r>
            <w:r>
              <w:rPr>
                <w:rFonts w:asciiTheme="minorHAnsi" w:eastAsiaTheme="minorEastAsia" w:hAnsiTheme="minorHAnsi"/>
                <w:lang w:eastAsia="en-AU"/>
              </w:rPr>
              <w:tab/>
            </w:r>
            <w:r w:rsidRPr="00265E4A">
              <w:rPr>
                <w:rStyle w:val="Hyperlink"/>
              </w:rPr>
              <w:t>Extrapolation method</w:t>
            </w:r>
            <w:r>
              <w:rPr>
                <w:webHidden/>
              </w:rPr>
              <w:tab/>
            </w:r>
            <w:r>
              <w:rPr>
                <w:webHidden/>
              </w:rPr>
              <w:fldChar w:fldCharType="begin"/>
            </w:r>
            <w:r>
              <w:rPr>
                <w:webHidden/>
              </w:rPr>
              <w:instrText xml:space="preserve"> PAGEREF _Toc487037231 \h </w:instrText>
            </w:r>
            <w:r>
              <w:rPr>
                <w:webHidden/>
              </w:rPr>
            </w:r>
            <w:r>
              <w:rPr>
                <w:webHidden/>
              </w:rPr>
              <w:fldChar w:fldCharType="separate"/>
            </w:r>
            <w:r>
              <w:rPr>
                <w:webHidden/>
              </w:rPr>
              <w:t>3-388</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32" w:history="1">
            <w:r w:rsidRPr="00265E4A">
              <w:rPr>
                <w:rStyle w:val="Hyperlink"/>
                <w14:scene3d>
                  <w14:camera w14:prst="orthographicFront"/>
                  <w14:lightRig w14:rig="threePt" w14:dir="t">
                    <w14:rot w14:lat="0" w14:lon="0" w14:rev="0"/>
                  </w14:lightRig>
                </w14:scene3d>
              </w:rPr>
              <w:t>K.4</w:t>
            </w:r>
            <w:r>
              <w:rPr>
                <w:rFonts w:asciiTheme="minorHAnsi" w:eastAsiaTheme="minorEastAsia" w:hAnsiTheme="minorHAnsi"/>
                <w:b w:val="0"/>
                <w:color w:val="auto"/>
                <w:sz w:val="22"/>
                <w:lang w:eastAsia="en-AU"/>
              </w:rPr>
              <w:tab/>
            </w:r>
            <w:r w:rsidRPr="00265E4A">
              <w:rPr>
                <w:rStyle w:val="Hyperlink"/>
              </w:rPr>
              <w:t>Credit rating</w:t>
            </w:r>
            <w:r>
              <w:rPr>
                <w:webHidden/>
              </w:rPr>
              <w:tab/>
            </w:r>
            <w:r>
              <w:rPr>
                <w:webHidden/>
              </w:rPr>
              <w:fldChar w:fldCharType="begin"/>
            </w:r>
            <w:r>
              <w:rPr>
                <w:webHidden/>
              </w:rPr>
              <w:instrText xml:space="preserve"> PAGEREF _Toc487037232 \h </w:instrText>
            </w:r>
            <w:r>
              <w:rPr>
                <w:webHidden/>
              </w:rPr>
            </w:r>
            <w:r>
              <w:rPr>
                <w:webHidden/>
              </w:rPr>
              <w:fldChar w:fldCharType="separate"/>
            </w:r>
            <w:r>
              <w:rPr>
                <w:webHidden/>
              </w:rPr>
              <w:t>3-389</w:t>
            </w:r>
            <w:r>
              <w:rPr>
                <w:webHidden/>
              </w:rPr>
              <w:fldChar w:fldCharType="end"/>
            </w:r>
          </w:hyperlink>
        </w:p>
        <w:p w:rsidR="002C24D6" w:rsidRDefault="002C24D6">
          <w:pPr>
            <w:pStyle w:val="TOC3"/>
            <w:rPr>
              <w:rFonts w:asciiTheme="minorHAnsi" w:eastAsiaTheme="minorEastAsia" w:hAnsiTheme="minorHAnsi"/>
              <w:lang w:eastAsia="en-AU"/>
            </w:rPr>
          </w:pPr>
          <w:hyperlink w:anchor="_Toc487037233" w:history="1">
            <w:r w:rsidRPr="00265E4A">
              <w:rPr>
                <w:rStyle w:val="Hyperlink"/>
              </w:rPr>
              <w:t>K.4.1</w:t>
            </w:r>
            <w:r>
              <w:rPr>
                <w:rFonts w:asciiTheme="minorHAnsi" w:eastAsiaTheme="minorEastAsia" w:hAnsiTheme="minorHAnsi"/>
                <w:lang w:eastAsia="en-AU"/>
              </w:rPr>
              <w:tab/>
            </w:r>
            <w:r w:rsidRPr="00265E4A">
              <w:rPr>
                <w:rStyle w:val="Hyperlink"/>
              </w:rPr>
              <w:t>Comparator Set</w:t>
            </w:r>
            <w:r>
              <w:rPr>
                <w:webHidden/>
              </w:rPr>
              <w:tab/>
            </w:r>
            <w:r>
              <w:rPr>
                <w:webHidden/>
              </w:rPr>
              <w:fldChar w:fldCharType="begin"/>
            </w:r>
            <w:r>
              <w:rPr>
                <w:webHidden/>
              </w:rPr>
              <w:instrText xml:space="preserve"> PAGEREF _Toc487037233 \h </w:instrText>
            </w:r>
            <w:r>
              <w:rPr>
                <w:webHidden/>
              </w:rPr>
            </w:r>
            <w:r>
              <w:rPr>
                <w:webHidden/>
              </w:rPr>
              <w:fldChar w:fldCharType="separate"/>
            </w:r>
            <w:r>
              <w:rPr>
                <w:webHidden/>
              </w:rPr>
              <w:t>3-390</w:t>
            </w:r>
            <w:r>
              <w:rPr>
                <w:webHidden/>
              </w:rPr>
              <w:fldChar w:fldCharType="end"/>
            </w:r>
          </w:hyperlink>
        </w:p>
        <w:p w:rsidR="002C24D6" w:rsidRDefault="002C24D6">
          <w:pPr>
            <w:pStyle w:val="TOC3"/>
            <w:rPr>
              <w:rFonts w:asciiTheme="minorHAnsi" w:eastAsiaTheme="minorEastAsia" w:hAnsiTheme="minorHAnsi"/>
              <w:lang w:eastAsia="en-AU"/>
            </w:rPr>
          </w:pPr>
          <w:hyperlink w:anchor="_Toc487037234" w:history="1">
            <w:r w:rsidRPr="00265E4A">
              <w:rPr>
                <w:rStyle w:val="Hyperlink"/>
              </w:rPr>
              <w:t>K.4.2</w:t>
            </w:r>
            <w:r>
              <w:rPr>
                <w:rFonts w:asciiTheme="minorHAnsi" w:eastAsiaTheme="minorEastAsia" w:hAnsiTheme="minorHAnsi"/>
                <w:lang w:eastAsia="en-AU"/>
              </w:rPr>
              <w:tab/>
            </w:r>
            <w:r w:rsidRPr="00265E4A">
              <w:rPr>
                <w:rStyle w:val="Hyperlink"/>
              </w:rPr>
              <w:t>Current Industry Median</w:t>
            </w:r>
            <w:r>
              <w:rPr>
                <w:webHidden/>
              </w:rPr>
              <w:tab/>
            </w:r>
            <w:r>
              <w:rPr>
                <w:webHidden/>
              </w:rPr>
              <w:fldChar w:fldCharType="begin"/>
            </w:r>
            <w:r>
              <w:rPr>
                <w:webHidden/>
              </w:rPr>
              <w:instrText xml:space="preserve"> PAGEREF _Toc487037234 \h </w:instrText>
            </w:r>
            <w:r>
              <w:rPr>
                <w:webHidden/>
              </w:rPr>
            </w:r>
            <w:r>
              <w:rPr>
                <w:webHidden/>
              </w:rPr>
              <w:fldChar w:fldCharType="separate"/>
            </w:r>
            <w:r>
              <w:rPr>
                <w:webHidden/>
              </w:rPr>
              <w:t>3-391</w:t>
            </w:r>
            <w:r>
              <w:rPr>
                <w:webHidden/>
              </w:rPr>
              <w:fldChar w:fldCharType="end"/>
            </w:r>
          </w:hyperlink>
        </w:p>
        <w:p w:rsidR="002C24D6" w:rsidRDefault="002C24D6">
          <w:pPr>
            <w:pStyle w:val="TOC3"/>
            <w:rPr>
              <w:rFonts w:asciiTheme="minorHAnsi" w:eastAsiaTheme="minorEastAsia" w:hAnsiTheme="minorHAnsi"/>
              <w:lang w:eastAsia="en-AU"/>
            </w:rPr>
          </w:pPr>
          <w:hyperlink w:anchor="_Toc487037235" w:history="1">
            <w:r w:rsidRPr="00265E4A">
              <w:rPr>
                <w:rStyle w:val="Hyperlink"/>
              </w:rPr>
              <w:t>K.4.3</w:t>
            </w:r>
            <w:r>
              <w:rPr>
                <w:rFonts w:asciiTheme="minorHAnsi" w:eastAsiaTheme="minorEastAsia" w:hAnsiTheme="minorHAnsi"/>
                <w:lang w:eastAsia="en-AU"/>
              </w:rPr>
              <w:tab/>
            </w:r>
            <w:r w:rsidRPr="00265E4A">
              <w:rPr>
                <w:rStyle w:val="Hyperlink"/>
              </w:rPr>
              <w:t>Equity buffer and historical credit ratings</w:t>
            </w:r>
            <w:r>
              <w:rPr>
                <w:webHidden/>
              </w:rPr>
              <w:tab/>
            </w:r>
            <w:r>
              <w:rPr>
                <w:webHidden/>
              </w:rPr>
              <w:fldChar w:fldCharType="begin"/>
            </w:r>
            <w:r>
              <w:rPr>
                <w:webHidden/>
              </w:rPr>
              <w:instrText xml:space="preserve"> PAGEREF _Toc487037235 \h </w:instrText>
            </w:r>
            <w:r>
              <w:rPr>
                <w:webHidden/>
              </w:rPr>
            </w:r>
            <w:r>
              <w:rPr>
                <w:webHidden/>
              </w:rPr>
              <w:fldChar w:fldCharType="separate"/>
            </w:r>
            <w:r>
              <w:rPr>
                <w:webHidden/>
              </w:rPr>
              <w:t>3-393</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236" w:history="1">
            <w:r w:rsidRPr="00265E4A">
              <w:rPr>
                <w:rStyle w:val="Hyperlink"/>
              </w:rPr>
              <w:t>L</w:t>
            </w:r>
            <w:r>
              <w:rPr>
                <w:rFonts w:asciiTheme="minorHAnsi" w:eastAsiaTheme="minorEastAsia" w:hAnsiTheme="minorHAnsi"/>
                <w:b w:val="0"/>
                <w:color w:val="auto"/>
                <w:sz w:val="22"/>
                <w:lang w:val="en-AU" w:eastAsia="en-AU"/>
              </w:rPr>
              <w:tab/>
            </w:r>
            <w:r w:rsidRPr="00265E4A">
              <w:rPr>
                <w:rStyle w:val="Hyperlink"/>
              </w:rPr>
              <w:t>Annually updating the return on debt</w:t>
            </w:r>
            <w:r>
              <w:rPr>
                <w:webHidden/>
              </w:rPr>
              <w:tab/>
            </w:r>
            <w:r>
              <w:rPr>
                <w:webHidden/>
              </w:rPr>
              <w:fldChar w:fldCharType="begin"/>
            </w:r>
            <w:r>
              <w:rPr>
                <w:webHidden/>
              </w:rPr>
              <w:instrText xml:space="preserve"> PAGEREF _Toc487037236 \h </w:instrText>
            </w:r>
            <w:r>
              <w:rPr>
                <w:webHidden/>
              </w:rPr>
            </w:r>
            <w:r>
              <w:rPr>
                <w:webHidden/>
              </w:rPr>
              <w:fldChar w:fldCharType="separate"/>
            </w:r>
            <w:r>
              <w:rPr>
                <w:webHidden/>
              </w:rPr>
              <w:t>3-394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37" w:history="1">
            <w:r w:rsidRPr="00265E4A">
              <w:rPr>
                <w:rStyle w:val="Hyperlink"/>
                <w14:scene3d>
                  <w14:camera w14:prst="orthographicFront"/>
                  <w14:lightRig w14:rig="threePt" w14:dir="t">
                    <w14:rot w14:lat="0" w14:lon="0" w14:rev="0"/>
                  </w14:lightRig>
                </w14:scene3d>
              </w:rPr>
              <w:t>L.1</w:t>
            </w:r>
            <w:r>
              <w:rPr>
                <w:rFonts w:asciiTheme="minorHAnsi" w:eastAsiaTheme="minorEastAsia" w:hAnsiTheme="minorHAnsi"/>
                <w:b w:val="0"/>
                <w:color w:val="auto"/>
                <w:sz w:val="22"/>
                <w:lang w:eastAsia="en-AU"/>
              </w:rPr>
              <w:tab/>
            </w:r>
            <w:r w:rsidRPr="00265E4A">
              <w:rPr>
                <w:rStyle w:val="Hyperlink"/>
              </w:rPr>
              <w:t>Approach to estimating the return on debt</w:t>
            </w:r>
            <w:r>
              <w:rPr>
                <w:webHidden/>
              </w:rPr>
              <w:tab/>
            </w:r>
            <w:r>
              <w:rPr>
                <w:webHidden/>
              </w:rPr>
              <w:fldChar w:fldCharType="begin"/>
            </w:r>
            <w:r>
              <w:rPr>
                <w:webHidden/>
              </w:rPr>
              <w:instrText xml:space="preserve"> PAGEREF _Toc487037237 \h </w:instrText>
            </w:r>
            <w:r>
              <w:rPr>
                <w:webHidden/>
              </w:rPr>
            </w:r>
            <w:r>
              <w:rPr>
                <w:webHidden/>
              </w:rPr>
              <w:fldChar w:fldCharType="separate"/>
            </w:r>
            <w:r>
              <w:rPr>
                <w:webHidden/>
              </w:rPr>
              <w:t>3-394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38" w:history="1">
            <w:r w:rsidRPr="00265E4A">
              <w:rPr>
                <w:rStyle w:val="Hyperlink"/>
                <w14:scene3d>
                  <w14:camera w14:prst="orthographicFront"/>
                  <w14:lightRig w14:rig="threePt" w14:dir="t">
                    <w14:rot w14:lat="0" w14:lon="0" w14:rev="0"/>
                  </w14:lightRig>
                </w14:scene3d>
              </w:rPr>
              <w:t>L.2</w:t>
            </w:r>
            <w:r>
              <w:rPr>
                <w:rFonts w:asciiTheme="minorHAnsi" w:eastAsiaTheme="minorEastAsia" w:hAnsiTheme="minorHAnsi"/>
                <w:b w:val="0"/>
                <w:color w:val="auto"/>
                <w:sz w:val="22"/>
                <w:lang w:eastAsia="en-AU"/>
              </w:rPr>
              <w:tab/>
            </w:r>
            <w:r w:rsidRPr="00265E4A">
              <w:rPr>
                <w:rStyle w:val="Hyperlink"/>
              </w:rPr>
              <w:t>Implementing the return on debt approach</w:t>
            </w:r>
            <w:r>
              <w:rPr>
                <w:webHidden/>
              </w:rPr>
              <w:tab/>
            </w:r>
            <w:r>
              <w:rPr>
                <w:webHidden/>
              </w:rPr>
              <w:fldChar w:fldCharType="begin"/>
            </w:r>
            <w:r>
              <w:rPr>
                <w:webHidden/>
              </w:rPr>
              <w:instrText xml:space="preserve"> PAGEREF _Toc487037238 \h </w:instrText>
            </w:r>
            <w:r>
              <w:rPr>
                <w:webHidden/>
              </w:rPr>
            </w:r>
            <w:r>
              <w:rPr>
                <w:webHidden/>
              </w:rPr>
              <w:fldChar w:fldCharType="separate"/>
            </w:r>
            <w:r>
              <w:rPr>
                <w:webHidden/>
              </w:rPr>
              <w:t>3-396</w:t>
            </w:r>
            <w:r>
              <w:rPr>
                <w:webHidden/>
              </w:rPr>
              <w:fldChar w:fldCharType="end"/>
            </w:r>
          </w:hyperlink>
        </w:p>
        <w:p w:rsidR="002C24D6" w:rsidRDefault="002C24D6">
          <w:pPr>
            <w:pStyle w:val="TOC3"/>
            <w:rPr>
              <w:rFonts w:asciiTheme="minorHAnsi" w:eastAsiaTheme="minorEastAsia" w:hAnsiTheme="minorHAnsi"/>
              <w:lang w:eastAsia="en-AU"/>
            </w:rPr>
          </w:pPr>
          <w:hyperlink w:anchor="_Toc487037239" w:history="1">
            <w:r w:rsidRPr="00265E4A">
              <w:rPr>
                <w:rStyle w:val="Hyperlink"/>
              </w:rPr>
              <w:t>L.2.1</w:t>
            </w:r>
            <w:r>
              <w:rPr>
                <w:rFonts w:asciiTheme="minorHAnsi" w:eastAsiaTheme="minorEastAsia" w:hAnsiTheme="minorHAnsi"/>
                <w:lang w:eastAsia="en-AU"/>
              </w:rPr>
              <w:tab/>
            </w:r>
            <w:r w:rsidRPr="00265E4A">
              <w:rPr>
                <w:rStyle w:val="Hyperlink"/>
              </w:rPr>
              <w:t>Choice of data series</w:t>
            </w:r>
            <w:r>
              <w:rPr>
                <w:webHidden/>
              </w:rPr>
              <w:tab/>
            </w:r>
            <w:r>
              <w:rPr>
                <w:webHidden/>
              </w:rPr>
              <w:fldChar w:fldCharType="begin"/>
            </w:r>
            <w:r>
              <w:rPr>
                <w:webHidden/>
              </w:rPr>
              <w:instrText xml:space="preserve"> PAGEREF _Toc487037239 \h </w:instrText>
            </w:r>
            <w:r>
              <w:rPr>
                <w:webHidden/>
              </w:rPr>
            </w:r>
            <w:r>
              <w:rPr>
                <w:webHidden/>
              </w:rPr>
              <w:fldChar w:fldCharType="separate"/>
            </w:r>
            <w:r>
              <w:rPr>
                <w:webHidden/>
              </w:rPr>
              <w:t>3-396</w:t>
            </w:r>
            <w:r>
              <w:rPr>
                <w:webHidden/>
              </w:rPr>
              <w:fldChar w:fldCharType="end"/>
            </w:r>
          </w:hyperlink>
        </w:p>
        <w:p w:rsidR="002C24D6" w:rsidRDefault="002C24D6">
          <w:pPr>
            <w:pStyle w:val="TOC3"/>
            <w:rPr>
              <w:rFonts w:asciiTheme="minorHAnsi" w:eastAsiaTheme="minorEastAsia" w:hAnsiTheme="minorHAnsi"/>
              <w:lang w:eastAsia="en-AU"/>
            </w:rPr>
          </w:pPr>
          <w:hyperlink w:anchor="_Toc487037240" w:history="1">
            <w:r w:rsidRPr="00265E4A">
              <w:rPr>
                <w:rStyle w:val="Hyperlink"/>
              </w:rPr>
              <w:t>L.2.2</w:t>
            </w:r>
            <w:r>
              <w:rPr>
                <w:rFonts w:asciiTheme="minorHAnsi" w:eastAsiaTheme="minorEastAsia" w:hAnsiTheme="minorHAnsi"/>
                <w:lang w:eastAsia="en-AU"/>
              </w:rPr>
              <w:tab/>
            </w:r>
            <w:r w:rsidRPr="00265E4A">
              <w:rPr>
                <w:rStyle w:val="Hyperlink"/>
              </w:rPr>
              <w:t>Choice of data series—Extrapolation and interpolation issues</w:t>
            </w:r>
            <w:r>
              <w:rPr>
                <w:webHidden/>
              </w:rPr>
              <w:tab/>
            </w:r>
            <w:r>
              <w:rPr>
                <w:webHidden/>
              </w:rPr>
              <w:fldChar w:fldCharType="begin"/>
            </w:r>
            <w:r>
              <w:rPr>
                <w:webHidden/>
              </w:rPr>
              <w:instrText xml:space="preserve"> PAGEREF _Toc487037240 \h </w:instrText>
            </w:r>
            <w:r>
              <w:rPr>
                <w:webHidden/>
              </w:rPr>
            </w:r>
            <w:r>
              <w:rPr>
                <w:webHidden/>
              </w:rPr>
              <w:fldChar w:fldCharType="separate"/>
            </w:r>
            <w:r>
              <w:rPr>
                <w:webHidden/>
              </w:rPr>
              <w:t>3-397</w:t>
            </w:r>
            <w:r>
              <w:rPr>
                <w:webHidden/>
              </w:rPr>
              <w:fldChar w:fldCharType="end"/>
            </w:r>
          </w:hyperlink>
        </w:p>
        <w:p w:rsidR="002C24D6" w:rsidRDefault="002C24D6">
          <w:pPr>
            <w:pStyle w:val="TOC3"/>
            <w:rPr>
              <w:rFonts w:asciiTheme="minorHAnsi" w:eastAsiaTheme="minorEastAsia" w:hAnsiTheme="minorHAnsi"/>
              <w:lang w:eastAsia="en-AU"/>
            </w:rPr>
          </w:pPr>
          <w:hyperlink w:anchor="_Toc487037241" w:history="1">
            <w:r w:rsidRPr="00265E4A">
              <w:rPr>
                <w:rStyle w:val="Hyperlink"/>
              </w:rPr>
              <w:t>L.2.3</w:t>
            </w:r>
            <w:r>
              <w:rPr>
                <w:rFonts w:asciiTheme="minorHAnsi" w:eastAsiaTheme="minorEastAsia" w:hAnsiTheme="minorHAnsi"/>
                <w:lang w:eastAsia="en-AU"/>
              </w:rPr>
              <w:tab/>
            </w:r>
            <w:r w:rsidRPr="00265E4A">
              <w:rPr>
                <w:rStyle w:val="Hyperlink"/>
              </w:rPr>
              <w:t>Choice of data series—Step-by-step guide to calculations</w:t>
            </w:r>
            <w:r>
              <w:rPr>
                <w:webHidden/>
              </w:rPr>
              <w:tab/>
            </w:r>
            <w:r>
              <w:rPr>
                <w:webHidden/>
              </w:rPr>
              <w:fldChar w:fldCharType="begin"/>
            </w:r>
            <w:r>
              <w:rPr>
                <w:webHidden/>
              </w:rPr>
              <w:instrText xml:space="preserve"> PAGEREF _Toc487037241 \h </w:instrText>
            </w:r>
            <w:r>
              <w:rPr>
                <w:webHidden/>
              </w:rPr>
            </w:r>
            <w:r>
              <w:rPr>
                <w:webHidden/>
              </w:rPr>
              <w:fldChar w:fldCharType="separate"/>
            </w:r>
            <w:r>
              <w:rPr>
                <w:webHidden/>
              </w:rPr>
              <w:t>3-399</w:t>
            </w:r>
            <w:r>
              <w:rPr>
                <w:webHidden/>
              </w:rPr>
              <w:fldChar w:fldCharType="end"/>
            </w:r>
          </w:hyperlink>
        </w:p>
        <w:p w:rsidR="002C24D6" w:rsidRDefault="002C24D6">
          <w:pPr>
            <w:pStyle w:val="TOC3"/>
            <w:rPr>
              <w:rFonts w:asciiTheme="minorHAnsi" w:eastAsiaTheme="minorEastAsia" w:hAnsiTheme="minorHAnsi"/>
              <w:lang w:eastAsia="en-AU"/>
            </w:rPr>
          </w:pPr>
          <w:hyperlink w:anchor="_Toc487037242" w:history="1">
            <w:r w:rsidRPr="00265E4A">
              <w:rPr>
                <w:rStyle w:val="Hyperlink"/>
              </w:rPr>
              <w:t>L.2.4</w:t>
            </w:r>
            <w:r>
              <w:rPr>
                <w:rFonts w:asciiTheme="minorHAnsi" w:eastAsiaTheme="minorEastAsia" w:hAnsiTheme="minorHAnsi"/>
                <w:lang w:eastAsia="en-AU"/>
              </w:rPr>
              <w:tab/>
            </w:r>
            <w:r w:rsidRPr="00265E4A">
              <w:rPr>
                <w:rStyle w:val="Hyperlink"/>
              </w:rPr>
              <w:t>Choice of data series—Contingencies</w:t>
            </w:r>
            <w:r>
              <w:rPr>
                <w:webHidden/>
              </w:rPr>
              <w:tab/>
            </w:r>
            <w:r>
              <w:rPr>
                <w:webHidden/>
              </w:rPr>
              <w:fldChar w:fldCharType="begin"/>
            </w:r>
            <w:r>
              <w:rPr>
                <w:webHidden/>
              </w:rPr>
              <w:instrText xml:space="preserve"> PAGEREF _Toc487037242 \h </w:instrText>
            </w:r>
            <w:r>
              <w:rPr>
                <w:webHidden/>
              </w:rPr>
            </w:r>
            <w:r>
              <w:rPr>
                <w:webHidden/>
              </w:rPr>
              <w:fldChar w:fldCharType="separate"/>
            </w:r>
            <w:r>
              <w:rPr>
                <w:webHidden/>
              </w:rPr>
              <w:t>3-402</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243" w:history="1">
            <w:r w:rsidRPr="00265E4A">
              <w:rPr>
                <w:rStyle w:val="Hyperlink"/>
              </w:rPr>
              <w:t>M</w:t>
            </w:r>
            <w:r>
              <w:rPr>
                <w:rFonts w:asciiTheme="minorHAnsi" w:eastAsiaTheme="minorEastAsia" w:hAnsiTheme="minorHAnsi"/>
                <w:b w:val="0"/>
                <w:color w:val="auto"/>
                <w:sz w:val="22"/>
                <w:lang w:val="en-AU" w:eastAsia="en-AU"/>
              </w:rPr>
              <w:tab/>
            </w:r>
            <w:r w:rsidRPr="00265E4A">
              <w:rPr>
                <w:rStyle w:val="Hyperlink"/>
              </w:rPr>
              <w:t>Expected inflation</w:t>
            </w:r>
            <w:r>
              <w:rPr>
                <w:webHidden/>
              </w:rPr>
              <w:tab/>
            </w:r>
            <w:r>
              <w:rPr>
                <w:webHidden/>
              </w:rPr>
              <w:fldChar w:fldCharType="begin"/>
            </w:r>
            <w:r>
              <w:rPr>
                <w:webHidden/>
              </w:rPr>
              <w:instrText xml:space="preserve"> PAGEREF _Toc487037243 \h </w:instrText>
            </w:r>
            <w:r>
              <w:rPr>
                <w:webHidden/>
              </w:rPr>
            </w:r>
            <w:r>
              <w:rPr>
                <w:webHidden/>
              </w:rPr>
              <w:fldChar w:fldCharType="separate"/>
            </w:r>
            <w:r>
              <w:rPr>
                <w:webHidden/>
              </w:rPr>
              <w:t>3-409</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44" w:history="1">
            <w:r w:rsidRPr="00265E4A">
              <w:rPr>
                <w:rStyle w:val="Hyperlink"/>
                <w14:scene3d>
                  <w14:camera w14:prst="orthographicFront"/>
                  <w14:lightRig w14:rig="threePt" w14:dir="t">
                    <w14:rot w14:lat="0" w14:lon="0" w14:rev="0"/>
                  </w14:lightRig>
                </w14:scene3d>
              </w:rPr>
              <w:t>M.1</w:t>
            </w:r>
            <w:r>
              <w:rPr>
                <w:rFonts w:asciiTheme="minorHAnsi" w:eastAsiaTheme="minorEastAsia" w:hAnsiTheme="minorHAnsi"/>
                <w:b w:val="0"/>
                <w:color w:val="auto"/>
                <w:sz w:val="22"/>
                <w:lang w:eastAsia="en-AU"/>
              </w:rPr>
              <w:tab/>
            </w:r>
            <w:r w:rsidRPr="00265E4A">
              <w:rPr>
                <w:rStyle w:val="Hyperlink"/>
              </w:rPr>
              <w:t>Issues with the RBA approach</w:t>
            </w:r>
            <w:r>
              <w:rPr>
                <w:webHidden/>
              </w:rPr>
              <w:tab/>
            </w:r>
            <w:r>
              <w:rPr>
                <w:webHidden/>
              </w:rPr>
              <w:fldChar w:fldCharType="begin"/>
            </w:r>
            <w:r>
              <w:rPr>
                <w:webHidden/>
              </w:rPr>
              <w:instrText xml:space="preserve"> PAGEREF _Toc487037244 \h </w:instrText>
            </w:r>
            <w:r>
              <w:rPr>
                <w:webHidden/>
              </w:rPr>
            </w:r>
            <w:r>
              <w:rPr>
                <w:webHidden/>
              </w:rPr>
              <w:fldChar w:fldCharType="separate"/>
            </w:r>
            <w:r>
              <w:rPr>
                <w:webHidden/>
              </w:rPr>
              <w:t>3-409</w:t>
            </w:r>
            <w:r>
              <w:rPr>
                <w:webHidden/>
              </w:rPr>
              <w:fldChar w:fldCharType="end"/>
            </w:r>
          </w:hyperlink>
        </w:p>
        <w:p w:rsidR="002C24D6" w:rsidRDefault="002C24D6">
          <w:pPr>
            <w:pStyle w:val="TOC3"/>
            <w:rPr>
              <w:rFonts w:asciiTheme="minorHAnsi" w:eastAsiaTheme="minorEastAsia" w:hAnsiTheme="minorHAnsi"/>
              <w:lang w:eastAsia="en-AU"/>
            </w:rPr>
          </w:pPr>
          <w:hyperlink w:anchor="_Toc487037245" w:history="1">
            <w:r w:rsidRPr="00265E4A">
              <w:rPr>
                <w:rStyle w:val="Hyperlink"/>
              </w:rPr>
              <w:t>M.1.1</w:t>
            </w:r>
            <w:r>
              <w:rPr>
                <w:rFonts w:asciiTheme="minorHAnsi" w:eastAsiaTheme="minorEastAsia" w:hAnsiTheme="minorHAnsi"/>
                <w:lang w:eastAsia="en-AU"/>
              </w:rPr>
              <w:tab/>
            </w:r>
            <w:r w:rsidRPr="00265E4A">
              <w:rPr>
                <w:rStyle w:val="Hyperlink"/>
              </w:rPr>
              <w:t>The RBA's short-term forecasts used in years 1 and 2</w:t>
            </w:r>
            <w:r>
              <w:rPr>
                <w:webHidden/>
              </w:rPr>
              <w:tab/>
            </w:r>
            <w:r>
              <w:rPr>
                <w:webHidden/>
              </w:rPr>
              <w:fldChar w:fldCharType="begin"/>
            </w:r>
            <w:r>
              <w:rPr>
                <w:webHidden/>
              </w:rPr>
              <w:instrText xml:space="preserve"> PAGEREF _Toc487037245 \h </w:instrText>
            </w:r>
            <w:r>
              <w:rPr>
                <w:webHidden/>
              </w:rPr>
            </w:r>
            <w:r>
              <w:rPr>
                <w:webHidden/>
              </w:rPr>
              <w:fldChar w:fldCharType="separate"/>
            </w:r>
            <w:r>
              <w:rPr>
                <w:webHidden/>
              </w:rPr>
              <w:t>3-409</w:t>
            </w:r>
            <w:r>
              <w:rPr>
                <w:webHidden/>
              </w:rPr>
              <w:fldChar w:fldCharType="end"/>
            </w:r>
          </w:hyperlink>
        </w:p>
        <w:p w:rsidR="002C24D6" w:rsidRDefault="002C24D6">
          <w:pPr>
            <w:pStyle w:val="TOC3"/>
            <w:rPr>
              <w:rFonts w:asciiTheme="minorHAnsi" w:eastAsiaTheme="minorEastAsia" w:hAnsiTheme="minorHAnsi"/>
              <w:lang w:eastAsia="en-AU"/>
            </w:rPr>
          </w:pPr>
          <w:hyperlink w:anchor="_Toc487037246" w:history="1">
            <w:r w:rsidRPr="00265E4A">
              <w:rPr>
                <w:rStyle w:val="Hyperlink"/>
              </w:rPr>
              <w:t>M.1.2</w:t>
            </w:r>
            <w:r>
              <w:rPr>
                <w:rFonts w:asciiTheme="minorHAnsi" w:eastAsiaTheme="minorEastAsia" w:hAnsiTheme="minorHAnsi"/>
                <w:lang w:eastAsia="en-AU"/>
              </w:rPr>
              <w:tab/>
            </w:r>
            <w:r w:rsidRPr="00265E4A">
              <w:rPr>
                <w:rStyle w:val="Hyperlink"/>
              </w:rPr>
              <w:t>Probability weighted forecasts</w:t>
            </w:r>
            <w:r>
              <w:rPr>
                <w:webHidden/>
              </w:rPr>
              <w:tab/>
            </w:r>
            <w:r>
              <w:rPr>
                <w:webHidden/>
              </w:rPr>
              <w:fldChar w:fldCharType="begin"/>
            </w:r>
            <w:r>
              <w:rPr>
                <w:webHidden/>
              </w:rPr>
              <w:instrText xml:space="preserve"> PAGEREF _Toc487037246 \h </w:instrText>
            </w:r>
            <w:r>
              <w:rPr>
                <w:webHidden/>
              </w:rPr>
            </w:r>
            <w:r>
              <w:rPr>
                <w:webHidden/>
              </w:rPr>
              <w:fldChar w:fldCharType="separate"/>
            </w:r>
            <w:r>
              <w:rPr>
                <w:webHidden/>
              </w:rPr>
              <w:t>3-411</w:t>
            </w:r>
            <w:r>
              <w:rPr>
                <w:webHidden/>
              </w:rPr>
              <w:fldChar w:fldCharType="end"/>
            </w:r>
          </w:hyperlink>
        </w:p>
        <w:p w:rsidR="002C24D6" w:rsidRDefault="002C24D6">
          <w:pPr>
            <w:pStyle w:val="TOC3"/>
            <w:rPr>
              <w:rFonts w:asciiTheme="minorHAnsi" w:eastAsiaTheme="minorEastAsia" w:hAnsiTheme="minorHAnsi"/>
              <w:lang w:eastAsia="en-AU"/>
            </w:rPr>
          </w:pPr>
          <w:hyperlink w:anchor="_Toc487037247" w:history="1">
            <w:r w:rsidRPr="00265E4A">
              <w:rPr>
                <w:rStyle w:val="Hyperlink"/>
              </w:rPr>
              <w:t>M.1.3</w:t>
            </w:r>
            <w:r>
              <w:rPr>
                <w:rFonts w:asciiTheme="minorHAnsi" w:eastAsiaTheme="minorEastAsia" w:hAnsiTheme="minorHAnsi"/>
                <w:lang w:eastAsia="en-AU"/>
              </w:rPr>
              <w:tab/>
            </w:r>
            <w:r w:rsidRPr="00265E4A">
              <w:rPr>
                <w:rStyle w:val="Hyperlink"/>
              </w:rPr>
              <w:t>The RBA's target band used in years 3 to 10</w:t>
            </w:r>
            <w:r>
              <w:rPr>
                <w:webHidden/>
              </w:rPr>
              <w:tab/>
            </w:r>
            <w:r>
              <w:rPr>
                <w:webHidden/>
              </w:rPr>
              <w:fldChar w:fldCharType="begin"/>
            </w:r>
            <w:r>
              <w:rPr>
                <w:webHidden/>
              </w:rPr>
              <w:instrText xml:space="preserve"> PAGEREF _Toc487037247 \h </w:instrText>
            </w:r>
            <w:r>
              <w:rPr>
                <w:webHidden/>
              </w:rPr>
            </w:r>
            <w:r>
              <w:rPr>
                <w:webHidden/>
              </w:rPr>
              <w:fldChar w:fldCharType="separate"/>
            </w:r>
            <w:r>
              <w:rPr>
                <w:webHidden/>
              </w:rPr>
              <w:t>3-412</w:t>
            </w:r>
            <w:r>
              <w:rPr>
                <w:webHidden/>
              </w:rPr>
              <w:fldChar w:fldCharType="end"/>
            </w:r>
          </w:hyperlink>
        </w:p>
        <w:p w:rsidR="002C24D6" w:rsidRDefault="002C24D6">
          <w:pPr>
            <w:pStyle w:val="TOC3"/>
            <w:rPr>
              <w:rFonts w:asciiTheme="minorHAnsi" w:eastAsiaTheme="minorEastAsia" w:hAnsiTheme="minorHAnsi"/>
              <w:lang w:eastAsia="en-AU"/>
            </w:rPr>
          </w:pPr>
          <w:hyperlink w:anchor="_Toc487037248" w:history="1">
            <w:r w:rsidRPr="00265E4A">
              <w:rPr>
                <w:rStyle w:val="Hyperlink"/>
              </w:rPr>
              <w:t>M.1.4</w:t>
            </w:r>
            <w:r>
              <w:rPr>
                <w:rFonts w:asciiTheme="minorHAnsi" w:eastAsiaTheme="minorEastAsia" w:hAnsiTheme="minorHAnsi"/>
                <w:lang w:eastAsia="en-AU"/>
              </w:rPr>
              <w:tab/>
            </w:r>
            <w:r w:rsidRPr="00265E4A">
              <w:rPr>
                <w:rStyle w:val="Hyperlink"/>
              </w:rPr>
              <w:t>Anchoring of investor expectations to the RBA target band</w:t>
            </w:r>
            <w:r>
              <w:rPr>
                <w:webHidden/>
              </w:rPr>
              <w:tab/>
            </w:r>
            <w:r>
              <w:rPr>
                <w:webHidden/>
              </w:rPr>
              <w:fldChar w:fldCharType="begin"/>
            </w:r>
            <w:r>
              <w:rPr>
                <w:webHidden/>
              </w:rPr>
              <w:instrText xml:space="preserve"> PAGEREF _Toc487037248 \h </w:instrText>
            </w:r>
            <w:r>
              <w:rPr>
                <w:webHidden/>
              </w:rPr>
            </w:r>
            <w:r>
              <w:rPr>
                <w:webHidden/>
              </w:rPr>
              <w:fldChar w:fldCharType="separate"/>
            </w:r>
            <w:r>
              <w:rPr>
                <w:webHidden/>
              </w:rPr>
              <w:t>3-413</w:t>
            </w:r>
            <w:r>
              <w:rPr>
                <w:webHidden/>
              </w:rPr>
              <w:fldChar w:fldCharType="end"/>
            </w:r>
          </w:hyperlink>
        </w:p>
        <w:p w:rsidR="002C24D6" w:rsidRDefault="002C24D6">
          <w:pPr>
            <w:pStyle w:val="TOC3"/>
            <w:rPr>
              <w:rFonts w:asciiTheme="minorHAnsi" w:eastAsiaTheme="minorEastAsia" w:hAnsiTheme="minorHAnsi"/>
              <w:lang w:eastAsia="en-AU"/>
            </w:rPr>
          </w:pPr>
          <w:hyperlink w:anchor="_Toc487037249" w:history="1">
            <w:r w:rsidRPr="00265E4A">
              <w:rPr>
                <w:rStyle w:val="Hyperlink"/>
              </w:rPr>
              <w:t>M.1.5</w:t>
            </w:r>
            <w:r>
              <w:rPr>
                <w:rFonts w:asciiTheme="minorHAnsi" w:eastAsiaTheme="minorEastAsia" w:hAnsiTheme="minorHAnsi"/>
                <w:lang w:eastAsia="en-AU"/>
              </w:rPr>
              <w:tab/>
            </w:r>
            <w:r w:rsidRPr="00265E4A">
              <w:rPr>
                <w:rStyle w:val="Hyperlink"/>
              </w:rPr>
              <w:t>Potential negative real risk free rate</w:t>
            </w:r>
            <w:r>
              <w:rPr>
                <w:webHidden/>
              </w:rPr>
              <w:tab/>
            </w:r>
            <w:r>
              <w:rPr>
                <w:webHidden/>
              </w:rPr>
              <w:fldChar w:fldCharType="begin"/>
            </w:r>
            <w:r>
              <w:rPr>
                <w:webHidden/>
              </w:rPr>
              <w:instrText xml:space="preserve"> PAGEREF _Toc487037249 \h </w:instrText>
            </w:r>
            <w:r>
              <w:rPr>
                <w:webHidden/>
              </w:rPr>
            </w:r>
            <w:r>
              <w:rPr>
                <w:webHidden/>
              </w:rPr>
              <w:fldChar w:fldCharType="separate"/>
            </w:r>
            <w:r>
              <w:rPr>
                <w:webHidden/>
              </w:rPr>
              <w:t>3-415</w:t>
            </w:r>
            <w:r>
              <w:rPr>
                <w:webHidden/>
              </w:rPr>
              <w:fldChar w:fldCharType="end"/>
            </w:r>
          </w:hyperlink>
        </w:p>
        <w:p w:rsidR="002C24D6" w:rsidRDefault="002C24D6">
          <w:pPr>
            <w:pStyle w:val="TOC3"/>
            <w:rPr>
              <w:rFonts w:asciiTheme="minorHAnsi" w:eastAsiaTheme="minorEastAsia" w:hAnsiTheme="minorHAnsi"/>
              <w:lang w:eastAsia="en-AU"/>
            </w:rPr>
          </w:pPr>
          <w:hyperlink w:anchor="_Toc487037250" w:history="1">
            <w:r w:rsidRPr="00265E4A">
              <w:rPr>
                <w:rStyle w:val="Hyperlink"/>
              </w:rPr>
              <w:t>M.1.6</w:t>
            </w:r>
            <w:r>
              <w:rPr>
                <w:rFonts w:asciiTheme="minorHAnsi" w:eastAsiaTheme="minorEastAsia" w:hAnsiTheme="minorHAnsi"/>
                <w:lang w:eastAsia="en-AU"/>
              </w:rPr>
              <w:tab/>
            </w:r>
            <w:r w:rsidRPr="00265E4A">
              <w:rPr>
                <w:rStyle w:val="Hyperlink"/>
              </w:rPr>
              <w:t>Calculating a nominal risk free rate from our inflation estimate and indexed CGS yields</w:t>
            </w:r>
            <w:r>
              <w:rPr>
                <w:webHidden/>
              </w:rPr>
              <w:tab/>
            </w:r>
            <w:r>
              <w:rPr>
                <w:webHidden/>
              </w:rPr>
              <w:fldChar w:fldCharType="begin"/>
            </w:r>
            <w:r>
              <w:rPr>
                <w:webHidden/>
              </w:rPr>
              <w:instrText xml:space="preserve"> PAGEREF _Toc487037250 \h </w:instrText>
            </w:r>
            <w:r>
              <w:rPr>
                <w:webHidden/>
              </w:rPr>
            </w:r>
            <w:r>
              <w:rPr>
                <w:webHidden/>
              </w:rPr>
              <w:fldChar w:fldCharType="separate"/>
            </w:r>
            <w:r>
              <w:rPr>
                <w:webHidden/>
              </w:rPr>
              <w:t>3-418</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51" w:history="1">
            <w:r w:rsidRPr="00265E4A">
              <w:rPr>
                <w:rStyle w:val="Hyperlink"/>
                <w14:scene3d>
                  <w14:camera w14:prst="orthographicFront"/>
                  <w14:lightRig w14:rig="threePt" w14:dir="t">
                    <w14:rot w14:lat="0" w14:lon="0" w14:rev="0"/>
                  </w14:lightRig>
                </w14:scene3d>
              </w:rPr>
              <w:t>M.2</w:t>
            </w:r>
            <w:r>
              <w:rPr>
                <w:rFonts w:asciiTheme="minorHAnsi" w:eastAsiaTheme="minorEastAsia" w:hAnsiTheme="minorHAnsi"/>
                <w:b w:val="0"/>
                <w:color w:val="auto"/>
                <w:sz w:val="22"/>
                <w:lang w:eastAsia="en-AU"/>
              </w:rPr>
              <w:tab/>
            </w:r>
            <w:r w:rsidRPr="00265E4A">
              <w:rPr>
                <w:rStyle w:val="Hyperlink"/>
              </w:rPr>
              <w:t>Break-even estimates as a direct market measure</w:t>
            </w:r>
            <w:r>
              <w:rPr>
                <w:webHidden/>
              </w:rPr>
              <w:tab/>
            </w:r>
            <w:r>
              <w:rPr>
                <w:webHidden/>
              </w:rPr>
              <w:fldChar w:fldCharType="begin"/>
            </w:r>
            <w:r>
              <w:rPr>
                <w:webHidden/>
              </w:rPr>
              <w:instrText xml:space="preserve"> PAGEREF _Toc487037251 \h </w:instrText>
            </w:r>
            <w:r>
              <w:rPr>
                <w:webHidden/>
              </w:rPr>
            </w:r>
            <w:r>
              <w:rPr>
                <w:webHidden/>
              </w:rPr>
              <w:fldChar w:fldCharType="separate"/>
            </w:r>
            <w:r>
              <w:rPr>
                <w:webHidden/>
              </w:rPr>
              <w:t>3-419</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52" w:history="1">
            <w:r w:rsidRPr="00265E4A">
              <w:rPr>
                <w:rStyle w:val="Hyperlink"/>
                <w14:scene3d>
                  <w14:camera w14:prst="orthographicFront"/>
                  <w14:lightRig w14:rig="threePt" w14:dir="t">
                    <w14:rot w14:lat="0" w14:lon="0" w14:rev="0"/>
                  </w14:lightRig>
                </w14:scene3d>
              </w:rPr>
              <w:t>M.3</w:t>
            </w:r>
            <w:r>
              <w:rPr>
                <w:rFonts w:asciiTheme="minorHAnsi" w:eastAsiaTheme="minorEastAsia" w:hAnsiTheme="minorHAnsi"/>
                <w:b w:val="0"/>
                <w:color w:val="auto"/>
                <w:sz w:val="22"/>
                <w:lang w:eastAsia="en-AU"/>
              </w:rPr>
              <w:tab/>
            </w:r>
            <w:r w:rsidRPr="00265E4A">
              <w:rPr>
                <w:rStyle w:val="Hyperlink"/>
              </w:rPr>
              <w:t>Biases and premia in the break-even and swaps estimates</w:t>
            </w:r>
            <w:r>
              <w:rPr>
                <w:webHidden/>
              </w:rPr>
              <w:tab/>
            </w:r>
            <w:r>
              <w:rPr>
                <w:webHidden/>
              </w:rPr>
              <w:fldChar w:fldCharType="begin"/>
            </w:r>
            <w:r>
              <w:rPr>
                <w:webHidden/>
              </w:rPr>
              <w:instrText xml:space="preserve"> PAGEREF _Toc487037252 \h </w:instrText>
            </w:r>
            <w:r>
              <w:rPr>
                <w:webHidden/>
              </w:rPr>
            </w:r>
            <w:r>
              <w:rPr>
                <w:webHidden/>
              </w:rPr>
              <w:fldChar w:fldCharType="separate"/>
            </w:r>
            <w:r>
              <w:rPr>
                <w:webHidden/>
              </w:rPr>
              <w:t>3-421</w:t>
            </w:r>
            <w:r>
              <w:rPr>
                <w:webHidden/>
              </w:rPr>
              <w:fldChar w:fldCharType="end"/>
            </w:r>
          </w:hyperlink>
        </w:p>
        <w:p w:rsidR="002C24D6" w:rsidRDefault="002C24D6">
          <w:pPr>
            <w:pStyle w:val="TOC3"/>
            <w:rPr>
              <w:rFonts w:asciiTheme="minorHAnsi" w:eastAsiaTheme="minorEastAsia" w:hAnsiTheme="minorHAnsi"/>
              <w:lang w:eastAsia="en-AU"/>
            </w:rPr>
          </w:pPr>
          <w:hyperlink w:anchor="_Toc487037253" w:history="1">
            <w:r w:rsidRPr="00265E4A">
              <w:rPr>
                <w:rStyle w:val="Hyperlink"/>
              </w:rPr>
              <w:t>M.3.1</w:t>
            </w:r>
            <w:r>
              <w:rPr>
                <w:rFonts w:asciiTheme="minorHAnsi" w:eastAsiaTheme="minorEastAsia" w:hAnsiTheme="minorHAnsi"/>
                <w:lang w:eastAsia="en-AU"/>
              </w:rPr>
              <w:tab/>
            </w:r>
            <w:r w:rsidRPr="00265E4A">
              <w:rPr>
                <w:rStyle w:val="Hyperlink"/>
              </w:rPr>
              <w:t>Liquidity premium</w:t>
            </w:r>
            <w:r>
              <w:rPr>
                <w:webHidden/>
              </w:rPr>
              <w:tab/>
            </w:r>
            <w:r>
              <w:rPr>
                <w:webHidden/>
              </w:rPr>
              <w:fldChar w:fldCharType="begin"/>
            </w:r>
            <w:r>
              <w:rPr>
                <w:webHidden/>
              </w:rPr>
              <w:instrText xml:space="preserve"> PAGEREF _Toc487037253 \h </w:instrText>
            </w:r>
            <w:r>
              <w:rPr>
                <w:webHidden/>
              </w:rPr>
            </w:r>
            <w:r>
              <w:rPr>
                <w:webHidden/>
              </w:rPr>
              <w:fldChar w:fldCharType="separate"/>
            </w:r>
            <w:r>
              <w:rPr>
                <w:webHidden/>
              </w:rPr>
              <w:t>3-424</w:t>
            </w:r>
            <w:r>
              <w:rPr>
                <w:webHidden/>
              </w:rPr>
              <w:fldChar w:fldCharType="end"/>
            </w:r>
          </w:hyperlink>
        </w:p>
        <w:p w:rsidR="002C24D6" w:rsidRDefault="002C24D6">
          <w:pPr>
            <w:pStyle w:val="TOC3"/>
            <w:rPr>
              <w:rFonts w:asciiTheme="minorHAnsi" w:eastAsiaTheme="minorEastAsia" w:hAnsiTheme="minorHAnsi"/>
              <w:lang w:eastAsia="en-AU"/>
            </w:rPr>
          </w:pPr>
          <w:hyperlink w:anchor="_Toc487037254" w:history="1">
            <w:r w:rsidRPr="00265E4A">
              <w:rPr>
                <w:rStyle w:val="Hyperlink"/>
              </w:rPr>
              <w:t>M.3.2</w:t>
            </w:r>
            <w:r>
              <w:rPr>
                <w:rFonts w:asciiTheme="minorHAnsi" w:eastAsiaTheme="minorEastAsia" w:hAnsiTheme="minorHAnsi"/>
                <w:lang w:eastAsia="en-AU"/>
              </w:rPr>
              <w:tab/>
            </w:r>
            <w:r w:rsidRPr="00265E4A">
              <w:rPr>
                <w:rStyle w:val="Hyperlink"/>
              </w:rPr>
              <w:t>Convexity bias</w:t>
            </w:r>
            <w:r>
              <w:rPr>
                <w:webHidden/>
              </w:rPr>
              <w:tab/>
            </w:r>
            <w:r>
              <w:rPr>
                <w:webHidden/>
              </w:rPr>
              <w:fldChar w:fldCharType="begin"/>
            </w:r>
            <w:r>
              <w:rPr>
                <w:webHidden/>
              </w:rPr>
              <w:instrText xml:space="preserve"> PAGEREF _Toc487037254 \h </w:instrText>
            </w:r>
            <w:r>
              <w:rPr>
                <w:webHidden/>
              </w:rPr>
            </w:r>
            <w:r>
              <w:rPr>
                <w:webHidden/>
              </w:rPr>
              <w:fldChar w:fldCharType="separate"/>
            </w:r>
            <w:r>
              <w:rPr>
                <w:webHidden/>
              </w:rPr>
              <w:t>3-432</w:t>
            </w:r>
            <w:r>
              <w:rPr>
                <w:webHidden/>
              </w:rPr>
              <w:fldChar w:fldCharType="end"/>
            </w:r>
          </w:hyperlink>
        </w:p>
        <w:p w:rsidR="002C24D6" w:rsidRDefault="002C24D6">
          <w:pPr>
            <w:pStyle w:val="TOC3"/>
            <w:rPr>
              <w:rFonts w:asciiTheme="minorHAnsi" w:eastAsiaTheme="minorEastAsia" w:hAnsiTheme="minorHAnsi"/>
              <w:lang w:eastAsia="en-AU"/>
            </w:rPr>
          </w:pPr>
          <w:hyperlink w:anchor="_Toc487037255" w:history="1">
            <w:r w:rsidRPr="00265E4A">
              <w:rPr>
                <w:rStyle w:val="Hyperlink"/>
              </w:rPr>
              <w:t>M.3.3</w:t>
            </w:r>
            <w:r>
              <w:rPr>
                <w:rFonts w:asciiTheme="minorHAnsi" w:eastAsiaTheme="minorEastAsia" w:hAnsiTheme="minorHAnsi"/>
                <w:lang w:eastAsia="en-AU"/>
              </w:rPr>
              <w:tab/>
            </w:r>
            <w:r w:rsidRPr="00265E4A">
              <w:rPr>
                <w:rStyle w:val="Hyperlink"/>
              </w:rPr>
              <w:t>Inflation risk premium</w:t>
            </w:r>
            <w:r>
              <w:rPr>
                <w:webHidden/>
              </w:rPr>
              <w:tab/>
            </w:r>
            <w:r>
              <w:rPr>
                <w:webHidden/>
              </w:rPr>
              <w:fldChar w:fldCharType="begin"/>
            </w:r>
            <w:r>
              <w:rPr>
                <w:webHidden/>
              </w:rPr>
              <w:instrText xml:space="preserve"> PAGEREF _Toc487037255 \h </w:instrText>
            </w:r>
            <w:r>
              <w:rPr>
                <w:webHidden/>
              </w:rPr>
            </w:r>
            <w:r>
              <w:rPr>
                <w:webHidden/>
              </w:rPr>
              <w:fldChar w:fldCharType="separate"/>
            </w:r>
            <w:r>
              <w:rPr>
                <w:webHidden/>
              </w:rPr>
              <w:t>3-433</w:t>
            </w:r>
            <w:r>
              <w:rPr>
                <w:webHidden/>
              </w:rPr>
              <w:fldChar w:fldCharType="end"/>
            </w:r>
          </w:hyperlink>
        </w:p>
        <w:p w:rsidR="002C24D6" w:rsidRDefault="002C24D6">
          <w:pPr>
            <w:pStyle w:val="TOC3"/>
            <w:rPr>
              <w:rFonts w:asciiTheme="minorHAnsi" w:eastAsiaTheme="minorEastAsia" w:hAnsiTheme="minorHAnsi"/>
              <w:lang w:eastAsia="en-AU"/>
            </w:rPr>
          </w:pPr>
          <w:hyperlink w:anchor="_Toc487037256" w:history="1">
            <w:r w:rsidRPr="00265E4A">
              <w:rPr>
                <w:rStyle w:val="Hyperlink"/>
              </w:rPr>
              <w:t>M.3.4</w:t>
            </w:r>
            <w:r>
              <w:rPr>
                <w:rFonts w:asciiTheme="minorHAnsi" w:eastAsiaTheme="minorEastAsia" w:hAnsiTheme="minorHAnsi"/>
                <w:lang w:eastAsia="en-AU"/>
              </w:rPr>
              <w:tab/>
            </w:r>
            <w:r w:rsidRPr="00265E4A">
              <w:rPr>
                <w:rStyle w:val="Hyperlink"/>
              </w:rPr>
              <w:t>Biases and premia in inflation swap rates</w:t>
            </w:r>
            <w:r>
              <w:rPr>
                <w:webHidden/>
              </w:rPr>
              <w:tab/>
            </w:r>
            <w:r>
              <w:rPr>
                <w:webHidden/>
              </w:rPr>
              <w:fldChar w:fldCharType="begin"/>
            </w:r>
            <w:r>
              <w:rPr>
                <w:webHidden/>
              </w:rPr>
              <w:instrText xml:space="preserve"> PAGEREF _Toc487037256 \h </w:instrText>
            </w:r>
            <w:r>
              <w:rPr>
                <w:webHidden/>
              </w:rPr>
            </w:r>
            <w:r>
              <w:rPr>
                <w:webHidden/>
              </w:rPr>
              <w:fldChar w:fldCharType="separate"/>
            </w:r>
            <w:r>
              <w:rPr>
                <w:webHidden/>
              </w:rPr>
              <w:t>3-434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57" w:history="1">
            <w:r w:rsidRPr="00265E4A">
              <w:rPr>
                <w:rStyle w:val="Hyperlink"/>
                <w14:scene3d>
                  <w14:camera w14:prst="orthographicFront"/>
                  <w14:lightRig w14:rig="threePt" w14:dir="t">
                    <w14:rot w14:lat="0" w14:lon="0" w14:rev="0"/>
                  </w14:lightRig>
                </w14:scene3d>
              </w:rPr>
              <w:t>M.4</w:t>
            </w:r>
            <w:r>
              <w:rPr>
                <w:rFonts w:asciiTheme="minorHAnsi" w:eastAsiaTheme="minorEastAsia" w:hAnsiTheme="minorHAnsi"/>
                <w:b w:val="0"/>
                <w:color w:val="auto"/>
                <w:sz w:val="22"/>
                <w:lang w:eastAsia="en-AU"/>
              </w:rPr>
              <w:tab/>
            </w:r>
            <w:r w:rsidRPr="00265E4A">
              <w:rPr>
                <w:rStyle w:val="Hyperlink"/>
              </w:rPr>
              <w:t>Effect of inflation outcomes on inflation expectations</w:t>
            </w:r>
            <w:r>
              <w:rPr>
                <w:webHidden/>
              </w:rPr>
              <w:tab/>
            </w:r>
            <w:r>
              <w:rPr>
                <w:webHidden/>
              </w:rPr>
              <w:fldChar w:fldCharType="begin"/>
            </w:r>
            <w:r>
              <w:rPr>
                <w:webHidden/>
              </w:rPr>
              <w:instrText xml:space="preserve"> PAGEREF _Toc487037257 \h </w:instrText>
            </w:r>
            <w:r>
              <w:rPr>
                <w:webHidden/>
              </w:rPr>
            </w:r>
            <w:r>
              <w:rPr>
                <w:webHidden/>
              </w:rPr>
              <w:fldChar w:fldCharType="separate"/>
            </w:r>
            <w:r>
              <w:rPr>
                <w:webHidden/>
              </w:rPr>
              <w:t>3-434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58" w:history="1">
            <w:r w:rsidRPr="00265E4A">
              <w:rPr>
                <w:rStyle w:val="Hyperlink"/>
                <w14:scene3d>
                  <w14:camera w14:prst="orthographicFront"/>
                  <w14:lightRig w14:rig="threePt" w14:dir="t">
                    <w14:rot w14:lat="0" w14:lon="0" w14:rev="0"/>
                  </w14:lightRig>
                </w14:scene3d>
              </w:rPr>
              <w:t>M.5</w:t>
            </w:r>
            <w:r>
              <w:rPr>
                <w:rFonts w:asciiTheme="minorHAnsi" w:eastAsiaTheme="minorEastAsia" w:hAnsiTheme="minorHAnsi"/>
                <w:b w:val="0"/>
                <w:color w:val="auto"/>
                <w:sz w:val="22"/>
                <w:lang w:eastAsia="en-AU"/>
              </w:rPr>
              <w:tab/>
            </w:r>
            <w:r w:rsidRPr="00265E4A">
              <w:rPr>
                <w:rStyle w:val="Hyperlink"/>
              </w:rPr>
              <w:t>Break-even estimates are a statistically significant predictor of nominal CGS yields</w:t>
            </w:r>
            <w:r>
              <w:rPr>
                <w:webHidden/>
              </w:rPr>
              <w:tab/>
            </w:r>
            <w:r>
              <w:rPr>
                <w:webHidden/>
              </w:rPr>
              <w:fldChar w:fldCharType="begin"/>
            </w:r>
            <w:r>
              <w:rPr>
                <w:webHidden/>
              </w:rPr>
              <w:instrText xml:space="preserve"> PAGEREF _Toc487037258 \h </w:instrText>
            </w:r>
            <w:r>
              <w:rPr>
                <w:webHidden/>
              </w:rPr>
            </w:r>
            <w:r>
              <w:rPr>
                <w:webHidden/>
              </w:rPr>
              <w:fldChar w:fldCharType="separate"/>
            </w:r>
            <w:r>
              <w:rPr>
                <w:webHidden/>
              </w:rPr>
              <w:t>3-438</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59" w:history="1">
            <w:r w:rsidRPr="00265E4A">
              <w:rPr>
                <w:rStyle w:val="Hyperlink"/>
                <w14:scene3d>
                  <w14:camera w14:prst="orthographicFront"/>
                  <w14:lightRig w14:rig="threePt" w14:dir="t">
                    <w14:rot w14:lat="0" w14:lon="0" w14:rev="0"/>
                  </w14:lightRig>
                </w14:scene3d>
              </w:rPr>
              <w:t>M.6</w:t>
            </w:r>
            <w:r>
              <w:rPr>
                <w:rFonts w:asciiTheme="minorHAnsi" w:eastAsiaTheme="minorEastAsia" w:hAnsiTheme="minorHAnsi"/>
                <w:b w:val="0"/>
                <w:color w:val="auto"/>
                <w:sz w:val="22"/>
                <w:lang w:eastAsia="en-AU"/>
              </w:rPr>
              <w:tab/>
            </w:r>
            <w:r w:rsidRPr="00265E4A">
              <w:rPr>
                <w:rStyle w:val="Hyperlink"/>
              </w:rPr>
              <w:t>APTPPL's proposed revenue model</w:t>
            </w:r>
            <w:r>
              <w:rPr>
                <w:webHidden/>
              </w:rPr>
              <w:tab/>
            </w:r>
            <w:r>
              <w:rPr>
                <w:webHidden/>
              </w:rPr>
              <w:fldChar w:fldCharType="begin"/>
            </w:r>
            <w:r>
              <w:rPr>
                <w:webHidden/>
              </w:rPr>
              <w:instrText xml:space="preserve"> PAGEREF _Toc487037259 \h </w:instrText>
            </w:r>
            <w:r>
              <w:rPr>
                <w:webHidden/>
              </w:rPr>
            </w:r>
            <w:r>
              <w:rPr>
                <w:webHidden/>
              </w:rPr>
              <w:fldChar w:fldCharType="separate"/>
            </w:r>
            <w:r>
              <w:rPr>
                <w:webHidden/>
              </w:rPr>
              <w:t>3-441</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260" w:history="1">
            <w:r w:rsidRPr="00265E4A">
              <w:rPr>
                <w:rStyle w:val="Hyperlink"/>
              </w:rPr>
              <w:t>N</w:t>
            </w:r>
            <w:r>
              <w:rPr>
                <w:rFonts w:asciiTheme="minorHAnsi" w:eastAsiaTheme="minorEastAsia" w:hAnsiTheme="minorHAnsi"/>
                <w:b w:val="0"/>
                <w:color w:val="auto"/>
                <w:sz w:val="22"/>
                <w:lang w:val="en-AU" w:eastAsia="en-AU"/>
              </w:rPr>
              <w:tab/>
            </w:r>
            <w:r w:rsidRPr="00265E4A">
              <w:rPr>
                <w:rStyle w:val="Hyperlink"/>
              </w:rPr>
              <w:t>Equity and debt raising costs</w:t>
            </w:r>
            <w:r>
              <w:rPr>
                <w:webHidden/>
              </w:rPr>
              <w:tab/>
            </w:r>
            <w:r>
              <w:rPr>
                <w:webHidden/>
              </w:rPr>
              <w:fldChar w:fldCharType="begin"/>
            </w:r>
            <w:r>
              <w:rPr>
                <w:webHidden/>
              </w:rPr>
              <w:instrText xml:space="preserve"> PAGEREF _Toc487037260 \h </w:instrText>
            </w:r>
            <w:r>
              <w:rPr>
                <w:webHidden/>
              </w:rPr>
            </w:r>
            <w:r>
              <w:rPr>
                <w:webHidden/>
              </w:rPr>
              <w:fldChar w:fldCharType="separate"/>
            </w:r>
            <w:r>
              <w:rPr>
                <w:webHidden/>
              </w:rPr>
              <w:t>3-444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61" w:history="1">
            <w:r w:rsidRPr="00265E4A">
              <w:rPr>
                <w:rStyle w:val="Hyperlink"/>
                <w14:scene3d>
                  <w14:camera w14:prst="orthographicFront"/>
                  <w14:lightRig w14:rig="threePt" w14:dir="t">
                    <w14:rot w14:lat="0" w14:lon="0" w14:rev="0"/>
                  </w14:lightRig>
                </w14:scene3d>
              </w:rPr>
              <w:t>N.7</w:t>
            </w:r>
            <w:r>
              <w:rPr>
                <w:rFonts w:asciiTheme="minorHAnsi" w:eastAsiaTheme="minorEastAsia" w:hAnsiTheme="minorHAnsi"/>
                <w:b w:val="0"/>
                <w:color w:val="auto"/>
                <w:sz w:val="22"/>
                <w:lang w:eastAsia="en-AU"/>
              </w:rPr>
              <w:tab/>
            </w:r>
            <w:r w:rsidRPr="00265E4A">
              <w:rPr>
                <w:rStyle w:val="Hyperlink"/>
              </w:rPr>
              <w:t>Equity raising costs</w:t>
            </w:r>
            <w:r>
              <w:rPr>
                <w:webHidden/>
              </w:rPr>
              <w:tab/>
            </w:r>
            <w:r>
              <w:rPr>
                <w:webHidden/>
              </w:rPr>
              <w:fldChar w:fldCharType="begin"/>
            </w:r>
            <w:r>
              <w:rPr>
                <w:webHidden/>
              </w:rPr>
              <w:instrText xml:space="preserve"> PAGEREF _Toc487037261 \h </w:instrText>
            </w:r>
            <w:r>
              <w:rPr>
                <w:webHidden/>
              </w:rPr>
            </w:r>
            <w:r>
              <w:rPr>
                <w:webHidden/>
              </w:rPr>
              <w:fldChar w:fldCharType="separate"/>
            </w:r>
            <w:r>
              <w:rPr>
                <w:webHidden/>
              </w:rPr>
              <w:t>3-444</w:t>
            </w:r>
            <w:r>
              <w:rPr>
                <w:webHidden/>
              </w:rPr>
              <w:fldChar w:fldCharType="end"/>
            </w:r>
          </w:hyperlink>
        </w:p>
        <w:p w:rsidR="002C24D6" w:rsidRDefault="002C24D6">
          <w:pPr>
            <w:pStyle w:val="TOC2"/>
            <w:rPr>
              <w:rFonts w:asciiTheme="minorHAnsi" w:eastAsiaTheme="minorEastAsia" w:hAnsiTheme="minorHAnsi"/>
              <w:b w:val="0"/>
              <w:color w:val="auto"/>
              <w:sz w:val="22"/>
              <w:lang w:eastAsia="en-AU"/>
            </w:rPr>
          </w:pPr>
          <w:hyperlink w:anchor="_Toc487037262" w:history="1">
            <w:r w:rsidRPr="00265E4A">
              <w:rPr>
                <w:rStyle w:val="Hyperlink"/>
                <w14:scene3d>
                  <w14:camera w14:prst="orthographicFront"/>
                  <w14:lightRig w14:rig="threePt" w14:dir="t">
                    <w14:rot w14:lat="0" w14:lon="0" w14:rev="0"/>
                  </w14:lightRig>
                </w14:scene3d>
              </w:rPr>
              <w:t>N.8</w:t>
            </w:r>
            <w:r>
              <w:rPr>
                <w:rFonts w:asciiTheme="minorHAnsi" w:eastAsiaTheme="minorEastAsia" w:hAnsiTheme="minorHAnsi"/>
                <w:b w:val="0"/>
                <w:color w:val="auto"/>
                <w:sz w:val="22"/>
                <w:lang w:eastAsia="en-AU"/>
              </w:rPr>
              <w:tab/>
            </w:r>
            <w:r w:rsidRPr="00265E4A">
              <w:rPr>
                <w:rStyle w:val="Hyperlink"/>
              </w:rPr>
              <w:t>Debt raising costs</w:t>
            </w:r>
            <w:r>
              <w:rPr>
                <w:webHidden/>
              </w:rPr>
              <w:tab/>
            </w:r>
            <w:r>
              <w:rPr>
                <w:webHidden/>
              </w:rPr>
              <w:fldChar w:fldCharType="begin"/>
            </w:r>
            <w:r>
              <w:rPr>
                <w:webHidden/>
              </w:rPr>
              <w:instrText xml:space="preserve"> PAGEREF _Toc487037262 \h </w:instrText>
            </w:r>
            <w:r>
              <w:rPr>
                <w:webHidden/>
              </w:rPr>
            </w:r>
            <w:r>
              <w:rPr>
                <w:webHidden/>
              </w:rPr>
              <w:fldChar w:fldCharType="separate"/>
            </w:r>
            <w:r>
              <w:rPr>
                <w:webHidden/>
              </w:rPr>
              <w:t>3-445</w:t>
            </w:r>
            <w:r>
              <w:rPr>
                <w:webHidden/>
              </w:rPr>
              <w:fldChar w:fldCharType="end"/>
            </w:r>
          </w:hyperlink>
        </w:p>
        <w:p w:rsidR="002C24D6" w:rsidRDefault="002C24D6">
          <w:pPr>
            <w:pStyle w:val="TOC1"/>
            <w:rPr>
              <w:rFonts w:asciiTheme="minorHAnsi" w:eastAsiaTheme="minorEastAsia" w:hAnsiTheme="minorHAnsi"/>
              <w:b w:val="0"/>
              <w:color w:val="auto"/>
              <w:sz w:val="22"/>
              <w:lang w:val="en-AU" w:eastAsia="en-AU"/>
            </w:rPr>
          </w:pPr>
          <w:hyperlink w:anchor="_Toc487037263" w:history="1">
            <w:r w:rsidRPr="00265E4A">
              <w:rPr>
                <w:rStyle w:val="Hyperlink"/>
              </w:rPr>
              <w:t>O</w:t>
            </w:r>
            <w:r>
              <w:rPr>
                <w:rFonts w:asciiTheme="minorHAnsi" w:eastAsiaTheme="minorEastAsia" w:hAnsiTheme="minorHAnsi"/>
                <w:b w:val="0"/>
                <w:color w:val="auto"/>
                <w:sz w:val="22"/>
                <w:lang w:val="en-AU" w:eastAsia="en-AU"/>
              </w:rPr>
              <w:tab/>
            </w:r>
            <w:r w:rsidRPr="00265E4A">
              <w:rPr>
                <w:rStyle w:val="Hyperlink"/>
              </w:rPr>
              <w:t>Averaging periods - confidential appendix</w:t>
            </w:r>
            <w:r>
              <w:rPr>
                <w:webHidden/>
              </w:rPr>
              <w:tab/>
            </w:r>
            <w:r>
              <w:rPr>
                <w:webHidden/>
              </w:rPr>
              <w:fldChar w:fldCharType="begin"/>
            </w:r>
            <w:r>
              <w:rPr>
                <w:webHidden/>
              </w:rPr>
              <w:instrText xml:space="preserve"> PAGEREF _Toc487037263 \h </w:instrText>
            </w:r>
            <w:r>
              <w:rPr>
                <w:webHidden/>
              </w:rPr>
            </w:r>
            <w:r>
              <w:rPr>
                <w:webHidden/>
              </w:rPr>
              <w:fldChar w:fldCharType="separate"/>
            </w:r>
            <w:r>
              <w:rPr>
                <w:webHidden/>
              </w:rPr>
              <w:t>3-448</w:t>
            </w:r>
            <w:r>
              <w:rPr>
                <w:webHidden/>
              </w:rPr>
              <w:fldChar w:fldCharType="end"/>
            </w:r>
          </w:hyperlink>
        </w:p>
        <w:p w:rsidR="00DE563D" w:rsidRDefault="001046E2" w:rsidP="001046E2">
          <w:pPr>
            <w:pStyle w:val="TOC1"/>
          </w:pPr>
          <w:r>
            <w:fldChar w:fldCharType="end"/>
          </w:r>
        </w:p>
      </w:sdtContent>
    </w:sdt>
    <w:p w:rsidR="00DE563D" w:rsidRDefault="00C84560">
      <w:pPr>
        <w:spacing w:line="240" w:lineRule="auto"/>
      </w:pPr>
      <w:r>
        <w:t xml:space="preserve"> </w:t>
      </w:r>
    </w:p>
    <w:p w:rsidR="00DE563D" w:rsidRDefault="00DE563D" w:rsidP="00CC7A1C">
      <w:pPr>
        <w:pStyle w:val="UnnumberedHeading"/>
        <w:numPr>
          <w:ilvl w:val="0"/>
          <w:numId w:val="23"/>
        </w:numPr>
      </w:pPr>
      <w:bookmarkStart w:id="8" w:name="_Toc404700925"/>
      <w:bookmarkStart w:id="9" w:name="_Toc487037125"/>
      <w:r>
        <w:t>Shortened forms</w:t>
      </w:r>
      <w:bookmarkEnd w:id="8"/>
      <w:bookmarkEnd w:id="9"/>
    </w:p>
    <w:tbl>
      <w:tblPr>
        <w:tblStyle w:val="AERtable-text0"/>
        <w:tblW w:w="0" w:type="auto"/>
        <w:tblLook w:val="04A0" w:firstRow="1" w:lastRow="0" w:firstColumn="1" w:lastColumn="0" w:noHBand="0" w:noVBand="1"/>
      </w:tblPr>
      <w:tblGrid>
        <w:gridCol w:w="4340"/>
        <w:gridCol w:w="4353"/>
      </w:tblGrid>
      <w:tr w:rsidR="00F64702" w:rsidTr="00F64702">
        <w:trPr>
          <w:cnfStyle w:val="100000000000" w:firstRow="1" w:lastRow="0" w:firstColumn="0" w:lastColumn="0" w:oddVBand="0" w:evenVBand="0" w:oddHBand="0" w:evenHBand="0"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Shortened form</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Extended form</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AER</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Australian Energy Regulator</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ATO</w:t>
            </w:r>
          </w:p>
        </w:tc>
        <w:tc>
          <w:tcPr>
            <w:tcW w:w="4353" w:type="dxa"/>
            <w:tcBorders>
              <w:top w:val="nil"/>
              <w:left w:val="nil"/>
              <w:bottom w:val="nil"/>
              <w:right w:val="nil"/>
            </w:tcBorders>
            <w:hideMark/>
          </w:tcPr>
          <w:p w:rsidR="00F64702" w:rsidRPr="00F64702" w:rsidRDefault="00F64702" w:rsidP="00F64702">
            <w:r w:rsidRPr="00F64702">
              <w:t>Australian Tax Office</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capex</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capital expenditure</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CAPM</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capital asset pricing model</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CPI</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consumer price index</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DRP</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debt risk premium</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ECM</w:t>
            </w:r>
          </w:p>
        </w:tc>
        <w:tc>
          <w:tcPr>
            <w:tcW w:w="4353" w:type="dxa"/>
            <w:tcBorders>
              <w:top w:val="nil"/>
              <w:left w:val="nil"/>
              <w:bottom w:val="nil"/>
              <w:right w:val="nil"/>
            </w:tcBorders>
            <w:hideMark/>
          </w:tcPr>
          <w:p w:rsidR="00F64702" w:rsidRPr="00F64702" w:rsidRDefault="00F64702" w:rsidP="00F64702">
            <w:r w:rsidRPr="00F64702">
              <w:t>(Opex) Efficiency Carryover Mechanism</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ERP</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equity risk premium</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Expenditure Guideline</w:t>
            </w:r>
          </w:p>
        </w:tc>
        <w:tc>
          <w:tcPr>
            <w:tcW w:w="4353" w:type="dxa"/>
            <w:tcBorders>
              <w:top w:val="nil"/>
              <w:left w:val="nil"/>
              <w:bottom w:val="nil"/>
              <w:right w:val="nil"/>
            </w:tcBorders>
            <w:hideMark/>
          </w:tcPr>
          <w:p w:rsidR="00F64702" w:rsidRPr="00F64702" w:rsidRDefault="00F64702" w:rsidP="00F64702">
            <w:r w:rsidRPr="00F64702">
              <w:t>Expenditure Forecast Assessment Guideline</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gamma</w:t>
            </w:r>
          </w:p>
        </w:tc>
        <w:tc>
          <w:tcPr>
            <w:tcW w:w="4353" w:type="dxa"/>
            <w:tcBorders>
              <w:top w:val="nil"/>
              <w:left w:val="nil"/>
              <w:bottom w:val="nil"/>
              <w:right w:val="nil"/>
            </w:tcBorders>
            <w:hideMark/>
          </w:tcPr>
          <w:p w:rsidR="00F64702" w:rsidRPr="00F64702" w:rsidRDefault="00F64702" w:rsidP="00F64702">
            <w:r w:rsidRPr="00F64702">
              <w:t>Value of Imputation Credits</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MRP</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market risk premium</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NGL</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National Gas Law</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NGO</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national gas objective</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NGR</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National Gas Rules</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NPV</w:t>
            </w:r>
          </w:p>
        </w:tc>
        <w:tc>
          <w:tcPr>
            <w:tcW w:w="4353" w:type="dxa"/>
            <w:tcBorders>
              <w:top w:val="nil"/>
              <w:left w:val="nil"/>
              <w:bottom w:val="nil"/>
              <w:right w:val="nil"/>
            </w:tcBorders>
            <w:hideMark/>
          </w:tcPr>
          <w:p w:rsidR="00F64702" w:rsidRPr="00F64702" w:rsidRDefault="00F64702" w:rsidP="00F64702">
            <w:r w:rsidRPr="00F64702">
              <w:t>net present value</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opex</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operating expenditure</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PTRM</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post-tax revenue model</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RBA</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Reserve Bank of Australia</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RFM</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roll forward model</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RIN</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regulatory information notice</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RPP</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revenue and pricing principles</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SLCAPM</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Sharpe-Lintner capital asset pricing model</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STTM</w:t>
            </w:r>
          </w:p>
        </w:tc>
        <w:tc>
          <w:tcPr>
            <w:tcW w:w="4353" w:type="dxa"/>
            <w:tcBorders>
              <w:top w:val="nil"/>
              <w:left w:val="nil"/>
              <w:bottom w:val="nil"/>
              <w:right w:val="nil"/>
            </w:tcBorders>
            <w:hideMark/>
          </w:tcPr>
          <w:p w:rsidR="00F64702" w:rsidRPr="00F64702" w:rsidRDefault="00F64702" w:rsidP="00F64702">
            <w:r w:rsidRPr="00F64702">
              <w:t>Short Term Trading Market</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TAB</w:t>
            </w:r>
          </w:p>
        </w:tc>
        <w:tc>
          <w:tcPr>
            <w:tcW w:w="4353" w:type="dxa"/>
            <w:tcBorders>
              <w:top w:val="nil"/>
              <w:left w:val="nil"/>
              <w:bottom w:val="nil"/>
              <w:right w:val="nil"/>
            </w:tcBorders>
            <w:hideMark/>
          </w:tcPr>
          <w:p w:rsidR="00F64702" w:rsidRPr="00F64702" w:rsidRDefault="00F64702" w:rsidP="00F64702">
            <w:r w:rsidRPr="00F64702">
              <w:t>Tax asset base</w:t>
            </w:r>
          </w:p>
        </w:tc>
      </w:tr>
      <w:tr w:rsidR="00F64702" w:rsidTr="00F64702">
        <w:tc>
          <w:tcPr>
            <w:tcW w:w="4340" w:type="dxa"/>
            <w:tcBorders>
              <w:top w:val="nil"/>
              <w:left w:val="nil"/>
              <w:bottom w:val="nil"/>
              <w:right w:val="nil"/>
            </w:tcBorders>
            <w:hideMark/>
          </w:tcPr>
          <w:p w:rsidR="00F64702" w:rsidRPr="00F64702" w:rsidRDefault="00F64702" w:rsidP="00F64702">
            <w:pPr>
              <w:numPr>
                <w:ilvl w:val="0"/>
                <w:numId w:val="24"/>
              </w:numPr>
            </w:pPr>
            <w:r w:rsidRPr="00F64702">
              <w:t>UAFG</w:t>
            </w:r>
          </w:p>
        </w:tc>
        <w:tc>
          <w:tcPr>
            <w:tcW w:w="4353" w:type="dxa"/>
            <w:tcBorders>
              <w:top w:val="nil"/>
              <w:left w:val="nil"/>
              <w:bottom w:val="nil"/>
              <w:right w:val="nil"/>
            </w:tcBorders>
            <w:hideMark/>
          </w:tcPr>
          <w:p w:rsidR="00F64702" w:rsidRPr="00F64702" w:rsidRDefault="00F64702" w:rsidP="00F64702">
            <w:r w:rsidRPr="00F64702">
              <w:t>Unaccounted for gas</w:t>
            </w:r>
          </w:p>
        </w:tc>
      </w:tr>
      <w:tr w:rsidR="00F64702" w:rsidTr="00F64702">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F64702" w:rsidRPr="00F64702" w:rsidRDefault="00F64702" w:rsidP="00F64702">
            <w:pPr>
              <w:numPr>
                <w:ilvl w:val="0"/>
                <w:numId w:val="24"/>
              </w:numPr>
            </w:pPr>
            <w:r w:rsidRPr="00F64702">
              <w:t>WACC</w:t>
            </w:r>
          </w:p>
        </w:tc>
        <w:tc>
          <w:tcPr>
            <w:tcW w:w="4353" w:type="dxa"/>
            <w:tcBorders>
              <w:top w:val="nil"/>
              <w:left w:val="nil"/>
              <w:bottom w:val="nil"/>
              <w:right w:val="nil"/>
            </w:tcBorders>
            <w:hideMark/>
          </w:tcPr>
          <w:p w:rsidR="00F64702" w:rsidRPr="00F64702" w:rsidRDefault="00F64702" w:rsidP="00F64702">
            <w:pPr>
              <w:numPr>
                <w:ilvl w:val="0"/>
                <w:numId w:val="24"/>
              </w:numPr>
            </w:pPr>
            <w:r w:rsidRPr="00F64702">
              <w:t>weighted average cost of capital</w:t>
            </w:r>
          </w:p>
        </w:tc>
      </w:tr>
      <w:tr w:rsidR="00F64702" w:rsidTr="00F64702">
        <w:tc>
          <w:tcPr>
            <w:tcW w:w="4340" w:type="dxa"/>
            <w:tcBorders>
              <w:top w:val="nil"/>
              <w:left w:val="nil"/>
              <w:bottom w:val="single" w:sz="4" w:space="0" w:color="365F91"/>
              <w:right w:val="nil"/>
            </w:tcBorders>
            <w:hideMark/>
          </w:tcPr>
          <w:p w:rsidR="00F64702" w:rsidRPr="00F64702" w:rsidRDefault="00F64702" w:rsidP="00F64702">
            <w:pPr>
              <w:numPr>
                <w:ilvl w:val="0"/>
                <w:numId w:val="24"/>
              </w:numPr>
            </w:pPr>
            <w:r w:rsidRPr="00F64702">
              <w:t>WPI</w:t>
            </w:r>
          </w:p>
        </w:tc>
        <w:tc>
          <w:tcPr>
            <w:tcW w:w="4353" w:type="dxa"/>
            <w:tcBorders>
              <w:top w:val="nil"/>
              <w:left w:val="nil"/>
              <w:bottom w:val="single" w:sz="4" w:space="0" w:color="365F91"/>
              <w:right w:val="nil"/>
            </w:tcBorders>
            <w:hideMark/>
          </w:tcPr>
          <w:p w:rsidR="00F64702" w:rsidRPr="00F64702" w:rsidRDefault="00F64702" w:rsidP="00F64702">
            <w:r w:rsidRPr="00F64702">
              <w:t>Wage Price Index</w:t>
            </w:r>
          </w:p>
        </w:tc>
      </w:tr>
    </w:tbl>
    <w:p w:rsidR="00DE563D" w:rsidRDefault="00DE563D" w:rsidP="00415F31"/>
    <w:p w:rsidR="00F64702" w:rsidRDefault="00F64702" w:rsidP="00415F31"/>
    <w:p w:rsidR="00415F31" w:rsidRPr="00271F7C" w:rsidRDefault="00415F31" w:rsidP="00415F31"/>
    <w:p w:rsidR="00DE563D" w:rsidRPr="00436A39" w:rsidRDefault="00DE563D" w:rsidP="00CC7A1C">
      <w:pPr>
        <w:numPr>
          <w:ilvl w:val="0"/>
          <w:numId w:val="24"/>
        </w:numPr>
      </w:pPr>
    </w:p>
    <w:p w:rsidR="00DE563D" w:rsidRDefault="00DE563D" w:rsidP="00DE563D"/>
    <w:p w:rsidR="00351675" w:rsidRDefault="00351675" w:rsidP="00351675">
      <w:pPr>
        <w:pStyle w:val="Heading1"/>
      </w:pPr>
      <w:bookmarkStart w:id="10" w:name="_Toc403144138"/>
      <w:bookmarkStart w:id="11" w:name="_Toc487037126"/>
      <w:r>
        <w:t>Rate of return</w:t>
      </w:r>
      <w:bookmarkEnd w:id="11"/>
    </w:p>
    <w:p w:rsidR="00351675" w:rsidRPr="00874B16" w:rsidRDefault="00351675" w:rsidP="00351675">
      <w:bookmarkStart w:id="12" w:name="_Toc403144136"/>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t>d</w:t>
      </w:r>
      <w:r w:rsidRPr="00796C00">
        <w:t xml:space="preserve"> as a product of the rate of return and the value of the regulatory asset base (RAB). The rate of return is discussed in this attachment.</w:t>
      </w:r>
    </w:p>
    <w:p w:rsidR="00351675" w:rsidRPr="001754EE" w:rsidRDefault="00FD04E8" w:rsidP="00351675">
      <w:pPr>
        <w:pStyle w:val="Heading2"/>
      </w:pPr>
      <w:r>
        <w:t xml:space="preserve"> </w:t>
      </w:r>
      <w:bookmarkStart w:id="13" w:name="_Toc487037127"/>
      <w:r w:rsidR="0012247B">
        <w:t>Draft</w:t>
      </w:r>
      <w:r w:rsidR="0012247B" w:rsidRPr="001754EE">
        <w:t xml:space="preserve"> </w:t>
      </w:r>
      <w:r w:rsidR="00351675" w:rsidRPr="001754EE">
        <w:t>decision</w:t>
      </w:r>
      <w:bookmarkEnd w:id="12"/>
      <w:bookmarkEnd w:id="13"/>
    </w:p>
    <w:p w:rsidR="00351675" w:rsidRDefault="00A4740A" w:rsidP="00CC7A1C">
      <w:pPr>
        <w:numPr>
          <w:ilvl w:val="0"/>
          <w:numId w:val="24"/>
        </w:numPr>
      </w:pPr>
      <w:bookmarkStart w:id="14" w:name="_Toc403144137"/>
      <w:r>
        <w:t xml:space="preserve">Our </w:t>
      </w:r>
      <w:r w:rsidR="0012247B">
        <w:t xml:space="preserve">draft </w:t>
      </w:r>
      <w:r>
        <w:t xml:space="preserve">decision is to </w:t>
      </w:r>
      <w:r w:rsidR="0012247B">
        <w:t xml:space="preserve">reject </w:t>
      </w:r>
      <w:r w:rsidR="00EC0040">
        <w:t>APTPPL</w:t>
      </w:r>
      <w:r w:rsidR="0012247B">
        <w:t>'s</w:t>
      </w:r>
      <w:r>
        <w:t xml:space="preserve"> proposal</w:t>
      </w:r>
      <w:r>
        <w:rPr>
          <w:rStyle w:val="FootnoteReference"/>
        </w:rPr>
        <w:footnoteReference w:id="2"/>
      </w:r>
      <w:r>
        <w:t xml:space="preserve"> </w:t>
      </w:r>
      <w:r w:rsidR="00AC6B06">
        <w:t>and determine</w:t>
      </w:r>
      <w:r>
        <w:t xml:space="preserve"> an allowed rate of return of </w:t>
      </w:r>
      <w:r w:rsidR="00F11B68">
        <w:t>5.75</w:t>
      </w:r>
      <w:r>
        <w:t xml:space="preserve"> per cent (nominal vanilla). We are satisfied that this rate of return </w:t>
      </w:r>
      <w:r w:rsidR="00351675">
        <w:t xml:space="preserve">achieves the </w:t>
      </w:r>
      <w:r w:rsidR="00351675" w:rsidRPr="00E75E61">
        <w:t xml:space="preserve">allowed </w:t>
      </w:r>
      <w:r w:rsidR="00351675">
        <w:t>rate of return objective (ARORO).</w:t>
      </w:r>
      <w:r w:rsidR="00351675">
        <w:rPr>
          <w:rStyle w:val="FootnoteReference"/>
        </w:rPr>
        <w:footnoteReference w:id="3"/>
      </w:r>
      <w:r w:rsidR="00351675">
        <w:t xml:space="preserve"> That is, we are satisfied that this allowed rate of return is commensurate with the efficient financing costs of a benchmark efficient entity with a similar degree of risk as that which applies </w:t>
      </w:r>
      <w:r w:rsidR="002E6DEE">
        <w:t>APTPPL</w:t>
      </w:r>
      <w:r w:rsidR="00351675">
        <w:t xml:space="preserve"> in providing </w:t>
      </w:r>
      <w:r w:rsidR="00AC6B06">
        <w:t>reference</w:t>
      </w:r>
      <w:r w:rsidR="00C75E74">
        <w:t xml:space="preserve"> services</w:t>
      </w:r>
      <w:r w:rsidR="00351675">
        <w:t>.</w:t>
      </w:r>
      <w:r w:rsidR="00351675">
        <w:rPr>
          <w:rStyle w:val="FootnoteReference"/>
        </w:rPr>
        <w:footnoteReference w:id="4"/>
      </w:r>
    </w:p>
    <w:p w:rsidR="00351675" w:rsidRDefault="00351675" w:rsidP="00CC7A1C">
      <w:pPr>
        <w:numPr>
          <w:ilvl w:val="0"/>
          <w:numId w:val="24"/>
        </w:numPr>
      </w:pPr>
      <w:r>
        <w:t xml:space="preserve">This allowed rate of return will apply to </w:t>
      </w:r>
      <w:r w:rsidR="00AB4624">
        <w:t>APTPPL</w:t>
      </w:r>
      <w:r w:rsidR="002651FF">
        <w:t xml:space="preserve"> </w:t>
      </w:r>
      <w:r>
        <w:t xml:space="preserve">for </w:t>
      </w:r>
      <w:r w:rsidR="00364EE4">
        <w:t>201</w:t>
      </w:r>
      <w:r w:rsidR="00AB4624">
        <w:t>7–18</w:t>
      </w:r>
      <w:r>
        <w:t xml:space="preserve">. A different rate of return will apply to </w:t>
      </w:r>
      <w:r w:rsidR="00AB4624">
        <w:t xml:space="preserve">APTPPL </w:t>
      </w:r>
      <w:r>
        <w:t>for the remaining regulatory years of the</w:t>
      </w:r>
      <w:r w:rsidR="00C75E74">
        <w:t xml:space="preserve"> </w:t>
      </w:r>
      <w:r w:rsidR="00364EE4">
        <w:t>201</w:t>
      </w:r>
      <w:r w:rsidR="00AB4624">
        <w:t>7</w:t>
      </w:r>
      <w:r w:rsidR="00364EE4">
        <w:t>–2022</w:t>
      </w:r>
      <w:r w:rsidR="00C75E74">
        <w:t xml:space="preserve"> </w:t>
      </w:r>
      <w:r w:rsidR="00364EE4">
        <w:t>access arrangement</w:t>
      </w:r>
      <w:r w:rsidR="00C75E74">
        <w:t xml:space="preserve"> period</w:t>
      </w:r>
      <w:r>
        <w:t xml:space="preserve">. This is because we will update the return on debt component of the rate of return each year to partially reflect prevailing debt market conditions in each year. We discuss this annual update further below. </w:t>
      </w:r>
    </w:p>
    <w:p w:rsidR="00351675" w:rsidRDefault="00351675" w:rsidP="006E5878">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w:t>
      </w:r>
      <w:r w:rsidR="002651FF">
        <w:t>Gas</w:t>
      </w:r>
      <w:r>
        <w:t xml:space="preserve"> Objective (N</w:t>
      </w:r>
      <w:r w:rsidR="002651FF">
        <w:t>G</w:t>
      </w:r>
      <w:r>
        <w:t>O).</w:t>
      </w:r>
      <w:r>
        <w:rPr>
          <w:rStyle w:val="FootnoteReference"/>
        </w:rPr>
        <w:footnoteReference w:id="7"/>
      </w:r>
      <w:r>
        <w:t xml:space="preserve"> Our rate of return and </w:t>
      </w:r>
      <w:r w:rsidR="00AB4624">
        <w:t xml:space="preserve">APTPPL's </w:t>
      </w:r>
      <w:r>
        <w:t>proposed rate of return is set out in the following</w:t>
      </w:r>
      <w:r w:rsidR="00DE084F">
        <w:t xml:space="preserve"> table </w:t>
      </w:r>
      <w:r w:rsidR="00DE084F" w:rsidRPr="00DE084F">
        <w:t>3</w:t>
      </w:r>
      <w:r w:rsidR="00DE084F" w:rsidRPr="00DE084F">
        <w:noBreakHyphen/>
        <w:t>1</w:t>
      </w:r>
      <w:r>
        <w:t>.</w:t>
      </w:r>
      <w:bookmarkStart w:id="15" w:name="_Ref451439268"/>
    </w:p>
    <w:p w:rsidR="002C24D6" w:rsidRDefault="002C24D6" w:rsidP="00CC7A1C">
      <w:pPr>
        <w:pStyle w:val="Caption"/>
        <w:numPr>
          <w:ilvl w:val="0"/>
          <w:numId w:val="24"/>
        </w:numPr>
      </w:pPr>
    </w:p>
    <w:p w:rsidR="002C24D6" w:rsidRDefault="002C24D6" w:rsidP="00CC7A1C">
      <w:pPr>
        <w:pStyle w:val="Caption"/>
        <w:numPr>
          <w:ilvl w:val="0"/>
          <w:numId w:val="24"/>
        </w:numPr>
      </w:pPr>
    </w:p>
    <w:p w:rsidR="00351675" w:rsidRDefault="00351675" w:rsidP="00CC7A1C">
      <w:pPr>
        <w:pStyle w:val="Caption"/>
        <w:numPr>
          <w:ilvl w:val="0"/>
          <w:numId w:val="24"/>
        </w:numPr>
      </w:pPr>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w:t>
      </w:r>
      <w:r w:rsidR="002C24D6">
        <w:rPr>
          <w:noProof/>
        </w:rPr>
        <w:fldChar w:fldCharType="end"/>
      </w:r>
      <w:bookmarkEnd w:id="15"/>
      <w:r>
        <w:tab/>
      </w:r>
      <w:r w:rsidR="00AC6B06">
        <w:t>Draft</w:t>
      </w:r>
      <w:r>
        <w:t xml:space="preserve"> decision on </w:t>
      </w:r>
      <w:r w:rsidR="00AB4624">
        <w:t xml:space="preserve">APTPPL's </w:t>
      </w:r>
      <w:r>
        <w:t>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002B0F" w:rsidRPr="00351675" w:rsidTr="00721978">
        <w:trPr>
          <w:cnfStyle w:val="100000000000" w:firstRow="1" w:lastRow="0" w:firstColumn="0" w:lastColumn="0" w:oddVBand="0" w:evenVBand="0" w:oddHBand="0" w:evenHBand="0" w:firstRowFirstColumn="0" w:firstRowLastColumn="0" w:lastRowFirstColumn="0" w:lastRowLastColumn="0"/>
        </w:trPr>
        <w:tc>
          <w:tcPr>
            <w:tcW w:w="1123" w:type="pct"/>
          </w:tcPr>
          <w:p w:rsidR="00002B0F" w:rsidRPr="00002B0F" w:rsidRDefault="00002B0F" w:rsidP="00002B0F">
            <w:pPr>
              <w:pStyle w:val="ListParagraph"/>
              <w:numPr>
                <w:ilvl w:val="0"/>
                <w:numId w:val="24"/>
              </w:numPr>
            </w:pPr>
          </w:p>
        </w:tc>
        <w:tc>
          <w:tcPr>
            <w:tcW w:w="970" w:type="pct"/>
          </w:tcPr>
          <w:p w:rsidR="00002B0F" w:rsidRPr="00002B0F" w:rsidRDefault="00002B0F" w:rsidP="00002B0F">
            <w:r w:rsidRPr="00E71176">
              <w:t>Previous allowed return (201</w:t>
            </w:r>
            <w:r w:rsidRPr="00002B0F">
              <w:t>2-17)</w:t>
            </w:r>
          </w:p>
        </w:tc>
        <w:tc>
          <w:tcPr>
            <w:tcW w:w="1067" w:type="pct"/>
          </w:tcPr>
          <w:p w:rsidR="00002B0F" w:rsidRPr="00002B0F" w:rsidRDefault="00002B0F" w:rsidP="00002B0F">
            <w:r>
              <w:t>APTPPL</w:t>
            </w:r>
            <w:r w:rsidRPr="00002B0F">
              <w:t>'s proposal (2017-22)</w:t>
            </w:r>
          </w:p>
        </w:tc>
        <w:tc>
          <w:tcPr>
            <w:tcW w:w="736" w:type="pct"/>
          </w:tcPr>
          <w:p w:rsidR="00002B0F" w:rsidRPr="00002B0F" w:rsidRDefault="00002B0F" w:rsidP="00002B0F">
            <w:r w:rsidRPr="00E71176">
              <w:t>AER draft decision (2018)</w:t>
            </w:r>
          </w:p>
        </w:tc>
        <w:tc>
          <w:tcPr>
            <w:tcW w:w="1104" w:type="pct"/>
          </w:tcPr>
          <w:p w:rsidR="00002B0F" w:rsidRPr="00002B0F" w:rsidRDefault="00002B0F" w:rsidP="00002B0F">
            <w:r w:rsidRPr="00E71176">
              <w:t>Allowed return over 2018 regulatory  control period</w:t>
            </w:r>
          </w:p>
        </w:tc>
      </w:tr>
      <w:tr w:rsidR="00002B0F" w:rsidRPr="00351675" w:rsidTr="00721978">
        <w:tc>
          <w:tcPr>
            <w:tcW w:w="1123" w:type="pct"/>
          </w:tcPr>
          <w:p w:rsidR="00002B0F" w:rsidRPr="00002B0F" w:rsidRDefault="00002B0F" w:rsidP="00002B0F">
            <w:r w:rsidRPr="00E71176">
              <w:t xml:space="preserve">Return on equity    (nominal post–tax) </w:t>
            </w:r>
          </w:p>
        </w:tc>
        <w:tc>
          <w:tcPr>
            <w:tcW w:w="970" w:type="pct"/>
          </w:tcPr>
          <w:p w:rsidR="00002B0F" w:rsidRPr="00002B0F" w:rsidRDefault="00002B0F" w:rsidP="00002B0F">
            <w:r>
              <w:t>7.75</w:t>
            </w:r>
          </w:p>
        </w:tc>
        <w:tc>
          <w:tcPr>
            <w:tcW w:w="1067" w:type="pct"/>
          </w:tcPr>
          <w:p w:rsidR="00002B0F" w:rsidRPr="00002B0F" w:rsidRDefault="00002B0F" w:rsidP="00002B0F">
            <w:r>
              <w:t>8.3</w:t>
            </w:r>
            <w:r w:rsidRPr="00002B0F">
              <w:t>9</w:t>
            </w:r>
          </w:p>
        </w:tc>
        <w:tc>
          <w:tcPr>
            <w:tcW w:w="736" w:type="pct"/>
          </w:tcPr>
          <w:p w:rsidR="00002B0F" w:rsidRPr="00002B0F" w:rsidRDefault="00002B0F" w:rsidP="00002B0F">
            <w:r w:rsidRPr="00E71176">
              <w:t>7.2</w:t>
            </w:r>
          </w:p>
        </w:tc>
        <w:tc>
          <w:tcPr>
            <w:tcW w:w="1104" w:type="pct"/>
          </w:tcPr>
          <w:p w:rsidR="00002B0F" w:rsidRPr="00002B0F" w:rsidRDefault="00002B0F" w:rsidP="00002B0F">
            <w:r w:rsidRPr="00E71176">
              <w:t>Constant   (7.2%</w:t>
            </w:r>
          </w:p>
        </w:tc>
      </w:tr>
      <w:tr w:rsidR="00002B0F" w:rsidRPr="00351675" w:rsidTr="00721978">
        <w:trPr>
          <w:cnfStyle w:val="000000010000" w:firstRow="0" w:lastRow="0" w:firstColumn="0" w:lastColumn="0" w:oddVBand="0" w:evenVBand="0" w:oddHBand="0" w:evenHBand="1" w:firstRowFirstColumn="0" w:firstRowLastColumn="0" w:lastRowFirstColumn="0" w:lastRowLastColumn="0"/>
        </w:trPr>
        <w:tc>
          <w:tcPr>
            <w:tcW w:w="1123" w:type="pct"/>
          </w:tcPr>
          <w:p w:rsidR="00002B0F" w:rsidRPr="00002B0F" w:rsidRDefault="00002B0F" w:rsidP="00002B0F">
            <w:r w:rsidRPr="00E71176">
              <w:t>Return on debt      (nominal pre–tax)</w:t>
            </w:r>
          </w:p>
        </w:tc>
        <w:tc>
          <w:tcPr>
            <w:tcW w:w="970" w:type="pct"/>
          </w:tcPr>
          <w:p w:rsidR="00002B0F" w:rsidRPr="00002B0F" w:rsidRDefault="00002B0F" w:rsidP="00002B0F">
            <w:r>
              <w:t>7.01</w:t>
            </w:r>
          </w:p>
        </w:tc>
        <w:tc>
          <w:tcPr>
            <w:tcW w:w="1067" w:type="pct"/>
          </w:tcPr>
          <w:p w:rsidR="00002B0F" w:rsidRPr="00002B0F" w:rsidRDefault="00002B0F" w:rsidP="00002B0F">
            <w:r>
              <w:t>7.26</w:t>
            </w:r>
          </w:p>
        </w:tc>
        <w:tc>
          <w:tcPr>
            <w:tcW w:w="736" w:type="pct"/>
          </w:tcPr>
          <w:p w:rsidR="00002B0F" w:rsidRPr="00002B0F" w:rsidRDefault="00002B0F" w:rsidP="00002B0F">
            <w:r w:rsidRPr="00E71176">
              <w:t>4.79</w:t>
            </w:r>
          </w:p>
        </w:tc>
        <w:tc>
          <w:tcPr>
            <w:tcW w:w="1104" w:type="pct"/>
          </w:tcPr>
          <w:p w:rsidR="00002B0F" w:rsidRPr="00002B0F" w:rsidRDefault="00002B0F" w:rsidP="00002B0F">
            <w:r w:rsidRPr="00E71176">
              <w:t>Updated annually</w:t>
            </w:r>
          </w:p>
        </w:tc>
      </w:tr>
      <w:tr w:rsidR="00002B0F" w:rsidRPr="00351675" w:rsidTr="00721978">
        <w:tc>
          <w:tcPr>
            <w:tcW w:w="1123" w:type="pct"/>
          </w:tcPr>
          <w:p w:rsidR="00002B0F" w:rsidRPr="00002B0F" w:rsidRDefault="00002B0F" w:rsidP="00002B0F">
            <w:r w:rsidRPr="00E71176">
              <w:t>Gearing</w:t>
            </w:r>
          </w:p>
        </w:tc>
        <w:tc>
          <w:tcPr>
            <w:tcW w:w="970" w:type="pct"/>
          </w:tcPr>
          <w:p w:rsidR="00002B0F" w:rsidRPr="00002B0F" w:rsidRDefault="00002B0F" w:rsidP="00002B0F">
            <w:r w:rsidRPr="00E71176">
              <w:t>60</w:t>
            </w:r>
          </w:p>
        </w:tc>
        <w:tc>
          <w:tcPr>
            <w:tcW w:w="1067" w:type="pct"/>
          </w:tcPr>
          <w:p w:rsidR="00002B0F" w:rsidRPr="00002B0F" w:rsidRDefault="00002B0F" w:rsidP="00002B0F">
            <w:r w:rsidRPr="00E71176">
              <w:t>60</w:t>
            </w:r>
          </w:p>
        </w:tc>
        <w:tc>
          <w:tcPr>
            <w:tcW w:w="736" w:type="pct"/>
          </w:tcPr>
          <w:p w:rsidR="00002B0F" w:rsidRPr="00002B0F" w:rsidRDefault="00002B0F" w:rsidP="00002B0F">
            <w:r w:rsidRPr="00E71176">
              <w:t>60</w:t>
            </w:r>
          </w:p>
        </w:tc>
        <w:tc>
          <w:tcPr>
            <w:tcW w:w="1104" w:type="pct"/>
          </w:tcPr>
          <w:p w:rsidR="00002B0F" w:rsidRPr="00002B0F" w:rsidRDefault="00002B0F" w:rsidP="00002B0F">
            <w:r w:rsidRPr="00E71176">
              <w:t>Constant   (60%)</w:t>
            </w:r>
          </w:p>
        </w:tc>
      </w:tr>
      <w:tr w:rsidR="00002B0F" w:rsidRPr="00351675" w:rsidTr="00721978">
        <w:trPr>
          <w:cnfStyle w:val="000000010000" w:firstRow="0" w:lastRow="0" w:firstColumn="0" w:lastColumn="0" w:oddVBand="0" w:evenVBand="0" w:oddHBand="0" w:evenHBand="1" w:firstRowFirstColumn="0" w:firstRowLastColumn="0" w:lastRowFirstColumn="0" w:lastRowLastColumn="0"/>
        </w:trPr>
        <w:tc>
          <w:tcPr>
            <w:tcW w:w="1123" w:type="pct"/>
          </w:tcPr>
          <w:p w:rsidR="00002B0F" w:rsidRPr="00002B0F" w:rsidRDefault="00002B0F" w:rsidP="00002B0F">
            <w:r w:rsidRPr="00E71176">
              <w:t>Nominal vanilla WACC</w:t>
            </w:r>
          </w:p>
        </w:tc>
        <w:tc>
          <w:tcPr>
            <w:tcW w:w="970" w:type="pct"/>
          </w:tcPr>
          <w:p w:rsidR="00002B0F" w:rsidRPr="00002B0F" w:rsidRDefault="00002B0F" w:rsidP="00002B0F">
            <w:r>
              <w:t>7.</w:t>
            </w:r>
            <w:r w:rsidRPr="00002B0F">
              <w:t>31</w:t>
            </w:r>
          </w:p>
        </w:tc>
        <w:tc>
          <w:tcPr>
            <w:tcW w:w="1067" w:type="pct"/>
          </w:tcPr>
          <w:p w:rsidR="00002B0F" w:rsidRPr="00002B0F" w:rsidRDefault="00002B0F" w:rsidP="00002B0F">
            <w:r>
              <w:t>7.7</w:t>
            </w:r>
          </w:p>
        </w:tc>
        <w:tc>
          <w:tcPr>
            <w:tcW w:w="736" w:type="pct"/>
          </w:tcPr>
          <w:p w:rsidR="00002B0F" w:rsidRPr="00002B0F" w:rsidRDefault="00002B0F" w:rsidP="00002B0F">
            <w:r w:rsidRPr="00E71176">
              <w:t>5.75</w:t>
            </w:r>
          </w:p>
        </w:tc>
        <w:tc>
          <w:tcPr>
            <w:tcW w:w="1104" w:type="pct"/>
          </w:tcPr>
          <w:p w:rsidR="00002B0F" w:rsidRPr="00002B0F" w:rsidRDefault="00002B0F" w:rsidP="00002B0F">
            <w:r w:rsidRPr="00E71176">
              <w:t>Updated annually for return on debt</w:t>
            </w:r>
          </w:p>
        </w:tc>
      </w:tr>
      <w:tr w:rsidR="00002B0F" w:rsidRPr="00351675" w:rsidTr="00721978">
        <w:tc>
          <w:tcPr>
            <w:tcW w:w="1123" w:type="pct"/>
          </w:tcPr>
          <w:p w:rsidR="00002B0F" w:rsidRPr="00002B0F" w:rsidRDefault="00002B0F" w:rsidP="00002B0F">
            <w:r w:rsidRPr="00E71176">
              <w:t>Forecast inflation</w:t>
            </w:r>
          </w:p>
        </w:tc>
        <w:tc>
          <w:tcPr>
            <w:tcW w:w="970" w:type="pct"/>
          </w:tcPr>
          <w:p w:rsidR="00002B0F" w:rsidRPr="00002B0F" w:rsidRDefault="00002B0F" w:rsidP="00002B0F">
            <w:r w:rsidRPr="00E71176">
              <w:t>2.5</w:t>
            </w:r>
            <w:r w:rsidRPr="00002B0F">
              <w:t>5</w:t>
            </w:r>
          </w:p>
        </w:tc>
        <w:tc>
          <w:tcPr>
            <w:tcW w:w="1067" w:type="pct"/>
          </w:tcPr>
          <w:p w:rsidR="00002B0F" w:rsidRPr="00002B0F" w:rsidRDefault="00002B0F" w:rsidP="00002B0F">
            <w:r>
              <w:t>2.3</w:t>
            </w:r>
          </w:p>
        </w:tc>
        <w:tc>
          <w:tcPr>
            <w:tcW w:w="736" w:type="pct"/>
          </w:tcPr>
          <w:p w:rsidR="00002B0F" w:rsidRPr="00002B0F" w:rsidRDefault="00002B0F" w:rsidP="00002B0F">
            <w:r w:rsidRPr="00E71176">
              <w:t>2.</w:t>
            </w:r>
            <w:r w:rsidRPr="00002B0F">
              <w:t>45</w:t>
            </w:r>
          </w:p>
        </w:tc>
        <w:tc>
          <w:tcPr>
            <w:tcW w:w="1104" w:type="pct"/>
          </w:tcPr>
          <w:p w:rsidR="00002B0F" w:rsidRPr="00002B0F" w:rsidRDefault="00002B0F" w:rsidP="00002B0F">
            <w:r w:rsidRPr="00E71176">
              <w:t>Constant   (%)</w:t>
            </w:r>
          </w:p>
        </w:tc>
      </w:tr>
    </w:tbl>
    <w:p w:rsidR="00002B0F" w:rsidRPr="00E71176" w:rsidRDefault="00002B0F" w:rsidP="00002B0F">
      <w:pPr>
        <w:pStyle w:val="AERtablesource"/>
      </w:pPr>
      <w:r w:rsidRPr="00E71176">
        <w:t>Source:</w:t>
      </w:r>
      <w:r w:rsidRPr="00E71176">
        <w:tab/>
        <w:t xml:space="preserve">AER analysis; </w:t>
      </w:r>
      <w:r>
        <w:t xml:space="preserve">APTPPL, </w:t>
      </w:r>
      <w:r w:rsidRPr="00F83DAA">
        <w:rPr>
          <w:rStyle w:val="AERtextitalic"/>
        </w:rPr>
        <w:t>2017 - 2022 RBP Access Arrangement revision submission</w:t>
      </w:r>
      <w:r>
        <w:t>, 16 September, 2016, p. 130, 157, 163, 171.</w:t>
      </w:r>
    </w:p>
    <w:p w:rsidR="00351675" w:rsidRDefault="00351675" w:rsidP="00351675">
      <w:r>
        <w:t xml:space="preserve">Our return on equity estimate is </w:t>
      </w:r>
      <w:r w:rsidR="00640B09">
        <w:t>7.</w:t>
      </w:r>
      <w:r w:rsidR="002651FF">
        <w:t>2</w:t>
      </w:r>
      <w:r w:rsidR="008748DA">
        <w:t xml:space="preserve"> </w:t>
      </w:r>
      <w:r>
        <w:t xml:space="preserve">per cent. This rate will apply to </w:t>
      </w:r>
      <w:r w:rsidR="00002B0F">
        <w:t>APTPPL</w:t>
      </w:r>
      <w:r>
        <w:t xml:space="preserve"> in each regulatory year. Our return on debt estimate for the </w:t>
      </w:r>
      <w:r w:rsidR="00364EE4">
        <w:t>201</w:t>
      </w:r>
      <w:r w:rsidR="00002B0F">
        <w:t>7–</w:t>
      </w:r>
      <w:r w:rsidR="00364EE4">
        <w:t>8</w:t>
      </w:r>
      <w:r>
        <w:t xml:space="preserve"> regulatory year is </w:t>
      </w:r>
      <w:r w:rsidR="00F11B68">
        <w:t>4.79</w:t>
      </w:r>
      <w:r>
        <w:t xml:space="preserve"> per cent. This estimate will change each year as we partially update the return on debt to reflect prevailing interest rates over </w:t>
      </w:r>
      <w:r w:rsidR="00002B0F">
        <w:t>APTPPL</w:t>
      </w:r>
      <w:r w:rsidR="002651FF">
        <w:t>'s</w:t>
      </w:r>
      <w:r>
        <w:t xml:space="preserve"> debt averaging period in each year. Our return on debt estimate for future regulatory years will be determined in accordance with the methodology and formulae we have specified in this decision. Due to updating the return on debt each year, the overall rate of return and </w:t>
      </w:r>
      <w:r w:rsidR="00002B0F">
        <w:t>APTPPL</w:t>
      </w:r>
      <w:r w:rsidR="009F0978">
        <w:t>'</w:t>
      </w:r>
      <w:r w:rsidR="002651FF">
        <w:t>s</w:t>
      </w:r>
      <w:r>
        <w:t xml:space="preserve"> revenue will also be updated.</w:t>
      </w:r>
    </w:p>
    <w:p w:rsidR="00351675" w:rsidRDefault="00351675" w:rsidP="00CC7A1C">
      <w:pPr>
        <w:numPr>
          <w:ilvl w:val="0"/>
          <w:numId w:val="24"/>
        </w:numPr>
      </w:pPr>
      <w:r>
        <w:t xml:space="preserve">We agree with </w:t>
      </w:r>
      <w:r w:rsidR="00002B0F">
        <w:t>APTPPL</w:t>
      </w:r>
      <w:r w:rsidR="002651FF">
        <w:t>'s</w:t>
      </w:r>
      <w:r>
        <w:t xml:space="preserve"> </w:t>
      </w:r>
      <w:r w:rsidR="00DF0600">
        <w:t>adoption</w:t>
      </w:r>
      <w:r w:rsidR="009F0978">
        <w:t xml:space="preserve"> of the Guideline foundation model approach in its </w:t>
      </w:r>
      <w:r>
        <w:t>rate of return proposal</w:t>
      </w:r>
      <w:r w:rsidR="009F0978">
        <w:t>, specifically</w:t>
      </w:r>
      <w:r>
        <w:t>:</w:t>
      </w:r>
      <w:r>
        <w:rPr>
          <w:rStyle w:val="FootnoteReference"/>
        </w:rPr>
        <w:footnoteReference w:id="8"/>
      </w:r>
    </w:p>
    <w:p w:rsidR="00351675" w:rsidRPr="00796C00" w:rsidRDefault="00351675" w:rsidP="00351675">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351675" w:rsidRDefault="00351675" w:rsidP="00351675">
      <w:pPr>
        <w:pStyle w:val="AERbulletlistfirststyle"/>
      </w:pPr>
      <w:r>
        <w:t>adopting a 60</w:t>
      </w:r>
      <w:r w:rsidRPr="00796C00">
        <w:t xml:space="preserve"> per cent gearing ratio</w:t>
      </w:r>
    </w:p>
    <w:p w:rsidR="00351675" w:rsidRDefault="00351675" w:rsidP="00351675">
      <w:pPr>
        <w:pStyle w:val="AERbulletlistfirststyle"/>
      </w:pPr>
      <w:r>
        <w:t>adopting a 10 year term for the return on debt</w:t>
      </w:r>
    </w:p>
    <w:p w:rsidR="00351675" w:rsidRDefault="00351675" w:rsidP="00351675">
      <w:pPr>
        <w:pStyle w:val="AERbulletlistfirststyle"/>
      </w:pPr>
      <w:r>
        <w:t>applying our method of extrapolating third party data series and updating the return on debt each year</w:t>
      </w:r>
    </w:p>
    <w:p w:rsidR="00232F6B" w:rsidRDefault="00351675" w:rsidP="00351675">
      <w:pPr>
        <w:pStyle w:val="AERbulletlistfirststyle"/>
      </w:pPr>
      <w:r>
        <w:t>estimating the return on debt by reference to a third party data series</w:t>
      </w:r>
    </w:p>
    <w:p w:rsidR="00232F6B" w:rsidRDefault="00232F6B" w:rsidP="00232F6B">
      <w:pPr>
        <w:pStyle w:val="AERbulletlistfirststyle"/>
      </w:pPr>
      <w:r>
        <w:t xml:space="preserve">adopting the Sharpe-Lintner CAPM as the foundation model </w:t>
      </w:r>
    </w:p>
    <w:p w:rsidR="00351675" w:rsidRDefault="00125A18" w:rsidP="00351675">
      <w:pPr>
        <w:pStyle w:val="AERbulletlistfirststyle"/>
      </w:pPr>
      <w:r>
        <w:t xml:space="preserve">estimating </w:t>
      </w:r>
      <w:r w:rsidR="00351675">
        <w:t xml:space="preserve">the risk free rate used in the return on equity with nominal Commonwealth government securities (CGS) averaged over 20 business days as close as practical to the commencement of the regulatory control period </w:t>
      </w:r>
    </w:p>
    <w:p w:rsidR="00351675" w:rsidRDefault="00351675" w:rsidP="00CC7A1C">
      <w:pPr>
        <w:numPr>
          <w:ilvl w:val="0"/>
          <w:numId w:val="24"/>
        </w:numPr>
      </w:pPr>
      <w:r>
        <w:t xml:space="preserve">Our </w:t>
      </w:r>
      <w:r w:rsidRPr="00B174EF">
        <w:t>return on equity estimate</w:t>
      </w:r>
      <w:r>
        <w:t xml:space="preserve"> for this </w:t>
      </w:r>
      <w:r w:rsidR="002651FF">
        <w:t xml:space="preserve">draft </w:t>
      </w:r>
      <w:r>
        <w:t>decision</w:t>
      </w:r>
      <w:r w:rsidRPr="00B174EF">
        <w:t xml:space="preserve"> </w:t>
      </w:r>
      <w:r>
        <w:t xml:space="preserve">is </w:t>
      </w:r>
      <w:r w:rsidR="00640B09">
        <w:t>7.</w:t>
      </w:r>
      <w:r w:rsidR="002651FF">
        <w:t>2</w:t>
      </w:r>
      <w:r w:rsidR="008748DA">
        <w:t xml:space="preserve"> </w:t>
      </w:r>
      <w:r w:rsidRPr="00B174EF">
        <w:t>per cent</w:t>
      </w:r>
      <w:r>
        <w:t>.</w:t>
      </w:r>
      <w:r w:rsidRPr="0083677A">
        <w:t xml:space="preserve"> </w:t>
      </w:r>
      <w:r>
        <w:t>We derived this estimate by applying the same approach we applied to determine the allowed return on equity in our most recent decisions.</w:t>
      </w:r>
      <w:r>
        <w:rPr>
          <w:rStyle w:val="FootnoteReference"/>
        </w:rPr>
        <w:footnoteReference w:id="9"/>
      </w:r>
      <w:r>
        <w:t xml:space="preserve"> The Australian Competition Tribunal (Tribunal) </w:t>
      </w:r>
      <w:r w:rsidR="00AC6B06">
        <w:t xml:space="preserve">has </w:t>
      </w:r>
      <w:r>
        <w:t>upheld this approach.</w:t>
      </w:r>
      <w:r>
        <w:rPr>
          <w:rStyle w:val="FootnoteReference"/>
        </w:rPr>
        <w:footnoteReference w:id="10"/>
      </w:r>
      <w:r>
        <w:t xml:space="preserve"> This approach entails applying the Guideline approach referred to as the foundation model approach.</w:t>
      </w:r>
      <w:r>
        <w:rPr>
          <w:rStyle w:val="FootnoteReference"/>
        </w:rPr>
        <w:footnoteReference w:id="11"/>
      </w:r>
      <w:r>
        <w:t xml:space="preserve"> We applied th</w:t>
      </w:r>
      <w:r w:rsidR="00364EE4">
        <w:t>e</w:t>
      </w:r>
      <w:r>
        <w:t xml:space="preserve"> same approach in </w:t>
      </w:r>
      <w:r w:rsidR="00364EE4">
        <w:t>previous</w:t>
      </w:r>
      <w:r w:rsidR="00A13D81">
        <w:t xml:space="preserve"> </w:t>
      </w:r>
      <w:r>
        <w:t>decision</w:t>
      </w:r>
      <w:r w:rsidR="00364EE4">
        <w:t>s</w:t>
      </w:r>
      <w:r>
        <w:t>.</w:t>
      </w:r>
      <w:r>
        <w:rPr>
          <w:rStyle w:val="FootnoteReference"/>
        </w:rPr>
        <w:footnoteReference w:id="12"/>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2C24D6" w:rsidRDefault="00351675" w:rsidP="0030019B">
      <w:r>
        <w:t>Our return on equity point estimate and the parameter inputs are set out in</w:t>
      </w:r>
      <w:r>
        <w:fldChar w:fldCharType="begin"/>
      </w:r>
      <w:r>
        <w:instrText xml:space="preserve"> REF  _Ref451344737 \* Lower \h </w:instrText>
      </w:r>
      <w:r w:rsidR="00BC2F8E">
        <w:instrText xml:space="preserve"> \* MERGEFORMAT </w:instrText>
      </w:r>
      <w:r>
        <w:fldChar w:fldCharType="separate"/>
      </w:r>
    </w:p>
    <w:p w:rsidR="00351675" w:rsidRDefault="002C24D6" w:rsidP="0030019B">
      <w:r>
        <w:t xml:space="preserve">table </w:t>
      </w:r>
      <w:r>
        <w:rPr>
          <w:noProof/>
        </w:rPr>
        <w:t>3</w:t>
      </w:r>
      <w:r>
        <w:rPr>
          <w:noProof/>
        </w:rPr>
        <w:noBreakHyphen/>
        <w:t>2</w:t>
      </w:r>
      <w:r w:rsidR="00351675">
        <w:fldChar w:fldCharType="end"/>
      </w:r>
      <w:r w:rsidR="00351675">
        <w:t xml:space="preserve">. </w:t>
      </w:r>
      <w:bookmarkStart w:id="16" w:name="_Ref451344737"/>
    </w:p>
    <w:p w:rsidR="00351675" w:rsidRDefault="00351675" w:rsidP="00351675">
      <w:pPr>
        <w:pStyle w:val="Caption"/>
      </w:pPr>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w:t>
      </w:r>
      <w:r w:rsidR="002C24D6">
        <w:rPr>
          <w:noProof/>
        </w:rPr>
        <w:fldChar w:fldCharType="end"/>
      </w:r>
      <w:bookmarkEnd w:id="16"/>
      <w:r>
        <w:tab/>
      </w:r>
      <w:r w:rsidR="002651FF">
        <w:t xml:space="preserve">Draft </w:t>
      </w:r>
      <w:r>
        <w:t xml:space="preserve">decision on </w:t>
      </w:r>
      <w:r w:rsidR="004A6C5A">
        <w:t xml:space="preserve">APTPPL's </w:t>
      </w:r>
      <w:r>
        <w:t>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4A6C5A" w:rsidRPr="0036067E" w:rsidTr="00721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A6C5A" w:rsidRPr="00E71176" w:rsidRDefault="004A6C5A" w:rsidP="004A6C5A"/>
        </w:tc>
        <w:tc>
          <w:tcPr>
            <w:tcW w:w="1177" w:type="pct"/>
          </w:tcPr>
          <w:p w:rsidR="004A6C5A" w:rsidRPr="004A6C5A" w:rsidRDefault="004A6C5A" w:rsidP="004A6C5A">
            <w:pPr>
              <w:cnfStyle w:val="100000000000" w:firstRow="1" w:lastRow="0" w:firstColumn="0" w:lastColumn="0" w:oddVBand="0" w:evenVBand="0" w:oddHBand="0" w:evenHBand="0" w:firstRowFirstColumn="0" w:firstRowLastColumn="0" w:lastRowFirstColumn="0" w:lastRowLastColumn="0"/>
            </w:pPr>
            <w:r w:rsidRPr="00E71176">
              <w:t>AER previous decision (201</w:t>
            </w:r>
            <w:r w:rsidRPr="004A6C5A">
              <w:t>2–17)</w:t>
            </w:r>
          </w:p>
        </w:tc>
        <w:tc>
          <w:tcPr>
            <w:tcW w:w="1386" w:type="pct"/>
          </w:tcPr>
          <w:p w:rsidR="004A6C5A" w:rsidRPr="004A6C5A" w:rsidRDefault="004A6C5A" w:rsidP="004A6C5A">
            <w:pPr>
              <w:cnfStyle w:val="100000000000" w:firstRow="1" w:lastRow="0" w:firstColumn="0" w:lastColumn="0" w:oddVBand="0" w:evenVBand="0" w:oddHBand="0" w:evenHBand="0" w:firstRowFirstColumn="0" w:firstRowLastColumn="0" w:lastRowFirstColumn="0" w:lastRowLastColumn="0"/>
            </w:pPr>
            <w:r>
              <w:t>APTPPL</w:t>
            </w:r>
            <w:r w:rsidRPr="004A6C5A">
              <w:t>'s proposal (2017–22)</w:t>
            </w:r>
          </w:p>
        </w:tc>
        <w:tc>
          <w:tcPr>
            <w:tcW w:w="1187" w:type="pct"/>
          </w:tcPr>
          <w:p w:rsidR="004A6C5A" w:rsidRPr="004A6C5A" w:rsidRDefault="004A6C5A" w:rsidP="004A6C5A">
            <w:pPr>
              <w:cnfStyle w:val="100000000000" w:firstRow="1" w:lastRow="0" w:firstColumn="0" w:lastColumn="0" w:oddVBand="0" w:evenVBand="0" w:oddHBand="0" w:evenHBand="0" w:firstRowFirstColumn="0" w:firstRowLastColumn="0" w:lastRowFirstColumn="0" w:lastRowLastColumn="0"/>
            </w:pPr>
            <w:r w:rsidRPr="00E71176">
              <w:t>AER draft decision (2017-18)</w:t>
            </w:r>
          </w:p>
        </w:tc>
      </w:tr>
      <w:tr w:rsidR="004A6C5A" w:rsidRPr="00BD56F3" w:rsidTr="00721978">
        <w:tc>
          <w:tcPr>
            <w:cnfStyle w:val="001000000000" w:firstRow="0" w:lastRow="0" w:firstColumn="1" w:lastColumn="0" w:oddVBand="0" w:evenVBand="0" w:oddHBand="0" w:evenHBand="0" w:firstRowFirstColumn="0" w:firstRowLastColumn="0" w:lastRowFirstColumn="0" w:lastRowLastColumn="0"/>
            <w:tcW w:w="1250" w:type="pct"/>
          </w:tcPr>
          <w:p w:rsidR="004A6C5A" w:rsidRPr="004A6C5A" w:rsidRDefault="004A6C5A" w:rsidP="004A6C5A">
            <w:r w:rsidRPr="00E71176">
              <w:t>Nominal risk free rate (return on equity only)</w:t>
            </w:r>
          </w:p>
        </w:tc>
        <w:tc>
          <w:tcPr>
            <w:tcW w:w="1177"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t>2.95</w:t>
            </w:r>
            <w:r w:rsidRPr="004A6C5A">
              <w:t>%</w:t>
            </w:r>
          </w:p>
        </w:tc>
        <w:tc>
          <w:tcPr>
            <w:tcW w:w="1386"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rPr>
                <w:rStyle w:val="AERsuperscript"/>
              </w:rPr>
            </w:pPr>
            <w:r w:rsidRPr="00E71176">
              <w:t>1.9</w:t>
            </w:r>
            <w:r w:rsidRPr="004A6C5A">
              <w:t>4%</w:t>
            </w:r>
            <w:r w:rsidRPr="004A6C5A">
              <w:rPr>
                <w:rStyle w:val="AERsuperscript"/>
              </w:rPr>
              <w:t>a</w:t>
            </w:r>
          </w:p>
        </w:tc>
        <w:tc>
          <w:tcPr>
            <w:tcW w:w="1187"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rPr>
                <w:rStyle w:val="AERsuperscript"/>
              </w:rPr>
            </w:pPr>
            <w:r w:rsidRPr="00E71176">
              <w:t>2.6%</w:t>
            </w:r>
            <w:r w:rsidRPr="004A6C5A">
              <w:rPr>
                <w:rStyle w:val="AERsuperscript"/>
              </w:rPr>
              <w:t>b</w:t>
            </w:r>
          </w:p>
        </w:tc>
      </w:tr>
      <w:tr w:rsidR="004A6C5A" w:rsidRPr="00BD56F3" w:rsidTr="0072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A6C5A" w:rsidRPr="004A6C5A" w:rsidRDefault="004A6C5A" w:rsidP="004A6C5A">
            <w:r w:rsidRPr="00E71176">
              <w:t xml:space="preserve">Equity risk premium </w:t>
            </w:r>
          </w:p>
        </w:tc>
        <w:tc>
          <w:tcPr>
            <w:tcW w:w="1177" w:type="pct"/>
          </w:tcPr>
          <w:p w:rsidR="004A6C5A" w:rsidRPr="004A6C5A" w:rsidRDefault="004A6C5A" w:rsidP="004A6C5A">
            <w:pPr>
              <w:cnfStyle w:val="000000010000" w:firstRow="0" w:lastRow="0" w:firstColumn="0" w:lastColumn="0" w:oddVBand="0" w:evenVBand="0" w:oddHBand="0" w:evenHBand="1" w:firstRowFirstColumn="0" w:firstRowLastColumn="0" w:lastRowFirstColumn="0" w:lastRowLastColumn="0"/>
            </w:pPr>
            <w:r w:rsidRPr="00E71176">
              <w:t>4.8%</w:t>
            </w:r>
          </w:p>
        </w:tc>
        <w:tc>
          <w:tcPr>
            <w:tcW w:w="1386" w:type="pct"/>
          </w:tcPr>
          <w:p w:rsidR="004A6C5A" w:rsidRPr="004A6C5A" w:rsidRDefault="004A6C5A" w:rsidP="004A6C5A">
            <w:pPr>
              <w:cnfStyle w:val="000000010000" w:firstRow="0" w:lastRow="0" w:firstColumn="0" w:lastColumn="0" w:oddVBand="0" w:evenVBand="0" w:oddHBand="0" w:evenHBand="1" w:firstRowFirstColumn="0" w:firstRowLastColumn="0" w:lastRowFirstColumn="0" w:lastRowLastColumn="0"/>
            </w:pPr>
            <w:r>
              <w:t>6.45</w:t>
            </w:r>
            <w:r w:rsidRPr="004A6C5A">
              <w:t>%</w:t>
            </w:r>
          </w:p>
        </w:tc>
        <w:tc>
          <w:tcPr>
            <w:tcW w:w="1187" w:type="pct"/>
          </w:tcPr>
          <w:p w:rsidR="004A6C5A" w:rsidRPr="004A6C5A" w:rsidRDefault="004A6C5A" w:rsidP="004A6C5A">
            <w:pPr>
              <w:cnfStyle w:val="000000010000" w:firstRow="0" w:lastRow="0" w:firstColumn="0" w:lastColumn="0" w:oddVBand="0" w:evenVBand="0" w:oddHBand="0" w:evenHBand="1" w:firstRowFirstColumn="0" w:firstRowLastColumn="0" w:lastRowFirstColumn="0" w:lastRowLastColumn="0"/>
            </w:pPr>
            <w:r w:rsidRPr="00E71176">
              <w:t>4.55%</w:t>
            </w:r>
          </w:p>
        </w:tc>
      </w:tr>
      <w:tr w:rsidR="004A6C5A" w:rsidRPr="00BD56F3" w:rsidTr="00721978">
        <w:tc>
          <w:tcPr>
            <w:cnfStyle w:val="001000000000" w:firstRow="0" w:lastRow="0" w:firstColumn="1" w:lastColumn="0" w:oddVBand="0" w:evenVBand="0" w:oddHBand="0" w:evenHBand="0" w:firstRowFirstColumn="0" w:firstRowLastColumn="0" w:lastRowFirstColumn="0" w:lastRowLastColumn="0"/>
            <w:tcW w:w="1250" w:type="pct"/>
          </w:tcPr>
          <w:p w:rsidR="004A6C5A" w:rsidRPr="004A6C5A" w:rsidRDefault="004A6C5A" w:rsidP="004A6C5A">
            <w:r>
              <w:t>Market risk premium</w:t>
            </w:r>
          </w:p>
        </w:tc>
        <w:tc>
          <w:tcPr>
            <w:tcW w:w="1177"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rsidRPr="00E71176">
              <w:t>6%</w:t>
            </w:r>
          </w:p>
        </w:tc>
        <w:tc>
          <w:tcPr>
            <w:tcW w:w="1386"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t>8.06</w:t>
            </w:r>
            <w:r w:rsidRPr="004A6C5A">
              <w:t>%</w:t>
            </w:r>
          </w:p>
        </w:tc>
        <w:tc>
          <w:tcPr>
            <w:tcW w:w="1187"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rsidRPr="00E71176">
              <w:t>6.5%</w:t>
            </w:r>
          </w:p>
        </w:tc>
      </w:tr>
      <w:tr w:rsidR="004A6C5A" w:rsidRPr="00BD56F3" w:rsidTr="00721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A6C5A" w:rsidRPr="004A6C5A" w:rsidRDefault="004A6C5A" w:rsidP="004A6C5A">
            <w:r w:rsidRPr="00E71176">
              <w:t>Equity beta</w:t>
            </w:r>
          </w:p>
        </w:tc>
        <w:tc>
          <w:tcPr>
            <w:tcW w:w="1177" w:type="pct"/>
          </w:tcPr>
          <w:p w:rsidR="004A6C5A" w:rsidRPr="004A6C5A" w:rsidRDefault="004A6C5A" w:rsidP="004A6C5A">
            <w:pPr>
              <w:cnfStyle w:val="000000010000" w:firstRow="0" w:lastRow="0" w:firstColumn="0" w:lastColumn="0" w:oddVBand="0" w:evenVBand="0" w:oddHBand="0" w:evenHBand="1" w:firstRowFirstColumn="0" w:firstRowLastColumn="0" w:lastRowFirstColumn="0" w:lastRowLastColumn="0"/>
            </w:pPr>
            <w:r w:rsidRPr="00E71176">
              <w:t>0.8</w:t>
            </w:r>
          </w:p>
        </w:tc>
        <w:tc>
          <w:tcPr>
            <w:tcW w:w="1386" w:type="pct"/>
          </w:tcPr>
          <w:p w:rsidR="004A6C5A" w:rsidRPr="004A6C5A" w:rsidRDefault="004A6C5A" w:rsidP="004A6C5A">
            <w:pPr>
              <w:cnfStyle w:val="000000010000" w:firstRow="0" w:lastRow="0" w:firstColumn="0" w:lastColumn="0" w:oddVBand="0" w:evenVBand="0" w:oddHBand="0" w:evenHBand="1" w:firstRowFirstColumn="0" w:firstRowLastColumn="0" w:lastRowFirstColumn="0" w:lastRowLastColumn="0"/>
            </w:pPr>
            <w:r w:rsidRPr="00E71176">
              <w:t>0.</w:t>
            </w:r>
            <w:r w:rsidRPr="004A6C5A">
              <w:t>8</w:t>
            </w:r>
          </w:p>
        </w:tc>
        <w:tc>
          <w:tcPr>
            <w:tcW w:w="1187" w:type="pct"/>
          </w:tcPr>
          <w:p w:rsidR="004A6C5A" w:rsidRPr="004A6C5A" w:rsidRDefault="004A6C5A" w:rsidP="004A6C5A">
            <w:pPr>
              <w:cnfStyle w:val="000000010000" w:firstRow="0" w:lastRow="0" w:firstColumn="0" w:lastColumn="0" w:oddVBand="0" w:evenVBand="0" w:oddHBand="0" w:evenHBand="1" w:firstRowFirstColumn="0" w:firstRowLastColumn="0" w:lastRowFirstColumn="0" w:lastRowLastColumn="0"/>
            </w:pPr>
            <w:r w:rsidRPr="00E71176">
              <w:t>0.7</w:t>
            </w:r>
          </w:p>
        </w:tc>
      </w:tr>
      <w:tr w:rsidR="004A6C5A" w:rsidRPr="00BD56F3" w:rsidTr="00721978">
        <w:tc>
          <w:tcPr>
            <w:cnfStyle w:val="001000000000" w:firstRow="0" w:lastRow="0" w:firstColumn="1" w:lastColumn="0" w:oddVBand="0" w:evenVBand="0" w:oddHBand="0" w:evenHBand="0" w:firstRowFirstColumn="0" w:firstRowLastColumn="0" w:lastRowFirstColumn="0" w:lastRowLastColumn="0"/>
            <w:tcW w:w="1250" w:type="pct"/>
          </w:tcPr>
          <w:p w:rsidR="004A6C5A" w:rsidRPr="004A6C5A" w:rsidRDefault="004A6C5A" w:rsidP="004A6C5A">
            <w:r w:rsidRPr="00E71176">
              <w:t xml:space="preserve">Nominal post–tax return on equity </w:t>
            </w:r>
          </w:p>
        </w:tc>
        <w:tc>
          <w:tcPr>
            <w:tcW w:w="1177"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t>7.75</w:t>
            </w:r>
            <w:r w:rsidRPr="004A6C5A">
              <w:t>%</w:t>
            </w:r>
          </w:p>
        </w:tc>
        <w:tc>
          <w:tcPr>
            <w:tcW w:w="1386"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rsidRPr="00E71176">
              <w:t>8.3</w:t>
            </w:r>
            <w:r w:rsidRPr="004A6C5A">
              <w:t>9%</w:t>
            </w:r>
          </w:p>
        </w:tc>
        <w:tc>
          <w:tcPr>
            <w:tcW w:w="1187" w:type="pct"/>
          </w:tcPr>
          <w:p w:rsidR="004A6C5A" w:rsidRPr="004A6C5A" w:rsidRDefault="004A6C5A" w:rsidP="004A6C5A">
            <w:pPr>
              <w:cnfStyle w:val="000000000000" w:firstRow="0" w:lastRow="0" w:firstColumn="0" w:lastColumn="0" w:oddVBand="0" w:evenVBand="0" w:oddHBand="0" w:evenHBand="0" w:firstRowFirstColumn="0" w:firstRowLastColumn="0" w:lastRowFirstColumn="0" w:lastRowLastColumn="0"/>
            </w:pPr>
            <w:r w:rsidRPr="00E71176">
              <w:t>7.2%</w:t>
            </w:r>
          </w:p>
        </w:tc>
      </w:tr>
    </w:tbl>
    <w:p w:rsidR="004A6C5A" w:rsidRPr="00E71176" w:rsidRDefault="004A6C5A" w:rsidP="004A6C5A">
      <w:pPr>
        <w:pStyle w:val="AERtablesource"/>
      </w:pPr>
      <w:r w:rsidRPr="00E71176">
        <w:t>Source:</w:t>
      </w:r>
      <w:r w:rsidRPr="00E71176">
        <w:tab/>
        <w:t xml:space="preserve">AER analysis; </w:t>
      </w:r>
      <w:r>
        <w:t xml:space="preserve">APTPPL, </w:t>
      </w:r>
      <w:r w:rsidRPr="00F83DAA">
        <w:rPr>
          <w:rStyle w:val="AERtextitalic"/>
        </w:rPr>
        <w:t>2017 - 2022 RBP Access Arrangement revision submission</w:t>
      </w:r>
      <w:r>
        <w:t>, 16 September, 2016, p. 130, 133, 157, 163, 171.</w:t>
      </w:r>
    </w:p>
    <w:p w:rsidR="00A07CE8" w:rsidRDefault="004A6C5A" w:rsidP="00272584">
      <w:pPr>
        <w:pStyle w:val="AERtablesource"/>
        <w:rPr>
          <w:rStyle w:val="AERtextsize8"/>
          <w:rFonts w:eastAsia="Calibri"/>
          <w:b/>
          <w:bCs/>
          <w:szCs w:val="20"/>
          <w:lang w:eastAsia="en-AU"/>
        </w:rPr>
      </w:pPr>
      <w:r w:rsidRPr="00E71176">
        <w:rPr>
          <w:rStyle w:val="AERtextsize8"/>
        </w:rPr>
        <w:tab/>
      </w:r>
      <w:r w:rsidRPr="00E71176">
        <w:rPr>
          <w:rStyle w:val="AERsuperscript"/>
        </w:rPr>
        <w:t xml:space="preserve">a </w:t>
      </w:r>
      <w:r w:rsidRPr="00E71176">
        <w:rPr>
          <w:rStyle w:val="AERtextsize8"/>
        </w:rPr>
        <w:t xml:space="preserve">Based on </w:t>
      </w:r>
      <w:r>
        <w:rPr>
          <w:rStyle w:val="AERtextsize8"/>
        </w:rPr>
        <w:t>APTPPL</w:t>
      </w:r>
      <w:r w:rsidRPr="00E71176">
        <w:rPr>
          <w:rStyle w:val="AERtextsize8"/>
        </w:rPr>
        <w:t xml:space="preserve">'s indicative averaging period adopted for its proposal of </w:t>
      </w:r>
      <w:r>
        <w:rPr>
          <w:rStyle w:val="AERtextsize8"/>
        </w:rPr>
        <w:t>20 business days to</w:t>
      </w:r>
      <w:r w:rsidRPr="00E71176">
        <w:rPr>
          <w:rStyle w:val="AERtextsize8"/>
        </w:rPr>
        <w:t xml:space="preserve"> </w:t>
      </w:r>
      <w:r>
        <w:rPr>
          <w:rStyle w:val="AERtextsize8"/>
        </w:rPr>
        <w:t>29 July 2016</w:t>
      </w:r>
    </w:p>
    <w:p w:rsidR="004A6C5A" w:rsidRPr="004A6C5A" w:rsidRDefault="00A07CE8" w:rsidP="00272584">
      <w:pPr>
        <w:pStyle w:val="AERtablesource"/>
      </w:pPr>
      <w:r>
        <w:rPr>
          <w:rStyle w:val="AERtextsize8"/>
        </w:rPr>
        <w:tab/>
      </w:r>
      <w:r w:rsidR="004A6C5A" w:rsidRPr="004A6C5A">
        <w:rPr>
          <w:rStyle w:val="AERsuperscript"/>
        </w:rPr>
        <w:t xml:space="preserve">b </w:t>
      </w:r>
      <w:r w:rsidR="004A6C5A" w:rsidRPr="004A6C5A">
        <w:rPr>
          <w:rStyle w:val="AERtextsize8"/>
        </w:rPr>
        <w:t>Calculated with a placeholder averaging period of 20 business days up to 28 April 2017.</w:t>
      </w:r>
    </w:p>
    <w:p w:rsidR="00351675" w:rsidRPr="00A23B57" w:rsidRDefault="00351675" w:rsidP="00272584">
      <w:pPr>
        <w:pStyle w:val="AERtablesource"/>
        <w:ind w:left="0" w:firstLine="0"/>
      </w:pPr>
    </w:p>
    <w:p w:rsidR="00351675" w:rsidRPr="00BF711B" w:rsidRDefault="00351675" w:rsidP="00351675">
      <w:pPr>
        <w:rPr>
          <w:rStyle w:val="AERbody"/>
        </w:rPr>
      </w:pPr>
      <w:r w:rsidRPr="00BF711B">
        <w:rPr>
          <w:rStyle w:val="AERbody"/>
        </w:rPr>
        <w:t>Our decision on the return on debt approach is to:</w:t>
      </w:r>
    </w:p>
    <w:p w:rsidR="00351675" w:rsidRDefault="00351675" w:rsidP="00351675">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w:t>
      </w:r>
      <w:r w:rsidR="00364EE4">
        <w:t>access arrangement</w:t>
      </w:r>
      <w:r>
        <w:t xml:space="preserve"> period</w:t>
      </w:r>
      <w:r w:rsidRPr="00F17A9D">
        <w:t xml:space="preserve">) in </w:t>
      </w:r>
      <w:r w:rsidR="00364EE4">
        <w:t>201</w:t>
      </w:r>
      <w:r w:rsidR="004A6C5A">
        <w:t>7–1</w:t>
      </w:r>
      <w:r w:rsidR="00364EE4">
        <w:t>8</w:t>
      </w:r>
      <w:r w:rsidR="008D18DD">
        <w:t xml:space="preserve"> </w:t>
      </w:r>
      <w:r w:rsidRPr="00F17A9D">
        <w:t>of</w:t>
      </w:r>
      <w:r>
        <w:t xml:space="preserve"> the </w:t>
      </w:r>
      <w:r w:rsidR="00364EE4">
        <w:t>201</w:t>
      </w:r>
      <w:r w:rsidR="004A6C5A">
        <w:t>7</w:t>
      </w:r>
      <w:r w:rsidR="00364EE4">
        <w:t>–2022</w:t>
      </w:r>
      <w:r w:rsidRPr="00F17A9D">
        <w:t xml:space="preserve"> </w:t>
      </w:r>
      <w:r w:rsidR="00364EE4">
        <w:t>access arrangement</w:t>
      </w:r>
      <w:r>
        <w:t xml:space="preserve"> </w:t>
      </w:r>
      <w:r w:rsidRPr="00F17A9D">
        <w:t>period</w:t>
      </w:r>
      <w:r>
        <w:t>, and</w:t>
      </w:r>
    </w:p>
    <w:p w:rsidR="00351675" w:rsidRDefault="00351675" w:rsidP="00351675">
      <w:pPr>
        <w:pStyle w:val="AERbulletlistfirststyle"/>
      </w:pPr>
      <w:r>
        <w:t>gradually transition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3"/>
      </w:r>
    </w:p>
    <w:p w:rsidR="00351675" w:rsidRPr="00235F75" w:rsidRDefault="00351675" w:rsidP="00351675">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4"/>
      </w:r>
      <w:r>
        <w:t xml:space="preserve"> </w:t>
      </w:r>
      <w:r w:rsidRPr="00235F75">
        <w:t xml:space="preserve">Our </w:t>
      </w:r>
      <w:r w:rsidR="000D3361">
        <w:t>draft</w:t>
      </w:r>
      <w:r>
        <w:t xml:space="preserve"> decision is to estimate the return on debt in each regulatory year by reference to</w:t>
      </w:r>
      <w:r w:rsidRPr="00235F75">
        <w:t>:</w:t>
      </w:r>
    </w:p>
    <w:p w:rsidR="00351675" w:rsidRPr="00CC2262" w:rsidRDefault="00351675" w:rsidP="00351675">
      <w:pPr>
        <w:pStyle w:val="AERbulletlistfirststyle"/>
      </w:pPr>
      <w:r w:rsidRPr="00235F75">
        <w:t>a benchmark credit rating of BBB+</w:t>
      </w:r>
    </w:p>
    <w:p w:rsidR="00351675" w:rsidRPr="00CC2262" w:rsidRDefault="00351675" w:rsidP="00351675">
      <w:pPr>
        <w:pStyle w:val="AERbulletlistfirststyle"/>
      </w:pPr>
      <w:r w:rsidRPr="00235F75">
        <w:t>a benchmark term of debt of 10 years</w:t>
      </w:r>
    </w:p>
    <w:p w:rsidR="00351675" w:rsidRPr="00CC2262" w:rsidRDefault="00351675" w:rsidP="00351675">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5"/>
      </w:r>
    </w:p>
    <w:p w:rsidR="00351675" w:rsidRPr="00CC2262" w:rsidRDefault="00351675" w:rsidP="0035167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6"/>
      </w:r>
    </w:p>
    <w:p w:rsidR="0018307A" w:rsidRPr="000A1DD9" w:rsidRDefault="0018307A" w:rsidP="0018307A">
      <w:pPr>
        <w:numPr>
          <w:ilvl w:val="0"/>
          <w:numId w:val="24"/>
        </w:numPr>
      </w:pPr>
      <w:r w:rsidRPr="000A1DD9">
        <w:t>In relation to the choice of data series we note that in the Guideline we proposed to use one or more third party data series to estimate the return on debt.  At that time, however, we had not formed a view on which data series to use. Our April 2014 issues paper outlined how we would make this choice and sought submissions from service providers.  We adopted a simple average of the RBA and Bloomberg data series and our choice was affirmed by the Tribunal.  Since then, however, some service providers including MultiNet in its proposal have proposed making use of the Thomson Reuters 10 year yield curve in addition to or in place of the Bloomberg data series.  We have considered these proposals but maintain our position of using a simple average of the Bloomberg and RBA curves for reasons discussed in section</w:t>
      </w:r>
      <w:r w:rsidR="009A0AD2">
        <w:t xml:space="preserve"> </w:t>
      </w:r>
      <w:r w:rsidR="009A0AD2">
        <w:fldChar w:fldCharType="begin"/>
      </w:r>
      <w:r w:rsidR="009A0AD2">
        <w:instrText xml:space="preserve"> REF _Ref478718271 \r \h </w:instrText>
      </w:r>
      <w:r w:rsidR="009A0AD2">
        <w:fldChar w:fldCharType="separate"/>
      </w:r>
      <w:r w:rsidR="002C24D6">
        <w:t>3.4.2</w:t>
      </w:r>
      <w:r w:rsidR="009A0AD2">
        <w:fldChar w:fldCharType="end"/>
      </w:r>
      <w:r w:rsidRPr="000A1DD9">
        <w:t>.</w:t>
      </w:r>
    </w:p>
    <w:p w:rsidR="0018307A" w:rsidRPr="000A1DD9" w:rsidRDefault="0018307A" w:rsidP="0018307A">
      <w:pPr>
        <w:numPr>
          <w:ilvl w:val="0"/>
          <w:numId w:val="24"/>
        </w:numPr>
      </w:pPr>
      <w:r w:rsidRPr="000A1DD9">
        <w:t>Our formula for automatically updating the return on debt a</w:t>
      </w:r>
      <w:r w:rsidR="009A0AD2">
        <w:t xml:space="preserve">nnually is set out in Appendix </w:t>
      </w:r>
      <w:r w:rsidR="009A0AD2">
        <w:fldChar w:fldCharType="begin"/>
      </w:r>
      <w:r w:rsidR="009A0AD2">
        <w:instrText xml:space="preserve"> REF _Ref485118920 \r \h </w:instrText>
      </w:r>
      <w:r w:rsidR="009A0AD2">
        <w:fldChar w:fldCharType="separate"/>
      </w:r>
      <w:r w:rsidR="002C24D6">
        <w:t>J</w:t>
      </w:r>
      <w:r w:rsidR="009A0AD2">
        <w:fldChar w:fldCharType="end"/>
      </w:r>
      <w:r w:rsidR="009A0AD2">
        <w:t xml:space="preserve"> and </w:t>
      </w:r>
      <w:r w:rsidR="009A0AD2">
        <w:fldChar w:fldCharType="begin"/>
      </w:r>
      <w:r w:rsidR="009A0AD2">
        <w:instrText xml:space="preserve"> REF _Ref484514175 \r \h </w:instrText>
      </w:r>
      <w:r w:rsidR="009A0AD2">
        <w:fldChar w:fldCharType="separate"/>
      </w:r>
      <w:r w:rsidR="002C24D6">
        <w:t>K</w:t>
      </w:r>
      <w:r w:rsidR="009A0AD2">
        <w:fldChar w:fldCharType="end"/>
      </w:r>
      <w:r w:rsidRPr="000A1DD9">
        <w:t xml:space="preserve"> of this decision.</w:t>
      </w:r>
    </w:p>
    <w:p w:rsidR="0018307A" w:rsidRPr="000A1DD9" w:rsidRDefault="0018307A" w:rsidP="0018307A">
      <w:pPr>
        <w:numPr>
          <w:ilvl w:val="0"/>
          <w:numId w:val="24"/>
        </w:numPr>
      </w:pPr>
      <w:r w:rsidRPr="000A1DD9">
        <w:t xml:space="preserve">The approach to estimating debt used in this draft decision (of moving to a trailing average with a full revenue neutral transition) is currently operating for most network businesses including privately owned network businesses, although this issue needs to be reconsidered by the AER for the NSW and ACT regulated businesses </w:t>
      </w:r>
      <w:r w:rsidR="001764A1">
        <w:t xml:space="preserve">following Tribunal and </w:t>
      </w:r>
      <w:r w:rsidRPr="000A1DD9">
        <w:t>the NSW Full Federal Court decisions (Ausgrid, Endeavour Energy, Essential Energy, ActewAGL, and Jemena Gas Networks).  We consider this approach will meet the ARORO and NGO for the reasons set out in this decision. It reflects what we consider to be the best outcome having regard to each of the four mandatory factors that we must have regard to under r.87(11). Detailed discussion of the factors under r87(11) and the ARORO are contained later in this decision.</w:t>
      </w:r>
    </w:p>
    <w:p w:rsidR="0018307A" w:rsidRPr="000A1DD9" w:rsidRDefault="0018307A" w:rsidP="0018307A">
      <w:pPr>
        <w:numPr>
          <w:ilvl w:val="0"/>
          <w:numId w:val="24"/>
        </w:numPr>
      </w:pPr>
      <w:r w:rsidRPr="000A1DD9">
        <w:t>Since we first made the Guidelines in 2013 the</w:t>
      </w:r>
      <w:r w:rsidR="001764A1">
        <w:t>re have been a number of applications for review</w:t>
      </w:r>
      <w:r w:rsidRPr="000A1DD9">
        <w:t xml:space="preserve"> to the Australian Competition Tribunal (ACT) of AER decisions.  There have </w:t>
      </w:r>
      <w:r w:rsidR="001764A1">
        <w:t>also been two applications for judicial review</w:t>
      </w:r>
      <w:r w:rsidRPr="000A1DD9">
        <w:t xml:space="preserve"> of subsequent ACT decisions to the Full Fe</w:t>
      </w:r>
      <w:r w:rsidR="001764A1">
        <w:t>deral Court.  We have taken into account</w:t>
      </w:r>
      <w:r w:rsidRPr="000A1DD9">
        <w:t xml:space="preserve"> the decisions of the ACT and Full Federal Court in making subse</w:t>
      </w:r>
      <w:r w:rsidR="001764A1">
        <w:t>quent decisions.</w:t>
      </w:r>
      <w:r>
        <w:t xml:space="preserve"> Section </w:t>
      </w:r>
      <w:r w:rsidR="009A0AD2">
        <w:fldChar w:fldCharType="begin"/>
      </w:r>
      <w:r w:rsidR="009A0AD2">
        <w:instrText xml:space="preserve"> REF _Ref486953635 \r \h </w:instrText>
      </w:r>
      <w:r w:rsidR="009A0AD2">
        <w:fldChar w:fldCharType="separate"/>
      </w:r>
      <w:r w:rsidR="002C24D6">
        <w:t>3.3.7</w:t>
      </w:r>
      <w:r w:rsidR="009A0AD2">
        <w:fldChar w:fldCharType="end"/>
      </w:r>
      <w:r w:rsidRPr="000A1DD9">
        <w:t xml:space="preserve">provides a high level summary of some of our key considerations in light of these decisions. </w:t>
      </w:r>
    </w:p>
    <w:p w:rsidR="0018307A" w:rsidRPr="000A1DD9" w:rsidRDefault="0018307A" w:rsidP="0018307A">
      <w:pPr>
        <w:numPr>
          <w:ilvl w:val="0"/>
          <w:numId w:val="24"/>
        </w:numPr>
      </w:pPr>
      <w:r w:rsidRPr="000A1DD9">
        <w:t>In this decision, we have considered and responded to relevant submissions and issues raised in relation to past regulatory determination processes, and concurrent determination processes for gas distribution services (AGN</w:t>
      </w:r>
      <w:r>
        <w:t>, Multinet</w:t>
      </w:r>
      <w:r w:rsidRPr="000A1DD9">
        <w:t xml:space="preserve"> and AusNet) and gas transmission services (APA and APTPPL) revenue proposals.  </w:t>
      </w:r>
    </w:p>
    <w:p w:rsidR="00351675" w:rsidRPr="001754EE" w:rsidRDefault="002E6DEE" w:rsidP="00351675">
      <w:pPr>
        <w:pStyle w:val="Heading2"/>
      </w:pPr>
      <w:bookmarkStart w:id="17" w:name="_Toc487037128"/>
      <w:r>
        <w:t xml:space="preserve">APTPPL's </w:t>
      </w:r>
      <w:r w:rsidRPr="001754EE">
        <w:t xml:space="preserve"> </w:t>
      </w:r>
      <w:r w:rsidR="00351675" w:rsidRPr="001754EE">
        <w:t>proposal</w:t>
      </w:r>
      <w:bookmarkEnd w:id="14"/>
      <w:bookmarkEnd w:id="17"/>
    </w:p>
    <w:p w:rsidR="003D1D59" w:rsidRDefault="003D1D59" w:rsidP="003D1D59">
      <w:pPr>
        <w:pStyle w:val="HeadingBoldBlue"/>
      </w:pPr>
      <w:bookmarkStart w:id="18" w:name="_Toc451171515"/>
      <w:r>
        <w:t>Return on equity</w:t>
      </w:r>
    </w:p>
    <w:p w:rsidR="0073458B" w:rsidRDefault="004A6C5A" w:rsidP="00436092">
      <w:pPr>
        <w:numPr>
          <w:ilvl w:val="0"/>
          <w:numId w:val="24"/>
        </w:numPr>
      </w:pPr>
      <w:r>
        <w:t xml:space="preserve">APTPPL </w:t>
      </w:r>
      <w:r w:rsidR="00364EE4">
        <w:t>proposed</w:t>
      </w:r>
      <w:r w:rsidR="0073458B">
        <w:t xml:space="preserve"> a return on equity estimate of </w:t>
      </w:r>
      <w:r w:rsidR="00722D01">
        <w:t>8.39</w:t>
      </w:r>
      <w:r w:rsidR="0073458B">
        <w:t xml:space="preserve"> per cent.</w:t>
      </w:r>
      <w:r w:rsidR="00436092">
        <w:rPr>
          <w:rStyle w:val="FootnoteReference"/>
        </w:rPr>
        <w:footnoteReference w:id="17"/>
      </w:r>
      <w:r w:rsidR="0073458B">
        <w:t xml:space="preserve"> It proposed the use of the Sharpe-Lintner CAPM</w:t>
      </w:r>
      <w:r w:rsidR="00251270">
        <w:t xml:space="preserve"> and the use of 10 year CGS yields to estimate the risk free rate</w:t>
      </w:r>
      <w:r w:rsidR="00436092">
        <w:t>.</w:t>
      </w:r>
      <w:r w:rsidR="0073458B">
        <w:t xml:space="preserve"> </w:t>
      </w:r>
      <w:r w:rsidR="002E6DEE">
        <w:t>APTPPL</w:t>
      </w:r>
      <w:r w:rsidR="00436092">
        <w:t xml:space="preserve">  proposed a market risk premium of </w:t>
      </w:r>
      <w:r w:rsidR="002E6DEE">
        <w:t>8.06</w:t>
      </w:r>
      <w:r w:rsidR="00436092">
        <w:t xml:space="preserve"> per cent</w:t>
      </w:r>
      <w:r w:rsidR="00251270">
        <w:t xml:space="preserve"> and an equity beta of 0.8</w:t>
      </w:r>
      <w:r w:rsidR="00436092">
        <w:t xml:space="preserve"> which </w:t>
      </w:r>
      <w:r w:rsidR="00251270">
        <w:t>are</w:t>
      </w:r>
      <w:r w:rsidR="00436092">
        <w:t xml:space="preserve"> departure</w:t>
      </w:r>
      <w:r w:rsidR="00251270">
        <w:t>s</w:t>
      </w:r>
      <w:r w:rsidR="00436092">
        <w:t xml:space="preserve"> from the Guideline.</w:t>
      </w:r>
      <w:r w:rsidR="00251270">
        <w:rPr>
          <w:rStyle w:val="FootnoteReference"/>
        </w:rPr>
        <w:footnoteReference w:id="18"/>
      </w:r>
    </w:p>
    <w:p w:rsidR="00351675" w:rsidRDefault="00351675" w:rsidP="00CC7A1C">
      <w:pPr>
        <w:pStyle w:val="HeadingBoldBlue"/>
        <w:numPr>
          <w:ilvl w:val="0"/>
          <w:numId w:val="24"/>
        </w:numPr>
      </w:pPr>
      <w:r>
        <w:t>Return on debt</w:t>
      </w:r>
    </w:p>
    <w:p w:rsidR="004926A0" w:rsidRPr="004926A0" w:rsidRDefault="001D7CC2" w:rsidP="001D7CC2">
      <w:pPr>
        <w:pStyle w:val="ListParagraph"/>
        <w:numPr>
          <w:ilvl w:val="0"/>
          <w:numId w:val="24"/>
        </w:numPr>
      </w:pPr>
      <w:r>
        <w:t>APTPPL</w:t>
      </w:r>
      <w:r w:rsidR="0043548D">
        <w:t xml:space="preserve"> proposed to adopt the Guideline approach for  credit rating and term.</w:t>
      </w:r>
      <w:r w:rsidR="0043548D">
        <w:rPr>
          <w:rStyle w:val="FootnoteReference"/>
        </w:rPr>
        <w:footnoteReference w:id="19"/>
      </w:r>
      <w:r w:rsidR="0043548D">
        <w:t xml:space="preserve"> </w:t>
      </w:r>
      <w:r w:rsidR="00D40BFC">
        <w:t xml:space="preserve"> It proposed </w:t>
      </w:r>
      <w:r w:rsidR="0043548D">
        <w:t xml:space="preserve">the return on debt should be estimated </w:t>
      </w:r>
      <w:r w:rsidR="0029130A">
        <w:t>using the RBA curve in exclusion of all other third party curves</w:t>
      </w:r>
      <w:r w:rsidR="0043548D">
        <w:t>.</w:t>
      </w:r>
      <w:r w:rsidR="0043548D">
        <w:rPr>
          <w:rStyle w:val="FootnoteReference"/>
        </w:rPr>
        <w:footnoteReference w:id="20"/>
      </w:r>
      <w:r w:rsidR="0043548D">
        <w:t xml:space="preserve"> </w:t>
      </w:r>
      <w:r w:rsidR="004926A0" w:rsidRPr="004926A0">
        <w:t xml:space="preserve"> </w:t>
      </w:r>
      <w:r w:rsidRPr="001D7CC2">
        <w:t>It also proposed to depart from the Guideline approach for debt transition and adopted an immediate trailing average approach.</w:t>
      </w:r>
      <w:r>
        <w:rPr>
          <w:rStyle w:val="FootnoteReference"/>
        </w:rPr>
        <w:footnoteReference w:id="21"/>
      </w:r>
      <w:r w:rsidRPr="001D7CC2">
        <w:t xml:space="preserve">  </w:t>
      </w:r>
      <w:r w:rsidR="004926A0" w:rsidRPr="004926A0">
        <w:t xml:space="preserve"> </w:t>
      </w:r>
    </w:p>
    <w:p w:rsidR="00DE563D" w:rsidRDefault="00DE563D" w:rsidP="00351675">
      <w:pPr>
        <w:pStyle w:val="Heading2"/>
      </w:pPr>
      <w:bookmarkStart w:id="19" w:name="_Toc487037129"/>
      <w:bookmarkEnd w:id="18"/>
      <w:r w:rsidRPr="001754EE">
        <w:t>AER’s</w:t>
      </w:r>
      <w:r>
        <w:t xml:space="preserve"> assessment approach</w:t>
      </w:r>
      <w:bookmarkEnd w:id="10"/>
      <w:bookmarkEnd w:id="19"/>
    </w:p>
    <w:p w:rsidR="00F90257" w:rsidRDefault="00F90257" w:rsidP="00CC7A1C">
      <w:pPr>
        <w:numPr>
          <w:ilvl w:val="0"/>
          <w:numId w:val="24"/>
        </w:numPr>
      </w:pPr>
      <w:r>
        <w:t>The National Electricity Law/National Gas Law (NEL/NGL) and rules (NER/NGR) form our framework for determining the rate of return. The key components of this framework include:</w:t>
      </w:r>
    </w:p>
    <w:p w:rsidR="00F90257" w:rsidRDefault="00F90257" w:rsidP="00F90257">
      <w:pPr>
        <w:pStyle w:val="AERbulletlistfirststyle"/>
      </w:pPr>
      <w:r>
        <w:t>national electricity/gas objective (NEO/NGO) and the RPPs in the</w:t>
      </w:r>
      <w:r w:rsidRPr="004919CC">
        <w:t xml:space="preserve"> </w:t>
      </w:r>
      <w:r>
        <w:t>NEL/NGL</w:t>
      </w:r>
    </w:p>
    <w:p w:rsidR="00F90257" w:rsidRDefault="00F90257" w:rsidP="00F90257">
      <w:pPr>
        <w:pStyle w:val="AERbulletlistfirststyle"/>
      </w:pPr>
      <w:r>
        <w:t>the overall rate of return</w:t>
      </w:r>
      <w:r w:rsidRPr="003337B3">
        <w:t>―</w:t>
      </w:r>
      <w:r>
        <w:t>consisting of the allowed return on equity and debt</w:t>
      </w:r>
    </w:p>
    <w:p w:rsidR="00F90257" w:rsidRDefault="00F90257" w:rsidP="00F90257">
      <w:pPr>
        <w:pStyle w:val="AERbulletlistfirststyle"/>
      </w:pPr>
      <w:r>
        <w:t>the ARORO and its elements</w:t>
      </w:r>
    </w:p>
    <w:p w:rsidR="00F90257" w:rsidRDefault="00F90257" w:rsidP="00F90257">
      <w:pPr>
        <w:pStyle w:val="AERbulletlistfirststyle"/>
      </w:pPr>
      <w:r>
        <w:t>return on debt factors</w:t>
      </w:r>
    </w:p>
    <w:p w:rsidR="00F90257" w:rsidRDefault="00F90257" w:rsidP="00F90257">
      <w:pPr>
        <w:pStyle w:val="AERbulletlistfirststyle"/>
      </w:pPr>
      <w:r>
        <w:t>considering i</w:t>
      </w:r>
      <w:r w:rsidRPr="009A2092">
        <w:t>nterrelationships within the rate of return</w:t>
      </w:r>
    </w:p>
    <w:p w:rsidR="00F90257" w:rsidRPr="00A77770" w:rsidRDefault="00F90257" w:rsidP="00F90257">
      <w:pPr>
        <w:pStyle w:val="AERbulletlistfirststyle"/>
      </w:pPr>
      <w:r>
        <w:t xml:space="preserve">use of the </w:t>
      </w:r>
      <w:r w:rsidRPr="00A77770">
        <w:t xml:space="preserve">Guideline </w:t>
      </w:r>
    </w:p>
    <w:p w:rsidR="00F90257" w:rsidRDefault="00F90257" w:rsidP="00F90257">
      <w:pPr>
        <w:pStyle w:val="AERbulletlistfirststyle"/>
      </w:pPr>
      <w:r>
        <w:t>consideration of information before us.</w:t>
      </w:r>
    </w:p>
    <w:p w:rsidR="00F90257" w:rsidRPr="00F90257" w:rsidRDefault="00F90257" w:rsidP="00F90257">
      <w:pPr>
        <w:pStyle w:val="Heading3"/>
      </w:pPr>
      <w:bookmarkStart w:id="20" w:name="_Toc451171518"/>
      <w:bookmarkStart w:id="21" w:name="_Toc451947990"/>
      <w:bookmarkStart w:id="22" w:name="_Toc487037130"/>
      <w:r>
        <w:t>National electricity and gas laws</w:t>
      </w:r>
      <w:bookmarkEnd w:id="20"/>
      <w:bookmarkEnd w:id="21"/>
      <w:bookmarkEnd w:id="22"/>
    </w:p>
    <w:p w:rsidR="00F90257" w:rsidRPr="00762AAF" w:rsidRDefault="00F90257" w:rsidP="00CC7A1C">
      <w:pPr>
        <w:numPr>
          <w:ilvl w:val="0"/>
          <w:numId w:val="24"/>
        </w:numPr>
      </w:pPr>
      <w:r w:rsidRPr="00762AAF">
        <w:t xml:space="preserve">In performing or exercising an economic regulatory function or power, we must do so in a manner that will or is likely to contribute to the </w:t>
      </w:r>
      <w:r>
        <w:t>N</w:t>
      </w:r>
      <w:r w:rsidR="00297BD6">
        <w:t>G</w:t>
      </w:r>
      <w:r>
        <w:t>O</w:t>
      </w:r>
      <w:r w:rsidRPr="00762AAF">
        <w:t>.</w:t>
      </w:r>
      <w:r w:rsidRPr="00762AAF">
        <w:rPr>
          <w:rStyle w:val="FootnoteReference"/>
        </w:rPr>
        <w:footnoteReference w:id="22"/>
      </w:r>
      <w:r w:rsidRPr="00762AAF">
        <w:t xml:space="preserve"> The </w:t>
      </w:r>
      <w:r>
        <w:t>N</w:t>
      </w:r>
      <w:r w:rsidR="00297BD6">
        <w:t>G</w:t>
      </w:r>
      <w:r>
        <w:t>O</w:t>
      </w:r>
      <w:r w:rsidRPr="00762AAF">
        <w:t xml:space="preserve"> states:</w:t>
      </w:r>
    </w:p>
    <w:p w:rsidR="00F90257" w:rsidRPr="00BF711B" w:rsidRDefault="00F90257" w:rsidP="00E95BE3">
      <w:pPr>
        <w:pStyle w:val="AERquote"/>
      </w:pPr>
      <w:r w:rsidRPr="00BF711B">
        <w:t xml:space="preserve">The objective of this Law is to promote efficient investment in, and efficient operation and use of, </w:t>
      </w:r>
      <w:r w:rsidR="00E95BE3">
        <w:t>natural gas</w:t>
      </w:r>
      <w:r w:rsidR="00E95BE3" w:rsidRPr="00BF711B">
        <w:t xml:space="preserve"> </w:t>
      </w:r>
      <w:r w:rsidRPr="00BF711B">
        <w:t xml:space="preserve">services for the long term interests of consumers of </w:t>
      </w:r>
      <w:r w:rsidR="00E95BE3">
        <w:t>natural gas</w:t>
      </w:r>
      <w:r w:rsidR="00E95BE3" w:rsidRPr="00BF711B">
        <w:t xml:space="preserve"> </w:t>
      </w:r>
      <w:r w:rsidRPr="00BF711B">
        <w:t xml:space="preserve">with respect </w:t>
      </w:r>
      <w:r w:rsidR="00A65A7E" w:rsidRPr="00BF711B">
        <w:t>to price</w:t>
      </w:r>
      <w:r w:rsidRPr="00BF711B">
        <w:t xml:space="preserve">, quality, safety, reliability and security of supply of </w:t>
      </w:r>
      <w:r w:rsidR="00E95BE3">
        <w:t>natural gas</w:t>
      </w:r>
      <w:r w:rsidRPr="00BF711B">
        <w:t xml:space="preserve">; </w:t>
      </w:r>
    </w:p>
    <w:p w:rsidR="00F90257" w:rsidRDefault="00F90257" w:rsidP="00CC7A1C">
      <w:pPr>
        <w:numPr>
          <w:ilvl w:val="0"/>
          <w:numId w:val="24"/>
        </w:numPr>
      </w:pPr>
      <w:r>
        <w:t>When we make a</w:t>
      </w:r>
      <w:r w:rsidRPr="00762AAF">
        <w:t xml:space="preserve">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90257" w:rsidRPr="00762AAF" w:rsidRDefault="00F90257" w:rsidP="00CC7A1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23"/>
      </w:r>
      <w:r w:rsidRPr="00762AAF">
        <w:t xml:space="preserve"> In the context of the rate of return decision, we take particular account of the following </w:t>
      </w:r>
      <w:r>
        <w:t>RPPs</w:t>
      </w:r>
      <w:r w:rsidRPr="00762AAF">
        <w:t xml:space="preserve">: </w:t>
      </w:r>
    </w:p>
    <w:p w:rsidR="00F90257" w:rsidRPr="00762AAF" w:rsidRDefault="00F90257" w:rsidP="00F90257">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24"/>
      </w:r>
    </w:p>
    <w:p w:rsidR="00F90257" w:rsidRPr="00762AAF" w:rsidRDefault="00F90257" w:rsidP="00F90257">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25"/>
      </w:r>
      <w:r w:rsidRPr="00762AAF">
        <w:rPr>
          <w:rStyle w:val="FootnoteReference"/>
        </w:rPr>
        <w:t xml:space="preserve"> </w:t>
      </w:r>
    </w:p>
    <w:p w:rsidR="00F90257" w:rsidRPr="00762AAF" w:rsidRDefault="00F90257" w:rsidP="00F90257">
      <w:pPr>
        <w:pStyle w:val="AERbulletlistfirststyle"/>
      </w:pPr>
      <w:r w:rsidRPr="00762AAF">
        <w:t xml:space="preserve">A price or charge should allow for a return that matches the regulatory and commercial risks </w:t>
      </w:r>
      <w:r>
        <w:t>involved in</w:t>
      </w:r>
      <w:r w:rsidRPr="00762AAF">
        <w:t xml:space="preserve"> providing the </w:t>
      </w:r>
      <w:r w:rsidR="0029130A">
        <w:t>reference</w:t>
      </w:r>
      <w:r w:rsidRPr="00762AAF">
        <w:t xml:space="preserve"> service </w:t>
      </w:r>
      <w:r>
        <w:t>to which that</w:t>
      </w:r>
      <w:r w:rsidRPr="00762AAF">
        <w:t xml:space="preserve"> charge relates.</w:t>
      </w:r>
      <w:r w:rsidRPr="00762AAF">
        <w:rPr>
          <w:rStyle w:val="FootnoteReference"/>
        </w:rPr>
        <w:footnoteReference w:id="26"/>
      </w:r>
    </w:p>
    <w:p w:rsidR="00F90257" w:rsidRPr="00762AAF" w:rsidRDefault="00F90257" w:rsidP="00F90257">
      <w:pPr>
        <w:pStyle w:val="AERbulletlistfirststyle"/>
      </w:pPr>
      <w:r w:rsidRPr="00762AAF">
        <w:t>The economic costs and risks of the potential for under or over investment by a service provider in a distribution or transmission system that the service provider uses to provide re</w:t>
      </w:r>
      <w:r w:rsidR="0029130A">
        <w:t>ference</w:t>
      </w:r>
      <w:r w:rsidRPr="00762AAF">
        <w:t xml:space="preserve"> network services.</w:t>
      </w:r>
      <w:r w:rsidRPr="00762AAF">
        <w:rPr>
          <w:rStyle w:val="FootnoteReference"/>
        </w:rPr>
        <w:footnoteReference w:id="27"/>
      </w:r>
      <w:r w:rsidRPr="00762AAF">
        <w:t xml:space="preserve"> </w:t>
      </w:r>
    </w:p>
    <w:p w:rsidR="00F90257" w:rsidRDefault="00F90257" w:rsidP="00F90257">
      <w:pPr>
        <w:pStyle w:val="AERbulletlistfirststyle"/>
      </w:pPr>
      <w:r w:rsidRPr="00762AAF">
        <w:t>The economic costs and risks of the potential for under or over utilisation of a distribution or transmission system that the service provider uses to provide re</w:t>
      </w:r>
      <w:r w:rsidR="0029130A">
        <w:t>ference</w:t>
      </w:r>
      <w:r w:rsidRPr="00762AAF">
        <w:t xml:space="preserve"> network services.</w:t>
      </w:r>
      <w:r w:rsidRPr="00762AAF">
        <w:rPr>
          <w:rStyle w:val="FootnoteReference"/>
        </w:rPr>
        <w:footnoteReference w:id="28"/>
      </w:r>
      <w:r w:rsidRPr="00762AAF">
        <w:t xml:space="preserve"> </w:t>
      </w:r>
    </w:p>
    <w:p w:rsidR="00F90257" w:rsidRPr="00F90257" w:rsidRDefault="00F90257" w:rsidP="00F90257">
      <w:pPr>
        <w:pStyle w:val="Heading3"/>
      </w:pPr>
      <w:bookmarkStart w:id="23" w:name="_Toc451171519"/>
      <w:bookmarkStart w:id="24" w:name="_Toc451947991"/>
      <w:bookmarkStart w:id="25" w:name="_Toc487037131"/>
      <w:r>
        <w:t>The overall rate of return</w:t>
      </w:r>
      <w:bookmarkEnd w:id="23"/>
      <w:bookmarkEnd w:id="24"/>
      <w:bookmarkEnd w:id="25"/>
    </w:p>
    <w:p w:rsidR="00F90257" w:rsidRDefault="00D369E5" w:rsidP="00CC7A1C">
      <w:pPr>
        <w:numPr>
          <w:ilvl w:val="0"/>
          <w:numId w:val="24"/>
        </w:numPr>
      </w:pPr>
      <w:r>
        <w:t>We</w:t>
      </w:r>
      <w:r w:rsidR="00F90257">
        <w:t xml:space="preserve"> determine the</w:t>
      </w:r>
      <w:r w:rsidR="00F90257" w:rsidRPr="003248EB">
        <w:t xml:space="preserve"> allowed rate of return for a regulatory year </w:t>
      </w:r>
      <w:r w:rsidR="00F90257">
        <w:t xml:space="preserve">as </w:t>
      </w:r>
      <w:r w:rsidR="00F90257" w:rsidRPr="003248EB">
        <w:t xml:space="preserve">a weighted average of the return on equity for the </w:t>
      </w:r>
      <w:r w:rsidR="00F90257">
        <w:t xml:space="preserve">regulatory control period </w:t>
      </w:r>
      <w:r w:rsidR="00F90257" w:rsidRPr="003248EB">
        <w:t>in which that regulatory year occurs and the return o</w:t>
      </w:r>
      <w:r w:rsidR="00F90257">
        <w:t>n debt for that regulatory year. This must be determined on a nominal vanilla basis that is consistent with the estimate of the value of imputation credits.</w:t>
      </w:r>
      <w:r w:rsidR="00F90257" w:rsidRPr="00D5405B">
        <w:rPr>
          <w:rStyle w:val="FootnoteReference"/>
        </w:rPr>
        <w:footnoteReference w:id="29"/>
      </w:r>
      <w:r w:rsidR="00F90257">
        <w:t xml:space="preserve"> </w:t>
      </w:r>
      <w:r w:rsidR="00F90257" w:rsidRPr="00E75E61">
        <w:t xml:space="preserve">In </w:t>
      </w:r>
      <w:r w:rsidR="00F90257">
        <w:t>determining</w:t>
      </w:r>
      <w:r w:rsidR="00F90257" w:rsidRPr="00E75E61">
        <w:t xml:space="preserve"> the allowed rate of return, </w:t>
      </w:r>
      <w:r w:rsidR="00F90257">
        <w:t xml:space="preserve">we must have regard to </w:t>
      </w:r>
      <w:r w:rsidR="00F90257" w:rsidRPr="00E75E61">
        <w:t>the desirability of consistent application of financi</w:t>
      </w:r>
      <w:r w:rsidR="00F90257">
        <w:t xml:space="preserve">al parameters that are relevant </w:t>
      </w:r>
      <w:r>
        <w:t xml:space="preserve">and </w:t>
      </w:r>
      <w:r w:rsidR="00F90257">
        <w:t>common to</w:t>
      </w:r>
      <w:r w:rsidR="00F90257" w:rsidRPr="00E75E61">
        <w:t xml:space="preserve"> the return on equity and debt</w:t>
      </w:r>
      <w:r w:rsidR="00F90257">
        <w:t>.</w:t>
      </w:r>
      <w:r w:rsidR="00F90257">
        <w:rPr>
          <w:rStyle w:val="FootnoteReference"/>
        </w:rPr>
        <w:footnoteReference w:id="30"/>
      </w:r>
    </w:p>
    <w:p w:rsidR="00F90257" w:rsidRDefault="00F90257" w:rsidP="00CC7A1C">
      <w:pPr>
        <w:numPr>
          <w:ilvl w:val="0"/>
          <w:numId w:val="24"/>
        </w:numPr>
      </w:pPr>
      <w:r>
        <w:t>The rules require that we estimate the return on equity</w:t>
      </w:r>
      <w:r w:rsidRPr="00D14E31">
        <w:t xml:space="preserve"> for a regulatory</w:t>
      </w:r>
      <w:r>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1"/>
      </w:r>
    </w:p>
    <w:p w:rsidR="00F90257" w:rsidRPr="00762AAF" w:rsidRDefault="00F90257" w:rsidP="00CC7A1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32"/>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33"/>
      </w:r>
      <w:r>
        <w:t xml:space="preserve"> </w:t>
      </w:r>
      <w:r w:rsidRPr="00762AAF">
        <w:t>In estimating the return on debt we have regard to the following factors:</w:t>
      </w:r>
    </w:p>
    <w:p w:rsidR="00F90257" w:rsidRPr="00762AAF" w:rsidRDefault="00F90257" w:rsidP="00F90257">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90257" w:rsidRPr="00762AAF" w:rsidRDefault="00F90257" w:rsidP="00F90257">
      <w:pPr>
        <w:pStyle w:val="AERbulletlistfirststyle"/>
      </w:pPr>
      <w:r>
        <w:t>t</w:t>
      </w:r>
      <w:r w:rsidRPr="00762AAF">
        <w:t>he interrelationship between the return on equity and the return on debt</w:t>
      </w:r>
      <w:r>
        <w:t>.</w:t>
      </w:r>
    </w:p>
    <w:p w:rsidR="00F90257" w:rsidRPr="00762AAF" w:rsidRDefault="00F90257" w:rsidP="00F90257">
      <w:pPr>
        <w:pStyle w:val="AERbulletlistfirststyle"/>
      </w:pPr>
      <w:r>
        <w:t>t</w:t>
      </w:r>
      <w:r w:rsidRPr="00762AAF">
        <w:t>he incentive</w:t>
      </w:r>
      <w:r w:rsidR="00D369E5">
        <w:t>s</w:t>
      </w:r>
      <w:r w:rsidRPr="00762AAF">
        <w:t xml:space="preserve"> that the return on debt may provide in relation to capital expenditure over the regulatory control period, including as to the timing of capital expenditure</w:t>
      </w:r>
      <w:r>
        <w:t>.</w:t>
      </w:r>
    </w:p>
    <w:p w:rsidR="00F90257" w:rsidRPr="00796C00" w:rsidRDefault="00F90257" w:rsidP="00F90257">
      <w:pPr>
        <w:pStyle w:val="AERbulletlistfirststyle"/>
      </w:pPr>
      <w:r>
        <w:t>a</w:t>
      </w:r>
      <w:r w:rsidRPr="00762AAF">
        <w:t>ny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34"/>
      </w:r>
      <w:r w:rsidRPr="00762AAF">
        <w:t xml:space="preserve"> </w:t>
      </w:r>
    </w:p>
    <w:p w:rsidR="00F90257" w:rsidRPr="00F90257" w:rsidRDefault="00F90257" w:rsidP="00F90257">
      <w:pPr>
        <w:pStyle w:val="Heading3"/>
      </w:pPr>
      <w:bookmarkStart w:id="26" w:name="_Toc451171520"/>
      <w:bookmarkStart w:id="27" w:name="_Ref451345117"/>
      <w:bookmarkStart w:id="28" w:name="_Ref451541367"/>
      <w:bookmarkStart w:id="29" w:name="_Ref451542323"/>
      <w:bookmarkStart w:id="30" w:name="_Ref451730547"/>
      <w:bookmarkStart w:id="31" w:name="_Toc451947992"/>
      <w:bookmarkStart w:id="32" w:name="_Ref479168317"/>
      <w:bookmarkStart w:id="33" w:name="_Ref479168847"/>
      <w:bookmarkStart w:id="34" w:name="_Toc487037132"/>
      <w:r w:rsidRPr="00BB2CB7">
        <w:t>Allowed rate of return objective</w:t>
      </w:r>
      <w:bookmarkEnd w:id="26"/>
      <w:bookmarkEnd w:id="27"/>
      <w:bookmarkEnd w:id="28"/>
      <w:bookmarkEnd w:id="29"/>
      <w:bookmarkEnd w:id="30"/>
      <w:bookmarkEnd w:id="31"/>
      <w:bookmarkEnd w:id="32"/>
      <w:bookmarkEnd w:id="33"/>
      <w:bookmarkEnd w:id="34"/>
    </w:p>
    <w:p w:rsidR="00F90257" w:rsidRPr="005100A9" w:rsidRDefault="00F90257" w:rsidP="00CC7A1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35"/>
      </w:r>
    </w:p>
    <w:p w:rsidR="00F90257" w:rsidRDefault="00F90257" w:rsidP="00F90257">
      <w:pPr>
        <w:pStyle w:val="AERquote"/>
      </w:pPr>
      <w:r w:rsidRPr="005100A9">
        <w:t xml:space="preserve">…that the rate of return for a </w:t>
      </w:r>
      <w:r w:rsidR="00E95BE3">
        <w:t>distribution</w:t>
      </w:r>
      <w:r w:rsidR="001008D7">
        <w:t xml:space="preserve"> </w:t>
      </w:r>
      <w:r>
        <w:t>network service provider</w:t>
      </w:r>
      <w:r w:rsidRPr="005100A9">
        <w:t xml:space="preserve"> is to be commensurate with the efficient financing costs of a benchmark efficient entity with a similar degree of ris</w:t>
      </w:r>
      <w:r>
        <w:t xml:space="preserve">k as that which applies to the </w:t>
      </w:r>
      <w:r w:rsidR="00661449">
        <w:t xml:space="preserve">distribution </w:t>
      </w:r>
      <w:r>
        <w:t xml:space="preserve">network </w:t>
      </w:r>
      <w:r w:rsidRPr="005100A9">
        <w:t>service</w:t>
      </w:r>
      <w:r>
        <w:t xml:space="preserve"> provider</w:t>
      </w:r>
      <w:r w:rsidRPr="005100A9">
        <w:t xml:space="preserve"> in respect of the provision of </w:t>
      </w:r>
      <w:r w:rsidR="00763E2F">
        <w:t xml:space="preserve">prescribed </w:t>
      </w:r>
      <w:r w:rsidR="00661449">
        <w:t xml:space="preserve">distribution </w:t>
      </w:r>
      <w:r w:rsidR="00763E2F">
        <w:t>services</w:t>
      </w:r>
      <w:r w:rsidRPr="005100A9">
        <w:t>.</w:t>
      </w:r>
    </w:p>
    <w:p w:rsidR="00F90257" w:rsidRDefault="00F90257" w:rsidP="00F90257">
      <w:r w:rsidRPr="00F21B32">
        <w:t>The regulat</w:t>
      </w:r>
      <w:r>
        <w:t>ory regime is an ex-ante (forward looking) regime.</w:t>
      </w:r>
      <w:r>
        <w:rPr>
          <w:rStyle w:val="FootnoteReference"/>
        </w:rPr>
        <w:footnoteReference w:id="36"/>
      </w:r>
      <w:r>
        <w:t xml:space="preserve"> As such, we consider a </w:t>
      </w:r>
      <w:r w:rsidRPr="00723710">
        <w:t>rate of return that meets the ARORO must provide ex-ante compensation for efficient financing costs.</w:t>
      </w:r>
      <w:r>
        <w:rPr>
          <w:rStyle w:val="FootnoteReference"/>
        </w:rPr>
        <w:footnoteReference w:id="37"/>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38"/>
      </w:r>
      <w:r>
        <w:t xml:space="preserve"> </w:t>
      </w:r>
    </w:p>
    <w:p w:rsidR="00F90257" w:rsidRDefault="00F90257" w:rsidP="00F90257">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0854E7" w:rsidRPr="000854E7" w:rsidRDefault="000854E7" w:rsidP="000854E7">
      <w:r w:rsidRPr="000854E7">
        <w:t xml:space="preserve">SFG advice to the AEMC during the rule change process supports our position that setting an allowed return that results in </w:t>
      </w:r>
      <w:r>
        <w:t xml:space="preserve">a </w:t>
      </w:r>
      <w:r w:rsidRPr="000854E7">
        <w:t xml:space="preserve">zero NPV investment </w:t>
      </w:r>
      <w:r>
        <w:t xml:space="preserve">outcome </w:t>
      </w:r>
      <w:r w:rsidR="00A0278F">
        <w:t>is very important</w:t>
      </w:r>
      <w:r w:rsidRPr="000854E7">
        <w:t xml:space="preserve"> to achieving efficient investment incentives stating:</w:t>
      </w:r>
      <w:r w:rsidRPr="000854E7">
        <w:rPr>
          <w:rStyle w:val="FootnoteReference"/>
        </w:rPr>
        <w:footnoteReference w:id="39"/>
      </w:r>
      <w:r w:rsidRPr="000854E7">
        <w:t xml:space="preserve"> </w:t>
      </w:r>
    </w:p>
    <w:p w:rsidR="000854E7" w:rsidRPr="000854E7" w:rsidRDefault="000854E7" w:rsidP="000854E7">
      <w:pPr>
        <w:pStyle w:val="AERquote"/>
      </w:pPr>
      <w:r w:rsidRPr="000854E7">
        <w:t xml:space="preserve">A divergence between the regulated rate of return and the prevailing cost of funds will distort incentives for investment. All investment is, in some way, discretionary. Energy network businesses have an obligation to maintain a reliable energy supply, but there will not necessarily be one way to achieve this objective. The business will select the project which achieves the reliability objective but has the highest net present value of expected cash flows to the business. In the situation where the regulated rate of return is equal to the prevailing cost of funds, every project is a zero net present value investment. The business may subsequently be able to earn a return above the cost of funds, if it is able to be more cost-effective in implementing the project than assumed in the benchmark cash flow projections. </w:t>
      </w:r>
    </w:p>
    <w:p w:rsidR="00F90257" w:rsidRDefault="00F90257" w:rsidP="00F90257">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40"/>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1"/>
      </w:r>
      <w:r>
        <w:t xml:space="preserve"> </w:t>
      </w:r>
    </w:p>
    <w:p w:rsidR="006D7C0A" w:rsidRDefault="006D7C0A" w:rsidP="006D7C0A">
      <w:r>
        <w:t xml:space="preserve">We see the NPV=0 concept given effect in the Revenue and Pricing Principles.  That is, the service provider should be given a reasonable opportunity to recover it efficient costs.  It should be provided with effective incentives to promote efficient investment in, provision and use of, services.  A return should be </w:t>
      </w:r>
      <w:r w:rsidRPr="006D7C0A">
        <w:t>commensurate with the regulatory and commercial risks involved in providing the reference service</w:t>
      </w:r>
      <w:r>
        <w:t>.  We should have regard</w:t>
      </w:r>
      <w:r w:rsidRPr="006D7C0A">
        <w:t xml:space="preserve"> to the economic costs and risks of the potential for under and over investment by a service provider in a pipeline with which the service provider provides pipeline servi</w:t>
      </w:r>
      <w:r>
        <w:t>ces and</w:t>
      </w:r>
      <w:r w:rsidRPr="006D7C0A">
        <w:t xml:space="preserve"> to the economic costs and risks of the potential for under and over utilisation of a pipeline with which a service provider provides pipeline services.</w:t>
      </w:r>
    </w:p>
    <w:p w:rsidR="006D7C0A" w:rsidRDefault="006D7C0A" w:rsidP="006D7C0A">
      <w:r>
        <w:t>It is an essential concept that underlies the regulatory scheme that is given expression in the NGO and the RPPs and the ARORO must be understood in this important context.</w:t>
      </w:r>
    </w:p>
    <w:p w:rsidR="0029130A" w:rsidRPr="000A1DD9" w:rsidRDefault="0029130A" w:rsidP="0029130A">
      <w:pPr>
        <w:numPr>
          <w:ilvl w:val="0"/>
          <w:numId w:val="24"/>
        </w:numPr>
      </w:pPr>
      <w:r w:rsidRPr="000A1DD9">
        <w:t xml:space="preserve">We consider a </w:t>
      </w:r>
      <w:r w:rsidR="00D40BFC" w:rsidRPr="000A1DD9">
        <w:t>change in methodology is only likely to result in an outcome that meets the ARORO</w:t>
      </w:r>
      <w:r w:rsidR="00D40BFC">
        <w:t xml:space="preserve"> if it results in ex-ante</w:t>
      </w:r>
      <w:r w:rsidR="00D40BFC" w:rsidRPr="000A1DD9">
        <w:t xml:space="preserve"> compensation for efficient financing co</w:t>
      </w:r>
      <w:r w:rsidR="00D40BFC">
        <w:t>sts and is revenue neutral in a present value sense and does not affect the present value of future cash flows through the PTRM (avoiding windfall gains or losses to the service providers and consumers)</w:t>
      </w:r>
      <w:r w:rsidR="00D40BFC" w:rsidRPr="000A1DD9">
        <w:t xml:space="preserve">. </w:t>
      </w:r>
      <w:r w:rsidRPr="000A1DD9">
        <w:t>A change in methodology is also only likely to achieve the NGO if it does not result in a material distortion of investment incentives. In our view a change to the trailing average without a revenue neutral transition will result in an allowed rate of return either above or below the efficient financing costs of a benchmark efficient entity due to the immediate change to the new methodol</w:t>
      </w:r>
      <w:r w:rsidR="00683922">
        <w:t>ogy and not achieve the ARORO. We consider a</w:t>
      </w:r>
      <w:r w:rsidRPr="000A1DD9">
        <w:t xml:space="preserve"> rate of return materially above or below efficient financing costs </w:t>
      </w:r>
      <w:r w:rsidR="00683922">
        <w:t xml:space="preserve">due to the change in methodology </w:t>
      </w:r>
      <w:r w:rsidRPr="000A1DD9">
        <w:t xml:space="preserve">will create material investement distortions and would not achieve the NGO. A change in methodology that results in a material wealth transfer may also increase regulatory risk and as a consequence the overall financing costs of the benchmark efficient entity.    </w:t>
      </w:r>
    </w:p>
    <w:p w:rsidR="0029130A" w:rsidRPr="000A1DD9" w:rsidRDefault="0029130A" w:rsidP="0029130A">
      <w:pPr>
        <w:numPr>
          <w:ilvl w:val="0"/>
          <w:numId w:val="24"/>
        </w:numPr>
      </w:pPr>
      <w:r w:rsidRPr="000A1DD9">
        <w:t>By combining a trailing average approach with the on the day approach, investment distortions can be limited, but only if the combination involves a revenue neutral transition between the two methodologies. Th revenue neutral transition also limits the realisation of financial risk from the change in methodology. This reduction in risk should assist to achieve the lowest cost financing over the life of the assets.</w:t>
      </w:r>
    </w:p>
    <w:p w:rsidR="0029130A" w:rsidRPr="000A1DD9" w:rsidRDefault="0029130A" w:rsidP="0029130A">
      <w:pPr>
        <w:numPr>
          <w:ilvl w:val="0"/>
          <w:numId w:val="24"/>
        </w:numPr>
      </w:pPr>
      <w:r w:rsidRPr="000A1DD9">
        <w:t>In this sense, we consider the ability to use a trailing average in a manner that will meet the ARORO and N</w:t>
      </w:r>
      <w:r w:rsidR="00683922">
        <w:t>G</w:t>
      </w:r>
      <w:r w:rsidRPr="000A1DD9">
        <w:t>O is contingent upon the use of a revenue neutral transition.</w:t>
      </w:r>
    </w:p>
    <w:p w:rsidR="0029130A" w:rsidRDefault="0029130A" w:rsidP="006D7C0A"/>
    <w:p w:rsidR="00E20018" w:rsidRDefault="00E20018" w:rsidP="00E20018">
      <w:pPr>
        <w:pStyle w:val="HeadingBoldBlue"/>
      </w:pPr>
      <w:bookmarkStart w:id="35" w:name="_Toc450922714"/>
      <w:r>
        <w:t>Elements of the ARORO—efficient financing costs</w:t>
      </w:r>
      <w:bookmarkEnd w:id="35"/>
    </w:p>
    <w:p w:rsidR="00E20018" w:rsidRDefault="00E20018" w:rsidP="00E2001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w:t>
      </w:r>
      <w:r w:rsidR="002263EC">
        <w:t>eference</w:t>
      </w:r>
      <w:r>
        <w:t xml:space="preserve"> services.</w:t>
      </w:r>
      <w:r>
        <w:rPr>
          <w:rStyle w:val="FootnoteReference"/>
        </w:rPr>
        <w:footnoteReference w:id="42"/>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43"/>
      </w:r>
    </w:p>
    <w:p w:rsidR="00E20018" w:rsidRDefault="00E20018" w:rsidP="00E2001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44"/>
      </w:r>
      <w:r>
        <w:t xml:space="preserve"> Similarly, Partington and Satchell interpret efficient financing costs as the opportunity cost of capital, which is a market rate of return for assets with a given level of risk.</w:t>
      </w:r>
      <w:r>
        <w:rPr>
          <w:rStyle w:val="FootnoteReference"/>
        </w:rPr>
        <w:footnoteReference w:id="45"/>
      </w:r>
      <w:r>
        <w:t xml:space="preserve"> </w:t>
      </w:r>
    </w:p>
    <w:p w:rsidR="00E20018" w:rsidRDefault="00E20018" w:rsidP="00E20018">
      <w:pPr>
        <w:pStyle w:val="HeadingBoldBlue"/>
      </w:pPr>
      <w:bookmarkStart w:id="36" w:name="_Toc450922715"/>
      <w:r>
        <w:t>Elements of the ARORO—benchmark efficient entity</w:t>
      </w:r>
      <w:bookmarkEnd w:id="36"/>
    </w:p>
    <w:p w:rsidR="00E20018" w:rsidRDefault="00E20018" w:rsidP="00CC7A1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8847AF">
        <w:rPr>
          <w:rStyle w:val="AERtextitalic"/>
        </w:rPr>
        <w:t>reference</w:t>
      </w:r>
      <w:r w:rsidRPr="00D85725">
        <w:rPr>
          <w:rStyle w:val="AERtextitalic"/>
        </w:rPr>
        <w:t xml:space="preserve"> services</w:t>
      </w:r>
      <w:r>
        <w:t>. Given this, three important concepts to consider are: 'risk', 'similar' and '</w:t>
      </w:r>
      <w:r w:rsidR="008847AF">
        <w:t xml:space="preserve">reference </w:t>
      </w:r>
      <w:r>
        <w:t xml:space="preserve">services'. Having understood these concepts, we can better understand a benchmark efficient entity </w:t>
      </w:r>
      <w:r w:rsidR="00BE12F9">
        <w:t xml:space="preserve">for </w:t>
      </w:r>
      <w:r w:rsidR="002E6DEE">
        <w:t>APTPPL</w:t>
      </w:r>
      <w:r w:rsidR="00BE12F9">
        <w:t xml:space="preserve"> </w:t>
      </w:r>
      <w:r>
        <w:t>to give effect to the ARORO.</w:t>
      </w:r>
    </w:p>
    <w:p w:rsidR="00E20018" w:rsidRPr="00E76063" w:rsidRDefault="00E20018" w:rsidP="00E20018">
      <w:pPr>
        <w:pStyle w:val="HeadingBoldItalic"/>
      </w:pPr>
      <w:r>
        <w:t>'</w:t>
      </w:r>
      <w:r w:rsidRPr="00E76063">
        <w:t>Risk</w:t>
      </w:r>
      <w:r>
        <w:t>'</w:t>
      </w:r>
    </w:p>
    <w:p w:rsidR="00E20018" w:rsidRDefault="00E20018" w:rsidP="00CC7A1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46"/>
      </w:r>
      <w:r>
        <w:t xml:space="preserve"> It is strictly a </w:t>
      </w:r>
      <w:r w:rsidRPr="00855447">
        <w:t>forward looking concept</w:t>
      </w:r>
      <w:r>
        <w:t xml:space="preserve"> as no event is uncertain after it has occurred. </w:t>
      </w:r>
    </w:p>
    <w:p w:rsidR="00E20018" w:rsidRDefault="00E20018" w:rsidP="00CC7A1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47"/>
      </w:r>
    </w:p>
    <w:p w:rsidR="00E20018" w:rsidRDefault="00E20018" w:rsidP="00E2001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E20018" w:rsidRDefault="00E20018" w:rsidP="00E20018">
      <w:r>
        <w:t>Similarly, McKenzie and Partington advise:</w:t>
      </w:r>
      <w:r>
        <w:rPr>
          <w:rStyle w:val="FootnoteReference"/>
        </w:rPr>
        <w:footnoteReference w:id="48"/>
      </w:r>
    </w:p>
    <w:p w:rsidR="00E20018" w:rsidRPr="0039604A" w:rsidRDefault="00E20018" w:rsidP="00E2001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E20018" w:rsidRDefault="00E20018" w:rsidP="00E2001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2C24D6">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49"/>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0"/>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1"/>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52"/>
      </w:r>
    </w:p>
    <w:p w:rsidR="00E20018" w:rsidRDefault="00E20018" w:rsidP="00E20018">
      <w:r>
        <w:t xml:space="preserve">As such, </w:t>
      </w:r>
      <w:r w:rsidRPr="00CF5809">
        <w:t xml:space="preserve">when looking at the risks of supplying </w:t>
      </w:r>
      <w:r w:rsidR="008847AF">
        <w:t>reference</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53"/>
      </w:r>
      <w:r>
        <w:t xml:space="preserve">    </w:t>
      </w:r>
    </w:p>
    <w:p w:rsidR="00E20018" w:rsidRPr="00CF5809" w:rsidRDefault="00E20018" w:rsidP="00E2001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w:t>
      </w:r>
      <w:r w:rsidR="002263EC">
        <w:t>ference</w:t>
      </w:r>
      <w:r w:rsidRPr="00B077D0">
        <w:t xml:space="preserve"> services</w:t>
      </w:r>
      <w:r>
        <w:t xml:space="preserve">. This will reflect an ex-ante return that includes a risk premium over the risk free rate for bearing this level of compensable risk.   </w:t>
      </w:r>
    </w:p>
    <w:p w:rsidR="00E20018" w:rsidRPr="004F02FD" w:rsidRDefault="00E20018" w:rsidP="00E20018">
      <w:pPr>
        <w:pStyle w:val="HeadingBoldItalic"/>
      </w:pPr>
      <w:r w:rsidRPr="00E76063">
        <w:t>'</w:t>
      </w:r>
      <w:r w:rsidRPr="004F02FD">
        <w:t>Similar'</w:t>
      </w:r>
    </w:p>
    <w:p w:rsidR="00E20018" w:rsidRDefault="00E20018" w:rsidP="00E20018">
      <w:pPr>
        <w:rPr>
          <w:rStyle w:val="AERbody"/>
        </w:rPr>
      </w:pPr>
      <w:r>
        <w:t xml:space="preserve">A benchmark efficient entity </w:t>
      </w:r>
      <w:r w:rsidR="00BE12F9">
        <w:t xml:space="preserve">for </w:t>
      </w:r>
      <w:r w:rsidR="00251270">
        <w:t xml:space="preserve">APTPPL </w:t>
      </w:r>
      <w:r w:rsidR="00BE12F9">
        <w:t xml:space="preserve">is one that </w:t>
      </w:r>
      <w:r w:rsidR="0080518E">
        <w:t>has</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w:t>
      </w:r>
      <w:r w:rsidR="008C025E">
        <w:t>ference</w:t>
      </w:r>
      <w:r w:rsidRPr="0046739D">
        <w:t xml:space="preserve"> services.</w:t>
      </w:r>
      <w:r>
        <w:rPr>
          <w:rStyle w:val="FootnoteReference"/>
        </w:rPr>
        <w:footnoteReference w:id="54"/>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55"/>
      </w:r>
      <w:r>
        <w:t xml:space="preserve"> We concluded the compensable risks facing the different service providers</w:t>
      </w:r>
      <w:r>
        <w:rPr>
          <w:rStyle w:val="FootnoteReference"/>
        </w:rPr>
        <w:footnoteReference w:id="56"/>
      </w:r>
      <w:r>
        <w:t xml:space="preserve"> were 'similar' for the purposes of characterising a benchmark efficient entity.</w:t>
      </w:r>
      <w:r>
        <w:rPr>
          <w:rStyle w:val="FootnoteReference"/>
        </w:rPr>
        <w:footnoteReference w:id="57"/>
      </w:r>
      <w:r>
        <w:t xml:space="preserve"> For this analysis, see chapter three of the Guideline's explanatory statement.</w:t>
      </w:r>
      <w:r>
        <w:rPr>
          <w:rStyle w:val="FootnoteReference"/>
        </w:rPr>
        <w:footnoteReference w:id="58"/>
      </w:r>
    </w:p>
    <w:p w:rsidR="00E20018" w:rsidRDefault="00436092" w:rsidP="00E20018">
      <w:pPr>
        <w:pStyle w:val="HeadingBoldItalic"/>
        <w:rPr>
          <w:rStyle w:val="AERbody"/>
        </w:rPr>
      </w:pPr>
      <w:r>
        <w:rPr>
          <w:rStyle w:val="AERbody"/>
        </w:rPr>
        <w:t>'Reference</w:t>
      </w:r>
      <w:r w:rsidR="00E20018">
        <w:rPr>
          <w:rStyle w:val="AERbody"/>
        </w:rPr>
        <w:t xml:space="preserve"> </w:t>
      </w:r>
      <w:r w:rsidR="00E20018" w:rsidRPr="00785554">
        <w:rPr>
          <w:rStyle w:val="AERbody"/>
        </w:rPr>
        <w:t>services</w:t>
      </w:r>
      <w:r>
        <w:rPr>
          <w:rStyle w:val="AERbody"/>
        </w:rPr>
        <w:t>'</w:t>
      </w:r>
    </w:p>
    <w:p w:rsidR="00836286" w:rsidRDefault="00836286" w:rsidP="00836286">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rsidR="00436092">
        <w:t>reference</w:t>
      </w:r>
      <w:r w:rsidRPr="00785554">
        <w:t xml:space="preserve"> services.</w:t>
      </w:r>
      <w:r w:rsidRPr="00785554">
        <w:rPr>
          <w:rStyle w:val="FootnoteReference"/>
        </w:rPr>
        <w:footnoteReference w:id="59"/>
      </w:r>
      <w:r w:rsidRPr="00785554">
        <w:t xml:space="preserve"> As such, it is important to understand how the rules characterise '</w:t>
      </w:r>
      <w:r w:rsidR="008C025E">
        <w:t>reference</w:t>
      </w:r>
      <w:r w:rsidRPr="00785554">
        <w:t xml:space="preserve"> services'.</w:t>
      </w:r>
    </w:p>
    <w:p w:rsidR="00CF2861" w:rsidRPr="00785554" w:rsidRDefault="00CF2861" w:rsidP="00836286">
      <w:r>
        <w:t>The NGL defines a reference service as, 'a pipeline service specified by, or determined or approved by the AER under, the Rules'.</w:t>
      </w:r>
      <w:r>
        <w:rPr>
          <w:rStyle w:val="FootnoteReference"/>
        </w:rPr>
        <w:footnoteReference w:id="60"/>
      </w:r>
    </w:p>
    <w:p w:rsidR="00E20018" w:rsidRPr="00785554" w:rsidRDefault="00E20018" w:rsidP="00E20018">
      <w:pPr>
        <w:pStyle w:val="HeadingBoldItalic"/>
        <w:rPr>
          <w:rStyle w:val="AERbody"/>
        </w:rPr>
      </w:pPr>
      <w:r w:rsidRPr="00785554">
        <w:rPr>
          <w:rStyle w:val="AERbody"/>
        </w:rPr>
        <w:t>Risk, regulation and a benchmark efficient entity</w:t>
      </w:r>
    </w:p>
    <w:p w:rsidR="00E20018" w:rsidRDefault="00E20018" w:rsidP="00E2001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1"/>
      </w:r>
    </w:p>
    <w:p w:rsidR="00E20018" w:rsidRDefault="00E20018" w:rsidP="00E20018">
      <w:pPr>
        <w:pStyle w:val="AERbulletlistfirststyle"/>
      </w:pPr>
      <w:r w:rsidRPr="005F4630">
        <w:t xml:space="preserve"> to the </w:t>
      </w:r>
      <w:r>
        <w:t xml:space="preserve">service provider in which the decision relates </w:t>
      </w:r>
    </w:p>
    <w:p w:rsidR="00E20018" w:rsidRDefault="00E20018" w:rsidP="00E20018">
      <w:pPr>
        <w:pStyle w:val="AERbulletlistfirststyle"/>
      </w:pPr>
      <w:r w:rsidRPr="005F4630">
        <w:t xml:space="preserve">in respect to the provision of </w:t>
      </w:r>
      <w:r w:rsidR="00DD4A7A">
        <w:t>reference</w:t>
      </w:r>
      <w:r w:rsidRPr="005F4630">
        <w:t xml:space="preserve"> services</w:t>
      </w:r>
      <w:r>
        <w:t>,</w:t>
      </w:r>
      <w:r>
        <w:rPr>
          <w:rStyle w:val="FootnoteReference"/>
        </w:rPr>
        <w:footnoteReference w:id="62"/>
      </w:r>
      <w:r>
        <w:t>.</w:t>
      </w:r>
    </w:p>
    <w:p w:rsidR="00E20018" w:rsidRPr="00785554" w:rsidRDefault="00E20018" w:rsidP="00E20018">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63"/>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64"/>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65"/>
      </w:r>
      <w:r w:rsidRPr="00785554">
        <w:t xml:space="preserve"> </w:t>
      </w:r>
    </w:p>
    <w:p w:rsidR="00E20018" w:rsidRPr="00785554" w:rsidRDefault="00E20018" w:rsidP="00E20018">
      <w:r>
        <w:t xml:space="preserve">Brealey et.al. use the figure </w:t>
      </w:r>
      <w:r w:rsidRPr="00785554">
        <w:t xml:space="preserve">we have presented as </w:t>
      </w:r>
      <w:r>
        <w:fldChar w:fldCharType="begin"/>
      </w:r>
      <w:r>
        <w:instrText xml:space="preserve"> REF  _Ref451345901 \* Lower \h </w:instrText>
      </w:r>
      <w:r>
        <w:fldChar w:fldCharType="separate"/>
      </w:r>
      <w:r w:rsidR="002C24D6">
        <w:t xml:space="preserve">figure </w:t>
      </w:r>
      <w:r w:rsidR="002C24D6">
        <w:rPr>
          <w:noProof/>
        </w:rPr>
        <w:t>3</w:t>
      </w:r>
      <w:r w:rsidR="002C24D6">
        <w:noBreakHyphen/>
      </w:r>
      <w:r w:rsidR="002C24D6">
        <w:rPr>
          <w:noProof/>
        </w:rPr>
        <w:t>1</w:t>
      </w:r>
      <w:r>
        <w:fldChar w:fldCharType="end"/>
      </w:r>
      <w:r>
        <w:t xml:space="preserve"> </w:t>
      </w:r>
      <w:r w:rsidRPr="00785554">
        <w:t>to illustrate the following.</w:t>
      </w:r>
      <w:r w:rsidRPr="00785554">
        <w:rPr>
          <w:rStyle w:val="FootnoteReference"/>
        </w:rPr>
        <w:footnoteReference w:id="66"/>
      </w:r>
    </w:p>
    <w:p w:rsidR="00E20018" w:rsidRDefault="00E20018" w:rsidP="00E20018">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E20018" w:rsidRPr="00C75038" w:rsidRDefault="00E20018" w:rsidP="00E20018">
      <w:pPr>
        <w:pStyle w:val="Caption"/>
      </w:pPr>
      <w:bookmarkStart w:id="37" w:name="_Ref451345901"/>
      <w:r>
        <w:t xml:space="preserve">Figure </w:t>
      </w:r>
      <w:r w:rsidR="002C24D6">
        <w:fldChar w:fldCharType="begin"/>
      </w:r>
      <w:r w:rsidR="002C24D6">
        <w:instrText xml:space="preserve"> STYLEREF </w:instrText>
      </w:r>
      <w:r w:rsidR="002C24D6">
        <w:instrText xml:space="preserve">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w:t>
      </w:r>
      <w:r w:rsidR="002C24D6">
        <w:rPr>
          <w:noProof/>
        </w:rPr>
        <w:fldChar w:fldCharType="end"/>
      </w:r>
      <w:bookmarkEnd w:id="37"/>
      <w:r>
        <w:tab/>
        <w:t>Risk versus expected return</w:t>
      </w:r>
    </w:p>
    <w:p w:rsidR="00E20018" w:rsidRPr="00785554" w:rsidRDefault="00E20018" w:rsidP="00E20018">
      <w:r w:rsidRPr="00E20018">
        <w:rPr>
          <w:noProof/>
          <w:lang w:eastAsia="en-AU"/>
        </w:rPr>
        <w:drawing>
          <wp:inline distT="0" distB="0" distL="0" distR="0" wp14:anchorId="4915C6C4" wp14:editId="63773B32">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7706511"/>
                    </a:xfrm>
                    <a:prstGeom prst="rect">
                      <a:avLst/>
                    </a:prstGeom>
                  </pic:spPr>
                </pic:pic>
              </a:graphicData>
            </a:graphic>
          </wp:inline>
        </w:drawing>
      </w:r>
    </w:p>
    <w:p w:rsidR="00E20018" w:rsidRDefault="00E20018" w:rsidP="00E20018">
      <w:pPr>
        <w:pStyle w:val="AERtablesource"/>
      </w:pPr>
      <w:r>
        <w:t xml:space="preserve">Source: </w:t>
      </w:r>
      <w:r>
        <w:tab/>
        <w:t>Brealey</w:t>
      </w:r>
      <w:r w:rsidRPr="001326E8">
        <w:t>, Myers, Allen</w:t>
      </w:r>
      <w:r>
        <w:t xml:space="preserve"> (2011), </w:t>
      </w:r>
      <w:r w:rsidRPr="001326E8">
        <w:t>Figure 8.2</w:t>
      </w:r>
      <w:r>
        <w:t>.</w:t>
      </w:r>
    </w:p>
    <w:p w:rsidR="00E20018" w:rsidRDefault="00E20018" w:rsidP="00E20018">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CE1A2A" w:rsidRDefault="00BE12F9" w:rsidP="00E20018">
      <w:pPr>
        <w:rPr>
          <w:rStyle w:val="AERbody"/>
        </w:rPr>
      </w:pPr>
      <w:r>
        <w:t>W</w:t>
      </w:r>
      <w:r w:rsidR="00E20018">
        <w:t xml:space="preserve">e consider </w:t>
      </w:r>
      <w:r w:rsidR="00E20018" w:rsidRPr="00785554">
        <w:t xml:space="preserve">a benchmark efficient entity </w:t>
      </w:r>
      <w:r w:rsidR="00E20018" w:rsidRPr="00785554">
        <w:rPr>
          <w:rStyle w:val="AERtextitalic"/>
        </w:rPr>
        <w:t>with a similar degree of risk as that which applies to the service provider in the provision of its r</w:t>
      </w:r>
      <w:r w:rsidR="008C025E">
        <w:rPr>
          <w:rStyle w:val="AERtextitalic"/>
        </w:rPr>
        <w:t>eference</w:t>
      </w:r>
      <w:r w:rsidR="00E20018" w:rsidRPr="00785554">
        <w:rPr>
          <w:rStyle w:val="AERtextitalic"/>
        </w:rPr>
        <w:t xml:space="preserve"> services</w:t>
      </w:r>
      <w:r w:rsidR="00E20018" w:rsidRPr="00785554">
        <w:t xml:space="preserve"> would be </w:t>
      </w:r>
      <w:r w:rsidR="00CE1A2A">
        <w:rPr>
          <w:rStyle w:val="AERbody"/>
        </w:rPr>
        <w:t xml:space="preserve">an entity, whether it is conceived as regulated or not, that has a similar degree of systematic risk as that which applies to </w:t>
      </w:r>
      <w:r w:rsidR="002E6DEE">
        <w:rPr>
          <w:rStyle w:val="AERbody"/>
        </w:rPr>
        <w:t xml:space="preserve">APTPPL </w:t>
      </w:r>
      <w:r w:rsidR="00CE1A2A">
        <w:rPr>
          <w:rStyle w:val="AERbody"/>
        </w:rPr>
        <w:t>in the provision of its re</w:t>
      </w:r>
      <w:r w:rsidR="008C025E">
        <w:rPr>
          <w:rStyle w:val="AERbody"/>
        </w:rPr>
        <w:t>ference</w:t>
      </w:r>
      <w:r w:rsidR="00CE1A2A">
        <w:rPr>
          <w:rStyle w:val="AERbody"/>
        </w:rPr>
        <w:t xml:space="preserve"> services.</w:t>
      </w:r>
      <w:r w:rsidR="00102BA3">
        <w:rPr>
          <w:rStyle w:val="AERbody"/>
        </w:rPr>
        <w:t xml:space="preserve"> </w:t>
      </w:r>
      <w:r w:rsidR="00102BA3" w:rsidRPr="00102BA3">
        <w:t xml:space="preserve">This </w:t>
      </w:r>
      <w:r>
        <w:t xml:space="preserve">is a </w:t>
      </w:r>
      <w:r w:rsidR="00102BA3" w:rsidRPr="00102BA3">
        <w:t>change</w:t>
      </w:r>
      <w:r>
        <w:t xml:space="preserve"> from the approach we took in our Guideline, in which stipulated a</w:t>
      </w:r>
      <w:r w:rsidR="00102BA3" w:rsidRPr="00102BA3">
        <w:t xml:space="preserve"> definition </w:t>
      </w:r>
      <w:r>
        <w:t xml:space="preserve">for what we considered to be a benchmark efficient entity.  That definition included a characteristic of being regulated.  Following the Full Federal Court decision, we have departed from adopting that definition in this decision.  Nevertheless, in assessing the characteristics of </w:t>
      </w:r>
      <w:r w:rsidR="00F6068B">
        <w:t>a</w:t>
      </w:r>
      <w:r>
        <w:t xml:space="preserve"> benchmark efficient entity, again in accordance with the Full Federal Court decision, we have relied upon some of the reasoning and analysis in our Guideline and explanatory statement, and past decisions, to assess what constitutes a similar degree of risk as that applying to </w:t>
      </w:r>
      <w:r w:rsidR="002E6DEE">
        <w:t xml:space="preserve">APTPPL </w:t>
      </w:r>
      <w:r>
        <w:t xml:space="preserve">in the provision of its reference services.  </w:t>
      </w:r>
    </w:p>
    <w:p w:rsidR="00E20018" w:rsidRPr="00785554" w:rsidRDefault="00E20018" w:rsidP="00E20018">
      <w:r w:rsidRPr="00785554">
        <w:rPr>
          <w:rStyle w:val="AERbody"/>
        </w:rPr>
        <w:t xml:space="preserve">To understand this </w:t>
      </w:r>
      <w:r w:rsidR="00BE12F9">
        <w:rPr>
          <w:rStyle w:val="AERbody"/>
        </w:rPr>
        <w:t>better</w:t>
      </w:r>
      <w:r w:rsidRPr="00785554">
        <w:rPr>
          <w:rStyle w:val="AERbody"/>
        </w:rPr>
        <w:t xml:space="preserve">, </w:t>
      </w:r>
      <w:r w:rsidRPr="00785554">
        <w:t xml:space="preserve">it is essential to understand the relationship and distinction between risk and expected returns. All else being equal, we consider an </w:t>
      </w:r>
      <w:r w:rsidR="00CE1A2A">
        <w:t>entity providing unregulated services</w:t>
      </w:r>
      <w:r w:rsidRPr="00785554">
        <w:t xml:space="preserve"> </w:t>
      </w:r>
      <w:r w:rsidR="00BE12F9">
        <w:t>in a competitive market is likely to</w:t>
      </w:r>
      <w:r w:rsidR="00BE12F9" w:rsidRPr="00785554">
        <w:t xml:space="preserve"> </w:t>
      </w:r>
      <w:r w:rsidRPr="00785554">
        <w:t xml:space="preserve">have </w:t>
      </w:r>
      <w:r w:rsidR="00CE1A2A">
        <w:t xml:space="preserve">a </w:t>
      </w:r>
      <w:r w:rsidRPr="00785554">
        <w:t xml:space="preserve">higher risk and </w:t>
      </w:r>
      <w:r w:rsidR="00CE1A2A">
        <w:t>more variable</w:t>
      </w:r>
      <w:r w:rsidR="00CE1A2A" w:rsidRPr="00785554">
        <w:t xml:space="preserve"> </w:t>
      </w:r>
      <w:r w:rsidRPr="00785554">
        <w:t>expected returns than a monopoly</w:t>
      </w:r>
      <w:r w:rsidR="00CE1A2A">
        <w:t xml:space="preserve"> business such as </w:t>
      </w:r>
      <w:r w:rsidR="00251270">
        <w:t>APTPPL</w:t>
      </w:r>
      <w:r w:rsidR="00CE1A2A">
        <w:t xml:space="preserve"> in its provision of </w:t>
      </w:r>
      <w:r w:rsidR="00A870F7">
        <w:t>reference</w:t>
      </w:r>
      <w:r w:rsidR="00CE1A2A">
        <w:t xml:space="preserve"> services</w:t>
      </w:r>
      <w:r w:rsidRPr="00785554">
        <w:t>. This is because regulation:</w:t>
      </w:r>
    </w:p>
    <w:p w:rsidR="00E20018" w:rsidRDefault="00E20018" w:rsidP="00E20018">
      <w:pPr>
        <w:pStyle w:val="AERbulletlistfirststyle"/>
      </w:pPr>
      <w:r>
        <w:t>mitigates monopolies from being able to extract monopoly rents, thereby constraining potential profits</w:t>
      </w:r>
    </w:p>
    <w:p w:rsidR="00E20018" w:rsidRDefault="00E20018" w:rsidP="00E20018">
      <w:pPr>
        <w:pStyle w:val="AERbulletlistfirststyle"/>
      </w:pPr>
      <w:r>
        <w:t>increases the certainty of the revenue stream, thereby reducing risk.</w:t>
      </w:r>
    </w:p>
    <w:p w:rsidR="00E20018" w:rsidRPr="00785554" w:rsidRDefault="00E20018" w:rsidP="00E20018">
      <w:r>
        <w:t xml:space="preserve">For clarity, </w:t>
      </w:r>
      <w:r w:rsidRPr="00785554">
        <w:t>regulation</w:t>
      </w:r>
      <w:r w:rsidR="00CE1A2A">
        <w:t xml:space="preserve"> of the kind embodied in the national electricity and gas legislation</w:t>
      </w:r>
      <w:r w:rsidRPr="00785554">
        <w:t xml:space="preserve">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E20018" w:rsidRPr="00785554" w:rsidRDefault="00E20018" w:rsidP="00E20018">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67"/>
      </w:r>
      <w:r w:rsidRPr="00785554">
        <w:t xml:space="preserve"> Frontier has also recognised the role of regulation in affecting risk in advising:</w:t>
      </w:r>
      <w:r w:rsidRPr="00785554">
        <w:rPr>
          <w:rStyle w:val="FootnoteReference"/>
        </w:rPr>
        <w:footnoteReference w:id="68"/>
      </w:r>
    </w:p>
    <w:p w:rsidR="00E20018" w:rsidRPr="00F23C1C" w:rsidRDefault="00E20018" w:rsidP="00E2001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E20018" w:rsidRDefault="00E20018" w:rsidP="00E2001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69"/>
      </w:r>
    </w:p>
    <w:p w:rsidR="00E20018" w:rsidRPr="003E0036" w:rsidRDefault="00E20018" w:rsidP="00E20018">
      <w:pPr>
        <w:pStyle w:val="AERbulletlistfirststyle"/>
      </w:pPr>
      <w:r w:rsidRPr="003E0036">
        <w:t>a revenue cap</w:t>
      </w:r>
      <w:r>
        <w:t>,</w:t>
      </w:r>
      <w:r w:rsidRPr="003E0036">
        <w:t xml:space="preserve"> which removes volume risk</w:t>
      </w:r>
    </w:p>
    <w:p w:rsidR="00E20018" w:rsidRPr="003E0036" w:rsidRDefault="00E20018" w:rsidP="00E2001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E20018" w:rsidRPr="003E0036" w:rsidRDefault="00E20018" w:rsidP="00E20018">
      <w:pPr>
        <w:pStyle w:val="AERbulletlistfirststyle"/>
      </w:pPr>
      <w:r w:rsidRPr="003E0036">
        <w:t>the progressive transition to a 10</w:t>
      </w:r>
      <w:r w:rsidRPr="00E20018">
        <w:rPr>
          <w:rFonts w:ascii="Cambria Math" w:hAnsi="Cambria Math" w:cs="Cambria Math"/>
        </w:rPr>
        <w:t>‐</w:t>
      </w:r>
      <w:r w:rsidRPr="003E0036">
        <w:t xml:space="preserve">year trailing average, including annual updating of the </w:t>
      </w:r>
      <w:r>
        <w:t>return on debt.</w:t>
      </w:r>
    </w:p>
    <w:p w:rsidR="00E20018" w:rsidRDefault="00E20018" w:rsidP="00E20018">
      <w:r>
        <w:t>M</w:t>
      </w:r>
      <w:r w:rsidRPr="00785554">
        <w:t>any of the risks that the regulatory regime affects are systematic and therefore affect the cost of capital (or rate of return). From being inherently less exposed to systematic risk, re</w:t>
      </w:r>
      <w:r w:rsidR="008C025E">
        <w:t>ference</w:t>
      </w:r>
      <w:r w:rsidRPr="00785554">
        <w:t xml:space="preserve"> service providers have lower </w:t>
      </w:r>
      <w:r w:rsidRPr="00785554">
        <w:rPr>
          <w:rStyle w:val="AERbody"/>
        </w:rPr>
        <w:t xml:space="preserve">equity betas than if they were </w:t>
      </w:r>
      <w:r w:rsidR="008C025E">
        <w:rPr>
          <w:rStyle w:val="AERbody"/>
        </w:rPr>
        <w:t>operating in a competitive market</w:t>
      </w:r>
      <w:r w:rsidRPr="00785554">
        <w:rPr>
          <w:rStyle w:val="AERbody"/>
        </w:rPr>
        <w:t xml:space="preserve"> and therefore lower costs of equity. Also</w:t>
      </w:r>
      <w:r w:rsidRPr="00785554">
        <w:t>, given their lower risk cash flows</w:t>
      </w:r>
      <w:r w:rsidRPr="00785554">
        <w:rPr>
          <w:rStyle w:val="AERbody"/>
        </w:rPr>
        <w:t>, re</w:t>
      </w:r>
      <w:r w:rsidR="008C025E">
        <w:rPr>
          <w:rStyle w:val="AERbody"/>
        </w:rPr>
        <w:t>ference</w:t>
      </w:r>
      <w:r w:rsidRPr="00785554">
        <w:rPr>
          <w:rStyle w:val="AERbody"/>
        </w:rPr>
        <w:t xml:space="preserve"> service providers might issue a </w:t>
      </w:r>
      <w:r w:rsidRPr="00785554">
        <w:t xml:space="preserve">higher proportion of debt than if they were </w:t>
      </w:r>
      <w:r w:rsidR="008C025E">
        <w:t>operating in a competitive market</w:t>
      </w:r>
      <w:r w:rsidRPr="00785554">
        <w:t xml:space="preserve">. This reduces their cost of capital if debt is cheaper than equity, for example due to taxes or other market imperfections. As a result, we consider a benchmark efficient entity faces lower compensable risk than would otherwise be the case absent </w:t>
      </w:r>
      <w:r w:rsidR="008C025E">
        <w:t xml:space="preserve">price </w:t>
      </w:r>
      <w:r w:rsidRPr="00785554">
        <w:t>regulation</w:t>
      </w:r>
      <w:r w:rsidR="008C025E">
        <w:t xml:space="preserve"> of reference services in a competitive market</w:t>
      </w:r>
      <w:r w:rsidRPr="00785554">
        <w:t>. As such, it would have a lower cost of capital.</w:t>
      </w:r>
    </w:p>
    <w:p w:rsidR="0036289C" w:rsidRDefault="0036289C" w:rsidP="0036289C">
      <w:pPr>
        <w:rPr>
          <w:rStyle w:val="AERbody"/>
        </w:rPr>
      </w:pPr>
      <w:r>
        <w:rPr>
          <w:rStyle w:val="AERbody"/>
        </w:rPr>
        <w:t xml:space="preserve">Significantly then, </w:t>
      </w:r>
      <w:r w:rsidR="0063233A">
        <w:rPr>
          <w:rStyle w:val="AERbody"/>
        </w:rPr>
        <w:t>when considering a</w:t>
      </w:r>
      <w:r>
        <w:rPr>
          <w:rStyle w:val="AERbody"/>
        </w:rPr>
        <w:t xml:space="preserve"> benchmark efficient entity </w:t>
      </w:r>
      <w:r w:rsidR="0063233A">
        <w:rPr>
          <w:rStyle w:val="AERbody"/>
        </w:rPr>
        <w:t xml:space="preserve">for </w:t>
      </w:r>
      <w:r w:rsidR="002E6DEE">
        <w:rPr>
          <w:rStyle w:val="AERbody"/>
        </w:rPr>
        <w:t>APTPPL</w:t>
      </w:r>
      <w:r>
        <w:rPr>
          <w:rStyle w:val="AERbody"/>
        </w:rPr>
        <w:t>, in order to achieve the allowed rate of return objective, we must consider it has a similar degree of risk as that which applies to the service provider in the provision of its re</w:t>
      </w:r>
      <w:r w:rsidR="008C025E">
        <w:rPr>
          <w:rStyle w:val="AERbody"/>
        </w:rPr>
        <w:t>ference</w:t>
      </w:r>
      <w:r>
        <w:rPr>
          <w:rStyle w:val="AERbody"/>
        </w:rPr>
        <w:t xml:space="preserve"> services</w:t>
      </w:r>
      <w:r w:rsidR="0063233A">
        <w:rPr>
          <w:rStyle w:val="AERbody"/>
        </w:rPr>
        <w:t xml:space="preserve"> and account for these effects on systematic risk</w:t>
      </w:r>
      <w:r>
        <w:rPr>
          <w:rStyle w:val="AERbody"/>
        </w:rPr>
        <w:t>.</w:t>
      </w:r>
    </w:p>
    <w:p w:rsidR="00E20018" w:rsidRPr="00785554" w:rsidRDefault="00E20018" w:rsidP="00E20018">
      <w:r>
        <w:rPr>
          <w:rStyle w:val="AERbody"/>
        </w:rPr>
        <w:t xml:space="preserve">Some systematic risks that </w:t>
      </w:r>
      <w:r w:rsidR="008C025E">
        <w:rPr>
          <w:rStyle w:val="AERbody"/>
        </w:rPr>
        <w:t xml:space="preserve">price </w:t>
      </w:r>
      <w:r>
        <w:rPr>
          <w:rStyle w:val="AERbody"/>
        </w:rPr>
        <w:t>regulation</w:t>
      </w:r>
      <w:r w:rsidR="0063233A">
        <w:rPr>
          <w:rStyle w:val="AERbody"/>
        </w:rPr>
        <w:t xml:space="preserve"> of the provision of reference services</w:t>
      </w:r>
      <w:r>
        <w:rPr>
          <w:rStyle w:val="AERbody"/>
        </w:rPr>
        <w:t xml:space="preserve"> </w:t>
      </w:r>
      <w:r w:rsidRPr="00785554">
        <w:rPr>
          <w:rStyle w:val="AERbody"/>
        </w:rPr>
        <w:t>reduces include:</w:t>
      </w:r>
    </w:p>
    <w:p w:rsidR="00E20018" w:rsidRDefault="00E20018" w:rsidP="00E2001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w:t>
      </w:r>
    </w:p>
    <w:p w:rsidR="00E20018" w:rsidRDefault="00E20018" w:rsidP="00E20018">
      <w:pPr>
        <w:pStyle w:val="AERbulletlistfirststyle"/>
      </w:pPr>
      <w:r>
        <w:t xml:space="preserve">Inflation risk: service providers </w:t>
      </w:r>
      <w:r w:rsidR="008C025E">
        <w:t xml:space="preserve">of reference services </w:t>
      </w:r>
      <w:r>
        <w:t xml:space="preserve">face less inflation risk than unregulated businesses. Under the regulatory framework, they effectively expect to receive </w:t>
      </w:r>
      <w:r w:rsidR="00DF0600">
        <w:t>a real</w:t>
      </w:r>
      <w:r>
        <w:t xml:space="preserve"> return on their investments in their RABs.</w:t>
      </w:r>
    </w:p>
    <w:p w:rsidR="00E20018" w:rsidRDefault="00E20018" w:rsidP="00E20018">
      <w:pPr>
        <w:pStyle w:val="AERbulletlistfirststyle"/>
      </w:pPr>
      <w:r>
        <w:t>Interest rate risk: Both providers</w:t>
      </w:r>
      <w:r w:rsidR="008C025E">
        <w:t xml:space="preserve"> of reference services and firms operating in competitive markets</w:t>
      </w:r>
      <w:r>
        <w:t xml:space="preserve">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E20018" w:rsidRDefault="00E20018" w:rsidP="00E20018">
      <w:r>
        <w:fldChar w:fldCharType="begin"/>
      </w:r>
      <w:r>
        <w:instrText xml:space="preserve"> REF _Ref451345798 \h </w:instrText>
      </w:r>
      <w:r>
        <w:fldChar w:fldCharType="separate"/>
      </w:r>
      <w:r w:rsidR="002C24D6">
        <w:t xml:space="preserve">Table </w:t>
      </w:r>
      <w:r w:rsidR="002C24D6">
        <w:rPr>
          <w:noProof/>
        </w:rPr>
        <w:t>3</w:t>
      </w:r>
      <w:r w:rsidR="002C24D6">
        <w:noBreakHyphen/>
      </w:r>
      <w:r w:rsidR="002C24D6">
        <w:rPr>
          <w:noProof/>
        </w:rPr>
        <w:t>3</w:t>
      </w:r>
      <w:r>
        <w:fldChar w:fldCharType="end"/>
      </w:r>
      <w:r>
        <w:t xml:space="preserve"> summarises a selection of provisions in the rules that have the effect of mitigating various systematic and non-systematic risks.</w:t>
      </w:r>
    </w:p>
    <w:p w:rsidR="00E20018" w:rsidRDefault="00E20018" w:rsidP="00E20018">
      <w:pPr>
        <w:pStyle w:val="Caption"/>
      </w:pPr>
      <w:bookmarkStart w:id="38" w:name="_Ref451345798"/>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3</w:t>
      </w:r>
      <w:r w:rsidR="002C24D6">
        <w:rPr>
          <w:noProof/>
        </w:rPr>
        <w:fldChar w:fldCharType="end"/>
      </w:r>
      <w:bookmarkEnd w:id="38"/>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E20018" w:rsidTr="00E20018">
        <w:trPr>
          <w:cnfStyle w:val="100000000000" w:firstRow="1" w:lastRow="0" w:firstColumn="0" w:lastColumn="0" w:oddVBand="0" w:evenVBand="0" w:oddHBand="0" w:evenHBand="0" w:firstRowFirstColumn="0" w:firstRowLastColumn="0" w:lastRowFirstColumn="0" w:lastRowLastColumn="0"/>
        </w:trPr>
        <w:tc>
          <w:tcPr>
            <w:tcW w:w="1526" w:type="dxa"/>
          </w:tcPr>
          <w:p w:rsidR="00E20018" w:rsidRPr="00E20018" w:rsidRDefault="00E20018" w:rsidP="00E20018">
            <w:r>
              <w:t>Rule</w:t>
            </w:r>
          </w:p>
        </w:tc>
        <w:tc>
          <w:tcPr>
            <w:tcW w:w="7167" w:type="dxa"/>
          </w:tcPr>
          <w:p w:rsidR="00E20018" w:rsidRPr="00E20018" w:rsidRDefault="00E20018" w:rsidP="00E20018">
            <w:r>
              <w:t>Effect on risk</w:t>
            </w:r>
          </w:p>
        </w:tc>
      </w:tr>
      <w:tr w:rsidR="00FC0DE5" w:rsidTr="00013867">
        <w:tc>
          <w:tcPr>
            <w:tcW w:w="1526" w:type="dxa"/>
          </w:tcPr>
          <w:p w:rsidR="00FC0DE5" w:rsidRPr="00FC0DE5" w:rsidRDefault="00FC0DE5" w:rsidP="00FC0DE5">
            <w:r w:rsidRPr="00C14C3D">
              <w:t>50</w:t>
            </w:r>
          </w:p>
        </w:tc>
        <w:tc>
          <w:tcPr>
            <w:tcW w:w="7167" w:type="dxa"/>
          </w:tcPr>
          <w:p w:rsidR="00FC0DE5" w:rsidRPr="00FC0DE5" w:rsidRDefault="00FC0DE5" w:rsidP="00683922">
            <w:r w:rsidRPr="00C14C3D">
              <w:t>The term of each access arrangement period is a fixed duration, and generally five years, in which a service provider is provided with a regulated return on its assets</w:t>
            </w:r>
            <w:r w:rsidR="008C025E">
              <w:t xml:space="preserve"> in respect to the provision of its reference services</w:t>
            </w:r>
            <w:r w:rsidRPr="00C14C3D">
              <w:t>, certainty about reference tariffs and fixed terms of access for its services, supported by arbitration.</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92</w:t>
            </w:r>
          </w:p>
        </w:tc>
        <w:tc>
          <w:tcPr>
            <w:tcW w:w="7167" w:type="dxa"/>
          </w:tcPr>
          <w:p w:rsidR="00FC0DE5" w:rsidRPr="00FC0DE5" w:rsidRDefault="00FC0DE5" w:rsidP="00FC0DE5">
            <w:r w:rsidRPr="00C14C3D">
              <w:t>A reference tariff variation mechanism accounts for indexation and annual increases in efficient input costs.  The reference tariff variation</w:t>
            </w:r>
            <w:r w:rsidRPr="00FC0DE5">
              <w:t xml:space="preserve"> can be used to smooth the reference tariff from year to year to provide service providers with a stable level of revenue over each access arrangement period, reducing risks of short term revenue and pricing volatility.</w:t>
            </w:r>
          </w:p>
        </w:tc>
      </w:tr>
      <w:tr w:rsidR="00FC0DE5" w:rsidTr="00013867">
        <w:tc>
          <w:tcPr>
            <w:tcW w:w="1526" w:type="dxa"/>
          </w:tcPr>
          <w:p w:rsidR="00FC0DE5" w:rsidRPr="00FC0DE5" w:rsidRDefault="00FC0DE5" w:rsidP="00FC0DE5">
            <w:r w:rsidRPr="00C14C3D">
              <w:t>97(5)</w:t>
            </w:r>
          </w:p>
        </w:tc>
        <w:tc>
          <w:tcPr>
            <w:tcW w:w="7167" w:type="dxa"/>
          </w:tcPr>
          <w:p w:rsidR="00FC0DE5" w:rsidRPr="00FC0DE5" w:rsidRDefault="00FC0DE5" w:rsidP="00FC0DE5">
            <w:r w:rsidRPr="00C14C3D">
              <w:t xml:space="preserve">The prices service providers may charge for reference services are certain.  Reference tariffs are not to vary during the course of an access arrangement period except as provided by a reference tariff variation mechanism. </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C14C3D" w:rsidRDefault="00FC0DE5" w:rsidP="00FC0DE5"/>
          <w:p w:rsidR="00FC0DE5" w:rsidRPr="00FC0DE5" w:rsidRDefault="00FC0DE5" w:rsidP="00FC0DE5">
            <w:r>
              <w:t>76, 77, 78,87(1), </w:t>
            </w:r>
            <w:r w:rsidRPr="00FC0DE5">
              <w:t>90</w:t>
            </w:r>
          </w:p>
        </w:tc>
        <w:tc>
          <w:tcPr>
            <w:tcW w:w="7167" w:type="dxa"/>
          </w:tcPr>
          <w:p w:rsidR="00FC0DE5" w:rsidRPr="00FC0DE5" w:rsidRDefault="00FC0DE5" w:rsidP="00FC0DE5">
            <w:r w:rsidRPr="00C14C3D">
              <w:t xml:space="preserve">The AER’s determination of reference tariffs incorporates a return on and of the service provider's asset base. The historical asset base rolls forward from one </w:t>
            </w:r>
            <w:r w:rsidRPr="00FC0DE5">
              <w:t xml:space="preserve">access arrangement period to the next and from year to year within each access arrangement period.  The NGR provides for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w:t>
            </w:r>
          </w:p>
        </w:tc>
      </w:tr>
      <w:tr w:rsidR="00FC0DE5" w:rsidTr="00013867">
        <w:tc>
          <w:tcPr>
            <w:tcW w:w="1526" w:type="dxa"/>
          </w:tcPr>
          <w:p w:rsidR="00FC0DE5" w:rsidRPr="00FC0DE5" w:rsidRDefault="00FC0DE5" w:rsidP="00FC0DE5">
            <w:r w:rsidRPr="00C14C3D">
              <w:t>87</w:t>
            </w:r>
          </w:p>
        </w:tc>
        <w:tc>
          <w:tcPr>
            <w:tcW w:w="7167" w:type="dxa"/>
          </w:tcPr>
          <w:p w:rsidR="00FC0DE5" w:rsidRPr="00FC0DE5" w:rsidRDefault="00FC0DE5" w:rsidP="00FC0DE5">
            <w:r w:rsidRPr="00C14C3D">
              <w:t xml:space="preserve">The AER sets the rate of return on the asset base by reference to the risks faced by the service provider.  The AER updates this each </w:t>
            </w:r>
            <w:r w:rsidRPr="00FC0DE5">
              <w:t>access arrangement period to account for changed market conditions.</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87A</w:t>
            </w:r>
          </w:p>
        </w:tc>
        <w:tc>
          <w:tcPr>
            <w:tcW w:w="7167" w:type="dxa"/>
          </w:tcPr>
          <w:p w:rsidR="00FC0DE5" w:rsidRPr="00FC0DE5" w:rsidRDefault="00FC0DE5" w:rsidP="00FC0DE5">
            <w:r w:rsidRPr="00C14C3D">
              <w:t xml:space="preserve">Provision for tax in </w:t>
            </w:r>
            <w:r w:rsidRPr="00FC0DE5">
              <w:t>determining total revenue is required regardless of whether the service provider pays tax.</w:t>
            </w:r>
          </w:p>
        </w:tc>
      </w:tr>
      <w:tr w:rsidR="00FC0DE5" w:rsidTr="00013867">
        <w:tc>
          <w:tcPr>
            <w:tcW w:w="1526" w:type="dxa"/>
          </w:tcPr>
          <w:p w:rsidR="00FC0DE5" w:rsidRPr="00FC0DE5" w:rsidRDefault="00FC0DE5" w:rsidP="00FC0DE5">
            <w:r w:rsidRPr="00C14C3D">
              <w:t>79, 91</w:t>
            </w:r>
          </w:p>
        </w:tc>
        <w:tc>
          <w:tcPr>
            <w:tcW w:w="7167" w:type="dxa"/>
          </w:tcPr>
          <w:p w:rsidR="00FC0DE5" w:rsidRPr="00FC0DE5" w:rsidRDefault="00FC0DE5" w:rsidP="00FC0DE5">
            <w:r w:rsidRPr="00C14C3D">
              <w:t>The AER assesses expenditure requirements for each service provider by reference to the amount necessary to meet standards and objectives.  These include the need to meet the expected demand for services and to meet safety and integrity standards and regulatory obligations or requirements.  The AER does not assess expenditure by reference to the capacity of consumers to pay.  This removes risks that could otherwise arise in providing a reliable and safe service.  The AER reassesses the requirements of service providers for each</w:t>
            </w:r>
            <w:r w:rsidRPr="00FC0DE5">
              <w:t xml:space="preserve"> access arrangement period to account for changes in market conditions and trends.</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 xml:space="preserve">97 (1)(c) </w:t>
            </w:r>
          </w:p>
        </w:tc>
        <w:tc>
          <w:tcPr>
            <w:tcW w:w="7167" w:type="dxa"/>
          </w:tcPr>
          <w:p w:rsidR="00FC0DE5" w:rsidRPr="00FC0DE5" w:rsidRDefault="00FC0DE5" w:rsidP="00FC0DE5">
            <w:r w:rsidRPr="00C14C3D">
              <w:t>Allows service providers to pass through certain costs to consumers in circumstances where this might not be possible in a workably competitive market.  For instance, the pass through provisions provide for a pass through of costs that arise through regulatory changes.</w:t>
            </w:r>
          </w:p>
        </w:tc>
      </w:tr>
      <w:tr w:rsidR="00FC0DE5" w:rsidTr="00013867">
        <w:tc>
          <w:tcPr>
            <w:tcW w:w="1526" w:type="dxa"/>
          </w:tcPr>
          <w:p w:rsidR="00FC0DE5" w:rsidRPr="00FC0DE5" w:rsidRDefault="00FC0DE5" w:rsidP="00FC0DE5">
            <w:r w:rsidRPr="00C14C3D">
              <w:t>80-86, and 103-104</w:t>
            </w:r>
          </w:p>
        </w:tc>
        <w:tc>
          <w:tcPr>
            <w:tcW w:w="7167" w:type="dxa"/>
          </w:tcPr>
          <w:p w:rsidR="00FC0DE5" w:rsidRPr="00FC0DE5" w:rsidRDefault="00FC0DE5" w:rsidP="00FC0DE5">
            <w:r w:rsidRPr="00C14C3D">
              <w:t>Includes provisions for appropriate planning which allow for greater certainty to deal with changes in the commercial environment, including provisions for dealing with the funding of new projects during an access arrangement period, and the treatment of extensions and expansions and customer access queuing.</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Parts 19-21</w:t>
            </w:r>
          </w:p>
        </w:tc>
        <w:tc>
          <w:tcPr>
            <w:tcW w:w="7167" w:type="dxa"/>
          </w:tcPr>
          <w:p w:rsidR="00FC0DE5" w:rsidRPr="00FC0DE5" w:rsidRDefault="00FC0DE5" w:rsidP="00FC0DE5">
            <w:r w:rsidRPr="00C14C3D">
              <w:t xml:space="preserve">Provides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r w:rsidR="00FC0DE5" w:rsidTr="00E20018">
        <w:tc>
          <w:tcPr>
            <w:tcW w:w="1526" w:type="dxa"/>
            <w:vAlign w:val="top"/>
          </w:tcPr>
          <w:p w:rsidR="00FC0DE5" w:rsidRPr="00FC0DE5" w:rsidRDefault="00FC0DE5" w:rsidP="00FC0DE5"/>
        </w:tc>
        <w:tc>
          <w:tcPr>
            <w:tcW w:w="7167" w:type="dxa"/>
            <w:vAlign w:val="top"/>
          </w:tcPr>
          <w:p w:rsidR="00FC0DE5" w:rsidRPr="00FC0DE5" w:rsidRDefault="00FC0DE5" w:rsidP="00FC0DE5"/>
        </w:tc>
      </w:tr>
    </w:tbl>
    <w:p w:rsidR="00E20018" w:rsidRDefault="00E20018" w:rsidP="00E20018">
      <w:pPr>
        <w:pStyle w:val="AERtablesource"/>
      </w:pPr>
      <w:r>
        <w:t xml:space="preserve">Source: </w:t>
      </w:r>
      <w:r>
        <w:tab/>
        <w:t>N</w:t>
      </w:r>
      <w:r w:rsidR="00251270">
        <w:t>G</w:t>
      </w:r>
      <w:r>
        <w:t>R, AER analysis.</w:t>
      </w:r>
    </w:p>
    <w:p w:rsidR="00E20018" w:rsidRPr="00785554" w:rsidRDefault="00E20018" w:rsidP="00E20018">
      <w:pPr>
        <w:pStyle w:val="HeadingBoldItalic"/>
        <w:rPr>
          <w:rStyle w:val="AERbody"/>
        </w:rPr>
      </w:pPr>
      <w:r w:rsidRPr="00785554">
        <w:rPr>
          <w:rStyle w:val="AERbody"/>
        </w:rPr>
        <w:t>Outcomes of a workably competitive market</w:t>
      </w:r>
    </w:p>
    <w:p w:rsidR="00E20018" w:rsidRDefault="00E20018" w:rsidP="00CC7A1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70"/>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71"/>
      </w:r>
    </w:p>
    <w:p w:rsidR="00E20018" w:rsidRDefault="00E20018" w:rsidP="00CC7A1C">
      <w:pPr>
        <w:numPr>
          <w:ilvl w:val="0"/>
          <w:numId w:val="24"/>
        </w:numPr>
      </w:pPr>
      <w:r>
        <w:t>Incentive regulation aims to replicate workably competitive market outcomes by:</w:t>
      </w:r>
    </w:p>
    <w:p w:rsidR="00E20018" w:rsidRDefault="00E20018" w:rsidP="00E20018">
      <w:pPr>
        <w:pStyle w:val="AERbulletlistfirststyle"/>
      </w:pPr>
      <w:r>
        <w:t xml:space="preserve">Constraining monopoly rents by seeking for customers to only pay for efficient costs of providing the service. </w:t>
      </w:r>
    </w:p>
    <w:p w:rsidR="00E20018" w:rsidRPr="00E64F99" w:rsidRDefault="00E20018" w:rsidP="00E20018">
      <w:pPr>
        <w:pStyle w:val="AERbulletlistfirststyle"/>
      </w:pPr>
      <w:r>
        <w:t>Incentivising service providers to operate efficiently.</w:t>
      </w:r>
    </w:p>
    <w:p w:rsidR="00E20018" w:rsidRDefault="00E20018" w:rsidP="00E20018">
      <w:r>
        <w:t xml:space="preserve">Applying the first point to the allowed rate of return, the allowed rate of return should be consistent with the efficient financing cost of providing </w:t>
      </w:r>
      <w:r w:rsidR="008C025E">
        <w:t>reference</w:t>
      </w:r>
      <w:r>
        <w:t xml:space="preserve"> services.</w:t>
      </w:r>
      <w:r>
        <w:rPr>
          <w:rStyle w:val="FootnoteReference"/>
        </w:rPr>
        <w:footnoteReference w:id="72"/>
      </w:r>
      <w:r w:rsidR="00A0278F" w:rsidRPr="00A0278F">
        <w:t xml:space="preserve"> </w:t>
      </w:r>
      <w:r w:rsidR="00A0278F">
        <w:t>This means it should be consistent with the efficient financing costs of debt and equity capital combined at the efficient gearing ratio that is required to provide the re</w:t>
      </w:r>
      <w:r w:rsidR="008C025E">
        <w:t>ference</w:t>
      </w:r>
      <w:r w:rsidR="00A0278F">
        <w:t xml:space="preserve"> services. </w:t>
      </w:r>
      <w:r>
        <w:t xml:space="preserve"> As we discuss above and in</w:t>
      </w:r>
      <w:r w:rsidR="006B3297">
        <w:t xml:space="preserve"> </w:t>
      </w:r>
      <w:r w:rsidR="0008068D">
        <w:t xml:space="preserve">section </w:t>
      </w:r>
      <w:r w:rsidR="0008068D">
        <w:fldChar w:fldCharType="begin"/>
      </w:r>
      <w:r w:rsidR="0008068D">
        <w:instrText xml:space="preserve"> REF _Ref430958591 \r \h </w:instrText>
      </w:r>
      <w:r w:rsidR="0008068D">
        <w:fldChar w:fldCharType="separate"/>
      </w:r>
      <w:r w:rsidR="002C24D6">
        <w:t>3.4.1</w:t>
      </w:r>
      <w:r w:rsidR="0008068D">
        <w:fldChar w:fldCharType="end"/>
      </w:r>
      <w:r w:rsidR="008F6EFD">
        <w:t xml:space="preserve"> and </w:t>
      </w:r>
      <w:r w:rsidR="008F6EFD">
        <w:fldChar w:fldCharType="begin"/>
      </w:r>
      <w:r w:rsidR="008F6EFD">
        <w:instrText xml:space="preserve"> REF _Ref478718271 \r \h </w:instrText>
      </w:r>
      <w:r w:rsidR="008F6EFD">
        <w:fldChar w:fldCharType="separate"/>
      </w:r>
      <w:r w:rsidR="002C24D6">
        <w:t>3.4.2</w:t>
      </w:r>
      <w:r w:rsidR="008F6EFD">
        <w:fldChar w:fldCharType="end"/>
      </w:r>
      <w:r>
        <w:t>, we consider the current (or prevailing) cost</w:t>
      </w:r>
      <w:r w:rsidR="0063233A">
        <w:t>s</w:t>
      </w:r>
      <w:r>
        <w:t xml:space="preserve"> of </w:t>
      </w:r>
      <w:r w:rsidR="0063233A">
        <w:t xml:space="preserve">equity and debt (which when </w:t>
      </w:r>
      <w:r w:rsidR="00A0278F">
        <w:t>weighted</w:t>
      </w:r>
      <w:r w:rsidR="0063233A">
        <w:t xml:space="preserve"> appropriately represent the </w:t>
      </w:r>
      <w:r w:rsidR="00A0278F">
        <w:t xml:space="preserve">weighted average </w:t>
      </w:r>
      <w:r w:rsidR="0063233A">
        <w:t xml:space="preserve">cost of </w:t>
      </w:r>
      <w:r>
        <w:t>capital</w:t>
      </w:r>
      <w:r w:rsidR="0063233A">
        <w:t>)</w:t>
      </w:r>
      <w:r>
        <w:t xml:space="preserve"> to be the efficient </w:t>
      </w:r>
      <w:r w:rsidR="0063233A">
        <w:t xml:space="preserve">financing </w:t>
      </w:r>
      <w:r>
        <w:t>cost</w:t>
      </w:r>
      <w:r w:rsidR="0063233A">
        <w:t>s</w:t>
      </w:r>
      <w:r>
        <w:t>. P</w:t>
      </w:r>
      <w:r w:rsidRPr="002624EC">
        <w:t xml:space="preserve">revailing market rates for capital finance </w:t>
      </w:r>
      <w:r>
        <w:t xml:space="preserve">are expected </w:t>
      </w:r>
      <w:r w:rsidRPr="002624EC">
        <w:t>to be competitive.</w:t>
      </w:r>
      <w:r w:rsidRPr="002624EC">
        <w:rPr>
          <w:rStyle w:val="FootnoteReference"/>
        </w:rPr>
        <w:footnoteReference w:id="73"/>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74"/>
      </w:r>
    </w:p>
    <w:p w:rsidR="00E20018" w:rsidRDefault="00E20018" w:rsidP="00E2001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E20018" w:rsidRDefault="00E20018" w:rsidP="00E20018">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E20018" w:rsidRDefault="00E20018" w:rsidP="00E20018">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w:t>
      </w:r>
      <w:r w:rsidR="008C025E">
        <w:rPr>
          <w:rStyle w:val="AERbody"/>
        </w:rPr>
        <w:t>ference</w:t>
      </w:r>
      <w:r w:rsidRPr="00650403">
        <w:rPr>
          <w:rStyle w:val="AERbody"/>
        </w:rPr>
        <w:t xml:space="preserve"> services.</w:t>
      </w:r>
    </w:p>
    <w:p w:rsidR="00E20018" w:rsidRDefault="00E20018" w:rsidP="00E20018">
      <w:pPr>
        <w:pStyle w:val="AERbulletlistfirststyle"/>
      </w:pPr>
      <w:r w:rsidRPr="00650403">
        <w:rPr>
          <w:rStyle w:val="AERbody"/>
        </w:rPr>
        <w:t>Incentivises service providers to seek the lowest cost financing (all else being equal).</w:t>
      </w:r>
    </w:p>
    <w:p w:rsidR="00E20018" w:rsidRPr="00E64F99" w:rsidRDefault="0036289C" w:rsidP="00E20018">
      <w:r>
        <w:t>P</w:t>
      </w:r>
      <w:r w:rsidR="00E20018">
        <w:t xml:space="preserve">romoting an efficient competitive outcome would not necessarily </w:t>
      </w:r>
      <w:r w:rsidR="00E20018" w:rsidRPr="00E64F99">
        <w:t xml:space="preserve">entail </w:t>
      </w:r>
      <w:r w:rsidR="00E20018">
        <w:t>assuming a benchmark efficient entity would</w:t>
      </w:r>
      <w:r w:rsidR="00E20018" w:rsidRPr="00E64F99">
        <w:t xml:space="preserve"> conduct </w:t>
      </w:r>
      <w:r w:rsidR="00E20018">
        <w:t>all of its</w:t>
      </w:r>
      <w:r w:rsidR="00E20018" w:rsidRPr="00E64F99">
        <w:t xml:space="preserve"> </w:t>
      </w:r>
      <w:r w:rsidR="00E20018">
        <w:t>activities</w:t>
      </w:r>
      <w:r w:rsidR="00E20018" w:rsidRPr="00E64F99">
        <w:t xml:space="preserve"> as we would imagine an unregulated firm would. </w:t>
      </w:r>
      <w:r w:rsidR="00DB15A8">
        <w:t>We must consider, after all, that our benchmark entity is 'efficient' in the context of the national electricity objective.  It is investing efficiently,</w:t>
      </w:r>
      <w:r w:rsidR="0034344E">
        <w:t xml:space="preserve"> incurring costs efficiently,</w:t>
      </w:r>
      <w:r w:rsidR="00DB15A8">
        <w:t xml:space="preserve"> charging prices that are efficient, in a system where the use and provision of services is efficient and it earns an efficient return. As Partington and Satchell advise, an unregulated benchmark with monopoly power is not appropriate because, '</w:t>
      </w:r>
      <w:r w:rsidR="00DB15A8" w:rsidRPr="00247802">
        <w:t>if the benchmark entity is an unregulated firm which has monopoly power, then it will be extracting economic rents</w:t>
      </w:r>
      <w:r w:rsidR="00DB15A8">
        <w:t>'.</w:t>
      </w:r>
      <w:r w:rsidR="00DB15A8">
        <w:rPr>
          <w:rStyle w:val="FootnoteReference"/>
        </w:rPr>
        <w:footnoteReference w:id="75"/>
      </w:r>
      <w:r w:rsidR="00DB15A8">
        <w:t xml:space="preserve">  It will not be a benchmark 'efficient' entity.  An unregulated monopoly service provider would therefore be unlikely to have the characteristics of a benchmark efficient entity with a similar degree of risk as a service provider in the provision of its re</w:t>
      </w:r>
      <w:r w:rsidR="008C025E">
        <w:t>ference</w:t>
      </w:r>
      <w:r w:rsidR="00DB15A8">
        <w:t xml:space="preserve"> services.</w:t>
      </w:r>
    </w:p>
    <w:p w:rsidR="00E20018" w:rsidRPr="00B575CE" w:rsidRDefault="00E20018" w:rsidP="00E20018">
      <w:pPr>
        <w:pStyle w:val="Heading3"/>
      </w:pPr>
      <w:bookmarkStart w:id="39" w:name="_Toc450922716"/>
      <w:bookmarkStart w:id="40" w:name="_Toc451938951"/>
      <w:bookmarkStart w:id="41" w:name="_Toc456686699"/>
      <w:bookmarkStart w:id="42" w:name="_Toc487037133"/>
      <w:r>
        <w:t>Return on debt factors in the rules</w:t>
      </w:r>
      <w:bookmarkEnd w:id="39"/>
      <w:bookmarkEnd w:id="40"/>
      <w:bookmarkEnd w:id="41"/>
      <w:bookmarkEnd w:id="42"/>
    </w:p>
    <w:p w:rsidR="00E20018" w:rsidRPr="002F1CCA" w:rsidRDefault="00E20018" w:rsidP="00CC7A1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76"/>
      </w:r>
    </w:p>
    <w:p w:rsidR="00E20018" w:rsidRPr="002F1CCA" w:rsidRDefault="00E20018" w:rsidP="00E2001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77"/>
      </w:r>
      <w:r w:rsidRPr="002F1CCA">
        <w:t xml:space="preserve"> We understand this factor to mean the difference between the return on debt allowance and the cost of debt a benchmark efficient entity would incur</w:t>
      </w:r>
      <w:r w:rsidR="0063233A">
        <w:t xml:space="preserve"> in order to finance efficient investment in its </w:t>
      </w:r>
      <w:r w:rsidR="00A0278F">
        <w:t>regulated</w:t>
      </w:r>
      <w:r w:rsidR="0063233A">
        <w:t xml:space="preserve"> capital </w:t>
      </w:r>
      <w:r w:rsidR="00A0278F">
        <w:t xml:space="preserve">(i.e. regulated network) </w:t>
      </w:r>
      <w:r w:rsidR="0063233A">
        <w:t xml:space="preserve">over the </w:t>
      </w:r>
      <w:r w:rsidR="009B30A8">
        <w:t>access arrangement</w:t>
      </w:r>
      <w:r w:rsidR="0063233A">
        <w:t xml:space="preserve"> period</w:t>
      </w:r>
      <w:r w:rsidRPr="002F1CCA">
        <w:t xml:space="preserve">. For clarity, we do not consider this factor relates </w:t>
      </w:r>
      <w:r w:rsidR="0063233A">
        <w:t xml:space="preserve">specifically </w:t>
      </w:r>
      <w:r w:rsidRPr="002F1CCA">
        <w:t>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r w:rsidR="001E2BC8">
        <w:t xml:space="preserve"> having the relevant degree of risk</w:t>
      </w:r>
      <w:r w:rsidR="001E2BC8" w:rsidRPr="002F1CCA">
        <w:t>.</w:t>
      </w:r>
    </w:p>
    <w:p w:rsidR="00E20018" w:rsidRPr="002F1CCA" w:rsidRDefault="00E20018" w:rsidP="00E20018">
      <w:pPr>
        <w:pStyle w:val="AERbulletlistfirststyle"/>
      </w:pPr>
      <w:r w:rsidRPr="002F1CCA">
        <w:t>The interrelationship between the return on equity and the return on debt.</w:t>
      </w:r>
      <w:r w:rsidRPr="001437CB">
        <w:rPr>
          <w:rStyle w:val="AERsuperscript"/>
        </w:rPr>
        <w:footnoteReference w:id="78"/>
      </w:r>
    </w:p>
    <w:p w:rsidR="00E20018" w:rsidRPr="002F1CCA" w:rsidRDefault="00E20018" w:rsidP="00E2001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79"/>
      </w:r>
    </w:p>
    <w:p w:rsidR="00E20018" w:rsidRPr="002F1CCA" w:rsidRDefault="00E20018" w:rsidP="00E20018">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80"/>
      </w:r>
    </w:p>
    <w:p w:rsidR="008C025E" w:rsidRPr="00D57513" w:rsidRDefault="008C025E" w:rsidP="008C025E">
      <w:r w:rsidRPr="00D57513">
        <w:t>We have taken each of these factors into account in reaching a decision about how to e</w:t>
      </w:r>
      <w:r w:rsidR="00683922">
        <w:t xml:space="preserve">stimate the return on debt </w:t>
      </w:r>
      <w:r w:rsidRPr="00D57513">
        <w:t>so that it will contribute to achieving the ARORO.   Different options have different relative advantages and disadvantages. The AER has had regard to the revenue and pricing principles in assessing those advantages and disadvantages, with the goal of achieving both the ARORO and the NGO.</w:t>
      </w:r>
    </w:p>
    <w:p w:rsidR="008C025E" w:rsidRPr="00D57513" w:rsidRDefault="008C025E" w:rsidP="008C025E">
      <w:r w:rsidRPr="00D57513">
        <w:t>The options we have considered include:</w:t>
      </w:r>
    </w:p>
    <w:p w:rsidR="008C025E" w:rsidRPr="00D57513" w:rsidRDefault="008C025E" w:rsidP="008C025E">
      <w:r w:rsidRPr="00D57513">
        <w:t>1.</w:t>
      </w:r>
      <w:r w:rsidRPr="00D57513">
        <w:tab/>
        <w:t>The on-the-day approach</w:t>
      </w:r>
    </w:p>
    <w:p w:rsidR="008C025E" w:rsidRPr="00D57513" w:rsidRDefault="008C025E" w:rsidP="008C025E">
      <w:r w:rsidRPr="00D57513">
        <w:t>2.</w:t>
      </w:r>
      <w:r w:rsidRPr="00D57513">
        <w:tab/>
        <w:t>A combination of the on the day approach and a trailing average that is totally forward looking</w:t>
      </w:r>
    </w:p>
    <w:p w:rsidR="008C025E" w:rsidRPr="00D57513" w:rsidRDefault="008C025E" w:rsidP="008C025E">
      <w:r w:rsidRPr="00D57513">
        <w:t>3.</w:t>
      </w:r>
      <w:r w:rsidRPr="00D57513">
        <w:tab/>
        <w:t>A combination of the on the day approach and a trailing average that would be set partially based on historical costs</w:t>
      </w:r>
    </w:p>
    <w:p w:rsidR="008C025E" w:rsidRPr="00D57513" w:rsidRDefault="008C025E" w:rsidP="008C025E">
      <w:r w:rsidRPr="00D57513">
        <w:t>4.</w:t>
      </w:r>
      <w:r w:rsidRPr="00D57513">
        <w:tab/>
        <w:t>A trailing average of historical costs</w:t>
      </w:r>
    </w:p>
    <w:p w:rsidR="008C025E" w:rsidRPr="00D57513" w:rsidRDefault="008C025E" w:rsidP="008C025E">
      <w:r w:rsidRPr="00D57513">
        <w:t xml:space="preserve">We consider the on the day approach will meet the ARORO.  Importantly, it best reflects the interrelationship between the return on debt and the return on equity (one of the factors we must have regard to).  It provides for the cost of capital as a whole to be set at a prevailing rate, or the opportunity cost of capital in the market at the time of the decision.  In this sense, it is the classic method for measuring the cost of capital. As the return on capital is set at the opportunity cost of capital investment decisions are not distorted. It provides effective incentives for investment and capital expenditure over the coming regulatory control period.  It does not result in any impacts that might result from a change in methodology. </w:t>
      </w:r>
    </w:p>
    <w:p w:rsidR="008C025E" w:rsidRPr="00D57513" w:rsidRDefault="008C025E" w:rsidP="008C025E">
      <w:r w:rsidRPr="00D57513">
        <w:t xml:space="preserve">There is arguably however, some difference between the return on debt we estimate and the return on debt of a benchmark efficient entity with a similar degree of risk to </w:t>
      </w:r>
      <w:r w:rsidR="00D913A0">
        <w:t xml:space="preserve">APTPPL </w:t>
      </w:r>
      <w:r w:rsidRPr="00D57513">
        <w:t>in</w:t>
      </w:r>
      <w:r w:rsidR="00D913A0">
        <w:t xml:space="preserve"> the provision of its reference </w:t>
      </w:r>
      <w:r w:rsidRPr="00D57513">
        <w:t>services, when adopting the on the day approach.</w:t>
      </w:r>
    </w:p>
    <w:p w:rsidR="008C025E" w:rsidRPr="00D57513" w:rsidRDefault="008C025E" w:rsidP="008C025E">
      <w:r w:rsidRPr="00D57513">
        <w:t>Options that are based on either the trailing average approach, or a combination of the on the day approach and a trailing average, help to minimise those differences.  However, they potentially distort the relationship between the return on equity and the return on debt. They may also provide the wrong or ineffective incentives to promote efficient investment.</w:t>
      </w:r>
    </w:p>
    <w:p w:rsidR="008C025E" w:rsidRDefault="008C025E" w:rsidP="008C025E">
      <w:r w:rsidRPr="00D57513">
        <w:t>We also note that while all of these factors are potentially relevant, none of these factors override</w:t>
      </w:r>
      <w:r w:rsidR="00F4184B">
        <w:t xml:space="preserve"> the requirements that the return on debt contribute</w:t>
      </w:r>
      <w:r w:rsidR="008D059E">
        <w:t>s</w:t>
      </w:r>
      <w:r w:rsidR="00F4184B">
        <w:t xml:space="preserve"> to the achievement of</w:t>
      </w:r>
      <w:r w:rsidRPr="00D57513">
        <w:t xml:space="preserve"> the ARORO </w:t>
      </w:r>
      <w:r w:rsidR="00F4184B">
        <w:t>and that our decision contribute</w:t>
      </w:r>
      <w:r w:rsidR="008D059E">
        <w:t>s</w:t>
      </w:r>
      <w:r w:rsidR="00F4184B">
        <w:t xml:space="preserve"> </w:t>
      </w:r>
      <w:r w:rsidR="0089309D">
        <w:t xml:space="preserve">to the achievement of the NGO. </w:t>
      </w:r>
      <w:r w:rsidRPr="00D57513">
        <w:t>For example, while we must consider the desirability of minimising mismatches but any such desirability must be seen in the context of the NGO, RPPs and ARORO.  While we must consider impacts resulting from a change in methodology, we must ultimately set a return on debt that meets the ARORO, the NGO and has regard to the RPPs.</w:t>
      </w:r>
    </w:p>
    <w:p w:rsidR="00E20018" w:rsidRDefault="008A1244" w:rsidP="008C025E">
      <w:pPr>
        <w:rPr>
          <w:rStyle w:val="AERbody"/>
        </w:rPr>
      </w:pPr>
      <w:r>
        <w:t xml:space="preserve">We accept that there is some desirability in changing methodology and moving to a trailing average approach.  We consider that it is necessary to transition to that new methodology in order to meet the legislative requirements. </w:t>
      </w:r>
      <w:r w:rsidR="00E20018">
        <w:t>Our transition between the two methodologies is '</w:t>
      </w:r>
      <w:r w:rsidR="00E20018" w:rsidRPr="00FA6A21">
        <w:t>revenue neutral'</w:t>
      </w:r>
      <w:r w:rsidR="00E20018">
        <w:t xml:space="preserve"> in a present value sense.</w:t>
      </w:r>
      <w:r w:rsidR="00E20018" w:rsidRPr="00FA6A21">
        <w:t xml:space="preserve"> </w:t>
      </w:r>
      <w:r w:rsidR="00E20018">
        <w:t>It</w:t>
      </w:r>
      <w:r w:rsidR="00E20018" w:rsidRPr="00FA6A21">
        <w:t xml:space="preserve"> </w:t>
      </w:r>
      <w:r>
        <w:t>promotes efficient investment in new capital expenditure in future years without an incentive for either over or under investment.  We note that it also restricts</w:t>
      </w:r>
      <w:r w:rsidRPr="00FA6A21">
        <w:t xml:space="preserve"> </w:t>
      </w:r>
      <w:r w:rsidR="00E20018">
        <w:t>'</w:t>
      </w:r>
      <w:r w:rsidR="00E20018" w:rsidRPr="00FA6A21">
        <w:t>wealth transfer</w:t>
      </w:r>
      <w:r w:rsidR="00E20018">
        <w:t>'</w:t>
      </w:r>
      <w:r w:rsidR="00E20018">
        <w:rPr>
          <w:rStyle w:val="FootnoteReference"/>
        </w:rPr>
        <w:footnoteReference w:id="81"/>
      </w:r>
      <w:r w:rsidR="00E20018" w:rsidRPr="00FA6A21">
        <w:t xml:space="preserve"> </w:t>
      </w:r>
      <w:r w:rsidR="00E20018">
        <w:t xml:space="preserve">flowing between a benchmark entity and its consumers because of the change in methodology. </w:t>
      </w:r>
      <w:r w:rsidR="00E20018">
        <w:rPr>
          <w:rStyle w:val="AERbody"/>
        </w:rPr>
        <w:t>This mitigates any impacts</w:t>
      </w:r>
      <w:r w:rsidR="00E20018" w:rsidRPr="00500629">
        <w:t xml:space="preserve"> </w:t>
      </w:r>
      <w:r w:rsidR="00E20018" w:rsidRPr="00500629">
        <w:rPr>
          <w:rStyle w:val="AERbody"/>
        </w:rPr>
        <w:t xml:space="preserve">on a benchmark efficient entity that could arise as a result </w:t>
      </w:r>
      <w:r w:rsidR="00E20018" w:rsidRPr="002F1CCA">
        <w:t xml:space="preserve">of changing the methodology that is used to estimate the return on debt from one </w:t>
      </w:r>
      <w:r w:rsidR="00E20018">
        <w:t>regulatory</w:t>
      </w:r>
      <w:r w:rsidR="00E20018" w:rsidRPr="002F1CCA">
        <w:t xml:space="preserve"> </w:t>
      </w:r>
      <w:r w:rsidR="00E20018">
        <w:t xml:space="preserve">control </w:t>
      </w:r>
      <w:r w:rsidR="00E20018" w:rsidRPr="002F1CCA">
        <w:t>period to the next</w:t>
      </w:r>
      <w:r w:rsidR="00E20018">
        <w:rPr>
          <w:rStyle w:val="AERbody"/>
        </w:rPr>
        <w:t xml:space="preserve">. </w:t>
      </w:r>
    </w:p>
    <w:p w:rsidR="00E20018" w:rsidRDefault="00E20018" w:rsidP="00E2001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t>
      </w:r>
      <w:r w:rsidR="002A234B">
        <w:t xml:space="preserve">would be compensated inconsistently with its efficient financing costs and thereby </w:t>
      </w:r>
      <w:r>
        <w:t xml:space="preserve">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w:t>
      </w:r>
      <w:r w:rsidR="002A234B">
        <w:t xml:space="preserve">This is because the use of the prevailing cost of capital for the allowed rate of return will result in the provision of the efficient opportunity cost of capital in the market. This will result in the benchmark efficient entity being correctly valued on its return on capital cash flows at the value of its regulated asset base. </w:t>
      </w:r>
      <w:r>
        <w:t xml:space="preserve">This means </w:t>
      </w:r>
      <w:r w:rsidR="002A234B">
        <w:t>the on the day methodol</w:t>
      </w:r>
      <w:r w:rsidR="001008D7">
        <w:t>o</w:t>
      </w:r>
      <w:r w:rsidR="002A234B">
        <w:t>gy</w:t>
      </w:r>
      <w:r>
        <w:t xml:space="preserve"> would not have, nor would it continue to, under- or over-value a benchmark efficient entity. </w:t>
      </w:r>
      <w:r w:rsidR="002A234B">
        <w:t xml:space="preserve">Rather, it will set an allowed return that results in the benchmark efficient entity being correctly valued and meets the ARORO and NEO. </w:t>
      </w:r>
      <w:r>
        <w:t xml:space="preserve">On this basis, we consider any transition must be revenue neutral relative to the continuation of the on-the-day methodology. </w:t>
      </w:r>
    </w:p>
    <w:p w:rsidR="00D913A0" w:rsidRDefault="00D913A0" w:rsidP="00102BA3">
      <w:r>
        <w:t xml:space="preserve">As noted earlier in this decision, we have considered the Full Federal Court decision handed down on 24 May 2017. </w:t>
      </w:r>
      <w:r w:rsidR="0089309D" w:rsidRPr="0089309D">
        <w:t>Given that the reasons in this decision on debt transition differ from those in our NSW and ACT decisions, we consider our decision to apply a full (or reneue neutral) transition is not inconsistent with the Full Federal Court Decision.</w:t>
      </w:r>
    </w:p>
    <w:p w:rsidR="005E1332" w:rsidRDefault="005E1332" w:rsidP="00102BA3">
      <w:r>
        <w:t>O</w:t>
      </w:r>
      <w:r w:rsidR="00E91C7E">
        <w:t xml:space="preserve">ur reasoning in </w:t>
      </w:r>
      <w:r>
        <w:t>this</w:t>
      </w:r>
      <w:r w:rsidR="00102BA3" w:rsidRPr="00102BA3">
        <w:t xml:space="preserve"> decision</w:t>
      </w:r>
      <w:r>
        <w:t xml:space="preserve"> for </w:t>
      </w:r>
      <w:r w:rsidR="002E6DEE">
        <w:t>APTPPL</w:t>
      </w:r>
      <w:r w:rsidR="00102BA3" w:rsidRPr="00102BA3">
        <w:t xml:space="preserve"> (consistent with our reasoning in all decisions released post 2015) makes clear we consider past financing practices are largely n</w:t>
      </w:r>
      <w:r w:rsidR="008A1244">
        <w:t xml:space="preserve">either relevant nor appropriate to our consideration of </w:t>
      </w:r>
      <w:r w:rsidR="00102BA3" w:rsidRPr="00102BA3">
        <w:t>efficient financing costs</w:t>
      </w:r>
      <w:r>
        <w:t xml:space="preserve"> of a benchmark efficient entity </w:t>
      </w:r>
      <w:r w:rsidR="002A234B">
        <w:t>with a similar degree of risk as</w:t>
      </w:r>
      <w:r>
        <w:t xml:space="preserve"> </w:t>
      </w:r>
      <w:r w:rsidR="002E6DEE">
        <w:t xml:space="preserve">APTPPL </w:t>
      </w:r>
      <w:r w:rsidR="002A234B">
        <w:t>in the provision of its reference services</w:t>
      </w:r>
      <w:r>
        <w:t>.  Efficient financing costs must be seen in the context of the</w:t>
      </w:r>
      <w:r w:rsidR="00102BA3" w:rsidRPr="00102BA3">
        <w:t xml:space="preserve"> ex ante (or forward looking) </w:t>
      </w:r>
      <w:r>
        <w:t>nature of the regulatory scheme</w:t>
      </w:r>
      <w:r w:rsidR="00102BA3" w:rsidRPr="00102BA3">
        <w:t>.</w:t>
      </w:r>
      <w:r w:rsidR="00E91C7E">
        <w:rPr>
          <w:rStyle w:val="FootnoteReference"/>
        </w:rPr>
        <w:footnoteReference w:id="82"/>
      </w:r>
      <w:r w:rsidR="00102BA3" w:rsidRPr="00102BA3">
        <w:t xml:space="preserve"> </w:t>
      </w:r>
    </w:p>
    <w:p w:rsidR="005E1332" w:rsidRPr="00102BA3" w:rsidRDefault="00D913A0" w:rsidP="00102BA3">
      <w:r w:rsidRPr="00102BA3">
        <w:t>We consider a full transition is required to meet the ARORO because we consider current debt costs in the market</w:t>
      </w:r>
      <w:r w:rsidR="008D059E">
        <w:t xml:space="preserve"> </w:t>
      </w:r>
      <w:r w:rsidRPr="00102BA3">
        <w:t xml:space="preserve">reflect efficient </w:t>
      </w:r>
      <w:r w:rsidR="0089309D">
        <w:t xml:space="preserve">financing </w:t>
      </w:r>
      <w:r w:rsidRPr="00102BA3">
        <w:t xml:space="preserve">costs and we consider correct compensation in </w:t>
      </w:r>
      <w:r>
        <w:t xml:space="preserve">a </w:t>
      </w:r>
      <w:r w:rsidRPr="00102BA3">
        <w:t xml:space="preserve">present value sense (or an allowance </w:t>
      </w:r>
      <w:r w:rsidR="008D059E">
        <w:t>that meets the NPV = 0 condition</w:t>
      </w:r>
      <w:r w:rsidRPr="00102BA3">
        <w:t xml:space="preserve">) is required to meeting the ARORO and to </w:t>
      </w:r>
      <w:r>
        <w:t>achieve the National Gas</w:t>
      </w:r>
      <w:r w:rsidRPr="00102BA3">
        <w:t xml:space="preserve"> Objective</w:t>
      </w:r>
      <w:r>
        <w:t xml:space="preserve">. </w:t>
      </w:r>
      <w:r w:rsidR="00102BA3" w:rsidRPr="00102BA3">
        <w:t xml:space="preserve">In reaching this conclusion we consider it important </w:t>
      </w:r>
      <w:r w:rsidR="002A234B">
        <w:t xml:space="preserve">to note </w:t>
      </w:r>
      <w:r w:rsidR="00102BA3" w:rsidRPr="00102BA3">
        <w:t>that implementing the trailing average with anything other than a full</w:t>
      </w:r>
      <w:r w:rsidR="009029F5">
        <w:t xml:space="preserve"> (or revenue neutral)</w:t>
      </w:r>
      <w:r w:rsidR="00102BA3" w:rsidRPr="00102BA3">
        <w:t xml:space="preserve"> transition will not result in future expected cash flows with a present value equal to the regulatory asset base (i.e. the NPV = 0 c</w:t>
      </w:r>
      <w:r w:rsidR="008D059E">
        <w:t>ondition</w:t>
      </w:r>
      <w:r w:rsidR="00102BA3" w:rsidRPr="00102BA3">
        <w:t xml:space="preserve"> will not be met) and investment will </w:t>
      </w:r>
      <w:r w:rsidR="005E1332">
        <w:t xml:space="preserve">therefore </w:t>
      </w:r>
      <w:r w:rsidR="00102BA3" w:rsidRPr="00102BA3">
        <w:t>be distorted</w:t>
      </w:r>
      <w:r w:rsidR="009029F5">
        <w:t xml:space="preserve">. </w:t>
      </w:r>
      <w:r w:rsidR="005E1332">
        <w:t xml:space="preserve">This is a critical factor.  </w:t>
      </w:r>
      <w:r w:rsidR="0089309D">
        <w:t>We con</w:t>
      </w:r>
      <w:r w:rsidR="006B3297">
        <w:t>si</w:t>
      </w:r>
      <w:r w:rsidR="0089309D">
        <w:t>der a change in methodology that results in n</w:t>
      </w:r>
      <w:r w:rsidR="005E1332">
        <w:t>ot meeting the NPV</w:t>
      </w:r>
      <w:r w:rsidR="006B3297">
        <w:t xml:space="preserve"> </w:t>
      </w:r>
      <w:r w:rsidR="005E1332">
        <w:t>=</w:t>
      </w:r>
      <w:r w:rsidR="006B3297">
        <w:t xml:space="preserve"> </w:t>
      </w:r>
      <w:r w:rsidR="005E1332">
        <w:t xml:space="preserve">0 </w:t>
      </w:r>
      <w:r w:rsidR="008D059E">
        <w:t xml:space="preserve">condition </w:t>
      </w:r>
      <w:r w:rsidR="005E1332">
        <w:t>would not be consistent with the NGO, or indeed the underlining basis of the regulatory scheme set up under</w:t>
      </w:r>
      <w:r w:rsidR="00102BA3" w:rsidRPr="00102BA3">
        <w:t xml:space="preserve"> the NGL. </w:t>
      </w:r>
    </w:p>
    <w:p w:rsidR="00D913A0" w:rsidRDefault="00D913A0"/>
    <w:p w:rsidR="00E20018" w:rsidRPr="008D480D" w:rsidRDefault="00E20018" w:rsidP="00272584">
      <w:pPr>
        <w:pStyle w:val="AERbulletlistfirststyle"/>
        <w:numPr>
          <w:ilvl w:val="0"/>
          <w:numId w:val="0"/>
        </w:numPr>
      </w:pPr>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83"/>
      </w:r>
      <w:r>
        <w:t xml:space="preserve"> We address this in our section on debt implementation.</w:t>
      </w:r>
    </w:p>
    <w:p w:rsidR="00E20018" w:rsidRPr="00B575CE" w:rsidRDefault="00E20018" w:rsidP="00E20018">
      <w:pPr>
        <w:pStyle w:val="Heading3"/>
      </w:pPr>
      <w:bookmarkStart w:id="43" w:name="_Toc450922717"/>
      <w:bookmarkStart w:id="44" w:name="_Toc451938952"/>
      <w:bookmarkStart w:id="45" w:name="_Toc456686700"/>
      <w:bookmarkStart w:id="46" w:name="_Toc487037134"/>
      <w:r>
        <w:t>R</w:t>
      </w:r>
      <w:r w:rsidRPr="00B575CE">
        <w:t>ate of return Guideline</w:t>
      </w:r>
      <w:bookmarkEnd w:id="43"/>
      <w:bookmarkEnd w:id="44"/>
      <w:bookmarkEnd w:id="45"/>
      <w:bookmarkEnd w:id="46"/>
    </w:p>
    <w:p w:rsidR="00E20018" w:rsidRDefault="00E20018" w:rsidP="00E20018">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84"/>
      </w:r>
    </w:p>
    <w:p w:rsidR="00E20018" w:rsidRDefault="00E20018" w:rsidP="00E20018">
      <w:pPr>
        <w:pStyle w:val="HeadingBoldBlue"/>
      </w:pPr>
      <w:bookmarkStart w:id="47" w:name="_Toc450922718"/>
      <w:r>
        <w:t>Role of the Guideline</w:t>
      </w:r>
      <w:bookmarkEnd w:id="47"/>
    </w:p>
    <w:p w:rsidR="00E20018" w:rsidRDefault="00E20018" w:rsidP="00CC7A1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85"/>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86"/>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E20018" w:rsidRDefault="00E20018" w:rsidP="00CC7A1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87"/>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88"/>
      </w:r>
    </w:p>
    <w:p w:rsidR="00E20018" w:rsidRPr="00762AAF" w:rsidRDefault="00E20018" w:rsidP="00CC7A1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89"/>
      </w:r>
      <w:r w:rsidRPr="00762AAF">
        <w:t xml:space="preserve"> </w:t>
      </w:r>
      <w:r>
        <w:t>The Guideline specifies</w:t>
      </w:r>
      <w:r w:rsidRPr="00762AAF">
        <w:t>:</w:t>
      </w:r>
      <w:r w:rsidRPr="00762AAF">
        <w:rPr>
          <w:rStyle w:val="FootnoteReference"/>
        </w:rPr>
        <w:footnoteReference w:id="90"/>
      </w:r>
    </w:p>
    <w:p w:rsidR="00E20018" w:rsidRPr="00762AAF" w:rsidRDefault="00E20018" w:rsidP="00E2001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E20018" w:rsidRPr="00762AAF" w:rsidRDefault="00E20018" w:rsidP="00E2001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E20018" w:rsidRDefault="00E20018" w:rsidP="00E20018">
      <w:pPr>
        <w:pStyle w:val="AERbulletlistfirststyle"/>
      </w:pPr>
      <w:r>
        <w:t>h</w:t>
      </w:r>
      <w:r w:rsidRPr="00762AAF">
        <w:t xml:space="preserve">ow these methods will result in an allowed return on equity and return on debt which we are satisfied achieves the </w:t>
      </w:r>
      <w:r>
        <w:t>ARORO</w:t>
      </w:r>
      <w:r w:rsidRPr="00762AAF">
        <w:t>.</w:t>
      </w:r>
    </w:p>
    <w:p w:rsidR="00E20018" w:rsidRDefault="00E20018" w:rsidP="00CC7A1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E20018" w:rsidRDefault="00E20018" w:rsidP="00CC7A1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91"/>
      </w:r>
      <w:r>
        <w:t xml:space="preserve"> Details of the Guideline development process are also on our website.</w:t>
      </w:r>
      <w:r>
        <w:rPr>
          <w:rStyle w:val="FootnoteReference"/>
        </w:rPr>
        <w:footnoteReference w:id="92"/>
      </w:r>
      <w:r>
        <w:t xml:space="preserve"> </w:t>
      </w:r>
    </w:p>
    <w:p w:rsidR="00E20018" w:rsidRDefault="00E20018" w:rsidP="00E20018">
      <w:pPr>
        <w:pStyle w:val="HeadingBoldBlue"/>
      </w:pPr>
      <w:bookmarkStart w:id="48" w:name="_Toc450922719"/>
      <w:r>
        <w:t>Key elements of the Guideline</w:t>
      </w:r>
      <w:bookmarkEnd w:id="48"/>
      <w:r>
        <w:t xml:space="preserve"> </w:t>
      </w:r>
    </w:p>
    <w:p w:rsidR="00E20018" w:rsidRDefault="00E20018" w:rsidP="00E20018">
      <w:pPr>
        <w:rPr>
          <w:rStyle w:val="AERbody"/>
        </w:rPr>
      </w:pPr>
      <w:r>
        <w:rPr>
          <w:rStyle w:val="AERbody"/>
        </w:rPr>
        <w:t>The Guideline provides transparency on how we propose to estimate key components of the allowed rate of return. We summarise these below.</w:t>
      </w:r>
      <w:r w:rsidR="008D059E" w:rsidRPr="008D059E">
        <w:rPr>
          <w:rStyle w:val="AERbody"/>
        </w:rPr>
        <w:t xml:space="preserve"> </w:t>
      </w:r>
      <w:r w:rsidR="008D059E">
        <w:rPr>
          <w:rStyle w:val="AERbody"/>
        </w:rPr>
        <w:t>We note we have now departed from the Guideline in that we no longer define the benchmark efficient entity as regulated. Rather, we consider the benchmark efficient entity now faces a similar degree of risk as the service provider in the provision of its reference services. Changes to this effect are explained in brackets (now…) in the sections below.</w:t>
      </w:r>
    </w:p>
    <w:p w:rsidR="00E20018" w:rsidRPr="00762AAF" w:rsidRDefault="00E20018" w:rsidP="00E20018">
      <w:pPr>
        <w:pStyle w:val="HeadingBoldItalic"/>
      </w:pPr>
      <w:r w:rsidRPr="00762AAF">
        <w:t>Application of criteria for assessing information</w:t>
      </w:r>
    </w:p>
    <w:p w:rsidR="00E20018" w:rsidRPr="00762AAF" w:rsidRDefault="00E20018" w:rsidP="00CC7A1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93"/>
      </w:r>
      <w:r w:rsidRPr="00762AAF">
        <w:t xml:space="preserve"> </w:t>
      </w:r>
    </w:p>
    <w:p w:rsidR="00E20018" w:rsidRPr="00762AAF" w:rsidRDefault="00E20018" w:rsidP="00CC7A1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w:t>
      </w:r>
      <w:r w:rsidR="008D059E">
        <w:t xml:space="preserve"> (now reference)</w:t>
      </w:r>
      <w:r>
        <w:t xml:space="preserve">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E20018" w:rsidRPr="00762AAF" w:rsidRDefault="00E20018" w:rsidP="00CC7A1C">
      <w:pPr>
        <w:numPr>
          <w:ilvl w:val="4"/>
          <w:numId w:val="24"/>
        </w:numPr>
      </w:pPr>
      <w:r w:rsidRPr="00762AAF">
        <w:t>where applicable, reflective of economic and finance principles and market information</w:t>
      </w:r>
    </w:p>
    <w:p w:rsidR="00E20018" w:rsidRPr="00762AAF" w:rsidRDefault="00E20018" w:rsidP="00CC7A1C">
      <w:pPr>
        <w:numPr>
          <w:ilvl w:val="5"/>
          <w:numId w:val="24"/>
        </w:numPr>
      </w:pPr>
      <w:r w:rsidRPr="00762AAF">
        <w:t>estimation methods and financial models are consistent with well accepted economic and finance principles and informed by sound empirical analysis and robust data</w:t>
      </w:r>
    </w:p>
    <w:p w:rsidR="00E20018" w:rsidRPr="00762AAF" w:rsidRDefault="00E20018" w:rsidP="00CC7A1C">
      <w:pPr>
        <w:numPr>
          <w:ilvl w:val="4"/>
          <w:numId w:val="24"/>
        </w:numPr>
      </w:pPr>
      <w:r w:rsidRPr="00762AAF">
        <w:t>fit for purpose</w:t>
      </w:r>
    </w:p>
    <w:p w:rsidR="00E20018" w:rsidRPr="00762AAF" w:rsidRDefault="00E20018" w:rsidP="00CC7A1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E20018" w:rsidRPr="00762AAF" w:rsidRDefault="00E20018" w:rsidP="00CC7A1C">
      <w:pPr>
        <w:numPr>
          <w:ilvl w:val="5"/>
          <w:numId w:val="24"/>
        </w:numPr>
      </w:pPr>
      <w:r w:rsidRPr="00762AAF">
        <w:t xml:space="preserve">promote simple over complex approaches where appropriate </w:t>
      </w:r>
    </w:p>
    <w:p w:rsidR="00E20018" w:rsidRPr="00762AAF" w:rsidRDefault="00E20018" w:rsidP="00CC7A1C">
      <w:pPr>
        <w:numPr>
          <w:ilvl w:val="4"/>
          <w:numId w:val="24"/>
        </w:numPr>
      </w:pPr>
      <w:r w:rsidRPr="00762AAF">
        <w:t>implemented in accordance with good practice</w:t>
      </w:r>
    </w:p>
    <w:p w:rsidR="00E20018" w:rsidRPr="00762AAF" w:rsidRDefault="00E20018" w:rsidP="00CC7A1C">
      <w:pPr>
        <w:numPr>
          <w:ilvl w:val="5"/>
          <w:numId w:val="24"/>
        </w:numPr>
      </w:pPr>
      <w:r w:rsidRPr="00762AAF">
        <w:t>supported by robust, transparent and replicable analysis that is derived from available credible datasets</w:t>
      </w:r>
    </w:p>
    <w:p w:rsidR="00E20018" w:rsidRPr="00762AAF" w:rsidRDefault="00E20018" w:rsidP="00CC7A1C">
      <w:pPr>
        <w:numPr>
          <w:ilvl w:val="4"/>
          <w:numId w:val="24"/>
        </w:numPr>
      </w:pPr>
      <w:r w:rsidRPr="00762AAF">
        <w:t>where models of the return on equity and debt are used these are</w:t>
      </w:r>
    </w:p>
    <w:p w:rsidR="00E20018" w:rsidRPr="00762AAF" w:rsidRDefault="00E20018" w:rsidP="00CC7A1C">
      <w:pPr>
        <w:numPr>
          <w:ilvl w:val="5"/>
          <w:numId w:val="24"/>
        </w:numPr>
      </w:pPr>
      <w:r w:rsidRPr="00762AAF">
        <w:t>based on quantitative modelling that is sufficiently robust as to not be unduly sensitive to errors in inputs estimation</w:t>
      </w:r>
    </w:p>
    <w:p w:rsidR="00E20018" w:rsidRPr="00762AAF" w:rsidRDefault="00E20018" w:rsidP="00CC7A1C">
      <w:pPr>
        <w:numPr>
          <w:ilvl w:val="5"/>
          <w:numId w:val="24"/>
        </w:numPr>
      </w:pPr>
      <w:r w:rsidRPr="00762AAF">
        <w:t>based on quantitative modelling which avoids arbitrary filtering or adjustment of data, which does not have a sound rationale</w:t>
      </w:r>
    </w:p>
    <w:p w:rsidR="00E20018" w:rsidRPr="00762AAF" w:rsidRDefault="00E20018" w:rsidP="00CC7A1C">
      <w:pPr>
        <w:numPr>
          <w:ilvl w:val="4"/>
          <w:numId w:val="24"/>
        </w:numPr>
      </w:pPr>
      <w:r w:rsidRPr="00762AAF">
        <w:t>where market data and other information is used, this information is</w:t>
      </w:r>
    </w:p>
    <w:p w:rsidR="00E20018" w:rsidRPr="00762AAF" w:rsidRDefault="00E20018" w:rsidP="00CC7A1C">
      <w:pPr>
        <w:numPr>
          <w:ilvl w:val="5"/>
          <w:numId w:val="24"/>
        </w:numPr>
      </w:pPr>
      <w:r w:rsidRPr="00762AAF">
        <w:t>credible and verifiable</w:t>
      </w:r>
    </w:p>
    <w:p w:rsidR="00E20018" w:rsidRPr="00762AAF" w:rsidRDefault="00E20018" w:rsidP="00CC7A1C">
      <w:pPr>
        <w:numPr>
          <w:ilvl w:val="5"/>
          <w:numId w:val="24"/>
        </w:numPr>
      </w:pPr>
      <w:r w:rsidRPr="00762AAF">
        <w:t>comparable and timely</w:t>
      </w:r>
    </w:p>
    <w:p w:rsidR="00E20018" w:rsidRPr="00762AAF" w:rsidRDefault="00E20018" w:rsidP="00CC7A1C">
      <w:pPr>
        <w:numPr>
          <w:ilvl w:val="5"/>
          <w:numId w:val="24"/>
        </w:numPr>
      </w:pPr>
      <w:r w:rsidRPr="00762AAF">
        <w:t>clearly sourced</w:t>
      </w:r>
    </w:p>
    <w:p w:rsidR="00E20018" w:rsidRPr="00762AAF" w:rsidRDefault="00E20018" w:rsidP="00CC7A1C">
      <w:pPr>
        <w:numPr>
          <w:ilvl w:val="4"/>
          <w:numId w:val="24"/>
        </w:numPr>
      </w:pPr>
      <w:r w:rsidRPr="00762AAF">
        <w:t>sufficiently flexible as to allow changing market conditions and new information to be reflected in regulatory outcomes, as appropriate.</w:t>
      </w:r>
    </w:p>
    <w:p w:rsidR="00E20018" w:rsidRPr="00762AAF" w:rsidRDefault="00E20018" w:rsidP="00E20018">
      <w:r>
        <w:t>We applied t</w:t>
      </w:r>
      <w:r w:rsidRPr="00762AAF">
        <w:t>hese criteria in this decision to guide us in deciding on the merits of the material before us and the best place to employ the material (if at all).</w:t>
      </w:r>
    </w:p>
    <w:p w:rsidR="00E20018" w:rsidRPr="00762AAF" w:rsidRDefault="00E20018" w:rsidP="00E20018">
      <w:pPr>
        <w:pStyle w:val="HeadingBoldItalic"/>
      </w:pPr>
      <w:r w:rsidRPr="00762AAF">
        <w:t xml:space="preserve">Benchmark efficient entity </w:t>
      </w:r>
    </w:p>
    <w:p w:rsidR="00DF65C9" w:rsidRDefault="00E20018" w:rsidP="00CC7A1C">
      <w:pPr>
        <w:numPr>
          <w:ilvl w:val="0"/>
          <w:numId w:val="24"/>
        </w:numPr>
      </w:pPr>
      <w:r>
        <w:t>We generally see</w:t>
      </w:r>
      <w:r w:rsidRPr="00762AAF">
        <w:t xml:space="preserve"> a benchmark efficient entity</w:t>
      </w:r>
      <w:r>
        <w:t xml:space="preserve"> with a similar degree of risk as that applying to the service provider in respect of the provision of </w:t>
      </w:r>
      <w:r w:rsidR="00DD4A7A">
        <w:t>reference</w:t>
      </w:r>
      <w:r>
        <w:t xml:space="preserve"> services as being </w:t>
      </w:r>
      <w:r w:rsidRPr="00762AAF">
        <w:t>'a pure play energy network business operating within Australia'</w:t>
      </w:r>
      <w:r w:rsidR="008D059E">
        <w:t xml:space="preserve"> in the provision of regulated (now reference) services</w:t>
      </w:r>
      <w:r w:rsidRPr="00762AAF">
        <w:t>.</w:t>
      </w:r>
      <w:r w:rsidR="00DF65C9">
        <w:t xml:space="preserve"> We say 'generally' because these characteristics are set out for guidance.  They are not applied as if amounting to a fixed rule.  This includes the following components which we think assist in informing us about relevant benchmarks with a similar degree of risk to the service provider in the provision of regulated </w:t>
      </w:r>
      <w:r w:rsidR="008D059E">
        <w:t xml:space="preserve">(now reference) </w:t>
      </w:r>
      <w:r w:rsidR="00DF65C9">
        <w:t>services:</w:t>
      </w:r>
      <w:r w:rsidR="00DF65C9" w:rsidRPr="00762AAF">
        <w:rPr>
          <w:rStyle w:val="FootnoteReference"/>
        </w:rPr>
        <w:footnoteReference w:id="94"/>
      </w:r>
    </w:p>
    <w:p w:rsidR="00DF65C9" w:rsidRDefault="00DF65C9" w:rsidP="00DF65C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008D059E">
        <w:t xml:space="preserve"> (now services the provision of which carries a similar degree of risk as the service provider faces in the provision of its reference services)</w:t>
      </w:r>
      <w:r w:rsidR="008D059E" w:rsidRPr="00762AAF">
        <w:t>.</w:t>
      </w:r>
      <w:r w:rsidRPr="00762AAF">
        <w:t>.</w:t>
      </w:r>
      <w:r>
        <w:t xml:space="preserve"> </w:t>
      </w:r>
    </w:p>
    <w:p w:rsidR="00E20018" w:rsidRPr="00762AAF" w:rsidRDefault="00E20018" w:rsidP="00E2001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E20018" w:rsidRDefault="00E20018" w:rsidP="00E2001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8D5101" w:rsidRDefault="008D5101" w:rsidP="00697C2E">
      <w:pPr>
        <w:pStyle w:val="AERbulletlistfirststyle"/>
      </w:pPr>
      <w:r>
        <w:t>In the provision of regulated services</w:t>
      </w:r>
      <w:r w:rsidR="008D059E">
        <w:t xml:space="preserve"> (now in the provision of services where the provider faces a similar degree of risk as the service provider faces in the provision if its reference services)</w:t>
      </w:r>
      <w:r>
        <w:t>:</w:t>
      </w:r>
      <w:r w:rsidRPr="006E696E">
        <w:t xml:space="preserve"> </w:t>
      </w:r>
      <w:r>
        <w:t>A service that</w:t>
      </w:r>
      <w:r w:rsidRPr="00762AAF">
        <w:t xml:space="preserve"> is subject to economic regulation (that is, revenue </w:t>
      </w:r>
      <w:r>
        <w:t xml:space="preserve">or </w:t>
      </w:r>
      <w:r w:rsidRPr="00762AAF">
        <w:t xml:space="preserve">price cap regulation) </w:t>
      </w:r>
      <w:r>
        <w:t xml:space="preserve">that makes it comparable for the purposes of assessing risk in the provision of regulated </w:t>
      </w:r>
      <w:r w:rsidR="008D059E">
        <w:t xml:space="preserve">(now reference) </w:t>
      </w:r>
      <w:r>
        <w:t>services. Comparable risk is an important component of the ARORO.</w:t>
      </w:r>
    </w:p>
    <w:p w:rsidR="00773136" w:rsidRPr="00773136" w:rsidRDefault="00773136" w:rsidP="00013867">
      <w:pPr>
        <w:rPr>
          <w:rStyle w:val="AERbody"/>
        </w:rPr>
      </w:pPr>
      <w:r w:rsidRPr="00773136">
        <w:rPr>
          <w:rStyle w:val="AERbody"/>
        </w:rPr>
        <w:t xml:space="preserve">In response to the </w:t>
      </w:r>
      <w:r w:rsidR="008D5101">
        <w:rPr>
          <w:rStyle w:val="AERbody"/>
        </w:rPr>
        <w:t>recent</w:t>
      </w:r>
      <w:r>
        <w:rPr>
          <w:rStyle w:val="AERbody"/>
        </w:rPr>
        <w:t xml:space="preserve"> </w:t>
      </w:r>
      <w:r w:rsidRPr="00773136">
        <w:rPr>
          <w:rStyle w:val="AERbody"/>
        </w:rPr>
        <w:t>Full Federal Court decision</w:t>
      </w:r>
      <w:r>
        <w:rPr>
          <w:rStyle w:val="AERbody"/>
        </w:rPr>
        <w:t>s</w:t>
      </w:r>
      <w:r w:rsidRPr="00773136">
        <w:rPr>
          <w:rStyle w:val="AERbody"/>
        </w:rPr>
        <w:t xml:space="preserve">, we </w:t>
      </w:r>
      <w:r>
        <w:rPr>
          <w:rStyle w:val="AERbody"/>
        </w:rPr>
        <w:t>no longer define</w:t>
      </w:r>
      <w:r w:rsidRPr="00773136">
        <w:rPr>
          <w:rStyle w:val="AERbody"/>
        </w:rPr>
        <w:t xml:space="preserve"> the benchmark efficient entity to be regulated and have departed from the Guideline in following the Federal Court Decision on this point. In following the Full Federal Court decision, we </w:t>
      </w:r>
      <w:r w:rsidR="00D716DD">
        <w:rPr>
          <w:rStyle w:val="AERbody"/>
        </w:rPr>
        <w:t>note that</w:t>
      </w:r>
      <w:r w:rsidRPr="00773136">
        <w:rPr>
          <w:rStyle w:val="AERbody"/>
        </w:rPr>
        <w:t xml:space="preserve"> the benchmark efficient entity has a similar degree of risk as the </w:t>
      </w:r>
      <w:r w:rsidR="001008D7" w:rsidRPr="00773136">
        <w:rPr>
          <w:rStyle w:val="AERbody"/>
        </w:rPr>
        <w:t>service</w:t>
      </w:r>
      <w:r w:rsidRPr="00773136">
        <w:rPr>
          <w:rStyle w:val="AERbody"/>
        </w:rPr>
        <w:t xml:space="preserve"> provider in the provision of its</w:t>
      </w:r>
      <w:r>
        <w:rPr>
          <w:rStyle w:val="AERbody"/>
        </w:rPr>
        <w:t xml:space="preserve"> reference</w:t>
      </w:r>
      <w:r w:rsidRPr="00773136">
        <w:rPr>
          <w:rStyle w:val="AERbody"/>
        </w:rPr>
        <w:t xml:space="preserve"> services. We </w:t>
      </w:r>
      <w:r w:rsidR="00D716DD">
        <w:rPr>
          <w:rStyle w:val="AERbody"/>
        </w:rPr>
        <w:t>apply this as follows</w:t>
      </w:r>
      <w:r w:rsidRPr="00773136">
        <w:rPr>
          <w:rStyle w:val="AERbody"/>
        </w:rPr>
        <w:t>:</w:t>
      </w:r>
    </w:p>
    <w:p w:rsidR="008D5101" w:rsidRDefault="008D5101" w:rsidP="008D5101">
      <w:pPr>
        <w:pStyle w:val="AERbulletlistfirststyle"/>
        <w:rPr>
          <w:rStyle w:val="AERbody"/>
        </w:rPr>
      </w:pPr>
      <w:r w:rsidRPr="00773136">
        <w:rPr>
          <w:rStyle w:val="AERbody"/>
        </w:rPr>
        <w:t xml:space="preserve">We consider the ARORO requires us to set </w:t>
      </w:r>
      <w:r>
        <w:rPr>
          <w:rStyle w:val="AERbody"/>
        </w:rPr>
        <w:t xml:space="preserve">the components of the allowed rate of return (the return on debt and the return on equity) equal to the </w:t>
      </w:r>
      <w:r w:rsidRPr="00773136">
        <w:rPr>
          <w:rStyle w:val="AERbody"/>
        </w:rPr>
        <w:t>ex ante efficient financing costs</w:t>
      </w:r>
      <w:r>
        <w:rPr>
          <w:rStyle w:val="AERbody"/>
        </w:rPr>
        <w:t xml:space="preserve"> (of debt and equity) for a benchmark efficient entity with a similar degree or risk as </w:t>
      </w:r>
      <w:r w:rsidR="002E6DEE">
        <w:rPr>
          <w:rStyle w:val="AERbody"/>
        </w:rPr>
        <w:t xml:space="preserve">APTPPL </w:t>
      </w:r>
      <w:r>
        <w:rPr>
          <w:rStyle w:val="AERbody"/>
        </w:rPr>
        <w:t>in the provision of its reference services</w:t>
      </w:r>
      <w:r w:rsidRPr="00773136">
        <w:rPr>
          <w:rStyle w:val="AERbody"/>
        </w:rPr>
        <w:t xml:space="preserve">.    </w:t>
      </w:r>
    </w:p>
    <w:p w:rsidR="00773136" w:rsidRPr="006E696E" w:rsidRDefault="00773136" w:rsidP="00697C2E">
      <w:pPr>
        <w:pStyle w:val="AERbulletlistfirststyle"/>
      </w:pPr>
      <w:r w:rsidRPr="00773136">
        <w:rPr>
          <w:rStyle w:val="AERbody"/>
        </w:rPr>
        <w:t>we benchmark th</w:t>
      </w:r>
      <w:r w:rsidR="008D5101">
        <w:rPr>
          <w:rStyle w:val="AERbody"/>
        </w:rPr>
        <w:t>e required return on capital of the benchmark efficient entity through benchmarking the</w:t>
      </w:r>
      <w:r w:rsidRPr="00773136">
        <w:rPr>
          <w:rStyle w:val="AERbody"/>
        </w:rPr>
        <w:t xml:space="preserve"> inputs to it</w:t>
      </w:r>
      <w:r w:rsidR="008D5101">
        <w:rPr>
          <w:rStyle w:val="AERbody"/>
        </w:rPr>
        <w:t>s</w:t>
      </w:r>
      <w:r w:rsidRPr="00773136">
        <w:rPr>
          <w:rStyle w:val="AERbody"/>
        </w:rPr>
        <w:t xml:space="preserve"> calculation (</w:t>
      </w:r>
      <w:r w:rsidR="00E73EED">
        <w:rPr>
          <w:rStyle w:val="AERbody"/>
        </w:rPr>
        <w:t xml:space="preserve">the </w:t>
      </w:r>
      <w:r w:rsidRPr="00773136">
        <w:rPr>
          <w:rStyle w:val="AERbody"/>
        </w:rPr>
        <w:t>required return on debt, required ret</w:t>
      </w:r>
      <w:r w:rsidR="008D5101">
        <w:rPr>
          <w:rStyle w:val="AERbody"/>
        </w:rPr>
        <w:t>urn on equity and gearing ratio</w:t>
      </w:r>
      <w:r w:rsidRPr="00773136">
        <w:rPr>
          <w:rStyle w:val="AERbody"/>
        </w:rPr>
        <w:t>) given the risk of the service provider in the provision of its re</w:t>
      </w:r>
      <w:r w:rsidR="0008430F">
        <w:rPr>
          <w:rStyle w:val="AERbody"/>
        </w:rPr>
        <w:t>ference</w:t>
      </w:r>
      <w:r w:rsidRPr="00773136">
        <w:rPr>
          <w:rStyle w:val="AERbody"/>
        </w:rPr>
        <w:t xml:space="preserve"> services;</w:t>
      </w:r>
    </w:p>
    <w:p w:rsidR="00E20018" w:rsidRPr="00762AAF" w:rsidRDefault="00E20018" w:rsidP="00E20018">
      <w:pPr>
        <w:pStyle w:val="HeadingBoldItalic"/>
      </w:pPr>
      <w:r w:rsidRPr="00762AAF">
        <w:t>Gearing</w:t>
      </w:r>
    </w:p>
    <w:p w:rsidR="00E20018" w:rsidRPr="00762AAF" w:rsidRDefault="00E20018" w:rsidP="00CC7A1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95"/>
      </w:r>
    </w:p>
    <w:p w:rsidR="00E20018" w:rsidRPr="00762AAF" w:rsidRDefault="00E20018" w:rsidP="00E20018">
      <w:pPr>
        <w:pStyle w:val="HeadingBoldItalic"/>
      </w:pPr>
      <w:r w:rsidRPr="00762AAF">
        <w:t>Return on equity</w:t>
      </w:r>
    </w:p>
    <w:p w:rsidR="00E20018" w:rsidRPr="00762AAF" w:rsidRDefault="00E20018" w:rsidP="00CC7A1C">
      <w:pPr>
        <w:numPr>
          <w:ilvl w:val="0"/>
          <w:numId w:val="24"/>
        </w:numPr>
      </w:pPr>
      <w:r w:rsidRPr="00762AAF">
        <w:t xml:space="preserve">We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2C24D6" w:rsidRPr="00762AAF">
        <w:t xml:space="preserve">figure </w:t>
      </w:r>
      <w:r w:rsidR="002C24D6">
        <w:rPr>
          <w:noProof/>
        </w:rPr>
        <w:t>3</w:t>
      </w:r>
      <w:r w:rsidR="002C24D6">
        <w:noBreakHyphen/>
      </w:r>
      <w:r w:rsidR="002C24D6">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96"/>
      </w:r>
    </w:p>
    <w:p w:rsidR="00E20018" w:rsidRPr="00762AAF" w:rsidRDefault="00E20018" w:rsidP="00E20018">
      <w:pPr>
        <w:pStyle w:val="Caption"/>
      </w:pPr>
      <w:bookmarkStart w:id="49" w:name="_Ref451351195"/>
      <w:r w:rsidRPr="00762AAF">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2</w:t>
      </w:r>
      <w:r w:rsidR="002C24D6">
        <w:rPr>
          <w:noProof/>
        </w:rPr>
        <w:fldChar w:fldCharType="end"/>
      </w:r>
      <w:bookmarkEnd w:id="49"/>
      <w:r w:rsidRPr="00762AAF">
        <w:tab/>
        <w:t xml:space="preserve">Flowchart of the AER’s proposed approach to estimating the </w:t>
      </w:r>
      <w:r>
        <w:t>allowed</w:t>
      </w:r>
      <w:r w:rsidRPr="00762AAF">
        <w:t xml:space="preserve"> return on equity</w:t>
      </w:r>
    </w:p>
    <w:p w:rsidR="00E20018" w:rsidRPr="00762AAF" w:rsidRDefault="00E20018" w:rsidP="00CC7A1C">
      <w:pPr>
        <w:numPr>
          <w:ilvl w:val="0"/>
          <w:numId w:val="24"/>
        </w:numPr>
      </w:pPr>
      <w:r w:rsidRPr="00E20018">
        <w:rPr>
          <w:noProof/>
          <w:lang w:eastAsia="en-AU"/>
        </w:rPr>
        <w:drawing>
          <wp:inline distT="0" distB="0" distL="0" distR="0" wp14:anchorId="7026DFE0" wp14:editId="1E67981A">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9">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E20018" w:rsidRPr="00F06EAD" w:rsidRDefault="00E20018" w:rsidP="00E20018">
      <w:pPr>
        <w:rPr>
          <w:rStyle w:val="AERbody"/>
        </w:rPr>
      </w:pPr>
    </w:p>
    <w:p w:rsidR="00E20018" w:rsidRPr="00762AAF" w:rsidRDefault="00E20018" w:rsidP="00E20018"/>
    <w:p w:rsidR="00E20018" w:rsidRPr="00762AAF" w:rsidRDefault="00E20018" w:rsidP="00E20018">
      <w:pPr>
        <w:pStyle w:val="HeadingBoldItalic"/>
      </w:pPr>
      <w:r w:rsidRPr="00762AAF">
        <w:t>Return on debt</w:t>
      </w:r>
    </w:p>
    <w:p w:rsidR="00E20018" w:rsidRDefault="00E20018" w:rsidP="00CC7A1C">
      <w:pPr>
        <w:pStyle w:val="ListParagraph"/>
        <w:numPr>
          <w:ilvl w:val="0"/>
          <w:numId w:val="24"/>
        </w:numPr>
      </w:pPr>
      <w:r>
        <w:t>We:</w:t>
      </w:r>
    </w:p>
    <w:p w:rsidR="00E20018" w:rsidRPr="00762AAF" w:rsidRDefault="00E20018" w:rsidP="00E2001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201</w:t>
      </w:r>
      <w:r w:rsidR="0008430F">
        <w:t>7</w:t>
      </w:r>
      <w:r w:rsidR="00DD2C3C">
        <w:t xml:space="preserve"> </w:t>
      </w:r>
      <w:r>
        <w:t>of the 201</w:t>
      </w:r>
      <w:r w:rsidR="0008430F">
        <w:t>7</w:t>
      </w:r>
      <w:r w:rsidRPr="00762AAF">
        <w:t>–</w:t>
      </w:r>
      <w:r w:rsidR="00D4363B">
        <w:t>22</w:t>
      </w:r>
      <w:r w:rsidR="007938E5" w:rsidRPr="00762AAF">
        <w:t xml:space="preserve"> </w:t>
      </w:r>
      <w:r>
        <w:t xml:space="preserve">regulatory control </w:t>
      </w:r>
      <w:r w:rsidRPr="00762AAF">
        <w:t>period, and</w:t>
      </w:r>
    </w:p>
    <w:p w:rsidR="00E20018" w:rsidRPr="00762AAF" w:rsidRDefault="00E20018" w:rsidP="00E2001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97"/>
      </w:r>
    </w:p>
    <w:p w:rsidR="00E20018" w:rsidRPr="00762AAF" w:rsidRDefault="00E20018" w:rsidP="00E20018">
      <w:r>
        <w:t>We also proposed</w:t>
      </w:r>
      <w:r w:rsidRPr="00762AAF">
        <w:t xml:space="preserve"> to estimate the return on debt in each regulatory year by reference to:</w:t>
      </w:r>
    </w:p>
    <w:p w:rsidR="00E20018" w:rsidRPr="00762AAF" w:rsidRDefault="00E20018" w:rsidP="00E20018">
      <w:pPr>
        <w:pStyle w:val="AERbulletlistfirststyle"/>
      </w:pPr>
      <w:r w:rsidRPr="00762AAF">
        <w:t>a benchmark credit rating of BBB+</w:t>
      </w:r>
    </w:p>
    <w:p w:rsidR="00E20018" w:rsidRPr="00762AAF" w:rsidRDefault="00E20018" w:rsidP="00E20018">
      <w:pPr>
        <w:pStyle w:val="AERbulletlistfirststyle"/>
      </w:pPr>
      <w:r w:rsidRPr="00762AAF">
        <w:t>a benchmark term of debt of 10 years</w:t>
      </w:r>
    </w:p>
    <w:p w:rsidR="00E20018" w:rsidRPr="00762AAF" w:rsidRDefault="00E20018" w:rsidP="00E2001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98"/>
      </w:r>
    </w:p>
    <w:p w:rsidR="00E20018" w:rsidRPr="00762AAF" w:rsidRDefault="00E20018" w:rsidP="00E2001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99"/>
      </w:r>
    </w:p>
    <w:p w:rsidR="00E20018" w:rsidRPr="00762AAF" w:rsidRDefault="00E20018" w:rsidP="00E20018">
      <w:pPr>
        <w:pStyle w:val="HeadingBoldItalic"/>
      </w:pPr>
      <w:r w:rsidRPr="00762AAF">
        <w:t>Mid period WACC adjustment</w:t>
      </w:r>
    </w:p>
    <w:p w:rsidR="00E20018" w:rsidRDefault="00E20018" w:rsidP="00CC7A1C">
      <w:pPr>
        <w:numPr>
          <w:ilvl w:val="0"/>
          <w:numId w:val="24"/>
        </w:numPr>
      </w:pPr>
      <w:r w:rsidRPr="00762AAF">
        <w:t>We 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00"/>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01"/>
      </w:r>
    </w:p>
    <w:p w:rsidR="00E20018" w:rsidRPr="00B575CE" w:rsidRDefault="00E20018" w:rsidP="00E20018">
      <w:pPr>
        <w:pStyle w:val="Heading3"/>
      </w:pPr>
      <w:bookmarkStart w:id="50" w:name="_Toc450922720"/>
      <w:bookmarkStart w:id="51" w:name="_Toc451938953"/>
      <w:bookmarkStart w:id="52" w:name="_Toc456686701"/>
      <w:bookmarkStart w:id="53" w:name="_Toc487037135"/>
      <w:r>
        <w:t>Interrelationships</w:t>
      </w:r>
      <w:bookmarkEnd w:id="50"/>
      <w:bookmarkEnd w:id="51"/>
      <w:bookmarkEnd w:id="52"/>
      <w:bookmarkEnd w:id="53"/>
    </w:p>
    <w:p w:rsidR="00E20018" w:rsidRPr="00785554" w:rsidRDefault="00E20018" w:rsidP="00E20018">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02"/>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E20018" w:rsidRPr="00762AAF" w:rsidRDefault="00E20018" w:rsidP="00CC7A1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03"/>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E7732C">
        <w:t xml:space="preserve">reference </w:t>
      </w:r>
      <w:r w:rsidRPr="00762AAF">
        <w:t xml:space="preserve">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04"/>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05"/>
      </w:r>
    </w:p>
    <w:p w:rsidR="00E20018" w:rsidRPr="00762AAF" w:rsidRDefault="00E20018" w:rsidP="00CC7A1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E20018" w:rsidRPr="00762AAF" w:rsidRDefault="00E20018" w:rsidP="00E20018">
      <w:pPr>
        <w:rPr>
          <w:rStyle w:val="Strong"/>
        </w:rPr>
      </w:pPr>
      <w:r>
        <w:rPr>
          <w:rStyle w:val="Strong"/>
        </w:rPr>
        <w:t>A</w:t>
      </w:r>
      <w:r w:rsidRPr="00762AAF">
        <w:rPr>
          <w:rStyle w:val="Strong"/>
        </w:rPr>
        <w:t xml:space="preserve"> benchmark </w:t>
      </w:r>
    </w:p>
    <w:p w:rsidR="00E20018" w:rsidRPr="00762AAF" w:rsidRDefault="003E6067" w:rsidP="00CC7A1C">
      <w:pPr>
        <w:numPr>
          <w:ilvl w:val="0"/>
          <w:numId w:val="24"/>
        </w:numPr>
      </w:pPr>
      <w:r w:rsidRPr="003E6067">
        <w:t xml:space="preserve">We note in response to the </w:t>
      </w:r>
      <w:r>
        <w:t xml:space="preserve">recently </w:t>
      </w:r>
      <w:r w:rsidR="0008430F">
        <w:t>handed down</w:t>
      </w:r>
      <w:r>
        <w:t xml:space="preserve"> </w:t>
      </w:r>
      <w:r w:rsidRPr="003E6067">
        <w:t>Full Federal Court decision</w:t>
      </w:r>
      <w:r>
        <w:t>s</w:t>
      </w:r>
      <w:r w:rsidRPr="003E6067">
        <w:t xml:space="preserve"> that we do not consider there is by definition a single benchmark efficient entity. We acknowledge the benchmark efficient entity for a given firm may change depending on its risk in providing its re</w:t>
      </w:r>
      <w:r w:rsidR="0008430F">
        <w:t>ference</w:t>
      </w:r>
      <w:r w:rsidRPr="003E6067">
        <w:t xml:space="preserve"> services. However, we consider the risk of the </w:t>
      </w:r>
      <w:r w:rsidR="00B24ECF">
        <w:t>five</w:t>
      </w:r>
      <w:r w:rsidRPr="003E6067">
        <w:t xml:space="preserve"> regulated businesses we are </w:t>
      </w:r>
      <w:r w:rsidR="00E73EED">
        <w:t xml:space="preserve">currently </w:t>
      </w:r>
      <w:r w:rsidRPr="003E6067">
        <w:t>releasing decision</w:t>
      </w:r>
      <w:r w:rsidR="008D059E">
        <w:t>s</w:t>
      </w:r>
      <w:r w:rsidRPr="003E6067">
        <w:t xml:space="preserve"> for </w:t>
      </w:r>
      <w:r w:rsidR="0008430F">
        <w:t>are</w:t>
      </w:r>
      <w:r w:rsidRPr="003E6067">
        <w:t xml:space="preserve"> sufficiently similar </w:t>
      </w:r>
      <w:r>
        <w:t xml:space="preserve">in the provision of their reference services </w:t>
      </w:r>
      <w:r w:rsidRPr="003E6067">
        <w:t xml:space="preserve">to warrant the same WACC input risk parameters </w:t>
      </w:r>
      <w:r>
        <w:t>being used across decisions</w:t>
      </w:r>
      <w:r w:rsidRPr="003E6067">
        <w:t xml:space="preserve"> (</w:t>
      </w:r>
      <w:r>
        <w:t xml:space="preserve">i.e. the same equity beta, </w:t>
      </w:r>
      <w:r w:rsidRPr="003E6067">
        <w:t xml:space="preserve">credit rating, debt </w:t>
      </w:r>
      <w:r>
        <w:t xml:space="preserve">maturity </w:t>
      </w:r>
      <w:r w:rsidRPr="003E6067">
        <w:t xml:space="preserve">term, and gearing ratio). That is, we consider our current benchmark will </w:t>
      </w:r>
      <w:r w:rsidR="00E73EED">
        <w:t>me the ARORO and NG</w:t>
      </w:r>
      <w:r>
        <w:t xml:space="preserve">O for all </w:t>
      </w:r>
      <w:r w:rsidR="00B24ECF">
        <w:t>five</w:t>
      </w:r>
      <w:r w:rsidRPr="003E6067">
        <w:t xml:space="preserve"> businesses we are releasing decisions for.</w:t>
      </w:r>
      <w:r>
        <w:t xml:space="preserve"> </w:t>
      </w:r>
      <w:r w:rsidR="00E20018" w:rsidRPr="00762AAF">
        <w:t xml:space="preserve">In deciding on a benchmark we considered </w:t>
      </w:r>
      <w:r w:rsidR="00E20018">
        <w:t xml:space="preserve">the </w:t>
      </w:r>
      <w:r w:rsidR="00E20018" w:rsidRPr="00762AAF">
        <w:t>different types of risks and different risk drivers that may have the potential to lead to different risk exposures</w:t>
      </w:r>
      <w:r w:rsidR="00E20018" w:rsidRPr="00864612">
        <w:t xml:space="preserve"> </w:t>
      </w:r>
      <w:r w:rsidR="00E20018">
        <w:t>for different businesses in the provision of their services</w:t>
      </w:r>
      <w:r w:rsidR="00E20018" w:rsidRPr="00762AAF">
        <w:t xml:space="preserve">. We also noted that the rate of return compensates investors only for non–diversifiable risks (systematic risks) </w:t>
      </w:r>
      <w:r w:rsidR="00E20018">
        <w:t>while</w:t>
      </w:r>
      <w:r w:rsidR="00E20018" w:rsidRPr="00762AAF">
        <w:t xml:space="preserve"> other types of risks are compensated via cash flows and some may not be</w:t>
      </w:r>
      <w:r w:rsidR="00AA15E7">
        <w:t xml:space="preserve"> appropriately</w:t>
      </w:r>
      <w:r w:rsidR="00E20018" w:rsidRPr="00762AAF">
        <w:t xml:space="preserve"> compensated at all.</w:t>
      </w:r>
      <w:r w:rsidR="00E20018" w:rsidRPr="00762AAF">
        <w:rPr>
          <w:rStyle w:val="FootnoteReference"/>
        </w:rPr>
        <w:footnoteReference w:id="106"/>
      </w:r>
      <w:r w:rsidR="00E20018" w:rsidRPr="00762AAF">
        <w:t xml:space="preserve"> These interrelationships between the types of risk and the required compensation via the rate of return are an important factor.</w:t>
      </w:r>
      <w:r w:rsidR="00E20018" w:rsidRPr="00762AAF">
        <w:rPr>
          <w:rStyle w:val="FootnoteReference"/>
        </w:rPr>
        <w:footnoteReference w:id="107"/>
      </w:r>
      <w:r w:rsidR="00E20018" w:rsidRPr="00762AAF">
        <w:t xml:space="preserve"> </w:t>
      </w:r>
      <w:r w:rsidR="0008430F">
        <w:t xml:space="preserve">Our </w:t>
      </w:r>
      <w:r w:rsidR="00E20018" w:rsidRPr="00762AAF">
        <w:t xml:space="preserve">view is that </w:t>
      </w:r>
      <w:r w:rsidR="00E20018">
        <w:t>a benchmark eff</w:t>
      </w:r>
      <w:r w:rsidR="00E20018" w:rsidRPr="00762AAF">
        <w:t xml:space="preserve">icient entity would face a similar degree of risk </w:t>
      </w:r>
      <w:r w:rsidR="00E20018">
        <w:t>to each of the service providers</w:t>
      </w:r>
      <w:r w:rsidR="00E20018" w:rsidRPr="00762AAF">
        <w:t xml:space="preserve"> irrespective of the: </w:t>
      </w:r>
    </w:p>
    <w:p w:rsidR="00E20018" w:rsidRPr="00762AAF" w:rsidRDefault="00E20018" w:rsidP="00E20018">
      <w:pPr>
        <w:pStyle w:val="AERbulletlistfirststyle"/>
      </w:pPr>
      <w:r w:rsidRPr="00762AAF">
        <w:t>energy type (gas or electricity)</w:t>
      </w:r>
    </w:p>
    <w:p w:rsidR="00E20018" w:rsidRPr="00762AAF" w:rsidRDefault="00E20018" w:rsidP="00E20018">
      <w:pPr>
        <w:pStyle w:val="AERbulletlistfirststyle"/>
      </w:pPr>
      <w:r w:rsidRPr="00762AAF">
        <w:t>network type (distribution or transmission)</w:t>
      </w:r>
    </w:p>
    <w:p w:rsidR="00E20018" w:rsidRPr="00762AAF" w:rsidRDefault="00E20018" w:rsidP="00E20018">
      <w:pPr>
        <w:pStyle w:val="AERbulletlistfirststyle"/>
      </w:pPr>
      <w:r w:rsidRPr="00762AAF">
        <w:t>ownership type (government or private)</w:t>
      </w:r>
    </w:p>
    <w:p w:rsidR="00E20018" w:rsidRPr="00762AAF" w:rsidRDefault="00E20018" w:rsidP="00E20018">
      <w:pPr>
        <w:pStyle w:val="AERbulletlistfirststyle"/>
      </w:pPr>
      <w:r w:rsidRPr="00762AAF">
        <w:t>size of the service provider (big or small).</w:t>
      </w:r>
    </w:p>
    <w:p w:rsidR="00E20018" w:rsidRPr="00762AAF" w:rsidRDefault="00E20018" w:rsidP="00CC7A1C">
      <w:pPr>
        <w:numPr>
          <w:ilvl w:val="0"/>
          <w:numId w:val="24"/>
        </w:numPr>
        <w:rPr>
          <w:rStyle w:val="Strong"/>
        </w:rPr>
      </w:pPr>
      <w:r w:rsidRPr="00762AAF">
        <w:rPr>
          <w:rStyle w:val="Strong"/>
        </w:rPr>
        <w:t>Domestic market</w:t>
      </w:r>
    </w:p>
    <w:p w:rsidR="00E20018" w:rsidRDefault="00E20018" w:rsidP="00CC7A1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rsidR="00D716DD">
        <w:t xml:space="preserve">for </w:t>
      </w:r>
      <w:r w:rsidR="00245FD7">
        <w:t>APTPPL</w:t>
      </w:r>
      <w:r w:rsidR="00D716DD">
        <w:t xml:space="preserve"> operates, and this is appropriate</w:t>
      </w:r>
      <w:r>
        <w:t xml:space="preserve"> to make it properly comparable in degree of risk to </w:t>
      </w:r>
      <w:r w:rsidR="002E6DEE">
        <w:t>APTPPL</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E20018" w:rsidRPr="00762AAF" w:rsidRDefault="00E20018" w:rsidP="00E20018">
      <w:pPr>
        <w:rPr>
          <w:rStyle w:val="Strong"/>
        </w:rPr>
      </w:pPr>
      <w:r w:rsidRPr="00762AAF">
        <w:rPr>
          <w:rStyle w:val="Strong"/>
        </w:rPr>
        <w:t>Benchmark gearing</w:t>
      </w:r>
    </w:p>
    <w:p w:rsidR="00E20018" w:rsidRPr="00762AAF" w:rsidRDefault="00E20018" w:rsidP="00E20018">
      <w:r w:rsidRPr="00762AAF">
        <w:t>We apply a benchmark efficient level of gearing of 60 per cent, as noted above. This benchmark gearing level is used:</w:t>
      </w:r>
    </w:p>
    <w:p w:rsidR="00E20018" w:rsidRPr="00762AAF" w:rsidRDefault="00E20018" w:rsidP="00E2001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E20018" w:rsidRPr="00762AAF" w:rsidRDefault="00E20018" w:rsidP="00E20018">
      <w:pPr>
        <w:pStyle w:val="AERbulletlistfirststyle"/>
      </w:pPr>
      <w:r w:rsidRPr="00762AAF">
        <w:t>to re-lever asset betas for the purposes of comparing the levels of systematic risk across businesses which is relevant for the equity beta estimate.</w:t>
      </w:r>
    </w:p>
    <w:p w:rsidR="00E20018" w:rsidRPr="00762AAF" w:rsidRDefault="00E20018" w:rsidP="00E2001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002715B8">
        <w:t xml:space="preserve"> (including providers of reference services)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002715B8">
        <w:t xml:space="preserve"> (including providers of reference services)</w:t>
      </w:r>
      <w:r w:rsidRPr="00762AAF">
        <w:t>.</w:t>
      </w:r>
      <w:r w:rsidRPr="00762AAF">
        <w:rPr>
          <w:rStyle w:val="FootnoteReference"/>
        </w:rPr>
        <w:footnoteReference w:id="108"/>
      </w:r>
    </w:p>
    <w:p w:rsidR="00E20018" w:rsidRPr="00762AAF" w:rsidRDefault="00E20018" w:rsidP="00E20018">
      <w:pPr>
        <w:rPr>
          <w:rStyle w:val="Strong"/>
        </w:rPr>
      </w:pPr>
      <w:r w:rsidRPr="00762AAF">
        <w:rPr>
          <w:rStyle w:val="Strong"/>
        </w:rPr>
        <w:t>Term of the rate of return</w:t>
      </w:r>
    </w:p>
    <w:p w:rsidR="00E20018" w:rsidRPr="00762AAF" w:rsidRDefault="00E20018" w:rsidP="00CC7A1C">
      <w:pPr>
        <w:numPr>
          <w:ilvl w:val="0"/>
          <w:numId w:val="24"/>
        </w:numPr>
      </w:pPr>
      <w:r w:rsidRPr="00762AAF">
        <w:t>We adopt a 10 year term for our overall rate of return.</w:t>
      </w:r>
      <w:r w:rsidRPr="00762AAF">
        <w:rPr>
          <w:rStyle w:val="FootnoteReference"/>
        </w:rPr>
        <w:footnoteReference w:id="109"/>
      </w:r>
      <w:r w:rsidRPr="00762AAF">
        <w:t xml:space="preserve"> This results in the following economic interdependencies that impact on the implementation of our return on equity and debt estimation methods:</w:t>
      </w:r>
    </w:p>
    <w:p w:rsidR="00E20018" w:rsidRPr="00762AAF" w:rsidRDefault="00E20018" w:rsidP="00E20018">
      <w:pPr>
        <w:pStyle w:val="AERbulletlistfirststyle"/>
      </w:pPr>
      <w:r>
        <w:t>t</w:t>
      </w:r>
      <w:r w:rsidRPr="00762AAF">
        <w:t>he risk free rate used for estimating the return on equity is a 10 year forward looking rate</w:t>
      </w:r>
    </w:p>
    <w:p w:rsidR="00E20018" w:rsidRPr="00762AAF" w:rsidRDefault="00E20018" w:rsidP="00E20018">
      <w:pPr>
        <w:pStyle w:val="AERbulletlistfirststyle"/>
      </w:pPr>
      <w:r>
        <w:t>t</w:t>
      </w:r>
      <w:r w:rsidRPr="00762AAF">
        <w:t>he market risk premium (MRP) estimate is for a 10 year forward looking period</w:t>
      </w:r>
    </w:p>
    <w:p w:rsidR="00E20018" w:rsidRPr="003337B3" w:rsidRDefault="00E20018" w:rsidP="00E20018">
      <w:pPr>
        <w:pStyle w:val="AERbulletlistfirststyle"/>
      </w:pPr>
      <w:r>
        <w:t>w</w:t>
      </w:r>
      <w:r w:rsidRPr="00762AAF">
        <w:t>e adopt a 10 year debt term for estimating the return on debt.</w:t>
      </w:r>
    </w:p>
    <w:p w:rsidR="00E20018" w:rsidRPr="00B575CE" w:rsidRDefault="00E20018" w:rsidP="00E20018">
      <w:pPr>
        <w:pStyle w:val="Heading3"/>
      </w:pPr>
      <w:bookmarkStart w:id="54" w:name="_Toc450922721"/>
      <w:bookmarkStart w:id="55" w:name="_Toc451938954"/>
      <w:bookmarkStart w:id="56" w:name="_Toc456686702"/>
      <w:bookmarkStart w:id="57" w:name="_Ref486953635"/>
      <w:bookmarkStart w:id="58" w:name="_Toc487037136"/>
      <w:r>
        <w:t>Consideration of relevant material</w:t>
      </w:r>
      <w:bookmarkEnd w:id="54"/>
      <w:bookmarkEnd w:id="55"/>
      <w:bookmarkEnd w:id="56"/>
      <w:bookmarkEnd w:id="57"/>
      <w:bookmarkEnd w:id="58"/>
    </w:p>
    <w:p w:rsidR="00E20018" w:rsidRDefault="00E20018" w:rsidP="00E20018">
      <w:r>
        <w:t>In making regulatory decisions, we are to have regard to information provided in regulatory proposals and submissions.</w:t>
      </w:r>
      <w:r>
        <w:rPr>
          <w:rStyle w:val="FootnoteReference"/>
        </w:rPr>
        <w:footnoteReference w:id="110"/>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11"/>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12"/>
      </w:r>
      <w:r w:rsidRPr="00284B79">
        <w:t xml:space="preserve"> </w:t>
      </w:r>
    </w:p>
    <w:p w:rsidR="00E20018" w:rsidRDefault="00E20018" w:rsidP="00E20018">
      <w:r>
        <w:t>In the following sections, we summarise how we have considered a large range of material. This includes, but is not limited to:</w:t>
      </w:r>
    </w:p>
    <w:p w:rsidR="00E20018" w:rsidRDefault="00E20018" w:rsidP="00E20018">
      <w:pPr>
        <w:pStyle w:val="AERbulletlistfirststyle"/>
      </w:pPr>
      <w:r>
        <w:t>service provider proposals</w:t>
      </w:r>
    </w:p>
    <w:p w:rsidR="00E20018" w:rsidRDefault="00E20018" w:rsidP="00E20018">
      <w:pPr>
        <w:pStyle w:val="AERbulletlistfirststyle"/>
      </w:pPr>
      <w:r>
        <w:t>expert reports</w:t>
      </w:r>
    </w:p>
    <w:p w:rsidR="00E20018" w:rsidRDefault="00E20018" w:rsidP="00E20018">
      <w:pPr>
        <w:pStyle w:val="AERbulletlistfirststyle"/>
      </w:pPr>
      <w:r>
        <w:t>stakeholder submissions</w:t>
      </w:r>
    </w:p>
    <w:p w:rsidR="00E20018" w:rsidRPr="00A77770" w:rsidRDefault="00E20018" w:rsidP="00E20018">
      <w:pPr>
        <w:pStyle w:val="AERbulletlistfirststyle"/>
      </w:pPr>
      <w:r>
        <w:t>recent Tribunal decisions.</w:t>
      </w:r>
    </w:p>
    <w:p w:rsidR="00E20018" w:rsidRDefault="00E20018" w:rsidP="00E20018">
      <w:pPr>
        <w:pStyle w:val="HeadingBoldBlue"/>
      </w:pPr>
      <w:bookmarkStart w:id="59" w:name="_Toc450922722"/>
      <w:r>
        <w:t>Service providers' proposals</w:t>
      </w:r>
      <w:bookmarkEnd w:id="59"/>
    </w:p>
    <w:p w:rsidR="00E20018" w:rsidRDefault="00063EEC" w:rsidP="00E20018">
      <w:r>
        <w:t>We observe two different approaches in service providers' proposals</w:t>
      </w:r>
      <w:r w:rsidR="0065573A">
        <w:t xml:space="preserve"> for the return on equity</w:t>
      </w:r>
      <w:r>
        <w:t xml:space="preserve">. </w:t>
      </w:r>
      <w:r w:rsidR="00436092">
        <w:t>AGN</w:t>
      </w:r>
      <w:r>
        <w:t xml:space="preserve"> fully adopt the Guideline foundation model approach (that is, for all parameters) in </w:t>
      </w:r>
      <w:r w:rsidR="00436092">
        <w:t>its</w:t>
      </w:r>
      <w:r>
        <w:t xml:space="preserve"> regulatory proposal.</w:t>
      </w:r>
      <w:r w:rsidR="005B24D0">
        <w:rPr>
          <w:rStyle w:val="FootnoteReference"/>
        </w:rPr>
        <w:footnoteReference w:id="113"/>
      </w:r>
      <w:r w:rsidR="0031162C">
        <w:t xml:space="preserve"> </w:t>
      </w:r>
      <w:r w:rsidR="00436092">
        <w:t xml:space="preserve">APA, AusNet, Multinet and APTPPL in their </w:t>
      </w:r>
      <w:r w:rsidR="00E20018">
        <w:t xml:space="preserve"> proposal</w:t>
      </w:r>
      <w:r w:rsidR="00436092">
        <w:t>s</w:t>
      </w:r>
      <w:r w:rsidR="001D12C1">
        <w:t>,</w:t>
      </w:r>
      <w:r w:rsidR="0031162C">
        <w:rPr>
          <w:rStyle w:val="FootnoteReference"/>
        </w:rPr>
        <w:footnoteReference w:id="114"/>
      </w:r>
      <w:r w:rsidR="00621BB0">
        <w:t xml:space="preserve"> claim reliance on our Guideline for estimating </w:t>
      </w:r>
      <w:r w:rsidR="001D12C1">
        <w:t xml:space="preserve">the return on equity. While </w:t>
      </w:r>
      <w:r w:rsidR="00436092">
        <w:t>they have</w:t>
      </w:r>
      <w:r w:rsidR="00621BB0">
        <w:t xml:space="preserve"> departed from the multi-model approach proposed in previous regulatory determinations, </w:t>
      </w:r>
      <w:r w:rsidR="0071290C">
        <w:t>they</w:t>
      </w:r>
      <w:r w:rsidR="00673895">
        <w:t xml:space="preserve"> </w:t>
      </w:r>
      <w:r w:rsidR="00E20018">
        <w:t xml:space="preserve">continue to challenge </w:t>
      </w:r>
      <w:r w:rsidR="00621BB0">
        <w:t xml:space="preserve">key </w:t>
      </w:r>
      <w:r w:rsidR="00E20018">
        <w:t>aspects of the Guideline approach (and methods) to estimating the return on equity.</w:t>
      </w:r>
      <w:r w:rsidR="00E20018">
        <w:rPr>
          <w:rStyle w:val="FootnoteReference"/>
        </w:rPr>
        <w:footnoteReference w:id="115"/>
      </w:r>
      <w:r w:rsidR="00E20018">
        <w:t xml:space="preserve"> We have reviewed the material submitted and considered the reasons for the proposed departures from the Guideline. We have taken into account stakeholder submissions on our decisions, and on service providers' revised and initial proposals.</w:t>
      </w:r>
    </w:p>
    <w:p w:rsidR="00E20018" w:rsidRDefault="00E20018" w:rsidP="00CC7A1C">
      <w:pPr>
        <w:numPr>
          <w:ilvl w:val="0"/>
          <w:numId w:val="24"/>
        </w:numPr>
      </w:pPr>
      <w:r>
        <w:t>In doing so, we have undertaken two interdependent tasks as required by the rules:</w:t>
      </w:r>
    </w:p>
    <w:p w:rsidR="00E20018" w:rsidRPr="00796C00" w:rsidRDefault="00E20018" w:rsidP="00E20018">
      <w:pPr>
        <w:pStyle w:val="AERbulletlistfirststyle"/>
      </w:pPr>
      <w:r>
        <w:t xml:space="preserve">consider whether the proposed departures would better achieve the ARORO such that we should depart from the </w:t>
      </w:r>
      <w:r w:rsidRPr="00796C00">
        <w:t>Guideline</w:t>
      </w:r>
    </w:p>
    <w:p w:rsidR="00E20018" w:rsidRDefault="00E20018" w:rsidP="00E20018">
      <w:pPr>
        <w:pStyle w:val="AERbulletlistfirststyle"/>
      </w:pPr>
      <w:r>
        <w:t xml:space="preserve">determine a rate of return that we are satisfied achieves the ARORO.  </w:t>
      </w:r>
    </w:p>
    <w:p w:rsidR="00E20018" w:rsidRPr="00785554" w:rsidRDefault="00436092" w:rsidP="00E20018">
      <w:r w:rsidRPr="00436092">
        <w:t xml:space="preserve"> </w:t>
      </w:r>
      <w:r>
        <w:t xml:space="preserve">APA, AusNet, Multinet and APTPPL </w:t>
      </w:r>
      <w:r w:rsidR="00E20018" w:rsidRPr="00785554">
        <w:t xml:space="preserve">submitted a large volume of material in support of </w:t>
      </w:r>
      <w:r>
        <w:t>their</w:t>
      </w:r>
      <w:r w:rsidR="00E20018" w:rsidRPr="00785554">
        <w:t xml:space="preserve"> proposal</w:t>
      </w:r>
      <w:r>
        <w:t>s</w:t>
      </w:r>
      <w:r w:rsidR="00E20018" w:rsidRPr="00785554">
        <w:t xml:space="preserve">. </w:t>
      </w:r>
      <w:r w:rsidR="002A118C">
        <w:t>We</w:t>
      </w:r>
      <w:r w:rsidR="00E20018" w:rsidRPr="00785554">
        <w:t xml:space="preserve"> reviewed this and considered its implications in determining the return that meets the ARORO and whether we should depart from the Guideline. We also referred material to our consultants for their consideration prior to making our preliminary</w:t>
      </w:r>
      <w:r w:rsidR="00E20018">
        <w:t>/draft</w:t>
      </w:r>
      <w:r w:rsidR="00E20018" w:rsidRPr="00785554">
        <w:t xml:space="preserve"> and final decisions. Our considerations are</w:t>
      </w:r>
      <w:r w:rsidR="002A118C">
        <w:t xml:space="preserve"> set out</w:t>
      </w:r>
      <w:r w:rsidR="00E20018" w:rsidRPr="00785554">
        <w:t xml:space="preserve"> throughout this rate of return attachment and relevant appendices.</w:t>
      </w:r>
    </w:p>
    <w:p w:rsidR="002A118C" w:rsidRDefault="00E20018" w:rsidP="00E20018">
      <w:r>
        <w:t>W</w:t>
      </w:r>
      <w:r w:rsidRPr="00785554">
        <w:t xml:space="preserve">hile we consider each regulatory proposal afresh, much of the material currently before us is the same material we </w:t>
      </w:r>
      <w:r w:rsidR="002A118C">
        <w:t xml:space="preserve">have </w:t>
      </w:r>
      <w:r w:rsidRPr="00785554">
        <w:t>considered in making our</w:t>
      </w:r>
      <w:r w:rsidR="002A118C">
        <w:t xml:space="preserve"> various</w:t>
      </w:r>
      <w:r w:rsidRPr="00785554">
        <w:t xml:space="preserve"> decisions </w:t>
      </w:r>
      <w:r w:rsidR="002A118C">
        <w:t>since</w:t>
      </w:r>
      <w:r w:rsidR="002A118C" w:rsidRPr="00785554">
        <w:t xml:space="preserve"> </w:t>
      </w:r>
      <w:r w:rsidRPr="00785554">
        <w:t>2015.</w:t>
      </w:r>
      <w:r w:rsidRPr="00785554">
        <w:rPr>
          <w:rStyle w:val="FootnoteReference"/>
        </w:rPr>
        <w:footnoteReference w:id="116"/>
      </w:r>
      <w:r w:rsidRPr="00785554">
        <w:t xml:space="preserve"> </w:t>
      </w:r>
    </w:p>
    <w:p w:rsidR="002A118C" w:rsidRPr="00785554" w:rsidRDefault="002A118C" w:rsidP="002A118C">
      <w:r w:rsidRPr="00785554">
        <w:t xml:space="preserve">For this decision, unless stated otherwise, we </w:t>
      </w:r>
      <w:r>
        <w:t>have built on</w:t>
      </w:r>
      <w:r w:rsidRPr="00785554">
        <w:t xml:space="preserve"> the rate of return analysis and reasoning as set out in our</w:t>
      </w:r>
      <w:r>
        <w:t xml:space="preserve"> recent decisions on rate return since 2015.  These earlier decisions are still relevant to understanding the changes in approaches that have been proposed by different service providers and stakeholders, and how our analysis and reasoning has developed</w:t>
      </w:r>
      <w:r w:rsidRPr="00785554">
        <w:t>.</w:t>
      </w:r>
      <w:r w:rsidRPr="00785554">
        <w:rPr>
          <w:rStyle w:val="FootnoteReference"/>
        </w:rPr>
        <w:footnoteReference w:id="117"/>
      </w:r>
    </w:p>
    <w:p w:rsidR="00E20018" w:rsidRPr="00FC3B81" w:rsidRDefault="00E20018" w:rsidP="00CC7A1C">
      <w:pPr>
        <w:pStyle w:val="HeadingBoldBlue"/>
        <w:numPr>
          <w:ilvl w:val="0"/>
          <w:numId w:val="24"/>
        </w:numPr>
      </w:pPr>
      <w:bookmarkStart w:id="60" w:name="_Toc450922723"/>
      <w:r>
        <w:t>Expert reports</w:t>
      </w:r>
      <w:bookmarkEnd w:id="60"/>
    </w:p>
    <w:p w:rsidR="00E20018" w:rsidRPr="00AC1D0D" w:rsidRDefault="00E20018" w:rsidP="00CC7A1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E20018" w:rsidRDefault="00E20018" w:rsidP="00E20018">
      <w:pPr>
        <w:pStyle w:val="AERbulletlistfirststyle"/>
      </w:pPr>
      <w:r>
        <w:t>Professor Michael McKenzie, University of Liverpool</w:t>
      </w:r>
      <w:r w:rsidRPr="00796C00">
        <w:t>.</w:t>
      </w:r>
      <w:r w:rsidRPr="00796C00">
        <w:rPr>
          <w:rStyle w:val="FootnoteReference"/>
        </w:rPr>
        <w:footnoteReference w:id="118"/>
      </w:r>
    </w:p>
    <w:p w:rsidR="00E20018" w:rsidRPr="00796C00" w:rsidRDefault="00E20018" w:rsidP="00E20018">
      <w:pPr>
        <w:pStyle w:val="AERbulletlistfirststyle"/>
      </w:pPr>
      <w:r>
        <w:t>Professor Stephen Satchell, Trinity College, Cambridge University</w:t>
      </w:r>
      <w:r>
        <w:rPr>
          <w:rStyle w:val="FootnoteReference"/>
        </w:rPr>
        <w:footnoteReference w:id="119"/>
      </w:r>
    </w:p>
    <w:p w:rsidR="00E20018" w:rsidRPr="00796C00" w:rsidRDefault="00E20018" w:rsidP="00E20018">
      <w:pPr>
        <w:pStyle w:val="AERbulletlistfirststyle"/>
      </w:pPr>
      <w:r>
        <w:t>Associate professor Graham Partington, University of Sydney</w:t>
      </w:r>
      <w:r w:rsidRPr="00796C00">
        <w:t>.</w:t>
      </w:r>
      <w:r w:rsidRPr="00796C00">
        <w:rPr>
          <w:rStyle w:val="FootnoteReference"/>
        </w:rPr>
        <w:footnoteReference w:id="120"/>
      </w:r>
    </w:p>
    <w:p w:rsidR="00E20018" w:rsidRDefault="00E20018" w:rsidP="00E20018">
      <w:pPr>
        <w:pStyle w:val="AERbulletlistfirststyle"/>
      </w:pPr>
      <w:r>
        <w:t>Associate professor John Handley, University of Melbourne</w:t>
      </w:r>
      <w:r w:rsidRPr="00796C00">
        <w:t>.</w:t>
      </w:r>
      <w:r w:rsidRPr="00796C00">
        <w:rPr>
          <w:rStyle w:val="FootnoteReference"/>
        </w:rPr>
        <w:footnoteReference w:id="121"/>
      </w:r>
    </w:p>
    <w:p w:rsidR="00E20018" w:rsidRDefault="00E20018" w:rsidP="00E20018">
      <w:pPr>
        <w:pStyle w:val="AERbulletlistfirststyle"/>
      </w:pPr>
      <w:r>
        <w:t>Dr Martin Lally, Capital Financial Consultants</w:t>
      </w:r>
      <w:r w:rsidRPr="00796C00">
        <w:t>.</w:t>
      </w:r>
      <w:r w:rsidRPr="00796C00">
        <w:rPr>
          <w:rStyle w:val="FootnoteReference"/>
        </w:rPr>
        <w:footnoteReference w:id="122"/>
      </w:r>
    </w:p>
    <w:p w:rsidR="00E20018" w:rsidRPr="00796C00" w:rsidRDefault="00E20018" w:rsidP="00E20018">
      <w:pPr>
        <w:pStyle w:val="AERbulletlistfirststyle"/>
      </w:pPr>
      <w:r>
        <w:t>Chairmont, a financial market practitioner.</w:t>
      </w:r>
      <w:r>
        <w:rPr>
          <w:rStyle w:val="FootnoteReference"/>
        </w:rPr>
        <w:footnoteReference w:id="123"/>
      </w:r>
    </w:p>
    <w:p w:rsidR="00E20018" w:rsidRDefault="00E20018" w:rsidP="00CC7A1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24"/>
      </w:r>
      <w:r>
        <w:t xml:space="preserve"> We also received advice on return on debt estimation from the ACCC Regulatory Economic Unit (REU).</w:t>
      </w:r>
      <w:r>
        <w:rPr>
          <w:rStyle w:val="FootnoteReference"/>
        </w:rPr>
        <w:footnoteReference w:id="125"/>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E20018" w:rsidRDefault="00E20018" w:rsidP="00CC7A1C">
      <w:pPr>
        <w:pStyle w:val="HeadingBoldBlue"/>
        <w:numPr>
          <w:ilvl w:val="0"/>
          <w:numId w:val="24"/>
        </w:numPr>
      </w:pPr>
      <w:bookmarkStart w:id="61" w:name="_Toc450922724"/>
      <w:r>
        <w:t>Stakeholder submissions</w:t>
      </w:r>
      <w:bookmarkEnd w:id="61"/>
    </w:p>
    <w:p w:rsidR="00E20018" w:rsidRPr="002E5985" w:rsidRDefault="00E20018" w:rsidP="00CC7A1C">
      <w:pPr>
        <w:pStyle w:val="ListParagraph"/>
        <w:numPr>
          <w:ilvl w:val="0"/>
          <w:numId w:val="24"/>
        </w:numPr>
      </w:pPr>
      <w:r w:rsidRPr="00A164C0">
        <w:rPr>
          <w:rStyle w:val="AERbody"/>
        </w:rPr>
        <w:t>In making this decision, we have also considered material that was submitted for the recent decisions published in April, June and October 2015</w:t>
      </w:r>
      <w:r w:rsidR="009A5289">
        <w:rPr>
          <w:rStyle w:val="AERbody"/>
        </w:rPr>
        <w:t>,</w:t>
      </w:r>
      <w:r w:rsidR="00D647EB">
        <w:rPr>
          <w:rStyle w:val="AERbody"/>
        </w:rPr>
        <w:t xml:space="preserve"> </w:t>
      </w:r>
      <w:r w:rsidRPr="00A164C0">
        <w:rPr>
          <w:rStyle w:val="AERbody"/>
        </w:rPr>
        <w:t>May 2016</w:t>
      </w:r>
      <w:r w:rsidR="00CD2633">
        <w:rPr>
          <w:rStyle w:val="AERbody"/>
        </w:rPr>
        <w:t xml:space="preserve"> </w:t>
      </w:r>
      <w:r w:rsidR="009A5289">
        <w:rPr>
          <w:rStyle w:val="AERbody"/>
        </w:rPr>
        <w:t xml:space="preserve">and April 2017 </w:t>
      </w:r>
      <w:r w:rsidR="00CD2633">
        <w:rPr>
          <w:rStyle w:val="AERbody"/>
        </w:rPr>
        <w:t>that may remain relevant</w:t>
      </w:r>
      <w:r w:rsidRPr="00A164C0">
        <w:rPr>
          <w:rStyle w:val="AERbody"/>
        </w:rPr>
        <w:t>.</w:t>
      </w:r>
      <w:r w:rsidR="00D647EB" w:rsidRPr="007A3121">
        <w:rPr>
          <w:rStyle w:val="FootnoteReference"/>
        </w:rPr>
        <w:footnoteReference w:id="126"/>
      </w:r>
      <w:r w:rsidRPr="00A164C0">
        <w:rPr>
          <w:rStyle w:val="AERbody"/>
        </w:rPr>
        <w:t xml:space="preserve"> Overall, in making these decisions we received a large number of submissions. A range of submissions, including those on </w:t>
      </w:r>
      <w:r w:rsidR="002E6DEE">
        <w:rPr>
          <w:rStyle w:val="AERbody"/>
        </w:rPr>
        <w:t>APTPPL's</w:t>
      </w:r>
      <w:r w:rsidR="002E6DEE" w:rsidRPr="00A164C0">
        <w:rPr>
          <w:rStyle w:val="AERbody"/>
        </w:rPr>
        <w:t xml:space="preserve"> </w:t>
      </w:r>
      <w:r w:rsidRPr="00A164C0">
        <w:rPr>
          <w:rStyle w:val="AERbody"/>
        </w:rPr>
        <w:t>proposal had commentary relating to the rate of return.</w:t>
      </w:r>
      <w:r>
        <w:rPr>
          <w:rStyle w:val="FootnoteReference"/>
        </w:rPr>
        <w:footnoteReference w:id="127"/>
      </w:r>
      <w:r w:rsidRPr="002E5985">
        <w:t xml:space="preserve"> </w:t>
      </w:r>
    </w:p>
    <w:p w:rsidR="00E20018" w:rsidRDefault="00E20018" w:rsidP="00E20018">
      <w:pPr>
        <w:pStyle w:val="HeadingBoldBlue"/>
      </w:pPr>
      <w:bookmarkStart w:id="62" w:name="_Toc450922725"/>
      <w:r>
        <w:t xml:space="preserve">Consideration of recent Tribunal </w:t>
      </w:r>
      <w:r w:rsidR="001B547E">
        <w:t xml:space="preserve">and Federal Court </w:t>
      </w:r>
      <w:r>
        <w:t>decisions</w:t>
      </w:r>
      <w:bookmarkEnd w:id="62"/>
    </w:p>
    <w:p w:rsidR="002715B8" w:rsidRPr="00F7203B" w:rsidRDefault="002715B8" w:rsidP="002715B8">
      <w:pPr>
        <w:numPr>
          <w:ilvl w:val="0"/>
          <w:numId w:val="24"/>
        </w:numPr>
      </w:pPr>
      <w:r w:rsidRPr="00F7203B">
        <w:t>The NSW Tribunal reviewed several aspects of our approach to estimating the allowed return on debt in decisions for ActewAGL, Jemena Gas Networks and Networks NSW.</w:t>
      </w:r>
      <w:r w:rsidRPr="00F7203B">
        <w:rPr>
          <w:rStyle w:val="FootnoteReference"/>
        </w:rPr>
        <w:footnoteReference w:id="128"/>
      </w:r>
      <w:r w:rsidRPr="00F7203B">
        <w:t xml:space="preserve"> The Tribunal based on the facts in these cases:</w:t>
      </w:r>
    </w:p>
    <w:p w:rsidR="002715B8" w:rsidRPr="00F7203B" w:rsidRDefault="002715B8" w:rsidP="002715B8">
      <w:pPr>
        <w:pStyle w:val="AERbulletlistfirststyle"/>
      </w:pPr>
      <w:r w:rsidRPr="00F7203B">
        <w:t>Found no error in our approach to estimating the return on equity by applying the Guideline approach referred to as the foundation model approach.</w:t>
      </w:r>
      <w:r w:rsidRPr="00F7203B">
        <w:rPr>
          <w:rStyle w:val="FootnoteReference"/>
        </w:rPr>
        <w:footnoteReference w:id="129"/>
      </w:r>
    </w:p>
    <w:p w:rsidR="002715B8" w:rsidRPr="00F7203B" w:rsidRDefault="002715B8" w:rsidP="002715B8">
      <w:pPr>
        <w:pStyle w:val="AERbulletlistfirststyle"/>
      </w:pPr>
      <w:r w:rsidRPr="00F7203B">
        <w:t xml:space="preserve">Found no error in our decision to </w:t>
      </w:r>
      <w:r>
        <w:t>adopt</w:t>
      </w:r>
      <w:r w:rsidRPr="00F7203B">
        <w:t xml:space="preserve"> a benchmark credit rating </w:t>
      </w:r>
      <w:r>
        <w:t>of</w:t>
      </w:r>
      <w:r w:rsidRPr="00F7203B">
        <w:t xml:space="preserve"> BBB+.</w:t>
      </w:r>
      <w:r w:rsidRPr="00F7203B">
        <w:rPr>
          <w:rStyle w:val="FootnoteReference"/>
        </w:rPr>
        <w:footnoteReference w:id="130"/>
      </w:r>
    </w:p>
    <w:p w:rsidR="002715B8" w:rsidRPr="00F7203B" w:rsidRDefault="002715B8" w:rsidP="002715B8">
      <w:pPr>
        <w:pStyle w:val="AERbulletlistfirststyle"/>
      </w:pPr>
      <w:r w:rsidRPr="00F7203B">
        <w:t>Found no error in our decision to use an average of the yields from the Bloomberg and RBA yields curves to calculate the debt risk premium.</w:t>
      </w:r>
      <w:r w:rsidRPr="00F7203B">
        <w:rPr>
          <w:rStyle w:val="FootnoteReference"/>
        </w:rPr>
        <w:t xml:space="preserve"> </w:t>
      </w:r>
      <w:r w:rsidRPr="00F7203B">
        <w:rPr>
          <w:rStyle w:val="FootnoteReference"/>
        </w:rPr>
        <w:footnoteReference w:id="131"/>
      </w:r>
    </w:p>
    <w:p w:rsidR="002715B8" w:rsidRPr="00F7203B" w:rsidRDefault="002715B8" w:rsidP="002715B8">
      <w:pPr>
        <w:pStyle w:val="AERbulletlistfirststyle"/>
      </w:pPr>
      <w:r w:rsidRPr="00F7203B">
        <w:t xml:space="preserve">Found error in our approach to debt transition and remitted the determination back to us to make </w:t>
      </w:r>
      <w:r>
        <w:t>the</w:t>
      </w:r>
      <w:r w:rsidRPr="00F7203B">
        <w:t xml:space="preserve"> constituent decision </w:t>
      </w:r>
      <w:r>
        <w:t xml:space="preserve">on return on debt in relation to the introduction of </w:t>
      </w:r>
      <w:r w:rsidRPr="00F7203B">
        <w:t>the trailing average approach in accordance with several reasons outlined in its decision.</w:t>
      </w:r>
      <w:r w:rsidRPr="00F7203B">
        <w:rPr>
          <w:rStyle w:val="FootnoteReference"/>
        </w:rPr>
        <w:footnoteReference w:id="132"/>
      </w:r>
      <w:r w:rsidRPr="00F7203B">
        <w:t xml:space="preserve"> We note the Tribunal's decision in section </w:t>
      </w:r>
      <w:r w:rsidRPr="00F7203B">
        <w:fldChar w:fldCharType="begin"/>
      </w:r>
      <w:r w:rsidRPr="00F7203B">
        <w:instrText xml:space="preserve"> REF _Ref478718271 \r \h </w:instrText>
      </w:r>
      <w:r w:rsidRPr="00F7203B">
        <w:fldChar w:fldCharType="separate"/>
      </w:r>
      <w:r w:rsidR="002C24D6">
        <w:t>3.4.2</w:t>
      </w:r>
      <w:r w:rsidRPr="00F7203B">
        <w:fldChar w:fldCharType="end"/>
      </w:r>
      <w:r w:rsidR="00D74357">
        <w:t xml:space="preserve"> and Appendix </w:t>
      </w:r>
      <w:r w:rsidR="00D74357">
        <w:fldChar w:fldCharType="begin"/>
      </w:r>
      <w:r w:rsidR="00D74357">
        <w:instrText xml:space="preserve"> REF _Ref448871343 \r \h </w:instrText>
      </w:r>
      <w:r w:rsidR="00D74357">
        <w:fldChar w:fldCharType="separate"/>
      </w:r>
      <w:r w:rsidR="002C24D6">
        <w:t>A</w:t>
      </w:r>
      <w:r w:rsidR="00D74357">
        <w:fldChar w:fldCharType="end"/>
      </w:r>
      <w:r w:rsidRPr="00F7203B">
        <w:t>.</w:t>
      </w:r>
    </w:p>
    <w:p w:rsidR="002715B8" w:rsidRPr="00F7203B" w:rsidRDefault="002715B8" w:rsidP="002715B8">
      <w:r w:rsidRPr="00F7203B">
        <w:t xml:space="preserve">We </w:t>
      </w:r>
      <w:r>
        <w:t>sought judicial review of</w:t>
      </w:r>
      <w:r w:rsidRPr="00F7203B">
        <w:t xml:space="preserve"> the Tribunal decision to the Full Federal Court</w:t>
      </w:r>
      <w:r>
        <w:t>, including in relation to our debt transition approach</w:t>
      </w:r>
      <w:r w:rsidRPr="00F7203B">
        <w:t>.  On 24 May 2017 the Full Federal Court handed down its decision</w:t>
      </w:r>
      <w:r>
        <w:t>.</w:t>
      </w:r>
      <w:r w:rsidRPr="00F7203B">
        <w:t xml:space="preserve"> The Full Federal Court found that the Tribunal did not commit error in its decision</w:t>
      </w:r>
      <w:r>
        <w:t>in relation to debt transition</w:t>
      </w:r>
      <w:r w:rsidRPr="00F7203B">
        <w:t>. A key issue before the Full Federal Court was whether the AER was in error in concluding the Benchmark Efficient Entity was regulated. The Full Federal Court held that a benchmark efficien</w:t>
      </w:r>
      <w:r>
        <w:t xml:space="preserve">t entity should not be characterised as either </w:t>
      </w:r>
      <w:r w:rsidRPr="00F7203B">
        <w:t>regulated or unregulated.</w:t>
      </w:r>
      <w:r w:rsidRPr="00F7203B">
        <w:rPr>
          <w:rStyle w:val="FootnoteReference"/>
        </w:rPr>
        <w:footnoteReference w:id="133"/>
      </w:r>
    </w:p>
    <w:p w:rsidR="002715B8" w:rsidRPr="00F7203B" w:rsidRDefault="002715B8" w:rsidP="002715B8">
      <w:pPr>
        <w:numPr>
          <w:ilvl w:val="0"/>
          <w:numId w:val="24"/>
        </w:numPr>
      </w:pPr>
      <w:r w:rsidRPr="00F7203B">
        <w:t>Our decision on debt transition for SAPN was also appealed to the Tribunal.</w:t>
      </w:r>
      <w:r w:rsidRPr="00F7203B">
        <w:rPr>
          <w:rStyle w:val="FootnoteReference"/>
        </w:rPr>
        <w:footnoteReference w:id="134"/>
      </w:r>
      <w:r w:rsidRPr="00F7203B">
        <w:t xml:space="preserve"> In its SAPN decision, where the issue of whether a Benchmark Efficient Entity should be conceived as regulated was not in dispute, the Tribunal found there was no error in the AER's approach to debt transition.</w:t>
      </w:r>
      <w:r w:rsidRPr="00F7203B">
        <w:rPr>
          <w:rStyle w:val="FootnoteReference"/>
        </w:rPr>
        <w:footnoteReference w:id="135"/>
      </w:r>
    </w:p>
    <w:p w:rsidR="002715B8" w:rsidRPr="00F7203B" w:rsidRDefault="002715B8" w:rsidP="002715B8">
      <w:pPr>
        <w:numPr>
          <w:ilvl w:val="0"/>
          <w:numId w:val="24"/>
        </w:numPr>
      </w:pPr>
      <w:r w:rsidRPr="00F7203B">
        <w:t xml:space="preserve">Following the NSW Tribunal decision handed down in February 2016 we reconsidered the economic and finance principles underpinning the </w:t>
      </w:r>
      <w:r>
        <w:t>NGL</w:t>
      </w:r>
      <w:r w:rsidRPr="00F7203B">
        <w:t xml:space="preserve"> and </w:t>
      </w:r>
      <w:r>
        <w:t>the NGR</w:t>
      </w:r>
      <w:r w:rsidRPr="00F7203B">
        <w:t>, and the 2012 rule change that permitted the use of a trailing average. In undertaking this review we commissoned advice from finance experts.</w:t>
      </w:r>
      <w:r w:rsidRPr="00F7203B">
        <w:rPr>
          <w:rStyle w:val="FootnoteReference"/>
        </w:rPr>
        <w:footnoteReference w:id="136"/>
      </w:r>
      <w:r w:rsidRPr="00F7203B">
        <w:t xml:space="preserve"> Our review led us to depart from the reasoning we applied in our NSW decisions starting with our decisions released in May 2016.</w:t>
      </w:r>
      <w:r w:rsidRPr="00F7203B">
        <w:rPr>
          <w:rStyle w:val="FootnoteReference"/>
        </w:rPr>
        <w:footnoteReference w:id="137"/>
      </w:r>
      <w:r w:rsidRPr="00F7203B">
        <w:t xml:space="preserve"> The key change we made was we no longer considered efficient financing costs reflected the costs that came from efficient financing practices. In these decisions we found that efficient financing costs are an ex ante concept and reflect the prevailing cost of funds in the market.</w:t>
      </w:r>
      <w:r>
        <w:rPr>
          <w:rStyle w:val="FootnoteReference"/>
        </w:rPr>
        <w:footnoteReference w:id="138"/>
      </w:r>
      <w:r>
        <w:t xml:space="preserve"> T</w:t>
      </w:r>
      <w:r w:rsidRPr="00F7203B">
        <w:t>he the prevailing rate in the market reflects the opportunity cost of funds in the capital market.</w:t>
      </w:r>
      <w:r w:rsidRPr="00F7203B">
        <w:rPr>
          <w:rStyle w:val="FootnoteReference"/>
        </w:rPr>
        <w:footnoteReference w:id="139"/>
      </w:r>
    </w:p>
    <w:p w:rsidR="002715B8" w:rsidRPr="00F7203B" w:rsidRDefault="002715B8" w:rsidP="002715B8">
      <w:pPr>
        <w:numPr>
          <w:ilvl w:val="0"/>
          <w:numId w:val="24"/>
        </w:numPr>
      </w:pPr>
      <w:r w:rsidRPr="00F7203B">
        <w:t>In i</w:t>
      </w:r>
      <w:r>
        <w:t>ts revised electricty transmissi</w:t>
      </w:r>
      <w:r w:rsidRPr="00F7203B">
        <w:t>on proposal lodged in December 2016 AusNet</w:t>
      </w:r>
      <w:r>
        <w:t xml:space="preserve"> Services</w:t>
      </w:r>
      <w:r w:rsidRPr="00F7203B">
        <w:t xml:space="preserve"> questioned the new economic reasoning and approach to the allowed rate of return objective that we applied in our May 2016 decisions.</w:t>
      </w:r>
      <w:r w:rsidRPr="00F7203B">
        <w:rPr>
          <w:rStyle w:val="FootnoteReference"/>
        </w:rPr>
        <w:footnoteReference w:id="140"/>
      </w:r>
      <w:r w:rsidRPr="00F7203B">
        <w:t xml:space="preserve"> In support of its preferred reasoning it provided an experts report by CEG Economics.</w:t>
      </w:r>
      <w:r w:rsidRPr="00F7203B">
        <w:rPr>
          <w:rStyle w:val="FootnoteReference"/>
        </w:rPr>
        <w:footnoteReference w:id="141"/>
      </w:r>
      <w:r w:rsidRPr="00F7203B">
        <w:t xml:space="preserve"> </w:t>
      </w:r>
    </w:p>
    <w:p w:rsidR="002715B8" w:rsidRPr="00F7203B" w:rsidRDefault="002715B8" w:rsidP="002715B8">
      <w:pPr>
        <w:numPr>
          <w:ilvl w:val="0"/>
          <w:numId w:val="24"/>
        </w:numPr>
      </w:pPr>
      <w:r w:rsidRPr="00F7203B">
        <w:t>While AusNet prior to our final decision indicated it no longer mainted its preferred approach to debt transition and would accept our proposed full transition, we nevertheless carefully considered the material with its revised proposal including the new experts report by CEG.</w:t>
      </w:r>
      <w:r w:rsidRPr="00F7203B">
        <w:rPr>
          <w:rStyle w:val="FootnoteReference"/>
        </w:rPr>
        <w:footnoteReference w:id="142"/>
      </w:r>
      <w:r w:rsidRPr="00F7203B">
        <w:t xml:space="preserve"> In doing this we commissioned further expert finance advice on the new material submitted by AusNet.</w:t>
      </w:r>
      <w:r w:rsidRPr="00F7203B">
        <w:rPr>
          <w:rStyle w:val="FootnoteReference"/>
        </w:rPr>
        <w:footnoteReference w:id="143"/>
      </w:r>
      <w:r w:rsidRPr="00F7203B">
        <w:t xml:space="preserve"> Our review concluded the position and reasoning we held in our May 2016 decision was correct as a matter of economic principle and law.</w:t>
      </w:r>
      <w:r w:rsidRPr="00F7203B">
        <w:rPr>
          <w:rStyle w:val="FootnoteReference"/>
        </w:rPr>
        <w:footnoteReference w:id="144"/>
      </w:r>
      <w:r w:rsidRPr="00F7203B">
        <w:t xml:space="preserve"> As a consequence our April 2017 decision for AusNet services, consistent with our May 2016 decisions, applied a full (or revenue netural) transition when changing the debt estimation methodology to apply to AusNet from the on the day methodology to the trailing average methodology.</w:t>
      </w:r>
      <w:r w:rsidRPr="00F7203B">
        <w:rPr>
          <w:rStyle w:val="FootnoteReference"/>
        </w:rPr>
        <w:footnoteReference w:id="145"/>
      </w:r>
      <w:r w:rsidRPr="00F7203B">
        <w:t xml:space="preserve">  </w:t>
      </w:r>
    </w:p>
    <w:p w:rsidR="002715B8" w:rsidRPr="00F7203B" w:rsidRDefault="002715B8" w:rsidP="002715B8">
      <w:r w:rsidRPr="00F7203B">
        <w:t xml:space="preserve">Following the Full Federal Court decision handed down on May 24 2017 we have again reconsidered our approach in the context of the NGR and NGO. In light of the Full Court's decision we do not maintain for this determination that the benchmark efficient entity is itself a regulated entity. Rather, we consider the benchmark efficient entity has </w:t>
      </w:r>
      <w:r w:rsidRPr="00B56A78">
        <w:t xml:space="preserve">a similar degree of risk as that which applies </w:t>
      </w:r>
      <w:r>
        <w:t xml:space="preserve">to </w:t>
      </w:r>
      <w:r w:rsidR="00AA2079">
        <w:t xml:space="preserve">APTPPL </w:t>
      </w:r>
      <w:r w:rsidRPr="00F7203B">
        <w:t xml:space="preserve">in the provision of reference services.  However, given we consider efficient financing costs reflect the prevailing cost of funds in the market, we remain of the view that a full (or revenue neutral) transition is required when changing debt estimation methodology in order to achieve the ARORO and NGO.   </w:t>
      </w:r>
    </w:p>
    <w:p w:rsidR="002715B8" w:rsidRPr="00F7203B" w:rsidRDefault="002715B8" w:rsidP="002715B8">
      <w:pPr>
        <w:numPr>
          <w:ilvl w:val="0"/>
          <w:numId w:val="24"/>
        </w:numPr>
      </w:pPr>
      <w:r w:rsidRPr="00F7203B">
        <w:t>We note to be explicit that we do not consider the position (that efficient financing costs reflects the revailing cost of fund in the market) we took in our May 2016 decisions and we have taken in all decisions since then precludes the use of a trailing average. However, our approach does require a revenue neutral transition when changing methodology to achieve correct compensation over the life of the investment and thereby to not violate correct compensation in a present value sense and achieve the ARORO and NGO. We consider our reasoning and approach are entirely consistent with the objectives of the 2012 rule change, the current rules and law, an</w:t>
      </w:r>
      <w:r>
        <w:t xml:space="preserve">d with minimising the </w:t>
      </w:r>
      <w:r w:rsidRPr="00F7203B">
        <w:t>cost of finance of the benchmark efficient entity</w:t>
      </w:r>
      <w:r>
        <w:t xml:space="preserve"> over the life of its assets while managing refinancing risk and interest rate risk</w:t>
      </w:r>
      <w:r w:rsidRPr="00F7203B">
        <w:t xml:space="preserve">.     </w:t>
      </w:r>
    </w:p>
    <w:p w:rsidR="002715B8" w:rsidRPr="00F7203B" w:rsidRDefault="002715B8" w:rsidP="002715B8">
      <w:pPr>
        <w:numPr>
          <w:ilvl w:val="0"/>
          <w:numId w:val="24"/>
        </w:numPr>
      </w:pPr>
      <w:r w:rsidRPr="00F7203B">
        <w:t xml:space="preserve">More recently AusNet Services electricity distribution, ActewAGL Gas Networks, and Jemena Distribution </w:t>
      </w:r>
      <w:r>
        <w:t>applied</w:t>
      </w:r>
      <w:r w:rsidRPr="00F7203B">
        <w:t xml:space="preserve"> for review by the Tribunal of certain aspects of the approach to determining the return on debt for further consideration by the Tribunal.</w:t>
      </w:r>
      <w:r w:rsidRPr="00F7203B">
        <w:rPr>
          <w:rStyle w:val="FootnoteReference"/>
        </w:rPr>
        <w:footnoteReference w:id="146"/>
      </w:r>
      <w:r w:rsidRPr="00F7203B">
        <w:t xml:space="preserve"> Nothing raised in these matters, or in the SAPN Full Federal Court matter, has changed o</w:t>
      </w:r>
      <w:r>
        <w:t>u</w:t>
      </w:r>
      <w:r w:rsidRPr="00F7203B">
        <w:t xml:space="preserve">r view </w:t>
      </w:r>
      <w:r>
        <w:t xml:space="preserve">that </w:t>
      </w:r>
      <w:r w:rsidRPr="00F7203B">
        <w:t>our approach is correct a</w:t>
      </w:r>
      <w:r>
        <w:t>s a matter of economic principle</w:t>
      </w:r>
      <w:r w:rsidRPr="00F7203B">
        <w:t xml:space="preserve"> and law. </w:t>
      </w:r>
    </w:p>
    <w:p w:rsidR="002715B8" w:rsidRDefault="002715B8" w:rsidP="00272584">
      <w:pPr>
        <w:numPr>
          <w:ilvl w:val="0"/>
          <w:numId w:val="24"/>
        </w:numPr>
      </w:pPr>
      <w:r w:rsidRPr="00F7203B">
        <w:t>We will consider the Full Federal Court decision for SAPN and the Tribunal decisions for AusNet Services electricity distribution, ActewAGL Gas Networks and Jemena Distribution when these decisions are handed down.</w:t>
      </w:r>
    </w:p>
    <w:p w:rsidR="002715B8" w:rsidRPr="00F7203B" w:rsidRDefault="002715B8" w:rsidP="00272584">
      <w:pPr>
        <w:numPr>
          <w:ilvl w:val="0"/>
          <w:numId w:val="24"/>
        </w:numPr>
      </w:pPr>
      <w:r>
        <w:t>Finally</w:t>
      </w:r>
      <w:r w:rsidRPr="00F7203B">
        <w:t xml:space="preserve">, we note the majority of </w:t>
      </w:r>
      <w:r>
        <w:t xml:space="preserve">regulated </w:t>
      </w:r>
      <w:r w:rsidRPr="00F7203B">
        <w:t xml:space="preserve">businesses </w:t>
      </w:r>
      <w:r>
        <w:t xml:space="preserve">we have made decisions for since the publication of the Guideline </w:t>
      </w:r>
      <w:r w:rsidRPr="00F7203B">
        <w:t xml:space="preserve">have now accepted our approach to transitioning to a trailing average to estimate the allowed return on debt. </w:t>
      </w:r>
    </w:p>
    <w:p w:rsidR="00867D79" w:rsidRPr="00867D79" w:rsidRDefault="00867D79" w:rsidP="00A164C0">
      <w:pPr>
        <w:pStyle w:val="AERbulletlistfirststyle"/>
        <w:numPr>
          <w:ilvl w:val="0"/>
          <w:numId w:val="0"/>
        </w:numPr>
      </w:pPr>
    </w:p>
    <w:p w:rsidR="00DE563D" w:rsidRDefault="00DE563D" w:rsidP="001754EE">
      <w:pPr>
        <w:pStyle w:val="Heading2"/>
      </w:pPr>
      <w:bookmarkStart w:id="63" w:name="_Toc403144140"/>
      <w:bookmarkStart w:id="64" w:name="_Toc487037137"/>
      <w:r w:rsidRPr="001754EE">
        <w:t>Reasons</w:t>
      </w:r>
      <w:r>
        <w:t xml:space="preserve"> for </w:t>
      </w:r>
      <w:r w:rsidR="00E73EED">
        <w:t>draft</w:t>
      </w:r>
      <w:r w:rsidR="001008D7">
        <w:t xml:space="preserve"> </w:t>
      </w:r>
      <w:r>
        <w:t>decision</w:t>
      </w:r>
      <w:bookmarkEnd w:id="63"/>
      <w:bookmarkEnd w:id="64"/>
      <w:r>
        <w:t xml:space="preserve"> </w:t>
      </w:r>
    </w:p>
    <w:p w:rsidR="00345EDF" w:rsidRPr="00D67998" w:rsidRDefault="00345EDF" w:rsidP="00CC7A1C">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7"/>
      </w:r>
      <w:r w:rsidRPr="00D67998">
        <w:rPr>
          <w:rStyle w:val="FootnoteReference"/>
        </w:rPr>
        <w:t xml:space="preserve"> </w:t>
      </w:r>
      <w:r w:rsidRPr="00D67998">
        <w:t xml:space="preserve"> </w:t>
      </w:r>
    </w:p>
    <w:p w:rsidR="00345EDF" w:rsidRPr="00D67998" w:rsidRDefault="00345EDF" w:rsidP="00CC7A1C">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8"/>
      </w:r>
      <w:r w:rsidRPr="00D67998">
        <w:t xml:space="preserve"> </w:t>
      </w:r>
    </w:p>
    <w:p w:rsidR="00836286" w:rsidRPr="00836286" w:rsidRDefault="00836286" w:rsidP="00836286">
      <w:pPr>
        <w:pStyle w:val="ListParagraph"/>
        <w:numPr>
          <w:ilvl w:val="0"/>
          <w:numId w:val="24"/>
        </w:numPr>
      </w:pPr>
      <w:r w:rsidRPr="00836286">
        <w:t>In making this decision</w:t>
      </w:r>
      <w:r>
        <w:t xml:space="preserve">, we accept (and agree with) </w:t>
      </w:r>
      <w:r w:rsidR="0040215A">
        <w:t>AGN's</w:t>
      </w:r>
      <w:r w:rsidR="0040215A" w:rsidRPr="00836286">
        <w:t xml:space="preserve"> </w:t>
      </w:r>
      <w:r w:rsidRPr="00836286">
        <w:t xml:space="preserve">adoption of the Guideline foundation model approach for estimate the allowed rate of return. </w:t>
      </w:r>
    </w:p>
    <w:p w:rsidR="00345EDF" w:rsidRDefault="00BA4C69" w:rsidP="00345EDF">
      <w:r>
        <w:t>We have also considered issues that have been raised by AusNet</w:t>
      </w:r>
      <w:r w:rsidR="0040215A">
        <w:t>, Multinet, APA and APTPPL</w:t>
      </w:r>
      <w:r>
        <w:t xml:space="preserve"> as well as different service providers and stakeholders in our recently published regulatory determinations. While we have addressed matters specifically raised by </w:t>
      </w:r>
      <w:r w:rsidR="0040215A">
        <w:t>AusNet</w:t>
      </w:r>
      <w:r w:rsidR="00436092">
        <w:t xml:space="preserve">, Multinet, APA </w:t>
      </w:r>
      <w:r w:rsidR="0040215A">
        <w:t xml:space="preserve">, APTPPL </w:t>
      </w:r>
      <w:r>
        <w:t>and/or stakeholders in this decision process, much of our analysis and reasoning also addresses matters raised by other service providers and stakeholders in past and concurrent regulatory determination processes.</w:t>
      </w:r>
      <w:r w:rsidR="00436092">
        <w:t xml:space="preserve"> </w:t>
      </w:r>
      <w:r w:rsidR="00836286" w:rsidRPr="00836286">
        <w:t>We have also</w:t>
      </w:r>
      <w:r w:rsidR="006B74FD">
        <w:t xml:space="preserve"> </w:t>
      </w:r>
      <w:r w:rsidR="00836286" w:rsidRPr="00836286">
        <w:t>considered issues that have been raised by different service providers and stakeholders in our recently published regulatory determinations.</w:t>
      </w:r>
      <w:r w:rsidR="00836286" w:rsidRPr="00836286">
        <w:rPr>
          <w:rStyle w:val="FootnoteReference"/>
        </w:rPr>
        <w:footnoteReference w:id="149"/>
      </w:r>
      <w:r w:rsidR="00836286" w:rsidRPr="00836286">
        <w:t xml:space="preserve"> </w:t>
      </w:r>
      <w:r w:rsidR="00345EDF">
        <w:t xml:space="preserve">All of this material informs our view on </w:t>
      </w:r>
      <w:r w:rsidR="00245FD7">
        <w:t xml:space="preserve">APTPPL's </w:t>
      </w:r>
      <w:r w:rsidR="00345EDF">
        <w:t>proposal and also underpins our decision on the return</w:t>
      </w:r>
      <w:r w:rsidR="00E73EED">
        <w:t>s</w:t>
      </w:r>
      <w:r w:rsidR="00345EDF">
        <w:t xml:space="preserve"> on</w:t>
      </w:r>
      <w:r w:rsidR="00E73EED">
        <w:t xml:space="preserve"> debt and</w:t>
      </w:r>
      <w:r w:rsidR="00345EDF">
        <w:t xml:space="preserve"> equity that contributes to the achievement of the ARORO. That is, a return commensurate with the efficient financing costs of a benchmark efficient entity with a similar degree of risk as that which applies to </w:t>
      </w:r>
      <w:r w:rsidR="00245FD7">
        <w:t>APTPPL</w:t>
      </w:r>
      <w:r w:rsidR="00D44830" w:rsidRPr="00D67998">
        <w:t xml:space="preserve"> </w:t>
      </w:r>
      <w:r w:rsidR="00345EDF">
        <w:t xml:space="preserve">in respect of the provision of </w:t>
      </w:r>
      <w:r w:rsidR="00436092">
        <w:t>reference services</w:t>
      </w:r>
      <w:r w:rsidR="00345EDF">
        <w:t>.</w:t>
      </w:r>
      <w:r w:rsidR="00345EDF">
        <w:rPr>
          <w:rStyle w:val="FootnoteReference"/>
        </w:rPr>
        <w:footnoteReference w:id="150"/>
      </w:r>
    </w:p>
    <w:p w:rsidR="00345EDF" w:rsidRDefault="00345EDF" w:rsidP="00CC7A1C">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2C24D6">
        <w:t>3.4.1</w:t>
      </w:r>
      <w:r>
        <w:fldChar w:fldCharType="end"/>
      </w:r>
      <w:r w:rsidR="004C69BA">
        <w:t>,</w:t>
      </w:r>
      <w:r>
        <w:t xml:space="preserve"> and </w:t>
      </w:r>
      <w:r w:rsidR="001A7089">
        <w:fldChar w:fldCharType="begin"/>
      </w:r>
      <w:r w:rsidR="001A7089">
        <w:instrText xml:space="preserve"> REF _Ref478718271 \r \h </w:instrText>
      </w:r>
      <w:r w:rsidR="001A7089">
        <w:fldChar w:fldCharType="separate"/>
      </w:r>
      <w:r w:rsidR="002C24D6">
        <w:t>3.4.2</w:t>
      </w:r>
      <w:r w:rsidR="001A7089">
        <w:fldChar w:fldCharType="end"/>
      </w:r>
      <w:r>
        <w:t xml:space="preserve">, respectively. Subsections </w:t>
      </w:r>
      <w:r w:rsidR="00D44830">
        <w:fldChar w:fldCharType="begin"/>
      </w:r>
      <w:r w:rsidR="00D44830">
        <w:instrText xml:space="preserve"> REF _Ref482256961 \r \h </w:instrText>
      </w:r>
      <w:r w:rsidR="00D44830">
        <w:fldChar w:fldCharType="separate"/>
      </w:r>
      <w:r w:rsidR="002C24D6">
        <w:t>3.4.3</w:t>
      </w:r>
      <w:r w:rsidR="00D44830">
        <w:fldChar w:fldCharType="end"/>
      </w:r>
      <w:r>
        <w:t xml:space="preserve"> and </w:t>
      </w:r>
      <w:r w:rsidR="00D44830">
        <w:fldChar w:fldCharType="begin"/>
      </w:r>
      <w:r w:rsidR="00D44830">
        <w:instrText xml:space="preserve"> REF _Ref482256986 \r \h </w:instrText>
      </w:r>
      <w:r w:rsidR="00D44830">
        <w:fldChar w:fldCharType="separate"/>
      </w:r>
      <w:r w:rsidR="002C24D6">
        <w:t>3.4.4</w:t>
      </w:r>
      <w:r w:rsidR="00D44830">
        <w:fldChar w:fldCharType="end"/>
      </w:r>
      <w:r w:rsidR="00D44830">
        <w:t xml:space="preserve"> </w:t>
      </w:r>
      <w:r>
        <w:t xml:space="preserve">set out the gearing ratio and our expected inflation rate for the </w:t>
      </w:r>
      <w:r w:rsidR="00436092">
        <w:t>201</w:t>
      </w:r>
      <w:r w:rsidR="00245FD7">
        <w:t>7</w:t>
      </w:r>
      <w:r w:rsidR="00436092">
        <w:t>–2022</w:t>
      </w:r>
      <w:r>
        <w:t xml:space="preserve"> regulatory control period.</w:t>
      </w:r>
    </w:p>
    <w:p w:rsidR="00345EDF" w:rsidRDefault="00345EDF" w:rsidP="00345EDF">
      <w:pPr>
        <w:pStyle w:val="Heading3"/>
      </w:pPr>
      <w:bookmarkStart w:id="65" w:name="_Ref430958591"/>
      <w:bookmarkStart w:id="66" w:name="_Toc433446503"/>
      <w:bookmarkStart w:id="67" w:name="_Ref451345947"/>
      <w:bookmarkStart w:id="68" w:name="_Toc451938956"/>
      <w:bookmarkStart w:id="69" w:name="_Toc456686704"/>
      <w:bookmarkStart w:id="70" w:name="_Toc487037138"/>
      <w:r w:rsidRPr="00796C00">
        <w:t>Return on equity</w:t>
      </w:r>
      <w:bookmarkEnd w:id="65"/>
      <w:bookmarkEnd w:id="66"/>
      <w:bookmarkEnd w:id="67"/>
      <w:bookmarkEnd w:id="68"/>
      <w:bookmarkEnd w:id="69"/>
      <w:bookmarkEnd w:id="70"/>
      <w:r w:rsidRPr="00796C00">
        <w:t xml:space="preserve"> </w:t>
      </w:r>
    </w:p>
    <w:p w:rsidR="00D24E42" w:rsidRPr="00D24E42" w:rsidRDefault="00345EDF" w:rsidP="00654111">
      <w:r>
        <w:t>Our return on equity estimate is 7.</w:t>
      </w:r>
      <w:r w:rsidR="009A5289">
        <w:t>2</w:t>
      </w:r>
      <w:r>
        <w:t xml:space="preserve"> per cent</w:t>
      </w:r>
      <w:r w:rsidR="00654111">
        <w:t xml:space="preserve"> </w:t>
      </w:r>
      <w:r w:rsidR="009A5289">
        <w:t xml:space="preserve">for this decision is </w:t>
      </w:r>
      <w:r w:rsidR="00654111">
        <w:t>based on an</w:t>
      </w:r>
      <w:r w:rsidR="00D24E42">
        <w:t xml:space="preserve"> application of the Guideline foundation model approach </w:t>
      </w:r>
      <w:r w:rsidR="00654111">
        <w:t>(a</w:t>
      </w:r>
      <w:r w:rsidR="00D24E42" w:rsidRPr="00D24E42">
        <w:t xml:space="preserve"> more detailed </w:t>
      </w:r>
      <w:r w:rsidR="00123E0C">
        <w:t>discussion of why we use</w:t>
      </w:r>
      <w:r w:rsidR="00D24E42" w:rsidRPr="00D24E42">
        <w:t xml:space="preserve"> the Guideline foundation model approach to estimate the return on equity is in Appendix A</w:t>
      </w:r>
      <w:r w:rsidR="00654111">
        <w:t>)</w:t>
      </w:r>
      <w:r w:rsidR="00D24E42" w:rsidRPr="00D24E42">
        <w:t>.</w:t>
      </w:r>
      <w:r w:rsidR="0013097A">
        <w:t xml:space="preserve"> </w:t>
      </w:r>
    </w:p>
    <w:p w:rsidR="00345EDF" w:rsidRDefault="00345EDF" w:rsidP="00CC7A1C">
      <w:pPr>
        <w:numPr>
          <w:ilvl w:val="0"/>
          <w:numId w:val="24"/>
        </w:numPr>
      </w:pPr>
      <w:r>
        <w:t>We consider that 7.</w:t>
      </w:r>
      <w:r w:rsidR="009A5289">
        <w:t>2</w:t>
      </w:r>
      <w:r>
        <w:t xml:space="preserve"> per cent is the best estimate to combine with a return on debt estimate to form an overall allowed rate of return that achieves the ARORO. We also consider that 7.</w:t>
      </w:r>
      <w:r w:rsidR="009A5289">
        <w:t>2</w:t>
      </w:r>
      <w:r>
        <w:t xml:space="preserve"> per cent is consistent with the prevailing conditions in the market for equity funds.</w:t>
      </w:r>
    </w:p>
    <w:p w:rsidR="00345EDF" w:rsidRDefault="00345EDF" w:rsidP="00CC7A1C">
      <w:pPr>
        <w:numPr>
          <w:ilvl w:val="0"/>
          <w:numId w:val="24"/>
        </w:numPr>
      </w:pPr>
      <w:r>
        <w:t>We hold these views because:</w:t>
      </w:r>
    </w:p>
    <w:p w:rsidR="00345EDF" w:rsidRDefault="00345EDF" w:rsidP="00345EDF">
      <w:pPr>
        <w:pStyle w:val="AERbulletlistfirststyle"/>
      </w:pPr>
      <w:r>
        <w:t>We derive our estimate using the Sharpe–Lintner CAPM</w:t>
      </w:r>
      <w:r w:rsidR="00F84447">
        <w:t xml:space="preserve"> as our foundation model</w:t>
      </w:r>
      <w:r>
        <w:t>, which:</w:t>
      </w:r>
    </w:p>
    <w:p w:rsidR="00345EDF" w:rsidRDefault="00345EDF" w:rsidP="00345EDF">
      <w:pPr>
        <w:pStyle w:val="AERbulletlistsecondstyle"/>
      </w:pPr>
      <w:r w:rsidRPr="001174B8">
        <w:t>transparently presents the key risk and reward trade-off</w:t>
      </w:r>
      <w:r>
        <w:rPr>
          <w:rStyle w:val="FootnoteReference"/>
        </w:rPr>
        <w:footnoteReference w:id="151"/>
      </w:r>
      <w:r w:rsidRPr="001174B8">
        <w:t xml:space="preserve"> that is at the heart of our task</w:t>
      </w:r>
      <w:r>
        <w:rPr>
          <w:rStyle w:val="FootnoteReference"/>
        </w:rPr>
        <w:footnoteReference w:id="152"/>
      </w:r>
    </w:p>
    <w:p w:rsidR="00345EDF" w:rsidRDefault="00345EDF" w:rsidP="00345EDF">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3"/>
      </w:r>
    </w:p>
    <w:p w:rsidR="00345EDF" w:rsidRDefault="00345EDF" w:rsidP="00345EDF">
      <w:pPr>
        <w:pStyle w:val="AERbulletlistsecondstyle"/>
      </w:pPr>
      <w:r>
        <w:t>has well-accepted and unbiased methods for estimating its parameters, and these parameters can be estimated with tolerable accuracy, unlike the alternative models</w:t>
      </w:r>
      <w:r w:rsidR="00F84447">
        <w:t xml:space="preserve"> that have been proposed in the past (such as the dividend growth model, the Black CAPM and the Fama-French model)</w:t>
      </w:r>
      <w:r>
        <w:t>.</w:t>
      </w:r>
    </w:p>
    <w:p w:rsidR="00345EDF" w:rsidRPr="00345EDF" w:rsidRDefault="00345EDF" w:rsidP="00345EDF">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Pr="002F6FA6">
        <w:t xml:space="preserve">Appendix </w:t>
      </w:r>
      <w:r w:rsidR="00245FD7">
        <w:fldChar w:fldCharType="begin"/>
      </w:r>
      <w:r w:rsidR="00245FD7">
        <w:instrText xml:space="preserve"> REF _Ref451685221 \r \h </w:instrText>
      </w:r>
      <w:r w:rsidR="00245FD7">
        <w:fldChar w:fldCharType="separate"/>
      </w:r>
      <w:r w:rsidR="002C24D6">
        <w:t>E</w:t>
      </w:r>
      <w:r w:rsidR="00245FD7">
        <w:fldChar w:fldCharType="end"/>
      </w:r>
      <w:r w:rsidRPr="002F6FA6">
        <w:t xml:space="preserve"> and </w:t>
      </w:r>
      <w:r w:rsidR="00245FD7">
        <w:fldChar w:fldCharType="begin"/>
      </w:r>
      <w:r w:rsidR="00245FD7">
        <w:instrText xml:space="preserve"> REF _Ref485635043 \r \h </w:instrText>
      </w:r>
      <w:r w:rsidR="00245FD7">
        <w:fldChar w:fldCharType="separate"/>
      </w:r>
      <w:r w:rsidR="002C24D6">
        <w:t>F</w:t>
      </w:r>
      <w:r w:rsidR="00245FD7">
        <w:fldChar w:fldCharType="end"/>
      </w:r>
      <w:r w:rsidRPr="002F6FA6">
        <w:t xml:space="preserve"> for more discussions).</w:t>
      </w:r>
    </w:p>
    <w:p w:rsidR="00345EDF" w:rsidRPr="00146770" w:rsidRDefault="00345EDF" w:rsidP="00BE7E8C">
      <w:pPr>
        <w:pStyle w:val="AERbulletlistfirststyle"/>
        <w:rPr>
          <w:rStyle w:val="AERtexthighlight"/>
          <w:shd w:val="clear" w:color="auto" w:fill="auto"/>
        </w:rPr>
      </w:pPr>
      <w:r w:rsidRPr="002C045A">
        <w:rPr>
          <w:rStyle w:val="AERtexthighlight"/>
          <w:shd w:val="clear" w:color="auto" w:fill="auto"/>
        </w:rPr>
        <w:t>Our estimate is supported by comparison to estimates from the Wright specification of the CA</w:t>
      </w:r>
      <w:r w:rsidRPr="00146770">
        <w:rPr>
          <w:rStyle w:val="AERtexthighlight"/>
          <w:shd w:val="clear" w:color="auto" w:fill="auto"/>
        </w:rPr>
        <w:t>PM, broker reports, valuation reports, and other regulators' decisions.</w:t>
      </w:r>
    </w:p>
    <w:p w:rsidR="00345EDF" w:rsidRDefault="00345EDF" w:rsidP="00345EDF">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4"/>
      </w:r>
      <w:r w:rsidRPr="002F6FA6">
        <w:t xml:space="preserve"> service providers have continued to invest</w:t>
      </w:r>
      <w:r>
        <w:t xml:space="preserve"> in their networks and propose to continue to grow their asset bases.</w:t>
      </w:r>
      <w:r w:rsidRPr="00B005DF">
        <w:rPr>
          <w:rStyle w:val="FootnoteReference"/>
        </w:rPr>
        <w:footnoteReference w:id="155"/>
      </w:r>
      <w:r>
        <w:rPr>
          <w:rStyle w:val="AERtexthighlight"/>
        </w:rPr>
        <w:t xml:space="preserve"> </w:t>
      </w:r>
    </w:p>
    <w:p w:rsidR="00345EDF" w:rsidRPr="00B005DF" w:rsidRDefault="00345EDF" w:rsidP="00345EDF">
      <w:pPr>
        <w:pStyle w:val="AERbulletlistfirststyle"/>
      </w:pPr>
      <w:r>
        <w:t xml:space="preserve">Our return on equity estimate is approximately </w:t>
      </w:r>
      <w:r w:rsidR="004D0183">
        <w:t>241</w:t>
      </w:r>
      <w:r w:rsidR="00F84447">
        <w:t xml:space="preserve">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A07CE8">
        <w:t>APTPPL</w:t>
      </w:r>
      <w:r w:rsidRPr="00B005DF">
        <w:t>, we would not expect the return on equity to be a long way above the prevailing return on debt.</w:t>
      </w:r>
      <w:r w:rsidRPr="00B005DF">
        <w:rPr>
          <w:rStyle w:val="FootnoteReference"/>
        </w:rPr>
        <w:footnoteReference w:id="156"/>
      </w:r>
    </w:p>
    <w:p w:rsidR="00345EDF" w:rsidRDefault="00345EDF" w:rsidP="00345EDF">
      <w:pPr>
        <w:pStyle w:val="AERbulletlistfirststyle"/>
      </w:pPr>
      <w:r>
        <w:t>We have come to this estimate following the application of our foundation model approach, which:</w:t>
      </w:r>
    </w:p>
    <w:p w:rsidR="00345EDF" w:rsidRDefault="00345EDF" w:rsidP="00345EDF">
      <w:pPr>
        <w:pStyle w:val="AERbulletlistsecondstyle"/>
      </w:pPr>
      <w:r>
        <w:t>involves consideration of all relevant material submitted to us, and the role for each piece of material that would best achieve the ARORO; and</w:t>
      </w:r>
    </w:p>
    <w:p w:rsidR="00345EDF" w:rsidRDefault="00345EDF" w:rsidP="00345EDF">
      <w:pPr>
        <w:pStyle w:val="AERbulletlistsecondstyle"/>
      </w:pPr>
      <w:r>
        <w:t>was developed through extensive consultation during our Guideline review process.</w:t>
      </w:r>
    </w:p>
    <w:p w:rsidR="00D94CDE" w:rsidRPr="00D94CDE" w:rsidRDefault="00D94CDE" w:rsidP="00D94CDE">
      <w:pPr>
        <w:pStyle w:val="AERbulletlistsecondstyle"/>
      </w:pPr>
      <w:r w:rsidRPr="00D94CDE">
        <w:t>Was reviewed and upheld by the Tribunal</w:t>
      </w:r>
      <w:r w:rsidRPr="00D94CDE">
        <w:rPr>
          <w:rStyle w:val="FootnoteReference"/>
        </w:rPr>
        <w:footnoteReference w:id="157"/>
      </w:r>
    </w:p>
    <w:p w:rsidR="00C23EDE" w:rsidRDefault="00345EDF" w:rsidP="00CC7A1C">
      <w:pPr>
        <w:numPr>
          <w:ilvl w:val="0"/>
          <w:numId w:val="24"/>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58"/>
      </w:r>
      <w:r w:rsidRPr="00033144">
        <w:t xml:space="preserve"> </w:t>
      </w:r>
    </w:p>
    <w:p w:rsidR="00345EDF" w:rsidRPr="00033144" w:rsidRDefault="00345EDF" w:rsidP="00CC7A1C">
      <w:pPr>
        <w:numPr>
          <w:ilvl w:val="0"/>
          <w:numId w:val="24"/>
        </w:numPr>
      </w:pPr>
      <w:r w:rsidRPr="00033144">
        <w:t>Our Sharpe-Lintner CAPM estimate is based on:</w:t>
      </w:r>
    </w:p>
    <w:p w:rsidR="00345EDF" w:rsidRPr="002F6FA6" w:rsidRDefault="00345EDF" w:rsidP="00345EDF">
      <w:pPr>
        <w:pStyle w:val="AERbulletlistfirststyle"/>
      </w:pPr>
      <w:r w:rsidRPr="00033144">
        <w:t>a risk free rate estimate of 2.</w:t>
      </w:r>
      <w:r w:rsidR="00436092">
        <w:t>6</w:t>
      </w:r>
      <w:r w:rsidR="0013097A" w:rsidRPr="002F6FA6">
        <w:t xml:space="preserve"> </w:t>
      </w:r>
      <w:r w:rsidRPr="002F6FA6">
        <w:t>per cent</w:t>
      </w:r>
    </w:p>
    <w:p w:rsidR="00345EDF" w:rsidRPr="002F6FA6" w:rsidRDefault="00345EDF" w:rsidP="00345EDF">
      <w:pPr>
        <w:pStyle w:val="AERbulletlistfirststyle"/>
      </w:pPr>
      <w:r w:rsidRPr="00033144">
        <w:t xml:space="preserve">a market risk premium estimate of 6.5 per cent, and </w:t>
      </w:r>
    </w:p>
    <w:p w:rsidR="00345EDF" w:rsidRPr="002F6FA6" w:rsidRDefault="00345EDF" w:rsidP="00345EDF">
      <w:pPr>
        <w:pStyle w:val="AERbulletlistfirststyle"/>
      </w:pPr>
      <w:r w:rsidRPr="00033144">
        <w:t>an equity beta estimate of 0.7.</w:t>
      </w:r>
      <w:r w:rsidRPr="002F6FA6">
        <w:rPr>
          <w:rStyle w:val="FootnoteReference"/>
        </w:rPr>
        <w:footnoteReference w:id="159"/>
      </w:r>
      <w:r w:rsidRPr="002F6FA6">
        <w:t xml:space="preserve"> </w:t>
      </w:r>
    </w:p>
    <w:p w:rsidR="00345EDF" w:rsidRDefault="00345EDF" w:rsidP="00CC7A1C">
      <w:pPr>
        <w:numPr>
          <w:ilvl w:val="0"/>
          <w:numId w:val="24"/>
        </w:numPr>
      </w:pPr>
      <w:r>
        <w:t xml:space="preserve">Our derivation of these parameter estimates </w:t>
      </w:r>
      <w:r w:rsidR="00FD5DFE">
        <w:t xml:space="preserve">for </w:t>
      </w:r>
      <w:r w:rsidR="00245FD7">
        <w:t>APTPPL</w:t>
      </w:r>
      <w:r w:rsidR="00D44830">
        <w:t>'s</w:t>
      </w:r>
      <w:r w:rsidR="00FD5DFE">
        <w:t xml:space="preserve"> decision </w:t>
      </w:r>
      <w:r>
        <w:t xml:space="preserve">is outlined in the subsections below. </w:t>
      </w:r>
    </w:p>
    <w:p w:rsidR="00345EDF" w:rsidRDefault="00345EDF" w:rsidP="00CC7A1C">
      <w:pPr>
        <w:numPr>
          <w:ilvl w:val="0"/>
          <w:numId w:val="24"/>
        </w:numPr>
      </w:pPr>
      <w:r>
        <w:t xml:space="preserve">The following aspects of our return on equity estimate have </w:t>
      </w:r>
      <w:r w:rsidR="00FD5DFE">
        <w:t xml:space="preserve">had </w:t>
      </w:r>
      <w:r>
        <w:t>broad agreement from both service providers and consumer groups:</w:t>
      </w:r>
    </w:p>
    <w:p w:rsidR="00345EDF" w:rsidRDefault="00345EDF" w:rsidP="00345EDF">
      <w:pPr>
        <w:pStyle w:val="AERbulletlistfirststyle"/>
      </w:pPr>
      <w:r>
        <w:t xml:space="preserve">The Sharpe-Lintner CAPM, at least in combination with other relevant material, </w:t>
      </w:r>
      <w:r w:rsidR="0025059A">
        <w:t xml:space="preserve"> </w:t>
      </w:r>
      <w:r>
        <w:t>is valuable for estimating return on equity</w:t>
      </w:r>
      <w:r w:rsidR="00665696">
        <w:rPr>
          <w:rStyle w:val="FootnoteReference"/>
        </w:rPr>
        <w:footnoteReference w:id="160"/>
      </w:r>
    </w:p>
    <w:p w:rsidR="00345EDF" w:rsidRDefault="00345EDF" w:rsidP="00345EDF">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61"/>
      </w:r>
    </w:p>
    <w:p w:rsidR="00345EDF" w:rsidRDefault="00345EDF" w:rsidP="00345EDF">
      <w:pPr>
        <w:pStyle w:val="AERbulletlistfirststyle"/>
      </w:pPr>
      <w:r>
        <w:t>Market risk premium estimates should be informed by historical stock returns and (to some extent) dividend growth model estimates.</w:t>
      </w:r>
      <w:r w:rsidR="00665696">
        <w:rPr>
          <w:rStyle w:val="FootnoteReference"/>
        </w:rPr>
        <w:footnoteReference w:id="162"/>
      </w:r>
    </w:p>
    <w:p w:rsidR="00345EDF" w:rsidRDefault="00345EDF" w:rsidP="00345EDF">
      <w:pPr>
        <w:pStyle w:val="AERbulletlistfirststyle"/>
      </w:pPr>
      <w:r>
        <w:t>Equity beta estimates should be informed by regression estimates of the equity beta of relevant Australian and, to some extent, international energy network businesses.</w:t>
      </w:r>
      <w:r w:rsidR="00665696">
        <w:rPr>
          <w:rStyle w:val="FootnoteReference"/>
        </w:rPr>
        <w:footnoteReference w:id="163"/>
      </w:r>
    </w:p>
    <w:p w:rsidR="00345EDF" w:rsidRDefault="00D44830" w:rsidP="006E5878">
      <w:pPr>
        <w:pStyle w:val="AERbulletlistfirststyle"/>
        <w:numPr>
          <w:ilvl w:val="0"/>
          <w:numId w:val="0"/>
        </w:numPr>
      </w:pPr>
      <w:r>
        <w:t xml:space="preserve">Multinet, AusNet, APA and APTPPL </w:t>
      </w:r>
      <w:r w:rsidR="004972C2">
        <w:t>have submitted that t</w:t>
      </w:r>
      <w:r w:rsidR="00345EDF">
        <w:t>he Wright specification of the CAPM</w:t>
      </w:r>
      <w:r>
        <w:t xml:space="preserve"> is relevant material that can inform return on equity estimation</w:t>
      </w:r>
      <w:r w:rsidR="0042484D">
        <w:t xml:space="preserve"> which has been raised in previous regulatory processes</w:t>
      </w:r>
      <w:r>
        <w:t>.</w:t>
      </w:r>
      <w:r w:rsidRPr="00D44830">
        <w:rPr>
          <w:rStyle w:val="FootnoteReference"/>
        </w:rPr>
        <w:footnoteReference w:id="164"/>
      </w:r>
      <w:r>
        <w:t xml:space="preserve"> </w:t>
      </w:r>
      <w:r w:rsidR="0042484D">
        <w:t>Multinet and AusNet also submitted that</w:t>
      </w:r>
      <w:r w:rsidR="00345EDF">
        <w:t xml:space="preserve"> return on equity estimates from broker valuation reports, are relevant material that can inform return on equity estimation.</w:t>
      </w:r>
      <w:r w:rsidR="004972C2">
        <w:rPr>
          <w:rStyle w:val="FootnoteReference"/>
        </w:rPr>
        <w:footnoteReference w:id="165"/>
      </w:r>
    </w:p>
    <w:p w:rsidR="00345EDF" w:rsidRDefault="00345EDF" w:rsidP="00345EDF">
      <w:r>
        <w:t xml:space="preserve">There was also broad agreement from </w:t>
      </w:r>
      <w:r w:rsidR="003E3001">
        <w:t xml:space="preserve">user </w:t>
      </w:r>
      <w:r>
        <w:t xml:space="preserve">groups on the application of our foundation model approach as set out in our Guideline. In applying our foundation model approach, some </w:t>
      </w:r>
      <w:r w:rsidR="003E3001">
        <w:t xml:space="preserve">user </w:t>
      </w:r>
      <w:r>
        <w:t>groups supported our parameter estimates of 6.5 per cent for market risk premium and 0.7 for equity beta</w:t>
      </w:r>
      <w:r>
        <w:rPr>
          <w:rStyle w:val="FootnoteReference"/>
        </w:rPr>
        <w:footnoteReference w:id="166"/>
      </w:r>
      <w:r>
        <w:t xml:space="preserve"> while others submitted that these parameters should be lower.</w:t>
      </w:r>
      <w:r>
        <w:rPr>
          <w:rStyle w:val="FootnoteReference"/>
        </w:rPr>
        <w:footnoteReference w:id="167"/>
      </w:r>
    </w:p>
    <w:p w:rsidR="0087773E" w:rsidRDefault="0087773E" w:rsidP="00CC7A1C">
      <w:pPr>
        <w:numPr>
          <w:ilvl w:val="0"/>
          <w:numId w:val="24"/>
        </w:numPr>
      </w:pPr>
      <w:r>
        <w:t xml:space="preserve">We note </w:t>
      </w:r>
      <w:r w:rsidR="00BA4C69">
        <w:t xml:space="preserve">some </w:t>
      </w:r>
      <w:r>
        <w:t>service providers</w:t>
      </w:r>
      <w:r w:rsidR="00BA4C69">
        <w:t xml:space="preserve"> have</w:t>
      </w:r>
      <w:r>
        <w:t xml:space="preserve"> previously </w:t>
      </w:r>
      <w:r w:rsidRPr="0029294F">
        <w:t>propose</w:t>
      </w:r>
      <w:r>
        <w:t>d</w:t>
      </w:r>
      <w:r w:rsidRPr="0029294F">
        <w:t xml:space="preserve"> </w:t>
      </w:r>
      <w:r>
        <w:t xml:space="preserve">the </w:t>
      </w:r>
      <w:r w:rsidRPr="0029294F">
        <w:t>multi-model approach</w:t>
      </w:r>
      <w:r w:rsidRPr="005E2D1E">
        <w:rPr>
          <w:rStyle w:val="FootnoteReference"/>
        </w:rPr>
        <w:footnoteReference w:id="168"/>
      </w:r>
      <w:r w:rsidRPr="0029294F">
        <w:t xml:space="preserve"> </w:t>
      </w:r>
      <w:r>
        <w:t>(</w:t>
      </w:r>
      <w:r w:rsidRPr="001D35A1">
        <w:t>seen in previous regulatory processes</w:t>
      </w:r>
      <w:r>
        <w:t>)</w:t>
      </w:r>
      <w:r w:rsidRPr="001D35A1">
        <w:rPr>
          <w:rStyle w:val="FootnoteReference"/>
        </w:rPr>
        <w:footnoteReference w:id="169"/>
      </w:r>
      <w:r w:rsidRPr="001D35A1">
        <w:t xml:space="preserve"> </w:t>
      </w:r>
      <w:r w:rsidRPr="0029294F">
        <w:t>for estimating the return on equity</w:t>
      </w:r>
      <w:r>
        <w:t>. We have consistently rejected this approach for a range of reasons including:</w:t>
      </w:r>
    </w:p>
    <w:p w:rsidR="0087773E" w:rsidRDefault="0087773E" w:rsidP="0087773E">
      <w:pPr>
        <w:pStyle w:val="AERbulletlistfirststyle"/>
      </w:pPr>
      <w:r>
        <w:t>Our foundation model approach uses the Sharpe-Lintner CAPM as the foundation model. This model is widely and consistently used, and has well-accepted and unbiased methods for estimating its parameters.</w:t>
      </w:r>
    </w:p>
    <w:p w:rsidR="0087773E" w:rsidRDefault="0087773E" w:rsidP="0087773E">
      <w:pPr>
        <w:pStyle w:val="AERbulletlistfirststyle"/>
      </w:pPr>
      <w:r>
        <w:t>Models other</w:t>
      </w:r>
      <w:r w:rsidR="00666F6A">
        <w:t xml:space="preserve"> than</w:t>
      </w:r>
      <w:r>
        <w:t xml:space="preserve"> the Sharpe-Lintner CAPM are </w:t>
      </w:r>
      <w:r w:rsidR="003E3001">
        <w:t>not</w:t>
      </w:r>
      <w:r>
        <w:t xml:space="preserve"> reliable and at risk of potential bias to be relied upon for determining the return on equity. </w:t>
      </w:r>
    </w:p>
    <w:p w:rsidR="0087773E" w:rsidRPr="0087773E" w:rsidRDefault="0087773E" w:rsidP="0087773E">
      <w:pPr>
        <w:pStyle w:val="AERbulletlistfirststyle"/>
      </w:pPr>
      <w:r>
        <w:t>And the Tribunal has upheld our approach.</w:t>
      </w:r>
      <w:r w:rsidRPr="0087773E">
        <w:rPr>
          <w:rStyle w:val="FootnoteReference"/>
        </w:rPr>
        <w:footnoteReference w:id="170"/>
      </w:r>
    </w:p>
    <w:p w:rsidR="0087773E" w:rsidRPr="0087773E" w:rsidRDefault="0087773E" w:rsidP="007C7B20">
      <w:pPr>
        <w:pStyle w:val="AERbulletlistfirststyle"/>
        <w:numPr>
          <w:ilvl w:val="0"/>
          <w:numId w:val="0"/>
        </w:numPr>
      </w:pPr>
      <w:r w:rsidRPr="0087773E">
        <w:t xml:space="preserve">Following this, the current service providers' </w:t>
      </w:r>
      <w:r w:rsidR="001A63AF">
        <w:t xml:space="preserve"> </w:t>
      </w:r>
      <w:r w:rsidRPr="0087773E">
        <w:t>proposals all adopt (or claim guidance from) the Guideline foundation model approach for estimating the return on equity.</w:t>
      </w:r>
      <w:r w:rsidRPr="0087773E">
        <w:rPr>
          <w:rStyle w:val="FootnoteReference"/>
        </w:rPr>
        <w:footnoteReference w:id="171"/>
      </w:r>
      <w:r>
        <w:t xml:space="preserve"> We discuss the current service providers' application of the Guideline approach below.</w:t>
      </w:r>
      <w:r w:rsidRPr="0087773E">
        <w:t xml:space="preserve"> </w:t>
      </w:r>
    </w:p>
    <w:p w:rsidR="0087773E" w:rsidRPr="00E147BE" w:rsidRDefault="0087773E" w:rsidP="00CC7A1C">
      <w:pPr>
        <w:pStyle w:val="HeadingBoldBlue"/>
        <w:numPr>
          <w:ilvl w:val="0"/>
          <w:numId w:val="24"/>
        </w:numPr>
        <w:rPr>
          <w:rStyle w:val="AERtextorange"/>
        </w:rPr>
      </w:pPr>
      <w:r w:rsidRPr="002C045A">
        <w:rPr>
          <w:rStyle w:val="AERtextorange"/>
        </w:rPr>
        <w:t xml:space="preserve">Service providers' </w:t>
      </w:r>
      <w:r>
        <w:rPr>
          <w:rStyle w:val="AERtextorange"/>
        </w:rPr>
        <w:t>proposed application of the Guideline</w:t>
      </w:r>
    </w:p>
    <w:p w:rsidR="0087773E" w:rsidRDefault="006F0977" w:rsidP="00A164C0">
      <w:pPr>
        <w:pStyle w:val="AERbulletlistfirststyle"/>
        <w:numPr>
          <w:ilvl w:val="0"/>
          <w:numId w:val="0"/>
        </w:numPr>
      </w:pPr>
      <w:r>
        <w:t>In applying the Guideline foundation model approach, we note only</w:t>
      </w:r>
      <w:r w:rsidR="0087773E">
        <w:t xml:space="preserve"> </w:t>
      </w:r>
      <w:r w:rsidR="00E620B2">
        <w:t>AGN has</w:t>
      </w:r>
      <w:r w:rsidR="0087773E" w:rsidRPr="0087773E">
        <w:t xml:space="preserve"> adopt</w:t>
      </w:r>
      <w:r>
        <w:t>ed</w:t>
      </w:r>
      <w:r w:rsidR="0087773E" w:rsidRPr="0087773E">
        <w:t xml:space="preserve"> the</w:t>
      </w:r>
      <w:r w:rsidR="0087773E">
        <w:t xml:space="preserve"> Guideline</w:t>
      </w:r>
      <w:r w:rsidR="0087773E" w:rsidRPr="0087773E">
        <w:t xml:space="preserve"> approach in full (that is, for all parameters). We </w:t>
      </w:r>
      <w:r>
        <w:t>observe</w:t>
      </w:r>
      <w:r w:rsidR="0087773E" w:rsidRPr="0087773E">
        <w:t xml:space="preserve"> departures from the Guideline arise at the parameter level in</w:t>
      </w:r>
      <w:r w:rsidR="007C4678">
        <w:t xml:space="preserve"> proposal</w:t>
      </w:r>
      <w:r w:rsidR="00E620B2">
        <w:t xml:space="preserve">s from </w:t>
      </w:r>
      <w:r w:rsidR="00936ADE">
        <w:t xml:space="preserve">Multinet, </w:t>
      </w:r>
      <w:r w:rsidR="00436092">
        <w:t>AusNet</w:t>
      </w:r>
      <w:r w:rsidR="00E620B2">
        <w:t xml:space="preserve">, </w:t>
      </w:r>
      <w:r w:rsidR="00936ADE">
        <w:t>APTPPL and APA</w:t>
      </w:r>
      <w:r>
        <w:t>.</w:t>
      </w:r>
    </w:p>
    <w:p w:rsidR="002A199E" w:rsidRDefault="00CF13CB" w:rsidP="00A164C0">
      <w:pPr>
        <w:pStyle w:val="AERbulletlistfirststyle"/>
        <w:numPr>
          <w:ilvl w:val="0"/>
          <w:numId w:val="0"/>
        </w:numPr>
      </w:pPr>
      <w:r>
        <w:t xml:space="preserve">We </w:t>
      </w:r>
      <w:r w:rsidR="008F49AA">
        <w:t xml:space="preserve">note </w:t>
      </w:r>
      <w:r w:rsidR="00666644">
        <w:t>(and accept)</w:t>
      </w:r>
      <w:r w:rsidR="001A63AF">
        <w:t xml:space="preserve"> that</w:t>
      </w:r>
      <w:r w:rsidR="00666644">
        <w:t xml:space="preserve"> </w:t>
      </w:r>
      <w:r w:rsidR="00936ADE">
        <w:t>Multinet</w:t>
      </w:r>
      <w:r w:rsidR="00D800BB">
        <w:t>,</w:t>
      </w:r>
      <w:r w:rsidR="00936ADE">
        <w:t xml:space="preserve"> </w:t>
      </w:r>
      <w:r w:rsidR="008F49AA">
        <w:t>AusNet</w:t>
      </w:r>
      <w:r w:rsidR="005D04E2">
        <w:t>, APA, APTPPL</w:t>
      </w:r>
      <w:r w:rsidR="008F49AA">
        <w:t xml:space="preserve"> </w:t>
      </w:r>
      <w:r w:rsidR="00D800BB">
        <w:t>and AGN</w:t>
      </w:r>
      <w:r w:rsidR="008F49AA">
        <w:t xml:space="preserve"> adopted the Guideline foundation model approach</w:t>
      </w:r>
      <w:r w:rsidR="00D4218D">
        <w:t xml:space="preserve"> for the following parameters:</w:t>
      </w:r>
      <w:r w:rsidR="008F49AA">
        <w:t xml:space="preserve"> </w:t>
      </w:r>
    </w:p>
    <w:p w:rsidR="00785D7C" w:rsidRDefault="001A63AF" w:rsidP="00013867">
      <w:pPr>
        <w:pStyle w:val="AERbulletlistfirststyle"/>
      </w:pPr>
      <w:r>
        <w:t xml:space="preserve">the Sharpe-Lintner </w:t>
      </w:r>
      <w:r w:rsidRPr="002A199E">
        <w:t>CAPM</w:t>
      </w:r>
      <w:r>
        <w:t xml:space="preserve"> as the foundation model</w:t>
      </w:r>
      <w:r w:rsidR="008F49AA">
        <w:t>.</w:t>
      </w:r>
      <w:r w:rsidR="00CF13CB" w:rsidRPr="00CF13CB">
        <w:rPr>
          <w:rStyle w:val="FootnoteReference"/>
        </w:rPr>
        <w:footnoteReference w:id="172"/>
      </w:r>
      <w:r w:rsidR="008F49AA">
        <w:t xml:space="preserve"> </w:t>
      </w:r>
      <w:r w:rsidR="00785D7C">
        <w:t xml:space="preserve">However, Multinet proposed to include an 'alpha' term of 1.14 per cent in the </w:t>
      </w:r>
      <w:r w:rsidR="002A199E">
        <w:t xml:space="preserve">model </w:t>
      </w:r>
      <w:r w:rsidR="00785D7C">
        <w:t xml:space="preserve">to account for </w:t>
      </w:r>
      <w:r w:rsidR="002A199E">
        <w:t>its low-beta bias. Having reviewed Multinet's supporting material, we reject the proposed alpha term as it is based on a number of incorrect assumptions</w:t>
      </w:r>
      <w:r w:rsidR="00D4218D">
        <w:t>, misinterpretations and issue we have previously considered.</w:t>
      </w:r>
    </w:p>
    <w:p w:rsidR="002A199E" w:rsidRDefault="002A199E" w:rsidP="00013867">
      <w:pPr>
        <w:pStyle w:val="AERbulletlistfirststyle"/>
      </w:pPr>
      <w:r w:rsidRPr="002A199E">
        <w:t>the</w:t>
      </w:r>
      <w:r>
        <w:t xml:space="preserve"> risk free rate.</w:t>
      </w:r>
      <w:r w:rsidR="005D04E2" w:rsidRPr="005D04E2">
        <w:rPr>
          <w:rStyle w:val="FootnoteReference"/>
        </w:rPr>
        <w:footnoteReference w:id="173"/>
      </w:r>
      <w:r w:rsidR="005D04E2" w:rsidRPr="005D04E2">
        <w:t xml:space="preserve"> </w:t>
      </w:r>
      <w:r w:rsidR="00D4218D">
        <w:t xml:space="preserve"> </w:t>
      </w:r>
    </w:p>
    <w:p w:rsidR="00666644" w:rsidRDefault="008F49AA" w:rsidP="002A199E">
      <w:pPr>
        <w:pStyle w:val="AERbulletlistfirststyle"/>
        <w:numPr>
          <w:ilvl w:val="0"/>
          <w:numId w:val="0"/>
        </w:numPr>
      </w:pPr>
      <w:r>
        <w:t xml:space="preserve">Although </w:t>
      </w:r>
      <w:r w:rsidR="002A199E">
        <w:t>AGN, Multinet and AusNet</w:t>
      </w:r>
      <w:r>
        <w:t xml:space="preserve"> </w:t>
      </w:r>
      <w:r w:rsidR="001008D7">
        <w:t>all</w:t>
      </w:r>
      <w:r w:rsidR="002A199E">
        <w:t xml:space="preserve"> </w:t>
      </w:r>
      <w:r w:rsidR="00666644">
        <w:t>adopted</w:t>
      </w:r>
      <w:r>
        <w:t xml:space="preserve"> the Guideline's equity beta of 0.7 </w:t>
      </w:r>
      <w:r w:rsidR="00666644">
        <w:t xml:space="preserve">(which we accept) </w:t>
      </w:r>
      <w:r w:rsidR="00D800BB">
        <w:t>they</w:t>
      </w:r>
      <w:r>
        <w:t xml:space="preserve"> submitted a CEG report</w:t>
      </w:r>
      <w:r w:rsidR="00312EC5">
        <w:rPr>
          <w:rStyle w:val="FootnoteReference"/>
        </w:rPr>
        <w:footnoteReference w:id="174"/>
      </w:r>
      <w:r>
        <w:t xml:space="preserve"> suggesting a higher value. </w:t>
      </w:r>
      <w:r w:rsidR="00666644">
        <w:t>We discuss th</w:t>
      </w:r>
      <w:r w:rsidR="001A63AF">
        <w:t>e CEG report</w:t>
      </w:r>
      <w:r w:rsidR="00666644">
        <w:t xml:space="preserve"> in the equity beta subsection below.</w:t>
      </w:r>
    </w:p>
    <w:p w:rsidR="00312EC5" w:rsidRDefault="00442B70" w:rsidP="006E5878">
      <w:pPr>
        <w:pStyle w:val="AERbulletlistfirststyle"/>
        <w:numPr>
          <w:ilvl w:val="0"/>
          <w:numId w:val="0"/>
        </w:numPr>
      </w:pPr>
      <w:r w:rsidRPr="00442B70">
        <w:t xml:space="preserve">We </w:t>
      </w:r>
      <w:r w:rsidR="008F49AA">
        <w:t>note</w:t>
      </w:r>
      <w:r w:rsidRPr="00442B70">
        <w:t xml:space="preserve"> </w:t>
      </w:r>
      <w:r w:rsidR="00312EC5">
        <w:t xml:space="preserve">Multinet and </w:t>
      </w:r>
      <w:r w:rsidRPr="00442B70">
        <w:t>AusNet proposed</w:t>
      </w:r>
      <w:r w:rsidR="008F49AA">
        <w:t xml:space="preserve"> a</w:t>
      </w:r>
      <w:r w:rsidRPr="00442B70">
        <w:t xml:space="preserve"> market risk premium of 7.5 per cent</w:t>
      </w:r>
      <w:r w:rsidR="00666644">
        <w:t>.</w:t>
      </w:r>
      <w:r w:rsidRPr="00442B70">
        <w:t xml:space="preserve"> </w:t>
      </w:r>
      <w:r w:rsidR="00666644">
        <w:t>However, this</w:t>
      </w:r>
      <w:r w:rsidRPr="00442B70">
        <w:t xml:space="preserve"> </w:t>
      </w:r>
      <w:r w:rsidR="008F49AA">
        <w:t>appears</w:t>
      </w:r>
      <w:r w:rsidRPr="00442B70">
        <w:t xml:space="preserve"> </w:t>
      </w:r>
      <w:r w:rsidR="00666644">
        <w:t xml:space="preserve">to be </w:t>
      </w:r>
      <w:r w:rsidRPr="00442B70">
        <w:t>largely based on a mischaracterised</w:t>
      </w:r>
      <w:r w:rsidR="001A63AF">
        <w:t xml:space="preserve"> (and mechanistic)</w:t>
      </w:r>
      <w:r w:rsidRPr="00442B70">
        <w:t xml:space="preserve"> application of the Guideline</w:t>
      </w:r>
      <w:r w:rsidR="00666644">
        <w:t xml:space="preserve"> which we reject</w:t>
      </w:r>
      <w:r w:rsidRPr="00442B70">
        <w:t>.</w:t>
      </w:r>
      <w:r w:rsidR="00666644">
        <w:t xml:space="preserve"> We consider the correct application of the Guideline approach (as upheld by the Tribunal) results in a market risk premium of 6.5 per cent</w:t>
      </w:r>
      <w:r w:rsidR="001A63AF">
        <w:t xml:space="preserve"> after considering all the relevant evidence in accordance with their relative merits and suitability for our regulatory task</w:t>
      </w:r>
      <w:r w:rsidR="00666644">
        <w:t xml:space="preserve">. We discuss this in the market risk premium subsection </w:t>
      </w:r>
      <w:r w:rsidR="00DF0600">
        <w:t xml:space="preserve">below. </w:t>
      </w:r>
    </w:p>
    <w:p w:rsidR="00312EC5" w:rsidRDefault="00312EC5" w:rsidP="006E5878">
      <w:pPr>
        <w:pStyle w:val="AERbulletlistfirststyle"/>
        <w:numPr>
          <w:ilvl w:val="0"/>
          <w:numId w:val="0"/>
        </w:numPr>
      </w:pPr>
      <w:r>
        <w:t xml:space="preserve">APTPPL and APA also proposed parameters higher than those from the Guideline approach.  </w:t>
      </w:r>
      <w:r w:rsidR="00D800BB">
        <w:t>Both</w:t>
      </w:r>
      <w:r>
        <w:t xml:space="preserve"> proposed an equity beta of 0.8</w:t>
      </w:r>
      <w:r w:rsidR="00D800BB">
        <w:t>.</w:t>
      </w:r>
      <w:r w:rsidR="00730B4E">
        <w:rPr>
          <w:rStyle w:val="FootnoteReference"/>
        </w:rPr>
        <w:footnoteReference w:id="175"/>
      </w:r>
      <w:r>
        <w:t xml:space="preserve"> </w:t>
      </w:r>
      <w:r w:rsidR="00730B4E">
        <w:t>Both also proposed</w:t>
      </w:r>
      <w:r>
        <w:t xml:space="preserve"> a market risk premium </w:t>
      </w:r>
      <w:r w:rsidR="00730B4E">
        <w:t xml:space="preserve">higher than the Guideline's 6.5 </w:t>
      </w:r>
      <w:r>
        <w:t>per cent</w:t>
      </w:r>
      <w:r w:rsidR="00730B4E">
        <w:t xml:space="preserve"> (8.06 per cent for APTPPL and 7.76 per cent for APA VTS)</w:t>
      </w:r>
      <w:r>
        <w:t>.</w:t>
      </w:r>
      <w:r w:rsidR="00730B4E">
        <w:rPr>
          <w:rStyle w:val="FootnoteReference"/>
        </w:rPr>
        <w:footnoteReference w:id="176"/>
      </w:r>
      <w:r w:rsidRPr="00312EC5">
        <w:t xml:space="preserve"> We do not consider that APTPPL </w:t>
      </w:r>
      <w:r w:rsidR="00730B4E">
        <w:t xml:space="preserve">and APA </w:t>
      </w:r>
      <w:r w:rsidRPr="00312EC5">
        <w:t>ha</w:t>
      </w:r>
      <w:r w:rsidR="00730B4E">
        <w:t>ve</w:t>
      </w:r>
      <w:r w:rsidRPr="00312EC5">
        <w:t xml:space="preserve"> provided satisfactory evidence in support of a material change in equity beta to warrant departure from our empirical range of 0.4 to 0.7 and a point estimate of 0.7.  We note APTPPL's</w:t>
      </w:r>
      <w:r w:rsidR="00376401">
        <w:t xml:space="preserve"> and APA</w:t>
      </w:r>
      <w:r w:rsidR="009B0A04">
        <w:t>'s</w:t>
      </w:r>
      <w:r w:rsidRPr="00312EC5">
        <w:t xml:space="preserve"> proposal for the market risk premium shares similarities with the Wright CAPM and appears to be a historical/alternative specification of the CAPM.  We have consistently rejected such an approach </w:t>
      </w:r>
      <w:r w:rsidR="001008D7" w:rsidRPr="00312EC5">
        <w:t>because</w:t>
      </w:r>
      <w:r w:rsidRPr="00312EC5">
        <w:t xml:space="preserve"> alternative specifications of the CAPM make certain unrealistic assumptions and are not theoretically justified.  We discuss in the equity beta and market risk premium subsections below.</w:t>
      </w:r>
    </w:p>
    <w:p w:rsidR="00066857" w:rsidRDefault="00DF0600" w:rsidP="006E5878">
      <w:pPr>
        <w:pStyle w:val="AERbulletlistfirststyle"/>
        <w:numPr>
          <w:ilvl w:val="0"/>
          <w:numId w:val="0"/>
        </w:numPr>
      </w:pPr>
      <w:r>
        <w:t>Overall</w:t>
      </w:r>
      <w:r w:rsidR="00EE15B9">
        <w:t>, w</w:t>
      </w:r>
      <w:r w:rsidR="00CF13CB" w:rsidRPr="00B005DF">
        <w:t>e are not satisfied that</w:t>
      </w:r>
      <w:r w:rsidR="00CF13CB">
        <w:t xml:space="preserve"> </w:t>
      </w:r>
      <w:r w:rsidR="00CF13CB" w:rsidRPr="00B005DF">
        <w:t xml:space="preserve">information </w:t>
      </w:r>
      <w:r w:rsidR="00CF13CB">
        <w:t xml:space="preserve">submitted to us </w:t>
      </w:r>
      <w:r w:rsidR="00CF13CB" w:rsidRPr="00B005DF">
        <w:t xml:space="preserve">indicates </w:t>
      </w:r>
      <w:r w:rsidR="00CF13CB">
        <w:t xml:space="preserve">that </w:t>
      </w:r>
      <w:r w:rsidR="00CF13CB" w:rsidRPr="00B005DF">
        <w:t>a departure from</w:t>
      </w:r>
      <w:r w:rsidR="00CF13CB">
        <w:t xml:space="preserve"> </w:t>
      </w:r>
      <w:r w:rsidR="00CF13CB" w:rsidRPr="00B005DF">
        <w:t xml:space="preserve">the </w:t>
      </w:r>
      <w:r w:rsidR="00CF13CB">
        <w:t>G</w:t>
      </w:r>
      <w:r w:rsidR="00CF13CB" w:rsidRPr="00B005DF">
        <w:t xml:space="preserve">uideline would </w:t>
      </w:r>
      <w:r w:rsidR="00CF13CB">
        <w:t>contribute to the achievement of</w:t>
      </w:r>
      <w:r w:rsidR="00CF13CB" w:rsidRPr="00B005DF">
        <w:t xml:space="preserve"> the </w:t>
      </w:r>
      <w:r w:rsidR="00CF13CB">
        <w:t>ARORO</w:t>
      </w:r>
      <w:r w:rsidR="00CF13CB" w:rsidRPr="00B005DF">
        <w:t xml:space="preserve">. </w:t>
      </w:r>
      <w:r w:rsidR="00CF13CB">
        <w:t>In addition to the reasons outlined in the subsections below, w</w:t>
      </w:r>
      <w:r w:rsidR="00CF13CB" w:rsidRPr="00B005DF">
        <w:t xml:space="preserve">e </w:t>
      </w:r>
      <w:r w:rsidR="00CF13CB">
        <w:t>consider</w:t>
      </w:r>
      <w:r w:rsidR="00CF13CB" w:rsidRPr="00B005DF">
        <w:t xml:space="preserve"> the importance placed by all stakeholders on predictability and </w:t>
      </w:r>
      <w:r w:rsidR="00CF13CB">
        <w:t>transparency</w:t>
      </w:r>
      <w:r w:rsidR="00CF13CB" w:rsidRPr="00B005DF">
        <w:t xml:space="preserve"> </w:t>
      </w:r>
      <w:r w:rsidR="00CF13CB">
        <w:t>in</w:t>
      </w:r>
      <w:r w:rsidR="00CF13CB" w:rsidRPr="00B005DF">
        <w:t xml:space="preserve"> </w:t>
      </w:r>
      <w:r w:rsidR="00CF13CB">
        <w:t xml:space="preserve">contributing to the </w:t>
      </w:r>
      <w:r w:rsidR="00CF13CB" w:rsidRPr="00B005DF">
        <w:t>achiev</w:t>
      </w:r>
      <w:r w:rsidR="00CF13CB">
        <w:t>ement of</w:t>
      </w:r>
      <w:r w:rsidR="00CF13CB" w:rsidRPr="00B005DF">
        <w:t xml:space="preserve"> the </w:t>
      </w:r>
      <w:r w:rsidR="00CF13CB">
        <w:t>ARORO.</w:t>
      </w:r>
      <w:r w:rsidR="00CF13CB">
        <w:rPr>
          <w:rStyle w:val="FootnoteReference"/>
        </w:rPr>
        <w:footnoteReference w:id="177"/>
      </w:r>
    </w:p>
    <w:p w:rsidR="00066857" w:rsidRDefault="00066857" w:rsidP="00A164C0">
      <w:r>
        <w:t xml:space="preserve">We step through </w:t>
      </w:r>
      <w:r w:rsidR="00010955">
        <w:t>the six-step foundation model approach below.</w:t>
      </w:r>
    </w:p>
    <w:p w:rsidR="00066857" w:rsidRDefault="00066857" w:rsidP="00066857">
      <w:pPr>
        <w:pStyle w:val="HeadingBoldBlue"/>
        <w:rPr>
          <w:rStyle w:val="AERtextorange"/>
        </w:rPr>
      </w:pPr>
      <w:r>
        <w:rPr>
          <w:rStyle w:val="AERtextorange"/>
        </w:rPr>
        <w:t>Step one and two: identify relevant material and role</w:t>
      </w:r>
    </w:p>
    <w:p w:rsidR="00066857" w:rsidRDefault="00066857" w:rsidP="007C7B20">
      <w:r w:rsidRPr="007C7B20">
        <w:rPr>
          <w:rStyle w:val="AERbody"/>
        </w:rPr>
        <w:t xml:space="preserve">We have had regard to a large amount of material including estimation methods, financial models, market data and other evidence and determined the role we consider that each piece of material should play in estimating the return on equity. </w:t>
      </w:r>
      <w:r w:rsidR="00FA0354">
        <w:rPr>
          <w:rStyle w:val="AERbody"/>
        </w:rPr>
        <w:t xml:space="preserve">In previous regulatory decisions, we set out in detail </w:t>
      </w:r>
      <w:r w:rsidRPr="007C7B20">
        <w:rPr>
          <w:rStyle w:val="AERbody"/>
        </w:rPr>
        <w:t>the way in which the information is used either as the foundation model, to inform our foundation model input parameters</w:t>
      </w:r>
      <w:r w:rsidR="0031715E">
        <w:rPr>
          <w:rStyle w:val="AERbody"/>
        </w:rPr>
        <w:t>,</w:t>
      </w:r>
      <w:r w:rsidRPr="007C7B20">
        <w:rPr>
          <w:rStyle w:val="AERbody"/>
        </w:rPr>
        <w:t xml:space="preserve"> or as other information—other than as the foundation model, to inform our return on equity estimate.</w:t>
      </w:r>
      <w:r w:rsidR="00FA0354">
        <w:rPr>
          <w:rStyle w:val="FootnoteReference"/>
        </w:rPr>
        <w:footnoteReference w:id="178"/>
      </w:r>
      <w:r w:rsidRPr="00066857">
        <w:t xml:space="preserve"> </w:t>
      </w:r>
      <w:r w:rsidR="00853443">
        <w:t xml:space="preserve">We also discuss this in the subsections below and appendices </w:t>
      </w:r>
      <w:r w:rsidR="009B0A04">
        <w:fldChar w:fldCharType="begin"/>
      </w:r>
      <w:r w:rsidR="009B0A04">
        <w:instrText xml:space="preserve"> REF _Ref451685041 \r \h </w:instrText>
      </w:r>
      <w:r w:rsidR="009B0A04">
        <w:fldChar w:fldCharType="separate"/>
      </w:r>
      <w:r w:rsidR="002C24D6">
        <w:t>B</w:t>
      </w:r>
      <w:r w:rsidR="009B0A04">
        <w:fldChar w:fldCharType="end"/>
      </w:r>
      <w:r w:rsidR="00853443">
        <w:t xml:space="preserve"> to </w:t>
      </w:r>
      <w:r w:rsidR="00CE6F2A">
        <w:fldChar w:fldCharType="begin"/>
      </w:r>
      <w:r w:rsidR="00CE6F2A">
        <w:instrText xml:space="preserve"> REF _Ref483299544 \r \h </w:instrText>
      </w:r>
      <w:r w:rsidR="00CE6F2A">
        <w:fldChar w:fldCharType="separate"/>
      </w:r>
      <w:r w:rsidR="002C24D6">
        <w:t>H</w:t>
      </w:r>
      <w:r w:rsidR="00CE6F2A">
        <w:fldChar w:fldCharType="end"/>
      </w:r>
      <w:r w:rsidR="00853443">
        <w:t xml:space="preserve"> of this decision. </w:t>
      </w:r>
      <w:r w:rsidR="00FA0354">
        <w:t>We do not repeat the</w:t>
      </w:r>
      <w:r w:rsidR="00853443">
        <w:t>se discussions</w:t>
      </w:r>
      <w:r w:rsidR="00FA0354">
        <w:t xml:space="preserve"> here and progress to step three of the Guideline foundation model approach.</w:t>
      </w:r>
      <w:r w:rsidRPr="00066857">
        <w:t xml:space="preserve"> </w:t>
      </w:r>
    </w:p>
    <w:p w:rsidR="00066857" w:rsidRDefault="00066857" w:rsidP="00066857">
      <w:pPr>
        <w:pStyle w:val="HeadingBoldBlue"/>
        <w:rPr>
          <w:rStyle w:val="AERtextorange"/>
        </w:rPr>
      </w:pPr>
      <w:r>
        <w:rPr>
          <w:rStyle w:val="AERtextorange"/>
        </w:rPr>
        <w:t>Step three: implementing the foundation model</w:t>
      </w:r>
    </w:p>
    <w:p w:rsidR="006A07DE" w:rsidRPr="00E31230" w:rsidRDefault="006A07DE" w:rsidP="00E31230">
      <w:pPr>
        <w:pStyle w:val="HeadingBoldItalic"/>
        <w:rPr>
          <w:rStyle w:val="AERtextorange"/>
          <w:color w:val="51626F"/>
        </w:rPr>
      </w:pPr>
      <w:r w:rsidRPr="0034234A">
        <w:rPr>
          <w:rStyle w:val="AERtextorange"/>
          <w:color w:val="51626F"/>
        </w:rPr>
        <w:t>Choice of equity models</w:t>
      </w:r>
    </w:p>
    <w:p w:rsidR="000D24A6" w:rsidRDefault="00066857" w:rsidP="000D24A6">
      <w:r>
        <w:t>We apply the</w:t>
      </w:r>
      <w:r w:rsidR="000D24A6">
        <w:t xml:space="preserve"> Sharpe-Lintner CAPM as our foundation model. We consider the Sharpe-Lintner CAPM is the best model for estimating the efficient costs of equity financing because it:</w:t>
      </w:r>
    </w:p>
    <w:p w:rsidR="000D24A6" w:rsidRDefault="000D24A6" w:rsidP="000D24A6">
      <w:pPr>
        <w:pStyle w:val="AERbulletlistfirststyle"/>
      </w:pPr>
      <w:r w:rsidRPr="001174B8">
        <w:t>transparently presents the key risk and reward trade-off</w:t>
      </w:r>
      <w:r w:rsidR="00D60AEA">
        <w:rPr>
          <w:rStyle w:val="FootnoteReference"/>
        </w:rPr>
        <w:footnoteReference w:id="179"/>
      </w:r>
      <w:r w:rsidRPr="001174B8">
        <w:t xml:space="preserve"> that is at the heart of our task</w:t>
      </w:r>
      <w:r w:rsidR="00D60AEA">
        <w:rPr>
          <w:rStyle w:val="FootnoteReference"/>
        </w:rPr>
        <w:footnoteReference w:id="180"/>
      </w:r>
    </w:p>
    <w:p w:rsidR="000D24A6" w:rsidRDefault="000D24A6" w:rsidP="000D24A6">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00D60AEA">
        <w:rPr>
          <w:rStyle w:val="FootnoteReference"/>
        </w:rPr>
        <w:footnoteReference w:id="181"/>
      </w:r>
    </w:p>
    <w:p w:rsidR="000D24A6" w:rsidRDefault="000D24A6" w:rsidP="000D24A6">
      <w:pPr>
        <w:pStyle w:val="AERbulletlistfirststyle"/>
      </w:pPr>
      <w:r>
        <w:t>has well-accepted and unbiased methods for estimating its parameters, and these parameters can be estimated with tolerable accuracy, unlike the alternative models proposed by</w:t>
      </w:r>
      <w:r w:rsidR="00BA4C69">
        <w:t xml:space="preserve"> some</w:t>
      </w:r>
      <w:r>
        <w:t xml:space="preserve"> service providers.</w:t>
      </w:r>
    </w:p>
    <w:p w:rsidR="000D24A6" w:rsidRPr="0051262A" w:rsidRDefault="000D24A6" w:rsidP="000D24A6">
      <w:r w:rsidRPr="0051262A">
        <w:t>Our consultants have also agreed with our use of the Sharpe-Lintner CAPM as the foundation model. Handley stated:</w:t>
      </w:r>
      <w:r w:rsidR="00D60AEA">
        <w:rPr>
          <w:rStyle w:val="FootnoteReference"/>
        </w:rPr>
        <w:footnoteReference w:id="182"/>
      </w:r>
    </w:p>
    <w:p w:rsidR="000D24A6" w:rsidRPr="00D50D12" w:rsidRDefault="000D24A6" w:rsidP="000D24A6">
      <w:pPr>
        <w:pStyle w:val="AERquote"/>
      </w:pPr>
      <w:r w:rsidRPr="00D50D12">
        <w:t>[t]he AER's choice of the Sharpe-CAPM as foundation model</w:t>
      </w:r>
      <w:r>
        <w:t xml:space="preserve"> is</w:t>
      </w:r>
      <w:r w:rsidRPr="00D50D12">
        <w:t xml:space="preserve"> entirely appropriate and reasonable for this purpose. </w:t>
      </w:r>
      <w:r w:rsidR="00DF0600" w:rsidRPr="00D50D12">
        <w:t xml:space="preserve">The Sharpe-CAPM is the standard (equilibrium) asset pricing model. </w:t>
      </w:r>
      <w:r w:rsidRPr="00D50D12">
        <w:t>It has a long established and well understood theoretical foundation and is a transparent representation of one of the most fundamental paradigms of finan</w:t>
      </w:r>
      <w:r>
        <w:t>ce - the risk-return trade off.</w:t>
      </w:r>
    </w:p>
    <w:p w:rsidR="000D24A6" w:rsidRPr="0051262A" w:rsidRDefault="000D24A6" w:rsidP="000D24A6">
      <w:r w:rsidRPr="0051262A">
        <w:t>McKenzie and Partington indicated with respect to the Sharpe–Lintner CAPM:</w:t>
      </w:r>
      <w:r w:rsidR="00D60AEA">
        <w:rPr>
          <w:rStyle w:val="FootnoteReference"/>
        </w:rPr>
        <w:footnoteReference w:id="183"/>
      </w:r>
    </w:p>
    <w:p w:rsidR="000D24A6" w:rsidRDefault="000D24A6" w:rsidP="000D24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479C8" w:rsidRDefault="002479C8" w:rsidP="002479C8">
      <w:r>
        <w:t xml:space="preserve">The current service providers have all adopted the Sharpe-Lintner CAPM as the foundation model for estimating the return on equity. </w:t>
      </w:r>
    </w:p>
    <w:p w:rsidR="00CE6F2A" w:rsidRPr="00BF2229" w:rsidRDefault="00CE6F2A" w:rsidP="00CE6F2A">
      <w:pPr>
        <w:pStyle w:val="HeadingItalic"/>
        <w:numPr>
          <w:ilvl w:val="0"/>
          <w:numId w:val="24"/>
        </w:numPr>
      </w:pPr>
      <w:r>
        <w:t>Multinet's alpha proposal</w:t>
      </w:r>
    </w:p>
    <w:p w:rsidR="00CE6F2A" w:rsidRDefault="00CE6F2A" w:rsidP="00CE6F2A">
      <w:r>
        <w:t>Multinet has proposed to include an additional 'alpha' term (of 1.14 per cent) in the Sharpe-Lintner CAPM to account for the low-beta bias for low beta stocks.</w:t>
      </w:r>
      <w:r>
        <w:rPr>
          <w:rStyle w:val="FootnoteReference"/>
        </w:rPr>
        <w:footnoteReference w:id="184"/>
      </w:r>
    </w:p>
    <w:p w:rsidR="00CE6F2A" w:rsidRDefault="00CE6F2A" w:rsidP="00CE6F2A">
      <w:r>
        <w:t xml:space="preserve">We note that service providers have submitted on the low-beta bias in previous regulatory processes and it is appropriate to consider how such submissions may be viewed. We observe that the low-beta bias does not necessarily represent the Sharpe-Lintner CAPM underestimating the return on equity for benchmark efficient entity with a similar degree of risk as the service </w:t>
      </w:r>
      <w:r w:rsidR="001008D7">
        <w:t>providers</w:t>
      </w:r>
      <w:r>
        <w:t xml:space="preserve"> in providing regulated services. Partington and Sachell have also noted that: </w:t>
      </w:r>
    </w:p>
    <w:p w:rsidR="00CE6F2A" w:rsidRDefault="00CE6F2A" w:rsidP="00CE6F2A">
      <w:pPr>
        <w:pStyle w:val="AERquote"/>
      </w:pPr>
      <w:r>
        <w:t xml:space="preserve">'interpretation may be conditional on the lens through which the evidence is viewed. Consider, for example, a study of the returns obtained by shareholders in regulated utilities relative to the equilibrium returns according to the CAPM. Further suppose that the study showed that the returns subsequently realised by shareholders were greater than those determined by use of the CAPM. We suggest that consumers would likely interpret this as the regulators being too benign is setting allowed returns, resulting in regulated utilities earning more than was justified. Conversely, we expect that regulated utilities would either argue that they had been super-efficient, or as in the current case, that the CAPM underestimated the required rate of return.' </w:t>
      </w:r>
    </w:p>
    <w:p w:rsidR="00CE6F2A" w:rsidRDefault="00CE6F2A" w:rsidP="00CE6F2A">
      <w:r>
        <w:t>Multinet's proposal appears to be based on the following key submissions:</w:t>
      </w:r>
    </w:p>
    <w:p w:rsidR="00CE6F2A" w:rsidRDefault="00013867" w:rsidP="00CE6F2A">
      <w:pPr>
        <w:pStyle w:val="AERbulletlistfirststyle"/>
      </w:pPr>
      <w:r>
        <w:t xml:space="preserve">The mean beta was 0.5 for the Guideline and was 'adjusted' to 0.7 to account for the low beta bias. </w:t>
      </w:r>
      <w:r w:rsidR="00CE6F2A">
        <w:t xml:space="preserve">The mean beta has </w:t>
      </w:r>
      <w:r>
        <w:t xml:space="preserve">now </w:t>
      </w:r>
      <w:r w:rsidR="00CE6F2A">
        <w:t>increased to 0.7 which requires adjustment per the Guideline as 0.7 'no longer represent the adjusted value found in the Guideline and endorsed by the Tribunal'.</w:t>
      </w:r>
      <w:r w:rsidR="00CE6F2A">
        <w:rPr>
          <w:rStyle w:val="FootnoteReference"/>
        </w:rPr>
        <w:footnoteReference w:id="185"/>
      </w:r>
      <w:r w:rsidR="00CE6F2A">
        <w:t xml:space="preserve"> </w:t>
      </w:r>
    </w:p>
    <w:p w:rsidR="00CE6F2A" w:rsidRDefault="00CE6F2A" w:rsidP="00CE6F2A">
      <w:pPr>
        <w:pStyle w:val="AERbulletlistfirststyle"/>
      </w:pPr>
      <w:r>
        <w:t>The adjustment can be made through the equity beta or an 'alpha' term. Multinet has proposed use of the alpha term based on Partington and Satchell's</w:t>
      </w:r>
      <w:r w:rsidR="00013867">
        <w:t xml:space="preserve"> advice to the ERA</w:t>
      </w:r>
      <w:r>
        <w:t xml:space="preserve"> and the ERA's decision.</w:t>
      </w:r>
      <w:r>
        <w:rPr>
          <w:rStyle w:val="FootnoteReference"/>
        </w:rPr>
        <w:footnoteReference w:id="186"/>
      </w:r>
    </w:p>
    <w:p w:rsidR="00CE6F2A" w:rsidRDefault="00CE6F2A" w:rsidP="00CE6F2A">
      <w:pPr>
        <w:pStyle w:val="AERbulletlistfirststyle"/>
      </w:pPr>
      <w:r>
        <w:t>The Guideline approach for adjusting its equity beta is not clear. To avoid relying solely on judgement, ex-post data should be used to measure and estimate the adjustment required.</w:t>
      </w:r>
      <w:r>
        <w:rPr>
          <w:rStyle w:val="FootnoteReference"/>
        </w:rPr>
        <w:footnoteReference w:id="187"/>
      </w:r>
    </w:p>
    <w:p w:rsidR="00CE6F2A" w:rsidRDefault="00CE6F2A" w:rsidP="00CE6F2A">
      <w:pPr>
        <w:pStyle w:val="AERbulletlistfirststyle"/>
      </w:pPr>
      <w:r>
        <w:t>The AER adopts an expected equilibrium returns framework which prevents it from having regard to realised returns, is a 'retrograde' step for Australian regulators and is against the AEMC's intention.</w:t>
      </w:r>
      <w:r>
        <w:rPr>
          <w:rStyle w:val="FootnoteReference"/>
        </w:rPr>
        <w:footnoteReference w:id="188"/>
      </w:r>
    </w:p>
    <w:p w:rsidR="00CE6F2A" w:rsidRDefault="00CE6F2A" w:rsidP="00CE6F2A">
      <w:pPr>
        <w:pStyle w:val="AERbulletlistfirststyle"/>
      </w:pPr>
      <w:r>
        <w:t>Multinet proposed an alpha term of 1.14 per cent based on HoustonKemp's report.</w:t>
      </w:r>
      <w:r>
        <w:rPr>
          <w:rStyle w:val="FootnoteReference"/>
        </w:rPr>
        <w:footnoteReference w:id="189"/>
      </w:r>
    </w:p>
    <w:p w:rsidR="00013867" w:rsidRDefault="00013867" w:rsidP="00CE6F2A">
      <w:r>
        <w:t>We disagree with Multinet's alpha proposal for the following reasons:</w:t>
      </w:r>
    </w:p>
    <w:p w:rsidR="00013867" w:rsidRDefault="00013867" w:rsidP="00272584">
      <w:pPr>
        <w:pStyle w:val="AERbulletlistfirststyle"/>
      </w:pPr>
      <w:r>
        <w:t>Our analysis of the current service providers' material on equity beta does not provide satisfactory evidence to increase our range (0.4–0.7) and point estimate</w:t>
      </w:r>
      <w:r w:rsidR="0011699D">
        <w:t xml:space="preserve"> (0.7). We consider the material still show support for Henry's study. </w:t>
      </w:r>
    </w:p>
    <w:p w:rsidR="00013867" w:rsidRDefault="00C90EC6" w:rsidP="00272584">
      <w:pPr>
        <w:pStyle w:val="AERbulletlistfirststyle"/>
      </w:pPr>
      <w:r>
        <w:t xml:space="preserve">Multinet has mischaracterised the Guideline. </w:t>
      </w:r>
      <w:r w:rsidR="0011699D">
        <w:t>We did not, and do not, adjust the equity beta.</w:t>
      </w:r>
    </w:p>
    <w:p w:rsidR="00C90EC6" w:rsidRDefault="00C90EC6" w:rsidP="00272584">
      <w:pPr>
        <w:pStyle w:val="AERbulletlistfirststyle"/>
      </w:pPr>
      <w:r>
        <w:t>Multinet's proposal appears to stem from its consideration of the Black CAPM which we have assessed and determined to be unsuitable for directly estimating the return on equity.</w:t>
      </w:r>
    </w:p>
    <w:p w:rsidR="00C90EC6" w:rsidRDefault="0011699D" w:rsidP="00272584">
      <w:pPr>
        <w:pStyle w:val="AERbulletlistfirststyle"/>
      </w:pPr>
      <w:r>
        <w:t>We disagree with the proposed alpha (and by extension beta) adjustments because there are a range of issues.</w:t>
      </w:r>
    </w:p>
    <w:p w:rsidR="00C90EC6" w:rsidRDefault="0011699D" w:rsidP="00272584">
      <w:pPr>
        <w:pStyle w:val="AERbulletlistfirststyle"/>
      </w:pPr>
      <w:r>
        <w:t xml:space="preserve">Multinet's proposed use of realised returns is problematic because realised returns can </w:t>
      </w:r>
      <w:r w:rsidRPr="0011699D">
        <w:t>differ from expected returns over a persistent period of time and capture myriad factors that can contribute to realised returns being higher than Sharpe-Lintner estimates</w:t>
      </w:r>
      <w:r>
        <w:t>.</w:t>
      </w:r>
    </w:p>
    <w:p w:rsidR="0011699D" w:rsidRDefault="0011699D" w:rsidP="00272584">
      <w:pPr>
        <w:pStyle w:val="AERbulletlistfirststyle"/>
      </w:pPr>
      <w:r>
        <w:t>We do not adopt an expected equilibrium return framework.</w:t>
      </w:r>
    </w:p>
    <w:p w:rsidR="00CE6F2A" w:rsidRDefault="00CE6F2A" w:rsidP="00CE6F2A">
      <w:r>
        <w:t>We discuss each point in more detail below.</w:t>
      </w:r>
    </w:p>
    <w:p w:rsidR="00CE6F2A" w:rsidRDefault="00CE6F2A" w:rsidP="00CE6F2A">
      <w:pPr>
        <w:pStyle w:val="HeadingOrange"/>
      </w:pPr>
      <w:r>
        <w:t>Increase in equity beta</w:t>
      </w:r>
    </w:p>
    <w:p w:rsidR="00CE6F2A" w:rsidRDefault="00CE6F2A" w:rsidP="00CE6F2A">
      <w:r>
        <w:t>Multinet proposal is premised on the assumption that empirical estimates of equity beta have increased which, following the Guideline approach, warrants an adjustment (of some sort) to account for the low-beta bias.</w:t>
      </w:r>
    </w:p>
    <w:p w:rsidR="00CE6F2A" w:rsidRDefault="00CE6F2A" w:rsidP="00CE6F2A">
      <w:r>
        <w:t>Specifically, it stated that 'if 0.7 is now the mean, unadjusted beta, it can no longer represent the adjusted value found in the Guidelines and endorsed by the Tribunal, and would in fact represent a departure from the Guidelines'.</w:t>
      </w:r>
      <w:r>
        <w:rPr>
          <w:rStyle w:val="FootnoteReference"/>
        </w:rPr>
        <w:footnoteReference w:id="190"/>
      </w:r>
      <w:r>
        <w:t xml:space="preserve"> It added that 'to maintain consistency with the Guidelines, we propose to make an adjustment, as the AER did, and not simply make use of a mean beta of 0.7'.</w:t>
      </w:r>
      <w:r>
        <w:rPr>
          <w:rStyle w:val="FootnoteReference"/>
        </w:rPr>
        <w:footnoteReference w:id="191"/>
      </w:r>
      <w:r>
        <w:t xml:space="preserve"> </w:t>
      </w:r>
    </w:p>
    <w:p w:rsidR="00FB15D2" w:rsidRDefault="00CE6F2A">
      <w:r>
        <w:t>We first disagree with Multinet's claim of a mean beta of 0.7. Multinet's proposal is largely based on a CEG report aiming to replicate and extend Henry's study.</w:t>
      </w:r>
      <w:r>
        <w:rPr>
          <w:rStyle w:val="FootnoteReference"/>
        </w:rPr>
        <w:footnoteReference w:id="192"/>
      </w:r>
      <w:r>
        <w:t xml:space="preserve"> We have reviewed service providers' material on equity beta</w:t>
      </w:r>
      <w:r w:rsidR="00E326E6">
        <w:t xml:space="preserve"> which include a Frontier report.</w:t>
      </w:r>
      <w:r w:rsidR="00E326E6">
        <w:rPr>
          <w:rStyle w:val="FootnoteReference"/>
        </w:rPr>
        <w:footnoteReference w:id="193"/>
      </w:r>
      <w:r w:rsidR="00E326E6">
        <w:t xml:space="preserve"> </w:t>
      </w:r>
      <w:r w:rsidR="00FB15D2">
        <w:t>While the material does display small changes in empirical estimates, w</w:t>
      </w:r>
      <w:r w:rsidR="00E326E6">
        <w:t>e</w:t>
      </w:r>
      <w:r>
        <w:t xml:space="preserve"> do not find satis</w:t>
      </w:r>
      <w:r w:rsidR="00E326E6">
        <w:t>factory evidence of an increase to depart from our range and point estimate</w:t>
      </w:r>
      <w:r w:rsidR="00FB15D2">
        <w:t xml:space="preserve">. Our </w:t>
      </w:r>
      <w:r w:rsidR="00FB15D2" w:rsidRPr="00FB15D2">
        <w:t xml:space="preserve">analysis </w:t>
      </w:r>
      <w:r w:rsidR="001008D7" w:rsidRPr="00FB15D2">
        <w:t>used</w:t>
      </w:r>
      <w:r w:rsidR="00FB15D2" w:rsidRPr="00FB15D2">
        <w:t xml:space="preserve"> data up to 28 April 2017, based on Henry's methodology, is consistent with Henry's results and supports our range and point estimate. </w:t>
      </w:r>
      <w:r w:rsidR="00FB15D2">
        <w:t>There also appears to be conflicting information between the CEG report and Frontier report as Frontier's10 year average firm-level estimates suggest a decline in empirical estimates since Henry's study.</w:t>
      </w:r>
    </w:p>
    <w:p w:rsidR="00CE6F2A" w:rsidRDefault="00CE6F2A" w:rsidP="00CE6F2A">
      <w:r>
        <w:t>Partington and Satchell have reviewed service providers' new material on empirical beta estimates and concluded that they make a 'weak case that beta has increased in recent times' and continues to see 'little evidence of change'.</w:t>
      </w:r>
      <w:r>
        <w:rPr>
          <w:rStyle w:val="FootnoteReference"/>
        </w:rPr>
        <w:footnoteReference w:id="194"/>
      </w:r>
      <w:r>
        <w:t xml:space="preserve"> </w:t>
      </w:r>
    </w:p>
    <w:p w:rsidR="00CE6F2A" w:rsidRDefault="00CE6F2A" w:rsidP="00CE6F2A">
      <w:pPr>
        <w:rPr>
          <w:rStyle w:val="AERbody"/>
        </w:rPr>
      </w:pPr>
      <w:r>
        <w:t>Multinet also referred to the ERA's estimation to support a mean beta of 0.7.</w:t>
      </w:r>
      <w:r>
        <w:rPr>
          <w:rStyle w:val="FootnoteReference"/>
        </w:rPr>
        <w:footnoteReference w:id="195"/>
      </w:r>
      <w:r>
        <w:t xml:space="preserve"> However, the ERA's estimation is based on a sample of four firms and a period of five years. We note </w:t>
      </w:r>
      <w:r>
        <w:rPr>
          <w:rStyle w:val="AERbody"/>
        </w:rPr>
        <w:t xml:space="preserve">that </w:t>
      </w:r>
      <w:r w:rsidRPr="00A164C0">
        <w:rPr>
          <w:rStyle w:val="AERbody"/>
        </w:rPr>
        <w:t>short term data</w:t>
      </w:r>
      <w:r>
        <w:rPr>
          <w:rStyle w:val="AERbody"/>
        </w:rPr>
        <w:t xml:space="preserve"> </w:t>
      </w:r>
      <w:r w:rsidR="003C2D86">
        <w:rPr>
          <w:rStyle w:val="AERbody"/>
        </w:rPr>
        <w:t>is</w:t>
      </w:r>
      <w:r w:rsidRPr="00A164C0">
        <w:rPr>
          <w:rStyle w:val="AERbody"/>
        </w:rPr>
        <w:t xml:space="preserve"> more prone to one-off events, fluctuations and volatilities in the market–which may obscure the ‘true’ equity beta for a benchmark efficient entity. Therefore, we have </w:t>
      </w:r>
      <w:r>
        <w:rPr>
          <w:rStyle w:val="AERbody"/>
        </w:rPr>
        <w:t xml:space="preserve">most </w:t>
      </w:r>
      <w:r w:rsidRPr="00A164C0">
        <w:rPr>
          <w:rStyle w:val="AERbody"/>
        </w:rPr>
        <w:t>regard to longer term estimates</w:t>
      </w:r>
      <w:r>
        <w:rPr>
          <w:rStyle w:val="AERbody"/>
        </w:rPr>
        <w:t xml:space="preserve"> and a large sample of firms</w:t>
      </w:r>
      <w:r w:rsidRPr="00A164C0">
        <w:rPr>
          <w:rStyle w:val="AERbody"/>
        </w:rPr>
        <w:t xml:space="preserve"> when determining the equity beta</w:t>
      </w:r>
      <w:r>
        <w:rPr>
          <w:rStyle w:val="AERbody"/>
        </w:rPr>
        <w:t>.</w:t>
      </w:r>
    </w:p>
    <w:p w:rsidR="0072095B" w:rsidRDefault="0072095B" w:rsidP="00272584">
      <w:pPr>
        <w:pStyle w:val="HeadingOrange"/>
      </w:pPr>
      <w:r>
        <w:t>Mischaracterising the Guideline approach for equity beta</w:t>
      </w:r>
    </w:p>
    <w:p w:rsidR="00CE6F2A" w:rsidRDefault="00C90EC6" w:rsidP="00CE6F2A">
      <w:r>
        <w:t>W</w:t>
      </w:r>
      <w:r w:rsidR="00CE6F2A">
        <w:t>e, and the Guideline, did not and do not 'adjust' the equity beta as Multinet has suggested.</w:t>
      </w:r>
      <w:r w:rsidR="00CE6F2A">
        <w:rPr>
          <w:rStyle w:val="FootnoteReference"/>
        </w:rPr>
        <w:footnoteReference w:id="196"/>
      </w:r>
      <w:r w:rsidR="00CE6F2A">
        <w:t xml:space="preserve"> Our range of 0.4–0.7 is based on Henry's study and our consideration that a benchmark efficient entity would have an equity beta less than one.</w:t>
      </w:r>
      <w:r w:rsidR="00CE6F2A">
        <w:rPr>
          <w:rStyle w:val="FootnoteReference"/>
        </w:rPr>
        <w:footnoteReference w:id="197"/>
      </w:r>
      <w:r w:rsidR="00CE6F2A">
        <w:t xml:space="preserve"> We select towards a top-of-the-range value to account for the theoretical principles underpinning the Black CAPM and other relevant information.</w:t>
      </w:r>
      <w:r w:rsidR="00CE6F2A">
        <w:rPr>
          <w:rStyle w:val="FootnoteReference"/>
        </w:rPr>
        <w:footnoteReference w:id="198"/>
      </w:r>
      <w:r w:rsidR="00CE6F2A">
        <w:t xml:space="preserve"> </w:t>
      </w:r>
    </w:p>
    <w:p w:rsidR="00CE6F2A" w:rsidRDefault="00A44745" w:rsidP="00CE6F2A">
      <w:r>
        <w:t>Second</w:t>
      </w:r>
      <w:r w:rsidR="00CE6F2A">
        <w:t>, the Tribunal did not endorse adjusting the equity beta or adopt an adjusted value.</w:t>
      </w:r>
      <w:r w:rsidR="00CE6F2A">
        <w:rPr>
          <w:rStyle w:val="FootnoteReference"/>
        </w:rPr>
        <w:footnoteReference w:id="199"/>
      </w:r>
      <w:r w:rsidR="00CE6F2A">
        <w:t xml:space="preserve"> In fact the Tribunal upheld our approach which determined a range of 0.4–0.7 and then selected towards a top-of-the-range value based on the relevant information.</w:t>
      </w:r>
      <w:r w:rsidR="00CE6F2A">
        <w:rPr>
          <w:rStyle w:val="FootnoteReference"/>
        </w:rPr>
        <w:footnoteReference w:id="200"/>
      </w:r>
    </w:p>
    <w:p w:rsidR="00CE6F2A" w:rsidRDefault="00A44745" w:rsidP="00CE6F2A">
      <w:r>
        <w:t>Third</w:t>
      </w:r>
      <w:r w:rsidR="00CE6F2A">
        <w:t>, we continue to apply the Guideline approach when estimating the equity beta. The Guideline determined a range of 0.4–0.7 based on Henry's empirical study and our consideration that a benchmark efficient entity would have an equity beta less than one.</w:t>
      </w:r>
      <w:r w:rsidR="00CE6F2A">
        <w:rPr>
          <w:rStyle w:val="FootnoteReference"/>
        </w:rPr>
        <w:footnoteReference w:id="201"/>
      </w:r>
      <w:r w:rsidR="00CE6F2A">
        <w:t xml:space="preserve"> Our 2017 study continues to support Henry's empirical range. We select toward a top-of-the-range value to account for the theoretical principles underpinning the Black CAPM and other relevant information.</w:t>
      </w:r>
      <w:r w:rsidR="00CE6F2A">
        <w:rPr>
          <w:rStyle w:val="FootnoteReference"/>
        </w:rPr>
        <w:footnoteReference w:id="202"/>
      </w:r>
      <w:r w:rsidR="00CE6F2A">
        <w:t xml:space="preserve"> Multinet's assumption of a mean beta of 0.7 and proposed adjustment represents a departure from the Guideline.</w:t>
      </w:r>
    </w:p>
    <w:p w:rsidR="00CE6F2A" w:rsidRDefault="00CE6F2A" w:rsidP="00CE6F2A">
      <w:r>
        <w:t xml:space="preserve">For more detailed discussion on equity beta, see section </w:t>
      </w:r>
      <w:r>
        <w:fldChar w:fldCharType="begin"/>
      </w:r>
      <w:r>
        <w:instrText xml:space="preserve"> REF _Ref430958591 \r \h </w:instrText>
      </w:r>
      <w:r>
        <w:fldChar w:fldCharType="separate"/>
      </w:r>
      <w:r w:rsidR="002C24D6">
        <w:t>3.4.1</w:t>
      </w:r>
      <w:r>
        <w:fldChar w:fldCharType="end"/>
      </w:r>
      <w:r>
        <w:t xml:space="preserve"> ('estimating the equity beta'), </w:t>
      </w:r>
      <w:r>
        <w:fldChar w:fldCharType="begin"/>
      </w:r>
      <w:r>
        <w:instrText xml:space="preserve"> REF _Ref478460051 \r \h </w:instrText>
      </w:r>
      <w:r>
        <w:fldChar w:fldCharType="separate"/>
      </w:r>
      <w:r w:rsidR="002C24D6">
        <w:t>G</w:t>
      </w:r>
      <w:r>
        <w:fldChar w:fldCharType="end"/>
      </w:r>
      <w:r>
        <w:t xml:space="preserve"> and </w:t>
      </w:r>
      <w:r>
        <w:fldChar w:fldCharType="begin"/>
      </w:r>
      <w:r>
        <w:instrText xml:space="preserve"> REF _Ref483299544 \r \h </w:instrText>
      </w:r>
      <w:r>
        <w:fldChar w:fldCharType="separate"/>
      </w:r>
      <w:r w:rsidR="002C24D6">
        <w:t>H</w:t>
      </w:r>
      <w:r>
        <w:fldChar w:fldCharType="end"/>
      </w:r>
      <w:r>
        <w:t>.</w:t>
      </w:r>
    </w:p>
    <w:p w:rsidR="00C90EC6" w:rsidRDefault="00C90EC6" w:rsidP="00C90EC6">
      <w:pPr>
        <w:pStyle w:val="HeadingOrange"/>
      </w:pPr>
      <w:r>
        <w:t>Consideration of the Black CAPM</w:t>
      </w:r>
    </w:p>
    <w:p w:rsidR="00CE6F2A" w:rsidRDefault="00CE6F2A" w:rsidP="00CE6F2A">
      <w:r>
        <w:t>Multinet's concern with the low-beta bias also appears to stem from Multinet's consideration of the Black CAPM for estimating the return on equity.</w:t>
      </w:r>
      <w:r>
        <w:rPr>
          <w:rStyle w:val="FootnoteReference"/>
        </w:rPr>
        <w:footnoteReference w:id="203"/>
      </w:r>
      <w:r>
        <w:t xml:space="preserve"> The Black CAPM was proposed by service providers in previous regulatory decisions to 'correct' the Sharpe-Lintner CAPM's low-beta bias. We do not consider that the Black CAPM is suitable for estimating the return on equity for the benchmark efficient </w:t>
      </w:r>
      <w:r w:rsidR="001008D7">
        <w:t>entity</w:t>
      </w:r>
      <w:r>
        <w:t xml:space="preserve"> or that it will contribute to the achievement of the ARORO for the following reasons:</w:t>
      </w:r>
    </w:p>
    <w:p w:rsidR="00CE6F2A" w:rsidRPr="0010250E" w:rsidRDefault="00CE6F2A" w:rsidP="00CE6F2A">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CE6F2A" w:rsidRPr="0010250E" w:rsidRDefault="00CE6F2A" w:rsidP="00CE6F2A">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204"/>
      </w:r>
      <w:r w:rsidRPr="0010250E">
        <w:t xml:space="preserve"> In particular, regulators rarely have recourse to the Black CAPM.</w:t>
      </w:r>
      <w:r w:rsidRPr="0010250E">
        <w:rPr>
          <w:rStyle w:val="FootnoteReference"/>
        </w:rPr>
        <w:footnoteReference w:id="205"/>
      </w:r>
      <w:r w:rsidRPr="0010250E">
        <w:t xml:space="preserve"> This view was supported by Handley.</w:t>
      </w:r>
      <w:r w:rsidRPr="0010250E">
        <w:rPr>
          <w:rStyle w:val="FootnoteReference"/>
        </w:rPr>
        <w:footnoteReference w:id="206"/>
      </w:r>
    </w:p>
    <w:p w:rsidR="00CE6F2A" w:rsidRPr="0010250E" w:rsidRDefault="00CE6F2A" w:rsidP="00CE6F2A">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207"/>
      </w:r>
      <w:r w:rsidRPr="0010250E">
        <w:t xml:space="preserve"> </w:t>
      </w:r>
    </w:p>
    <w:p w:rsidR="00CE6F2A" w:rsidRPr="0010250E" w:rsidRDefault="00CE6F2A" w:rsidP="00CE6F2A">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208"/>
      </w:r>
    </w:p>
    <w:p w:rsidR="00CE6F2A" w:rsidRDefault="00CE6F2A" w:rsidP="00CE6F2A">
      <w:r>
        <w:t xml:space="preserve">We explain our consideration of the Black CAPM in Appendix </w:t>
      </w:r>
      <w:r>
        <w:fldChar w:fldCharType="begin"/>
      </w:r>
      <w:r>
        <w:instrText xml:space="preserve"> REF _Ref449007419 \r \h </w:instrText>
      </w:r>
      <w:r>
        <w:fldChar w:fldCharType="separate"/>
      </w:r>
      <w:r w:rsidR="002C24D6">
        <w:t>B.2</w:t>
      </w:r>
      <w:r>
        <w:fldChar w:fldCharType="end"/>
      </w:r>
      <w:r>
        <w:t xml:space="preserve"> in more detail.</w:t>
      </w:r>
    </w:p>
    <w:p w:rsidR="00CE6F2A" w:rsidRDefault="00CE6F2A" w:rsidP="00CE6F2A">
      <w:pPr>
        <w:pStyle w:val="HeadingOrange"/>
      </w:pPr>
      <w:r>
        <w:t>Alpha or beta</w:t>
      </w:r>
    </w:p>
    <w:p w:rsidR="007444D0" w:rsidRDefault="00CE6F2A" w:rsidP="00CE6F2A">
      <w:r>
        <w:t>Multinet submitted that the low-beta bias can be adjusted through including an 'alpha' term or adjusting the equity beta.</w:t>
      </w:r>
      <w:r>
        <w:rPr>
          <w:rStyle w:val="FootnoteReference"/>
        </w:rPr>
        <w:footnoteReference w:id="209"/>
      </w:r>
      <w:r>
        <w:t xml:space="preserve"> </w:t>
      </w:r>
      <w:r w:rsidR="007444D0">
        <w:t>It claimed its alpha proposal is consistent with Partington and Satchell's advice to the ERA and the ERA's 2016 final decision for the Dampier to Bunbury Natural Gas Pipeline.</w:t>
      </w:r>
      <w:r w:rsidR="007444D0">
        <w:rPr>
          <w:rStyle w:val="FootnoteReference"/>
        </w:rPr>
        <w:footnoteReference w:id="210"/>
      </w:r>
    </w:p>
    <w:p w:rsidR="007444D0" w:rsidRDefault="007444D0">
      <w:r>
        <w:t>We first note that Multinet has mischaracterised Partington and Satchell's advice and the ERA's decision. Neither supported or advocated adjustments (in the form of an alpha or beta adjustment) to the Sharpe-Lintner CAPM. This has been acknowledged by Multinet.</w:t>
      </w:r>
      <w:r>
        <w:rPr>
          <w:rStyle w:val="FootnoteReference"/>
        </w:rPr>
        <w:footnoteReference w:id="211"/>
      </w:r>
      <w:r>
        <w:t xml:space="preserve"> </w:t>
      </w:r>
    </w:p>
    <w:p w:rsidR="00CE6F2A" w:rsidRDefault="00CE6F2A" w:rsidP="00CE6F2A">
      <w:r>
        <w:t xml:space="preserve">We note that the 'alpha' term </w:t>
      </w:r>
      <w:r w:rsidR="00741ED0">
        <w:t>represents an adjustment to the model</w:t>
      </w:r>
      <w:r>
        <w:t>.</w:t>
      </w:r>
      <w:r>
        <w:rPr>
          <w:rStyle w:val="FootnoteReference"/>
        </w:rPr>
        <w:footnoteReference w:id="212"/>
      </w:r>
      <w:r>
        <w:t xml:space="preserve"> It is typically derived from assessing Sharpe-Lintner estimates using realised returns. We disagree with the use of realised returns for assessing (and/or adjusting) equity models because it is not making the correct comparison. </w:t>
      </w:r>
      <w:r w:rsidR="00C90EC6">
        <w:t xml:space="preserve"> </w:t>
      </w:r>
      <w:r>
        <w:t xml:space="preserve"> </w:t>
      </w:r>
    </w:p>
    <w:p w:rsidR="00CE6F2A" w:rsidRDefault="00CE6F2A" w:rsidP="00CE6F2A">
      <w:r>
        <w:t>Realised returns can differ from expected returns over a persistent period of time and capture myriad factors that can contribute to realised returns being higher than Sharpe-Lintner estimates such as economic shocks and outperformance. Partington and Satchell have also advised that it is sensible to 'subtract alpha from the realised returns in order to provide an empirical measure of the required rate of return.</w:t>
      </w:r>
      <w:r>
        <w:rPr>
          <w:rStyle w:val="FootnoteReference"/>
        </w:rPr>
        <w:footnoteReference w:id="213"/>
      </w:r>
      <w:r>
        <w:t xml:space="preserve"> </w:t>
      </w:r>
    </w:p>
    <w:p w:rsidR="00CE6F2A" w:rsidRDefault="00092961" w:rsidP="00CE6F2A">
      <w:pPr>
        <w:pStyle w:val="ListParagraph"/>
        <w:numPr>
          <w:ilvl w:val="0"/>
          <w:numId w:val="24"/>
        </w:numPr>
      </w:pPr>
      <w:r>
        <w:t xml:space="preserve">We also note that Multinet's proposal to adjust equity beta bears </w:t>
      </w:r>
      <w:r w:rsidR="001008D7">
        <w:t>resemblance</w:t>
      </w:r>
      <w:r>
        <w:t xml:space="preserve"> to submissions in previous regulatory processes.</w:t>
      </w:r>
      <w:r>
        <w:rPr>
          <w:rStyle w:val="FootnoteReference"/>
        </w:rPr>
        <w:footnoteReference w:id="214"/>
      </w:r>
      <w:r>
        <w:t xml:space="preserve"> </w:t>
      </w:r>
      <w:r w:rsidR="00CE6F2A">
        <w:t xml:space="preserve">As noted above, our range and point estimate of the equity remain </w:t>
      </w:r>
      <w:r w:rsidR="001008D7">
        <w:t>appropriate</w:t>
      </w:r>
      <w:r w:rsidR="00CE6F2A">
        <w:t xml:space="preserve"> and our application of the Guideline does not adjust the equity beta. Partington and Satchell have also advised against changes to the equity beta:</w:t>
      </w:r>
    </w:p>
    <w:p w:rsidR="00CE6F2A" w:rsidRDefault="00CE6F2A" w:rsidP="00CE6F2A">
      <w:pPr>
        <w:pStyle w:val="AERbulletlistfirststyle"/>
      </w:pPr>
      <w:r>
        <w:t>'There is no theoretical justification for scaling beta in order to compute regulatory returns'.</w:t>
      </w:r>
      <w:r>
        <w:rPr>
          <w:rStyle w:val="FootnoteReference"/>
        </w:rPr>
        <w:footnoteReference w:id="215"/>
      </w:r>
    </w:p>
    <w:p w:rsidR="00CE6F2A" w:rsidRDefault="00CE6F2A" w:rsidP="00CE6F2A">
      <w:pPr>
        <w:pStyle w:val="AERbulletlistfirststyle"/>
      </w:pPr>
      <w:r>
        <w:t>If the source of the higher returns was systematic outperformance of stocks relative to their required returns, different adjustments would be required, rather than adjustments to beta.</w:t>
      </w:r>
      <w:r>
        <w:rPr>
          <w:rStyle w:val="FootnoteReference"/>
        </w:rPr>
        <w:footnoteReference w:id="216"/>
      </w:r>
    </w:p>
    <w:p w:rsidR="00CE6F2A" w:rsidRDefault="00CE6F2A" w:rsidP="00CE6F2A">
      <w:pPr>
        <w:pStyle w:val="AERbulletlistfirststyle"/>
      </w:pPr>
      <w:r>
        <w:t>A</w:t>
      </w:r>
      <w:r w:rsidRPr="00EE18E5">
        <w:t xml:space="preserve"> beta adjustment</w:t>
      </w:r>
      <w:r>
        <w:t xml:space="preserve"> might be appropriate</w:t>
      </w:r>
      <w:r w:rsidRPr="00EE18E5">
        <w:t xml:space="preserve"> </w:t>
      </w:r>
      <w:r>
        <w:t>if</w:t>
      </w:r>
      <w:r w:rsidRPr="00EE18E5">
        <w:t xml:space="preserve"> bias in beta </w:t>
      </w:r>
      <w:r>
        <w:t>was</w:t>
      </w:r>
      <w:r w:rsidRPr="00EE18E5">
        <w:t xml:space="preserve"> causing </w:t>
      </w:r>
      <w:r>
        <w:t>any</w:t>
      </w:r>
      <w:r w:rsidRPr="00EE18E5">
        <w:t xml:space="preserve"> for</w:t>
      </w:r>
      <w:r>
        <w:t>ecast error. However, w</w:t>
      </w:r>
      <w:r w:rsidRPr="00EE18E5">
        <w:t xml:space="preserve">e have </w:t>
      </w:r>
      <w:r>
        <w:t>not seen</w:t>
      </w:r>
      <w:r w:rsidRPr="00EE18E5">
        <w:t xml:space="preserve"> any convincing evidence that it is a bias in beta that is causing </w:t>
      </w:r>
      <w:r>
        <w:t>any</w:t>
      </w:r>
      <w:r w:rsidRPr="00EE18E5">
        <w:t xml:space="preserve"> forecast error.</w:t>
      </w:r>
      <w:r>
        <w:rPr>
          <w:rStyle w:val="FootnoteReference"/>
        </w:rPr>
        <w:footnoteReference w:id="217"/>
      </w:r>
    </w:p>
    <w:p w:rsidR="00CE6F2A" w:rsidRDefault="00CE6F2A" w:rsidP="00CE6F2A">
      <w:pPr>
        <w:pStyle w:val="AERbulletlistfirststyle"/>
      </w:pPr>
      <w:r>
        <w:t>We find no evidence in HoustonKemp, or elsewhere that any bias is due to a bias in the estimate of beta.</w:t>
      </w:r>
      <w:r>
        <w:rPr>
          <w:rStyle w:val="FootnoteReference"/>
        </w:rPr>
        <w:footnoteReference w:id="218"/>
      </w:r>
      <w:r>
        <w:t xml:space="preserve"> </w:t>
      </w:r>
    </w:p>
    <w:p w:rsidR="00CE6F2A" w:rsidRDefault="00CE6F2A" w:rsidP="00CE6F2A">
      <w:pPr>
        <w:pStyle w:val="HeadingOrange"/>
      </w:pPr>
      <w:r>
        <w:t>Ex-post adjustment</w:t>
      </w:r>
    </w:p>
    <w:p w:rsidR="00CE6F2A" w:rsidRDefault="00CE6F2A" w:rsidP="00CE6F2A">
      <w:r>
        <w:t>Multinet acknowledged our Guideline and right to exercise judgement but claims that it is difficult to follow our approach when adjusting the new mean beta of 0.7.</w:t>
      </w:r>
      <w:r>
        <w:rPr>
          <w:rStyle w:val="FootnoteReference"/>
        </w:rPr>
        <w:footnoteReference w:id="219"/>
      </w:r>
      <w:r>
        <w:t xml:space="preserve"> It stated that realised returns should therefore be used to adjust the Sharpe-Lintner CAPM to avoid relying on sole judgement.</w:t>
      </w:r>
      <w:r>
        <w:rPr>
          <w:rStyle w:val="FootnoteReference"/>
        </w:rPr>
        <w:footnoteReference w:id="220"/>
      </w:r>
      <w:r>
        <w:t xml:space="preserve"> </w:t>
      </w:r>
      <w:r>
        <w:rPr>
          <w:rStyle w:val="FootnoteReference"/>
        </w:rPr>
        <w:footnoteReference w:id="221"/>
      </w:r>
      <w:r>
        <w:t xml:space="preserve"> </w:t>
      </w:r>
    </w:p>
    <w:p w:rsidR="00CE6F2A" w:rsidRDefault="00CE6F2A" w:rsidP="00CE6F2A">
      <w:r>
        <w:t>We disagree with a mean beta of 0.7 (as noted above). We have consistently and transparently explained our Guideline approach for estimating the equity beta as noted above, in our Guideline and previous regulatory decisions.</w:t>
      </w:r>
      <w:r>
        <w:rPr>
          <w:rStyle w:val="FootnoteReference"/>
        </w:rPr>
        <w:footnoteReference w:id="222"/>
      </w:r>
      <w:r>
        <w:t xml:space="preserve"> We did not, and do not, adjust the equity beta. For more detailed discussion on equity beta, see section </w:t>
      </w:r>
      <w:r>
        <w:fldChar w:fldCharType="begin"/>
      </w:r>
      <w:r>
        <w:instrText xml:space="preserve"> REF _Ref430958591 \r \h </w:instrText>
      </w:r>
      <w:r>
        <w:fldChar w:fldCharType="separate"/>
      </w:r>
      <w:r w:rsidR="002C24D6">
        <w:t>3.4.1</w:t>
      </w:r>
      <w:r>
        <w:fldChar w:fldCharType="end"/>
      </w:r>
      <w:r>
        <w:t xml:space="preserve"> ('estimating the equity beta'), </w:t>
      </w:r>
      <w:r>
        <w:fldChar w:fldCharType="begin"/>
      </w:r>
      <w:r>
        <w:instrText xml:space="preserve"> REF _Ref478460051 \r \h </w:instrText>
      </w:r>
      <w:r>
        <w:fldChar w:fldCharType="separate"/>
      </w:r>
      <w:r w:rsidR="002C24D6">
        <w:t>G</w:t>
      </w:r>
      <w:r>
        <w:fldChar w:fldCharType="end"/>
      </w:r>
      <w:r>
        <w:t xml:space="preserve"> and </w:t>
      </w:r>
      <w:r>
        <w:fldChar w:fldCharType="begin"/>
      </w:r>
      <w:r>
        <w:instrText xml:space="preserve"> REF _Ref483299544 \r \h </w:instrText>
      </w:r>
      <w:r>
        <w:fldChar w:fldCharType="separate"/>
      </w:r>
      <w:r w:rsidR="002C24D6">
        <w:t>H</w:t>
      </w:r>
      <w:r>
        <w:fldChar w:fldCharType="end"/>
      </w:r>
      <w:r>
        <w:t>.</w:t>
      </w:r>
    </w:p>
    <w:p w:rsidR="00CE6F2A" w:rsidRDefault="00CE6F2A" w:rsidP="00CE6F2A">
      <w:r>
        <w:t>We note the use of ex-post data to compute adjustments is not dissimilar to previous regulatory processes where service providers submitted on the empirical performance of the Sharpe-Lintner CAPM and proposed use (or elements) of the Black CAPM and Fama-French model for estimating the return on equity.</w:t>
      </w:r>
      <w:r>
        <w:rPr>
          <w:rStyle w:val="FootnoteReference"/>
        </w:rPr>
        <w:footnoteReference w:id="223"/>
      </w:r>
      <w:r>
        <w:t xml:space="preserve"> These models effectively use ex-post data (in combination with additional assumptions) to adjust the Sharpe-Lintner CAPM by including additional terms (for example, the Fama-French model adds size and value terms) or changing certain terms (for example the Black CAPM replaces the risk free rate with the zero beta rate). </w:t>
      </w:r>
    </w:p>
    <w:p w:rsidR="00CE6F2A" w:rsidRDefault="00CE6F2A" w:rsidP="00CE6F2A">
      <w:pPr>
        <w:numPr>
          <w:ilvl w:val="0"/>
          <w:numId w:val="24"/>
        </w:numPr>
      </w:pPr>
      <w:r>
        <w:t>We do not agree with Multinet's proposed use of ex-post data. Such a method assumes that 'markets are efficient and in equilibrium, hence realised returns are an appropriate benchmark'.</w:t>
      </w:r>
      <w:r>
        <w:rPr>
          <w:rStyle w:val="FootnoteReference"/>
        </w:rPr>
        <w:footnoteReference w:id="224"/>
      </w:r>
      <w:r>
        <w:t xml:space="preserve"> However, </w:t>
      </w:r>
      <w:r w:rsidR="0011699D">
        <w:t xml:space="preserve">as noted above, </w:t>
      </w:r>
      <w:r>
        <w:t xml:space="preserve">expected returns can diverge from realised returns over a persistent period of time, markets can be in disequilibrium </w:t>
      </w:r>
      <w:r w:rsidR="00FD04E8">
        <w:t xml:space="preserve">and expectations are </w:t>
      </w:r>
      <w:r>
        <w:t>not always realised</w:t>
      </w:r>
      <w:r w:rsidR="00741ED0">
        <w:t xml:space="preserve"> even on average</w:t>
      </w:r>
      <w:r>
        <w:t>.</w:t>
      </w:r>
      <w:r>
        <w:rPr>
          <w:rStyle w:val="FootnoteReference"/>
        </w:rPr>
        <w:footnoteReference w:id="225"/>
      </w:r>
      <w:r>
        <w:t xml:space="preserve"> Partington and Satchell advised that 'the idea that markets are continuously efficient and in equilibrium is increasingly challenged by the proponents of behavioural finance and of course by practitioners who seek to profit by earning alpha (abnormal returns)'.</w:t>
      </w:r>
      <w:r>
        <w:rPr>
          <w:rStyle w:val="FootnoteReference"/>
        </w:rPr>
        <w:footnoteReference w:id="226"/>
      </w:r>
      <w:r>
        <w:t xml:space="preserve"> </w:t>
      </w:r>
    </w:p>
    <w:p w:rsidR="00CE6F2A" w:rsidRDefault="00CE6F2A" w:rsidP="00CE6F2A">
      <w:pPr>
        <w:pStyle w:val="HeadingOrange"/>
        <w:numPr>
          <w:ilvl w:val="0"/>
          <w:numId w:val="24"/>
        </w:numPr>
      </w:pPr>
      <w:r>
        <w:t>Expected equilibrium return framework</w:t>
      </w:r>
    </w:p>
    <w:p w:rsidR="00CE6F2A" w:rsidRPr="00CE6F2A" w:rsidRDefault="00CE6F2A" w:rsidP="00013867">
      <w:pPr>
        <w:pStyle w:val="AERbulletlistfirststyle"/>
        <w:numPr>
          <w:ilvl w:val="0"/>
          <w:numId w:val="0"/>
        </w:numPr>
      </w:pPr>
      <w:r>
        <w:t xml:space="preserve">Multinet </w:t>
      </w:r>
      <w:r w:rsidRPr="00CE6F2A">
        <w:t>claimed that we adopt an 'expected equilibrium returns' framework which limits consideration of empirical data and raises the following issues:</w:t>
      </w:r>
      <w:r w:rsidRPr="00CE6F2A">
        <w:rPr>
          <w:rStyle w:val="FootnoteReference"/>
        </w:rPr>
        <w:footnoteReference w:id="227"/>
      </w:r>
    </w:p>
    <w:p w:rsidR="00CE6F2A" w:rsidRDefault="00CE6F2A" w:rsidP="00CE6F2A">
      <w:pPr>
        <w:pStyle w:val="AERbulletlistfirststyle"/>
      </w:pPr>
      <w:r>
        <w:t>Rejection of information from realised returns</w:t>
      </w:r>
      <w:r>
        <w:rPr>
          <w:rStyle w:val="FootnoteReference"/>
        </w:rPr>
        <w:footnoteReference w:id="228"/>
      </w:r>
    </w:p>
    <w:p w:rsidR="00CE6F2A" w:rsidRDefault="00CE6F2A" w:rsidP="00CE6F2A">
      <w:pPr>
        <w:pStyle w:val="AERbulletlistfirststyle"/>
      </w:pPr>
      <w:r>
        <w:t>There is a range of equilibrium models and the AER should explain equilibrium it is aiming for when selecting models. The AER should also use models that are supported by historical data.</w:t>
      </w:r>
      <w:r>
        <w:rPr>
          <w:rStyle w:val="FootnoteReference"/>
        </w:rPr>
        <w:footnoteReference w:id="229"/>
      </w:r>
    </w:p>
    <w:p w:rsidR="00CE6F2A" w:rsidRDefault="00CE6F2A" w:rsidP="00CE6F2A">
      <w:pPr>
        <w:pStyle w:val="AERbulletlistfirststyle"/>
      </w:pPr>
      <w:r>
        <w:t>The regulatory task does not discuss requiring equilibrium returns or returns which are based upon the equilibrium forecast by a particular model.</w:t>
      </w:r>
      <w:r>
        <w:rPr>
          <w:rStyle w:val="FootnoteReference"/>
        </w:rPr>
        <w:footnoteReference w:id="230"/>
      </w:r>
    </w:p>
    <w:p w:rsidR="00CE6F2A" w:rsidRDefault="00CE6F2A" w:rsidP="00CE6F2A">
      <w:pPr>
        <w:pStyle w:val="AERbulletlistfirststyle"/>
      </w:pPr>
      <w:r>
        <w:t>The issue of choosing a parameter based on historical data if the return on equity is not in equilibrium over the same period. This would result in the AER setting the parameter from 'first principles' based on regulatory judgement which is unlikely to be the 'stable, predictable regulatory approach favoured by the AER.</w:t>
      </w:r>
      <w:r>
        <w:rPr>
          <w:rStyle w:val="FootnoteReference"/>
        </w:rPr>
        <w:footnoteReference w:id="231"/>
      </w:r>
    </w:p>
    <w:p w:rsidR="00CE6F2A" w:rsidRDefault="00CE6F2A" w:rsidP="00CE6F2A">
      <w:pPr>
        <w:pStyle w:val="AERbulletlistfirststyle"/>
      </w:pPr>
      <w:r>
        <w:t xml:space="preserve">A test to determine whether the market is in or out of equilibrium requires a joint test of </w:t>
      </w:r>
      <w:r w:rsidR="001008D7">
        <w:t>equilibrium</w:t>
      </w:r>
      <w:r>
        <w:t xml:space="preserve"> and a pricing model. It is difficult to conclude if the market is out of equilibrium or the model is untrue.</w:t>
      </w:r>
      <w:r>
        <w:rPr>
          <w:rStyle w:val="FootnoteReference"/>
        </w:rPr>
        <w:footnoteReference w:id="232"/>
      </w:r>
    </w:p>
    <w:p w:rsidR="00CE6F2A" w:rsidRPr="00CE6F2A" w:rsidRDefault="00CE6F2A" w:rsidP="00013867">
      <w:pPr>
        <w:pStyle w:val="AERbulletlistfirststyle"/>
        <w:numPr>
          <w:ilvl w:val="0"/>
          <w:numId w:val="0"/>
        </w:numPr>
      </w:pPr>
      <w:r w:rsidRPr="0001212D">
        <w:t>We disagree</w:t>
      </w:r>
      <w:r w:rsidRPr="00CE6F2A">
        <w:t xml:space="preserve"> with Multinet's mischaracterisations. </w:t>
      </w:r>
    </w:p>
    <w:p w:rsidR="00CE6F2A" w:rsidRPr="00CE6F2A" w:rsidRDefault="00CE6F2A" w:rsidP="00013867">
      <w:pPr>
        <w:pStyle w:val="AERbulletlistfirststyle"/>
        <w:numPr>
          <w:ilvl w:val="0"/>
          <w:numId w:val="0"/>
        </w:numPr>
      </w:pPr>
      <w:r w:rsidRPr="0001212D">
        <w:t xml:space="preserve">Multinet appears to have misinterpreted our regulatory task or misunderstood our approach. </w:t>
      </w:r>
    </w:p>
    <w:p w:rsidR="00CE6F2A" w:rsidRPr="00CE6F2A" w:rsidRDefault="00CE6F2A" w:rsidP="00013867">
      <w:pPr>
        <w:pStyle w:val="AERbulletlistfirststyle"/>
        <w:numPr>
          <w:ilvl w:val="0"/>
          <w:numId w:val="0"/>
        </w:numPr>
      </w:pPr>
      <w:r w:rsidRPr="0001212D">
        <w:t>We do not reject information from realised returns as Multinet alleges.</w:t>
      </w:r>
      <w:r w:rsidRPr="00CE6F2A">
        <w:t xml:space="preserve"> However, we do not agree using it for assessing asset models.</w:t>
      </w:r>
      <w:r w:rsidRPr="00CE6F2A">
        <w:rPr>
          <w:rStyle w:val="FootnoteReference"/>
        </w:rPr>
        <w:footnoteReference w:id="233"/>
      </w:r>
      <w:r w:rsidRPr="00CE6F2A">
        <w:t xml:space="preserve"> Realised returns are typically submitted as part of tests of asset model performance.</w:t>
      </w:r>
      <w:r w:rsidRPr="00CE6F2A">
        <w:rPr>
          <w:rStyle w:val="FootnoteReference"/>
        </w:rPr>
        <w:footnoteReference w:id="234"/>
      </w:r>
      <w:r w:rsidRPr="00CE6F2A">
        <w:t xml:space="preserve"> Realised returns can diverge from expected returns myriad reasons (as noted above) and may not always be realised. This raises questions about adjustments based on realised returns.</w:t>
      </w:r>
    </w:p>
    <w:p w:rsidR="00CE6F2A" w:rsidRPr="00CE6F2A" w:rsidRDefault="00CE6F2A" w:rsidP="00013867">
      <w:pPr>
        <w:pStyle w:val="AERbulletlistfirststyle"/>
        <w:numPr>
          <w:ilvl w:val="0"/>
          <w:numId w:val="0"/>
        </w:numPr>
      </w:pPr>
      <w:r>
        <w:t>W</w:t>
      </w:r>
      <w:r w:rsidRPr="00CE6F2A">
        <w:t xml:space="preserve">e note that there are issues with empirical tests of asset model performance (see above and section </w:t>
      </w:r>
      <w:r w:rsidRPr="00CE6F2A">
        <w:fldChar w:fldCharType="begin"/>
      </w:r>
      <w:r w:rsidRPr="00CE6F2A">
        <w:instrText xml:space="preserve"> REF _Ref449004969 \r \h </w:instrText>
      </w:r>
      <w:r w:rsidRPr="00CE6F2A">
        <w:fldChar w:fldCharType="separate"/>
      </w:r>
      <w:r w:rsidR="002C24D6">
        <w:t>B.1.2</w:t>
      </w:r>
      <w:r w:rsidRPr="00CE6F2A">
        <w:fldChar w:fldCharType="end"/>
      </w:r>
      <w:r w:rsidRPr="00CE6F2A">
        <w:t xml:space="preserve">) which cast doubt on the usefulness of realised returns for assessing asset models. For example, </w:t>
      </w:r>
      <w:r w:rsidR="0011699D">
        <w:t>Multinet</w:t>
      </w:r>
      <w:r w:rsidRPr="00CE6F2A">
        <w:t xml:space="preserve"> is testing the model against actual outcomes which can capture a range of additional factors such as outperformance and economics shocks. </w:t>
      </w:r>
    </w:p>
    <w:p w:rsidR="00CE6F2A" w:rsidRPr="00CE6F2A" w:rsidRDefault="00CE6F2A" w:rsidP="00013867">
      <w:pPr>
        <w:pStyle w:val="AERbulletlistfirststyle"/>
        <w:numPr>
          <w:ilvl w:val="0"/>
          <w:numId w:val="0"/>
        </w:numPr>
      </w:pPr>
      <w:r w:rsidRPr="00A36024">
        <w:t>However, we do not disregard realised returns.</w:t>
      </w:r>
      <w:r w:rsidRPr="00CE6F2A">
        <w:t xml:space="preserve"> We have assessed that historical excess return is suitable for estimating when estimating forward looking parameters for the Sharpe-Lintner CAPM and give it appropriate regard consistent with its merits.</w:t>
      </w:r>
      <w:r w:rsidRPr="00CE6F2A">
        <w:rPr>
          <w:rStyle w:val="FootnoteReference"/>
        </w:rPr>
        <w:footnoteReference w:id="235"/>
      </w:r>
    </w:p>
    <w:p w:rsidR="00CE6F2A" w:rsidRPr="00CE6F2A" w:rsidRDefault="00CE6F2A" w:rsidP="00013867">
      <w:pPr>
        <w:pStyle w:val="AERbulletlistfirststyle"/>
        <w:numPr>
          <w:ilvl w:val="0"/>
          <w:numId w:val="0"/>
        </w:numPr>
      </w:pPr>
      <w:r w:rsidRPr="0001212D">
        <w:t xml:space="preserve">Just as Multinet has observed, our regulatory task is to estimate the required return on equity for the benchmark efficient entity with a similar degree of risk as Multinet in supplying the </w:t>
      </w:r>
      <w:r w:rsidR="006B3297">
        <w:t>reference</w:t>
      </w:r>
      <w:r w:rsidRPr="0001212D">
        <w:t xml:space="preserve"> services.</w:t>
      </w:r>
      <w:r w:rsidRPr="00CE6F2A">
        <w:rPr>
          <w:rStyle w:val="FootnoteReference"/>
        </w:rPr>
        <w:footnoteReference w:id="236"/>
      </w:r>
      <w:r w:rsidRPr="00CE6F2A">
        <w:t xml:space="preserve"> This must provide ex-ante compensation for efficient financing costs as our regulatory regime is an ex-ante (forward looking) regime.</w:t>
      </w:r>
      <w:r w:rsidRPr="00CE6F2A">
        <w:rPr>
          <w:rStyle w:val="FootnoteReference"/>
        </w:rPr>
        <w:footnoteReference w:id="237"/>
      </w:r>
      <w:r w:rsidRPr="00CE6F2A">
        <w:t xml:space="preserve"> </w:t>
      </w:r>
      <w:r w:rsidRPr="00CE6F2A">
        <w:rPr>
          <w:rStyle w:val="FootnoteReference"/>
        </w:rPr>
        <w:footnoteReference w:id="238"/>
      </w:r>
    </w:p>
    <w:p w:rsidR="00CE6F2A" w:rsidRPr="00CE6F2A" w:rsidRDefault="00CE6F2A" w:rsidP="00013867">
      <w:pPr>
        <w:pStyle w:val="AERbulletlistfirststyle"/>
        <w:numPr>
          <w:ilvl w:val="0"/>
          <w:numId w:val="0"/>
        </w:numPr>
      </w:pPr>
      <w:r w:rsidRPr="00A36024">
        <w:t xml:space="preserve">We have </w:t>
      </w:r>
      <w:r w:rsidRPr="00CE6F2A">
        <w:t>consistently and transparently assessed a range of equity models based on their merits and suitability for our regulatory task when developing our Guideline and in subsequent regulatory decisions. We determined that the Sharpe-Lintner CAPM should be used as the foundation model for estimating the return on equity because it will contribute to the achievement of the ARORO.</w:t>
      </w:r>
      <w:r w:rsidRPr="00CE6F2A">
        <w:rPr>
          <w:rStyle w:val="FootnoteReference"/>
        </w:rPr>
        <w:footnoteReference w:id="239"/>
      </w:r>
      <w:r w:rsidRPr="00CE6F2A">
        <w:t xml:space="preserve"> </w:t>
      </w:r>
      <w:r w:rsidRPr="00CE6F2A">
        <w:rPr>
          <w:rStyle w:val="AERbody"/>
        </w:rPr>
        <w:t xml:space="preserve">The Tribunal has upheld our use of the Sharpe-Lintner CAPM. </w:t>
      </w:r>
      <w:r w:rsidRPr="00CE6F2A">
        <w:t>Expert advice from John Handley and Graham Partington supports our use of the Sharpe-Lintner CAPM.</w:t>
      </w:r>
      <w:r w:rsidRPr="00CE6F2A">
        <w:rPr>
          <w:rStyle w:val="FootnoteReference"/>
        </w:rPr>
        <w:footnoteReference w:id="240"/>
      </w:r>
      <w:r w:rsidRPr="00CE6F2A">
        <w:t xml:space="preserve"> The current service providers have also adopted the Sharpe-Lintner CAPM as the foundation model for estimating the return on equity.</w:t>
      </w:r>
      <w:r w:rsidRPr="00CE6F2A">
        <w:rPr>
          <w:rStyle w:val="FootnoteReference"/>
        </w:rPr>
        <w:footnoteReference w:id="241"/>
      </w:r>
      <w:r w:rsidRPr="00CE6F2A">
        <w:t xml:space="preserve"> Further, there are a range of issues with using data to test and adjust the Sharpe-Lintner CAPM noted above.</w:t>
      </w:r>
    </w:p>
    <w:p w:rsidR="00CE6F2A" w:rsidRDefault="00CE6F2A" w:rsidP="00013867">
      <w:pPr>
        <w:pStyle w:val="AERbulletlistfirststyle"/>
        <w:numPr>
          <w:ilvl w:val="0"/>
          <w:numId w:val="0"/>
        </w:numPr>
      </w:pPr>
      <w:r>
        <w:t>We agree that the</w:t>
      </w:r>
      <w:r w:rsidRPr="00CE6F2A">
        <w:t xml:space="preserve"> regulatory task does not specify an equilibrium rate of return. Our assessment of the various equity models and material submitted to us is based on their merits and suitability for our regulatory task. </w:t>
      </w:r>
      <w:r w:rsidR="002B346F">
        <w:t xml:space="preserve">To that end we deploy the Sharpe-Lintner CAPM for the reasons extensively discussed in this </w:t>
      </w:r>
      <w:r w:rsidR="001008D7">
        <w:t>decision</w:t>
      </w:r>
      <w:r w:rsidR="002B346F">
        <w:t xml:space="preserve"> and all previous decisions including our </w:t>
      </w:r>
      <w:r w:rsidR="004E60A4">
        <w:t>Guideline</w:t>
      </w:r>
      <w:r w:rsidR="002B346F">
        <w:t xml:space="preserve">. We have again considered its use in light of HoustonKemp's recent report and our considerations are set out in section </w:t>
      </w:r>
      <w:r w:rsidR="002B346F">
        <w:fldChar w:fldCharType="begin"/>
      </w:r>
      <w:r w:rsidR="002B346F">
        <w:instrText xml:space="preserve"> REF _Ref448871343 \r \h </w:instrText>
      </w:r>
      <w:r w:rsidR="002B346F">
        <w:fldChar w:fldCharType="separate"/>
      </w:r>
      <w:r w:rsidR="002C24D6">
        <w:t>A</w:t>
      </w:r>
      <w:r w:rsidR="002B346F">
        <w:fldChar w:fldCharType="end"/>
      </w:r>
      <w:r w:rsidR="002B346F">
        <w:t xml:space="preserve"> and </w:t>
      </w:r>
      <w:r w:rsidR="002B346F">
        <w:fldChar w:fldCharType="begin"/>
      </w:r>
      <w:r w:rsidR="002B346F">
        <w:instrText xml:space="preserve"> REF _Ref451685041 \r \h </w:instrText>
      </w:r>
      <w:r w:rsidR="002B346F">
        <w:fldChar w:fldCharType="separate"/>
      </w:r>
      <w:r w:rsidR="002C24D6">
        <w:t>B</w:t>
      </w:r>
      <w:r w:rsidR="002B346F">
        <w:fldChar w:fldCharType="end"/>
      </w:r>
      <w:r w:rsidR="002B346F">
        <w:t>.</w:t>
      </w:r>
    </w:p>
    <w:p w:rsidR="002B346F" w:rsidRDefault="00CE6F2A" w:rsidP="00013867">
      <w:pPr>
        <w:pStyle w:val="AERbulletlistfirststyle"/>
        <w:numPr>
          <w:ilvl w:val="0"/>
          <w:numId w:val="0"/>
        </w:numPr>
      </w:pPr>
      <w:r w:rsidRPr="0001212D">
        <w:t xml:space="preserve">It </w:t>
      </w:r>
      <w:r w:rsidRPr="00CE6F2A">
        <w:t>is also not clear Multinet's concern with selecting parameters as it acknowledged that it could not truly test if the market is out of equilibrium.</w:t>
      </w:r>
      <w:r w:rsidRPr="00CE6F2A">
        <w:rPr>
          <w:rStyle w:val="FootnoteReference"/>
        </w:rPr>
        <w:footnoteReference w:id="242"/>
      </w:r>
      <w:r w:rsidRPr="00CE6F2A">
        <w:t xml:space="preserve"> </w:t>
      </w:r>
    </w:p>
    <w:p w:rsidR="002B346F" w:rsidRDefault="002B346F" w:rsidP="00013867">
      <w:pPr>
        <w:pStyle w:val="AERbulletlistfirststyle"/>
        <w:numPr>
          <w:ilvl w:val="0"/>
          <w:numId w:val="0"/>
        </w:numPr>
      </w:pPr>
      <w:r>
        <w:rPr>
          <w:rStyle w:val="AERbody"/>
        </w:rPr>
        <w:t xml:space="preserve">In terms of the equity beta, </w:t>
      </w:r>
      <w:r w:rsidR="00991929">
        <w:rPr>
          <w:rStyle w:val="AERbody"/>
        </w:rPr>
        <w:t>o</w:t>
      </w:r>
      <w:r w:rsidR="00991929" w:rsidRPr="00991929">
        <w:rPr>
          <w:rStyle w:val="AERbody"/>
        </w:rPr>
        <w:t xml:space="preserve">ur </w:t>
      </w:r>
      <w:r w:rsidR="00991929" w:rsidRPr="00991929">
        <w:t>approach of empirically estimating beta</w:t>
      </w:r>
      <w:r w:rsidR="00077F0D">
        <w:t xml:space="preserve"> using historical data</w:t>
      </w:r>
      <w:r w:rsidR="00991929" w:rsidRPr="00991929">
        <w:t xml:space="preserve"> is widely used both in practice and in academic work.</w:t>
      </w:r>
      <w:r w:rsidR="00991929">
        <w:t xml:space="preserve"> T</w:t>
      </w:r>
      <w:r w:rsidRPr="00013867">
        <w:rPr>
          <w:rStyle w:val="AERbody"/>
        </w:rPr>
        <w:t xml:space="preserve">he fact that realised returns can diverge from expected returns for a long period of time </w:t>
      </w:r>
      <w:r w:rsidR="001008D7" w:rsidRPr="002B346F">
        <w:rPr>
          <w:rStyle w:val="AERbody"/>
        </w:rPr>
        <w:t>do</w:t>
      </w:r>
      <w:r w:rsidRPr="00013867">
        <w:rPr>
          <w:rStyle w:val="AERbody"/>
        </w:rPr>
        <w:t xml:space="preserve"> not invalidate the equity beta data during that period.</w:t>
      </w:r>
      <w:r>
        <w:rPr>
          <w:rStyle w:val="AERbody"/>
        </w:rPr>
        <w:t xml:space="preserve"> </w:t>
      </w:r>
      <w:r w:rsidRPr="00013867">
        <w:rPr>
          <w:rStyle w:val="AERbody"/>
        </w:rPr>
        <w:t>That is, it still measures the sensitivity of an asset or business's returns to movements in the overall market returns at a given period/time.</w:t>
      </w:r>
      <w:r w:rsidR="00991929">
        <w:rPr>
          <w:rStyle w:val="AERbody"/>
        </w:rPr>
        <w:t xml:space="preserve"> </w:t>
      </w:r>
    </w:p>
    <w:p w:rsidR="00CE6F2A" w:rsidRPr="00CE6F2A" w:rsidRDefault="00991929" w:rsidP="00013867">
      <w:pPr>
        <w:pStyle w:val="AERbulletlistfirststyle"/>
        <w:numPr>
          <w:ilvl w:val="0"/>
          <w:numId w:val="0"/>
        </w:numPr>
      </w:pPr>
      <w:r>
        <w:t>Multinet's</w:t>
      </w:r>
      <w:r w:rsidR="00CE6F2A" w:rsidRPr="00CE6F2A">
        <w:t xml:space="preserve"> concern would </w:t>
      </w:r>
      <w:r>
        <w:t xml:space="preserve">also </w:t>
      </w:r>
      <w:r w:rsidR="00CE6F2A" w:rsidRPr="00CE6F2A">
        <w:t xml:space="preserve">apply to every model including Multinet's proposal. The issue can be resolved by assuming that historical returns are equivalent to </w:t>
      </w:r>
      <w:r w:rsidR="001008D7" w:rsidRPr="00CE6F2A">
        <w:t>equilibrium</w:t>
      </w:r>
      <w:r w:rsidR="00CE6F2A" w:rsidRPr="00CE6F2A">
        <w:t xml:space="preserve"> expected returns. However, there are a range of issues with this assumptions and even Multinet has acknowledged the two are not equivalent.</w:t>
      </w:r>
      <w:r w:rsidR="00CE6F2A" w:rsidRPr="00CE6F2A">
        <w:rPr>
          <w:rStyle w:val="FootnoteReference"/>
        </w:rPr>
        <w:footnoteReference w:id="243"/>
      </w:r>
      <w:r w:rsidR="00CE6F2A" w:rsidRPr="00CE6F2A">
        <w:t xml:space="preserve"> </w:t>
      </w:r>
    </w:p>
    <w:p w:rsidR="00CE6F2A" w:rsidRPr="00CE6F2A" w:rsidRDefault="002B346F" w:rsidP="00013867">
      <w:pPr>
        <w:pStyle w:val="AERbulletlistfirststyle"/>
        <w:numPr>
          <w:ilvl w:val="0"/>
          <w:numId w:val="0"/>
        </w:numPr>
      </w:pPr>
      <w:r>
        <w:t xml:space="preserve">In all, </w:t>
      </w:r>
      <w:r w:rsidR="00CE6F2A">
        <w:t xml:space="preserve">Multinet's </w:t>
      </w:r>
      <w:r w:rsidR="00CE6F2A" w:rsidRPr="00CE6F2A">
        <w:t xml:space="preserve">submission on the equilibrium expected return appears puzzling. Every model entails its own (and potentially unique) assumptions and equilibrium. Therefore, the use of any equity model entails (explicitly or otherwise) an 'expected equilibrium return'. </w:t>
      </w:r>
      <w:r w:rsidR="000E75FA">
        <w:t xml:space="preserve">Despite claiming otherwise, </w:t>
      </w:r>
      <w:r w:rsidR="00CE6F2A" w:rsidRPr="00CE6F2A">
        <w:t>Multinet's model</w:t>
      </w:r>
      <w:r w:rsidR="000E75FA">
        <w:t xml:space="preserve"> (implicitly)</w:t>
      </w:r>
      <w:r w:rsidR="00CE6F2A" w:rsidRPr="00CE6F2A">
        <w:t xml:space="preserve"> assumes markets are efficient and in equilibrium, historical</w:t>
      </w:r>
      <w:r w:rsidR="000E75FA">
        <w:t>/realised</w:t>
      </w:r>
      <w:r w:rsidR="00CE6F2A" w:rsidRPr="00CE6F2A">
        <w:t xml:space="preserve"> returns are an appropriate benchmark and an alpha term to account for statistically significant</w:t>
      </w:r>
      <w:r w:rsidR="00CE6F2A" w:rsidRPr="00CE6F2A">
        <w:rPr>
          <w:rStyle w:val="FootnoteReference"/>
        </w:rPr>
        <w:footnoteReference w:id="244"/>
      </w:r>
      <w:r w:rsidR="00CE6F2A" w:rsidRPr="00CE6F2A">
        <w:t xml:space="preserve"> differences between Sharpe-Lintner CAPM estimates and realised returns.</w:t>
      </w:r>
      <w:r w:rsidR="00CE6F2A" w:rsidRPr="00CE6F2A">
        <w:rPr>
          <w:rStyle w:val="FootnoteReference"/>
        </w:rPr>
        <w:footnoteReference w:id="245"/>
      </w:r>
      <w:r w:rsidR="00CE6F2A" w:rsidRPr="00CE6F2A">
        <w:t xml:space="preserve"> This ignores periods of disequilibrium and </w:t>
      </w:r>
      <w:r w:rsidR="0048386E">
        <w:t xml:space="preserve">that </w:t>
      </w:r>
      <w:r w:rsidR="00CE6F2A" w:rsidRPr="00CE6F2A">
        <w:t>expectations are not always realised even on average (due to shocks or other factors).</w:t>
      </w:r>
      <w:r w:rsidR="00CE6F2A" w:rsidRPr="00CE6F2A">
        <w:rPr>
          <w:rStyle w:val="FootnoteReference"/>
        </w:rPr>
        <w:footnoteReference w:id="246"/>
      </w:r>
    </w:p>
    <w:p w:rsidR="00CE6F2A" w:rsidRPr="00CE6F2A" w:rsidRDefault="00CE6F2A" w:rsidP="00013867">
      <w:pPr>
        <w:pStyle w:val="AERbulletlistfirststyle"/>
        <w:numPr>
          <w:ilvl w:val="0"/>
          <w:numId w:val="0"/>
        </w:numPr>
      </w:pPr>
      <w:r w:rsidRPr="00CE6F2A">
        <w:t>Multinet itself acknowledge</w:t>
      </w:r>
      <w:r w:rsidR="00050EE0">
        <w:t>d</w:t>
      </w:r>
      <w:r w:rsidRPr="00CE6F2A">
        <w:t xml:space="preserve"> that it does not 'confuse realised returns with expected returns'.</w:t>
      </w:r>
      <w:r w:rsidRPr="00CE6F2A">
        <w:rPr>
          <w:rStyle w:val="FootnoteReference"/>
        </w:rPr>
        <w:footnoteReference w:id="247"/>
      </w:r>
      <w:r w:rsidRPr="00CE6F2A">
        <w:t xml:space="preserve"> </w:t>
      </w:r>
      <w:r w:rsidR="00786686">
        <w:t>I</w:t>
      </w:r>
      <w:r w:rsidRPr="00CE6F2A">
        <w:t>t is not cle</w:t>
      </w:r>
      <w:r w:rsidR="00786686">
        <w:t xml:space="preserve">ar why it is adding its alpha estimate, which is </w:t>
      </w:r>
      <w:r w:rsidR="000E75FA">
        <w:t xml:space="preserve">constructued </w:t>
      </w:r>
      <w:r w:rsidR="00050EE0">
        <w:t>from</w:t>
      </w:r>
      <w:r w:rsidR="000E75FA">
        <w:t xml:space="preserve"> realised</w:t>
      </w:r>
      <w:r w:rsidR="00A07CE8">
        <w:t xml:space="preserve"> returns</w:t>
      </w:r>
      <w:r w:rsidR="00050EE0">
        <w:t>,</w:t>
      </w:r>
      <w:r w:rsidR="00786686">
        <w:t xml:space="preserve"> to the expected returns from the Sharpe-Lintner CAPM</w:t>
      </w:r>
      <w:r w:rsidRPr="00CE6F2A">
        <w:t>.</w:t>
      </w:r>
      <w:r w:rsidRPr="00CE6F2A">
        <w:rPr>
          <w:rStyle w:val="FootnoteReference"/>
        </w:rPr>
        <w:footnoteReference w:id="248"/>
      </w:r>
      <w:r w:rsidRPr="00CE6F2A">
        <w:t xml:space="preserve"> </w:t>
      </w:r>
    </w:p>
    <w:p w:rsidR="00CE6F2A" w:rsidRDefault="00CE6F2A" w:rsidP="00CE6F2A">
      <w:pPr>
        <w:pStyle w:val="HeadingOrange"/>
      </w:pPr>
      <w:r>
        <w:t>HoustonKemp report</w:t>
      </w:r>
    </w:p>
    <w:p w:rsidR="00CE6F2A" w:rsidRDefault="00CE6F2A" w:rsidP="00CE6F2A">
      <w:pPr>
        <w:numPr>
          <w:ilvl w:val="0"/>
          <w:numId w:val="24"/>
        </w:numPr>
      </w:pPr>
      <w:r>
        <w:t>Multinet relied on a HoustonKemp report (dated November 2016) to estimate its proposed alpha term of 1.14 per cent.</w:t>
      </w:r>
      <w:r>
        <w:rPr>
          <w:rStyle w:val="FootnoteReference"/>
        </w:rPr>
        <w:footnoteReference w:id="249"/>
      </w:r>
      <w:r>
        <w:t xml:space="preserve"> Our consideration of the HoustonKemp report reveals that it effectively repeats a number of issues already considered in previous regulatory processes such as: </w:t>
      </w:r>
    </w:p>
    <w:p w:rsidR="00CE6F2A" w:rsidRDefault="00CE6F2A" w:rsidP="00CE6F2A">
      <w:pPr>
        <w:pStyle w:val="AERbulletlistfirststyle"/>
      </w:pPr>
      <w:r>
        <w:t>empirical</w:t>
      </w:r>
      <w:r w:rsidRPr="002C1DA6">
        <w:t xml:space="preserve"> </w:t>
      </w:r>
      <w:r>
        <w:t>tests</w:t>
      </w:r>
      <w:r w:rsidRPr="002C1DA6">
        <w:t xml:space="preserve"> </w:t>
      </w:r>
      <w:r>
        <w:t>suggesting</w:t>
      </w:r>
      <w:r w:rsidRPr="002C1DA6">
        <w:t xml:space="preserve"> that the Sharpe-Lintner CAPM is downwardly biased</w:t>
      </w:r>
      <w:r>
        <w:rPr>
          <w:rStyle w:val="FootnoteReference"/>
        </w:rPr>
        <w:footnoteReference w:id="250"/>
      </w:r>
    </w:p>
    <w:p w:rsidR="00DE7538" w:rsidRDefault="00CE6F2A" w:rsidP="00013867">
      <w:pPr>
        <w:pStyle w:val="AERbulletlistfirststyle"/>
      </w:pPr>
      <w:r>
        <w:t>an exercise to 'correct' the low-beta bias using ex-post returns through changing the Sharpe-Lintner CAPM</w:t>
      </w:r>
      <w:r>
        <w:rPr>
          <w:rStyle w:val="FootnoteReference"/>
        </w:rPr>
        <w:footnoteReference w:id="251"/>
      </w:r>
    </w:p>
    <w:p w:rsidR="00CE6F2A" w:rsidRPr="00CE6F2A" w:rsidRDefault="00CE6F2A" w:rsidP="00013867">
      <w:pPr>
        <w:pStyle w:val="AERbulletlistfirststyle"/>
        <w:numPr>
          <w:ilvl w:val="0"/>
          <w:numId w:val="0"/>
        </w:numPr>
      </w:pPr>
      <w:r>
        <w:t>We disagree</w:t>
      </w:r>
      <w:r w:rsidRPr="00CE6F2A">
        <w:t xml:space="preserve"> with HoustonKemp's conclusions. Partington and Satchell have advised that: </w:t>
      </w:r>
    </w:p>
    <w:p w:rsidR="00CE6F2A" w:rsidRDefault="00CE6F2A" w:rsidP="00CE6F2A">
      <w:pPr>
        <w:pStyle w:val="AERquote"/>
      </w:pPr>
      <w:r>
        <w:t>the view that Sharpe-Lintner CAPM returns are biased are likely influenced by the idea that markets are efficient and in equilibrium, hence realised returns are an appropriate benchmark. They also take as given that the method used in the analysis conducted by the researchers was correct. With respect to the former, the idea that markets are continuously efficient and in equilibrium is increasingly challenged by the proponents of behavioural finance and of course by practitioners who seek to profit by earning alpha (abnormal returns)…With respect to the research methods used, these have been challenged and the literature critical of the tests used in relation to asset pricing models continues to grow.</w:t>
      </w:r>
      <w:r w:rsidRPr="0074534A">
        <w:rPr>
          <w:rStyle w:val="FootnoteReference"/>
        </w:rPr>
        <w:footnoteReference w:id="252"/>
      </w:r>
    </w:p>
    <w:p w:rsidR="00CE6F2A" w:rsidRDefault="00CE6F2A" w:rsidP="00CE6F2A">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2C24D6">
        <w:t>B.1.2</w:t>
      </w:r>
      <w:r>
        <w:fldChar w:fldCharType="end"/>
      </w:r>
      <w:r>
        <w:t>. We do not consider that tests of asset model performance provide compelling evidence that the Sharpe-Lintner CAPM, when used as our foundation model in our foundation model approach, is downwardly biased. We also have concerns with HoustonKemp's methodology for estimating its alpha and beta adjustments because it is mechanistic and open to data mining.</w:t>
      </w:r>
    </w:p>
    <w:p w:rsidR="00CE6F2A" w:rsidRPr="00CE6F2A" w:rsidRDefault="00CE6F2A" w:rsidP="00013867">
      <w:pPr>
        <w:pStyle w:val="AERbulletlistfirststyle"/>
        <w:numPr>
          <w:ilvl w:val="0"/>
          <w:numId w:val="0"/>
        </w:numPr>
        <w:ind w:left="357" w:hanging="357"/>
      </w:pPr>
      <w:r>
        <w:t>We</w:t>
      </w:r>
      <w:r w:rsidRPr="00CE6F2A">
        <w:t xml:space="preserve"> discuss the HoustonKemp report in more detail in Appendix </w:t>
      </w:r>
      <w:r w:rsidRPr="00CE6F2A">
        <w:fldChar w:fldCharType="begin"/>
      </w:r>
      <w:r w:rsidRPr="00CE6F2A">
        <w:instrText xml:space="preserve"> REF _Ref449004969 \r \h </w:instrText>
      </w:r>
      <w:r w:rsidRPr="00CE6F2A">
        <w:fldChar w:fldCharType="separate"/>
      </w:r>
      <w:r w:rsidR="002C24D6">
        <w:t>B.1.2</w:t>
      </w:r>
      <w:r w:rsidRPr="00CE6F2A">
        <w:fldChar w:fldCharType="end"/>
      </w:r>
      <w:r w:rsidRPr="00CE6F2A">
        <w:t>.</w:t>
      </w:r>
    </w:p>
    <w:p w:rsidR="002B346F" w:rsidRPr="00BF2229" w:rsidRDefault="002B346F" w:rsidP="002B346F">
      <w:pPr>
        <w:pStyle w:val="HeadingItalic"/>
        <w:numPr>
          <w:ilvl w:val="0"/>
          <w:numId w:val="24"/>
        </w:numPr>
      </w:pPr>
      <w:r w:rsidRPr="002B346F">
        <w:t xml:space="preserve"> </w:t>
      </w:r>
      <w:r>
        <w:t>Previous submissions on the multi-model approach</w:t>
      </w:r>
    </w:p>
    <w:p w:rsidR="000D24A6" w:rsidRDefault="002479C8" w:rsidP="000D24A6">
      <w:r>
        <w:t>We note s</w:t>
      </w:r>
      <w:r w:rsidR="000D24A6">
        <w:t xml:space="preserve">ince publishing our Guideline </w:t>
      </w:r>
      <w:r w:rsidR="00BA4C69">
        <w:t xml:space="preserve">some </w:t>
      </w:r>
      <w:r w:rsidR="000D24A6">
        <w:t>service providers have submitted that the use of additional models</w:t>
      </w:r>
      <w:r w:rsidR="000D24A6" w:rsidRPr="0051262A">
        <w:t xml:space="preserve"> </w:t>
      </w:r>
      <w:r w:rsidR="000D24A6">
        <w:t xml:space="preserve">for estimating the return on equity, and various methods for combining the models, would result in an improved estimate. The additional models submitted by </w:t>
      </w:r>
      <w:r w:rsidR="00BA4C69">
        <w:t xml:space="preserve">some </w:t>
      </w:r>
      <w:r w:rsidR="000D24A6">
        <w:t>service providers are the Black CAPM, Fama-French model, the dividend growth model, and the historical and Wright specifications to the Sharpe-Lintner CAPM.</w:t>
      </w:r>
      <w:r w:rsidR="000D24A6" w:rsidRPr="00050D2D">
        <w:t xml:space="preserve"> </w:t>
      </w:r>
      <w:r w:rsidR="000D24A6">
        <w:t xml:space="preserve"> </w:t>
      </w:r>
    </w:p>
    <w:p w:rsidR="00F65A1C" w:rsidRDefault="00F65A1C" w:rsidP="00F65A1C">
      <w:r>
        <w:t xml:space="preserve">We note that similar arguments </w:t>
      </w:r>
      <w:r w:rsidR="00BA4C69">
        <w:t xml:space="preserve">have been raised </w:t>
      </w:r>
      <w:r>
        <w:t>in previous submissions and revenue determinations.</w:t>
      </w:r>
      <w:r>
        <w:rPr>
          <w:rStyle w:val="FootnoteReference"/>
        </w:rPr>
        <w:footnoteReference w:id="253"/>
      </w:r>
      <w:r w:rsidRPr="00177FBB">
        <w:rPr>
          <w:rStyle w:val="FootnoteReference"/>
        </w:rPr>
        <w:t xml:space="preserve"> </w:t>
      </w:r>
      <w:r>
        <w:t xml:space="preserve">They effectively revolve around the following claims: </w:t>
      </w:r>
    </w:p>
    <w:p w:rsidR="00F65A1C" w:rsidRDefault="00F65A1C" w:rsidP="00F65A1C">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00C77169">
        <w:rPr>
          <w:rStyle w:val="FootnoteReference"/>
        </w:rPr>
        <w:footnoteReference w:id="254"/>
      </w:r>
      <w:r w:rsidRPr="00177FBB">
        <w:t xml:space="preserve"> </w:t>
      </w:r>
      <w:r>
        <w:t xml:space="preserve"> specifically:</w:t>
      </w:r>
    </w:p>
    <w:p w:rsidR="00F65A1C" w:rsidRDefault="00F65A1C" w:rsidP="00F65A1C">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F65A1C" w:rsidRDefault="00F65A1C" w:rsidP="00F65A1C">
      <w:pPr>
        <w:pStyle w:val="AERbulletlistsecondstyle"/>
      </w:pPr>
      <w:r>
        <w:t>the Fama-French model can address book-to-market bias in the Sharpe-Lintner CAPM (a tendency for the Sharpe-Lintner CAPM to estimate a downwardly-biased return on equity for stocks with low book-to-market ratios)</w:t>
      </w:r>
    </w:p>
    <w:p w:rsidR="00F65A1C" w:rsidRPr="00A75D2F" w:rsidRDefault="00F65A1C" w:rsidP="00F65A1C">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F65A1C" w:rsidRDefault="00F65A1C" w:rsidP="00CC7A1C">
      <w:pPr>
        <w:numPr>
          <w:ilvl w:val="0"/>
          <w:numId w:val="24"/>
        </w:numPr>
      </w:pPr>
      <w:r>
        <w:t xml:space="preserve">We are not satisfied that </w:t>
      </w:r>
      <w:r w:rsidR="00AB32EC">
        <w:t xml:space="preserve">the previously </w:t>
      </w:r>
      <w:r>
        <w:t>proposed application of other equity models</w:t>
      </w:r>
      <w:r w:rsidR="00C77169">
        <w:rPr>
          <w:rStyle w:val="FootnoteReference"/>
        </w:rPr>
        <w:footnoteReference w:id="255"/>
      </w:r>
      <w:r>
        <w:t xml:space="preserve"> will result in a return on equity that is commensurate with efficient financing costs (given the risk of </w:t>
      </w:r>
      <w:r w:rsidR="00484671">
        <w:t>APTPPL's</w:t>
      </w:r>
      <w:r>
        <w:t xml:space="preserve"> </w:t>
      </w:r>
      <w:r w:rsidR="00484671">
        <w:t xml:space="preserve">reference </w:t>
      </w:r>
      <w:r>
        <w:t>services).</w:t>
      </w:r>
      <w:r w:rsidR="00C77169">
        <w:rPr>
          <w:rStyle w:val="FootnoteReference"/>
        </w:rPr>
        <w:footnoteReference w:id="256"/>
      </w:r>
      <w:r>
        <w:t xml:space="preserve"> We consider there is overwhelming evidence that the Sharpe-Lintner CAPM is the current standard-bearer for estimating expected equity returns. </w:t>
      </w:r>
    </w:p>
    <w:p w:rsidR="000D24A6" w:rsidRDefault="000D24A6" w:rsidP="000D24A6">
      <w:r>
        <w:t>We consider</w:t>
      </w:r>
      <w:r w:rsidR="00A10224">
        <w:t>ed</w:t>
      </w:r>
      <w:r>
        <w:t xml:space="preserve"> the relative merits of this material in detail in section </w:t>
      </w:r>
      <w:r>
        <w:fldChar w:fldCharType="begin"/>
      </w:r>
      <w:r>
        <w:instrText xml:space="preserve"> REF _Ref451685041 \r \h </w:instrText>
      </w:r>
      <w:r>
        <w:fldChar w:fldCharType="separate"/>
      </w:r>
      <w:r w:rsidR="002C24D6">
        <w:t>B</w:t>
      </w:r>
      <w:r>
        <w:fldChar w:fldCharType="end"/>
      </w:r>
      <w:r>
        <w:t xml:space="preserve"> of this attachment. </w:t>
      </w:r>
      <w:r w:rsidRPr="00CB12BC">
        <w:t>G</w:t>
      </w:r>
      <w:r>
        <w:t xml:space="preserve">iven the limitations of the other equity models proposed by </w:t>
      </w:r>
      <w:r w:rsidR="00CD2633">
        <w:t xml:space="preserve">some </w:t>
      </w:r>
      <w:r>
        <w:t>service providers, we consider that:</w:t>
      </w:r>
    </w:p>
    <w:p w:rsidR="000D24A6" w:rsidRPr="00B005DF" w:rsidRDefault="000D24A6" w:rsidP="000D24A6">
      <w:pPr>
        <w:pStyle w:val="AERbulletlistfirststyle"/>
      </w:pPr>
      <w:r>
        <w:t>These models should not form part of our approach, either as the sole model or as part of a multi-model approach</w:t>
      </w:r>
      <w:r w:rsidRPr="00B005DF">
        <w:t>.</w:t>
      </w:r>
    </w:p>
    <w:p w:rsidR="000D24A6" w:rsidRPr="00B005DF" w:rsidRDefault="000D24A6" w:rsidP="000D24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00C77169">
        <w:rPr>
          <w:rStyle w:val="FootnoteReference"/>
        </w:rPr>
        <w:footnoteReference w:id="257"/>
      </w:r>
    </w:p>
    <w:p w:rsidR="000D24A6" w:rsidRDefault="000D24A6" w:rsidP="000D24A6">
      <w:pPr>
        <w:pStyle w:val="AERbulletlistfirststyle"/>
      </w:pPr>
      <w:r>
        <w:t xml:space="preserve">The Fama-French model and historical specification of the Sharpe-Lintner CAPM should not be used to inform our return on equity estimate in any capacity. </w:t>
      </w:r>
    </w:p>
    <w:p w:rsidR="000D24A6" w:rsidRDefault="000D24A6" w:rsidP="000D24A6">
      <w:r>
        <w:t xml:space="preserve">Consumers and other stakeholders </w:t>
      </w:r>
      <w:r w:rsidR="00CD2633">
        <w:t xml:space="preserve">have </w:t>
      </w:r>
      <w:r>
        <w:t>generally supported our use of the Sharp-Lintner CAPM and our foundation model approach.</w:t>
      </w:r>
      <w:r w:rsidR="00C77169">
        <w:rPr>
          <w:rStyle w:val="FootnoteReference"/>
        </w:rPr>
        <w:footnoteReference w:id="258"/>
      </w:r>
      <w:r>
        <w:t xml:space="preserve"> </w:t>
      </w:r>
    </w:p>
    <w:p w:rsidR="000D24A6" w:rsidRDefault="000D24A6" w:rsidP="00CC7A1C">
      <w:pPr>
        <w:numPr>
          <w:ilvl w:val="0"/>
          <w:numId w:val="24"/>
        </w:numPr>
      </w:pPr>
      <w:r>
        <w:t>Partington and Satchell</w:t>
      </w:r>
      <w:r w:rsidR="007C6250">
        <w:t xml:space="preserve"> has</w:t>
      </w:r>
      <w:r>
        <w:t xml:space="preserve">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sidR="00C77169">
        <w:rPr>
          <w:rStyle w:val="FootnoteReference"/>
        </w:rPr>
        <w:footnoteReference w:id="259"/>
      </w:r>
    </w:p>
    <w:p w:rsidR="000D24A6" w:rsidRDefault="000D24A6" w:rsidP="00CC7A1C">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sidR="00C77169">
        <w:rPr>
          <w:rStyle w:val="FootnoteReference"/>
        </w:rPr>
        <w:footnoteReference w:id="260"/>
      </w:r>
    </w:p>
    <w:p w:rsidR="000D24A6" w:rsidRDefault="000D24A6" w:rsidP="00CC7A1C">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0D24A6" w:rsidRDefault="000D24A6" w:rsidP="00CC7A1C">
      <w:pPr>
        <w:numPr>
          <w:ilvl w:val="0"/>
          <w:numId w:val="24"/>
        </w:numPr>
      </w:pPr>
      <w:r>
        <w:t>We have considered these issues and the associated supporting material in our previous decisions</w:t>
      </w:r>
      <w:r w:rsidR="00346889">
        <w:t xml:space="preserve"> and we repeat the</w:t>
      </w:r>
      <w:r w:rsidR="00C84147">
        <w:t xml:space="preserve"> key points in Appendix </w:t>
      </w:r>
      <w:r w:rsidR="00C84147">
        <w:fldChar w:fldCharType="begin"/>
      </w:r>
      <w:r w:rsidR="00C84147">
        <w:instrText xml:space="preserve"> REF _Ref451685041 \r \h </w:instrText>
      </w:r>
      <w:r w:rsidR="00C84147">
        <w:fldChar w:fldCharType="separate"/>
      </w:r>
      <w:r w:rsidR="002C24D6">
        <w:t>B</w:t>
      </w:r>
      <w:r w:rsidR="00C84147">
        <w:fldChar w:fldCharType="end"/>
      </w:r>
      <w:r w:rsidR="00346889">
        <w:t xml:space="preserve"> </w:t>
      </w:r>
      <w:r>
        <w:t>.</w:t>
      </w:r>
      <w:r>
        <w:rPr>
          <w:rStyle w:val="FootnoteReference"/>
        </w:rPr>
        <w:footnoteReference w:id="261"/>
      </w:r>
      <w:r>
        <w:t xml:space="preserve"> </w:t>
      </w:r>
    </w:p>
    <w:p w:rsidR="000D24A6" w:rsidRDefault="000D24A6" w:rsidP="000D24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sidR="005E5104">
        <w:rPr>
          <w:rStyle w:val="FootnoteReference"/>
        </w:rPr>
        <w:footnoteReference w:id="262"/>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009211CA">
        <w:rPr>
          <w:rStyle w:val="AERbody"/>
        </w:rPr>
        <w:t>'Steps four and five: other information and evaluation of information set on overall return on equity' subsection</w:t>
      </w:r>
      <w:r w:rsidRPr="007D2133">
        <w:rPr>
          <w:rStyle w:val="AERbody"/>
        </w:rPr>
        <w:t>).</w:t>
      </w:r>
    </w:p>
    <w:p w:rsidR="00BF5906" w:rsidRPr="00E31230" w:rsidRDefault="00BF5906" w:rsidP="00E31230">
      <w:pPr>
        <w:pStyle w:val="HeadingBoldItalic"/>
        <w:rPr>
          <w:rStyle w:val="Emphasis"/>
        </w:rPr>
      </w:pPr>
      <w:r w:rsidRPr="00E31230">
        <w:rPr>
          <w:rStyle w:val="Emphasis"/>
        </w:rPr>
        <w:t>Risk free rate</w:t>
      </w:r>
    </w:p>
    <w:p w:rsidR="002C045A" w:rsidRDefault="002C045A" w:rsidP="00CC7A1C">
      <w:pPr>
        <w:pStyle w:val="AERbulletlistfirststyle"/>
        <w:numPr>
          <w:ilvl w:val="0"/>
          <w:numId w:val="24"/>
        </w:numPr>
      </w:pPr>
      <w:r>
        <w:t>Applying the Sharpe-Lintner CAPM requires estimating the risk free rate.</w:t>
      </w:r>
    </w:p>
    <w:p w:rsidR="008B2351" w:rsidRDefault="008B2351" w:rsidP="00CC7A1C">
      <w:pPr>
        <w:pStyle w:val="ListParagraph"/>
        <w:numPr>
          <w:ilvl w:val="0"/>
          <w:numId w:val="24"/>
        </w:numPr>
      </w:pPr>
      <w:r w:rsidRPr="008B2351">
        <w:t>Th</w:t>
      </w:r>
      <w:r>
        <w:t>e risk free rate</w:t>
      </w:r>
      <w:r w:rsidRPr="008B2351">
        <w:t xml:space="preserve"> compensates investors for the time value of money. That is, committing funds for a period of time and therefore forgoing the opportunity to immediately spend money or consume goods.</w:t>
      </w:r>
      <w:r w:rsidR="00664F75">
        <w:rPr>
          <w:rStyle w:val="FootnoteReference"/>
        </w:rPr>
        <w:footnoteReference w:id="263"/>
      </w:r>
      <w:r w:rsidRPr="008B2351">
        <w:t xml:space="preserve"> For the benchmark efficient entity, we estimate this period of time to be 10 years.</w:t>
      </w:r>
      <w:r w:rsidRPr="008B2351">
        <w:rPr>
          <w:rStyle w:val="FootnoteReference"/>
        </w:rPr>
        <w:footnoteReference w:id="264"/>
      </w:r>
      <w:r w:rsidRPr="008B2351">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146770" w:rsidRDefault="00385F4D" w:rsidP="00CC7A1C">
      <w:pPr>
        <w:pStyle w:val="ListParagraph"/>
        <w:numPr>
          <w:ilvl w:val="0"/>
          <w:numId w:val="24"/>
        </w:numPr>
      </w:pPr>
      <w:r w:rsidRPr="00385F4D">
        <w:t>We consider 10 year CGS yields are the most suitable proxy for the risk free rate. CGSs are low default risk securities issued by the Australian Government, and are therefore an appropriate proxy for the risk free rate.</w:t>
      </w:r>
      <w:r w:rsidRPr="00385F4D">
        <w:rPr>
          <w:rStyle w:val="FootnoteReference"/>
        </w:rPr>
        <w:footnoteReference w:id="265"/>
      </w:r>
      <w:r w:rsidRPr="00385F4D">
        <w:t xml:space="preserve"> The three major credit rating agencies issued their highest possible ratings to the Australian Government.</w:t>
      </w:r>
      <w:r w:rsidRPr="00385F4D">
        <w:rPr>
          <w:rStyle w:val="FootnoteReference"/>
        </w:rPr>
        <w:footnoteReference w:id="266"/>
      </w:r>
      <w:r w:rsidRPr="00385F4D">
        <w:t xml:space="preserve"> There is broad consensus with this position. For instance, market practitioners widely use CGS yields to proxy the risk free rate.</w:t>
      </w:r>
      <w:r w:rsidRPr="00385F4D">
        <w:rPr>
          <w:rStyle w:val="FootnoteReference"/>
        </w:rPr>
        <w:footnoteReference w:id="267"/>
      </w:r>
      <w:r w:rsidRPr="00385F4D">
        <w:t xml:space="preserve"> Stakeholders also widely supported using CGS yields as a proxy during the Guideline development process.</w:t>
      </w:r>
      <w:r w:rsidRPr="00385F4D">
        <w:rPr>
          <w:rStyle w:val="FootnoteReference"/>
        </w:rPr>
        <w:footnoteReference w:id="268"/>
      </w:r>
      <w:r w:rsidRPr="00385F4D">
        <w:t xml:space="preserve"> We use 10 year CGS yields because we adopt a 10 year term. A 10 year term emphasises the long term nature of cash flows in equity investments and the long lived nature the benchmark efficient entity's assets.</w:t>
      </w:r>
      <w:r w:rsidRPr="00385F4D">
        <w:rPr>
          <w:rStyle w:val="FootnoteReference"/>
        </w:rPr>
        <w:footnoteReference w:id="269"/>
      </w:r>
    </w:p>
    <w:p w:rsidR="00744D2E" w:rsidRDefault="00744D2E" w:rsidP="00E31230">
      <w:pPr>
        <w:pStyle w:val="AERbulletlistfirststyle"/>
        <w:numPr>
          <w:ilvl w:val="0"/>
          <w:numId w:val="0"/>
        </w:numPr>
      </w:pPr>
    </w:p>
    <w:p w:rsidR="00F716E1" w:rsidRDefault="002C045A" w:rsidP="00E31230">
      <w:pPr>
        <w:pStyle w:val="AERbulletlistfirststyle"/>
        <w:numPr>
          <w:ilvl w:val="0"/>
          <w:numId w:val="0"/>
        </w:numPr>
      </w:pPr>
      <w:r>
        <w:t xml:space="preserve">We </w:t>
      </w:r>
      <w:r w:rsidR="008B2351">
        <w:t>apply</w:t>
      </w:r>
      <w:r>
        <w:t xml:space="preserve"> a</w:t>
      </w:r>
      <w:r w:rsidR="00F01635">
        <w:t xml:space="preserve"> placeholder</w:t>
      </w:r>
      <w:r>
        <w:t xml:space="preserve"> risk free rate of </w:t>
      </w:r>
      <w:r w:rsidR="00853443">
        <w:t>2.</w:t>
      </w:r>
      <w:r w:rsidR="002A73B5">
        <w:t>6</w:t>
      </w:r>
      <w:r>
        <w:t xml:space="preserve"> per cent in this decision.</w:t>
      </w:r>
      <w:r w:rsidR="00E147BE">
        <w:t xml:space="preserve"> This risk free rate is based on a 20 business day averaging period, from </w:t>
      </w:r>
      <w:r w:rsidR="002A73B5">
        <w:t>29 March</w:t>
      </w:r>
      <w:r w:rsidR="0013097A">
        <w:t xml:space="preserve"> 2017 to 2</w:t>
      </w:r>
      <w:r w:rsidR="002A73B5">
        <w:t>8</w:t>
      </w:r>
      <w:r w:rsidR="0013097A">
        <w:t xml:space="preserve"> </w:t>
      </w:r>
      <w:r w:rsidR="002A73B5">
        <w:t xml:space="preserve">April </w:t>
      </w:r>
      <w:r w:rsidR="0013097A">
        <w:t>2017</w:t>
      </w:r>
      <w:r w:rsidR="00E147BE">
        <w:t xml:space="preserve">. </w:t>
      </w:r>
      <w:r w:rsidR="00C91BAB">
        <w:t xml:space="preserve">We use this to inform our </w:t>
      </w:r>
      <w:r w:rsidR="0005391C">
        <w:t>draft</w:t>
      </w:r>
      <w:r w:rsidR="00C91BAB">
        <w:t xml:space="preserve"> decision on the return on equity</w:t>
      </w:r>
      <w:r w:rsidR="00C91BAB" w:rsidRPr="00C91BAB">
        <w:t xml:space="preserve"> for </w:t>
      </w:r>
      <w:r w:rsidR="00245FD7">
        <w:t>APTPPL's</w:t>
      </w:r>
      <w:r w:rsidR="00245FD7" w:rsidRPr="00C91BAB">
        <w:t xml:space="preserve"> </w:t>
      </w:r>
      <w:r w:rsidR="00C91BAB" w:rsidRPr="00C91BAB">
        <w:t>regulatory period (201</w:t>
      </w:r>
      <w:r w:rsidR="00744D2E">
        <w:t>7</w:t>
      </w:r>
      <w:r w:rsidR="00C91BAB" w:rsidRPr="00C91BAB">
        <w:t>–20</w:t>
      </w:r>
      <w:r w:rsidR="0011585C">
        <w:t>22</w:t>
      </w:r>
      <w:r w:rsidR="00C91BAB" w:rsidRPr="00C91BAB">
        <w:t>).</w:t>
      </w:r>
    </w:p>
    <w:p w:rsidR="005D015E" w:rsidRDefault="005D015E" w:rsidP="005D015E">
      <w:pPr>
        <w:numPr>
          <w:ilvl w:val="0"/>
          <w:numId w:val="24"/>
        </w:numPr>
      </w:pPr>
      <w:r>
        <w:t>We are satisfied with our estimate of the risk free rate and how this informs our estimate of the return on equity for the draft decision. This is because of the following:</w:t>
      </w:r>
    </w:p>
    <w:p w:rsidR="005D015E" w:rsidRDefault="005D015E" w:rsidP="005D015E">
      <w:pPr>
        <w:pStyle w:val="AERbulletlistfirststyle"/>
      </w:pPr>
      <w:r>
        <w:t>We are satisfied that our risk free rate, based on an averaging period of 29 March 2017 to 28 April 2017 contributes to the achievement of the allowed rate of return objective.</w:t>
      </w:r>
      <w:r w:rsidR="00B96D76">
        <w:rPr>
          <w:rStyle w:val="FootnoteReference"/>
        </w:rPr>
        <w:footnoteReference w:id="270"/>
      </w:r>
      <w:r>
        <w:t xml:space="preserve"> </w:t>
      </w:r>
    </w:p>
    <w:p w:rsidR="005D015E" w:rsidRDefault="005D015E" w:rsidP="005D015E">
      <w:pPr>
        <w:pStyle w:val="AERbulletlistfirststyle"/>
      </w:pPr>
      <w:r>
        <w:t>The averaging period of 29 March 2017 to 28 April 2017 is consistent with the conditions set out in the Guideline.</w:t>
      </w:r>
      <w:r w:rsidR="00B96D76">
        <w:rPr>
          <w:rStyle w:val="FootnoteReference"/>
        </w:rPr>
        <w:footnoteReference w:id="271"/>
      </w:r>
    </w:p>
    <w:p w:rsidR="005D015E" w:rsidRDefault="005D015E" w:rsidP="005D015E">
      <w:pPr>
        <w:pStyle w:val="AERbulletlistfirststyle"/>
      </w:pPr>
      <w:r w:rsidRPr="00266149">
        <w:t xml:space="preserve">Our approach to estimating the </w:t>
      </w:r>
      <w:r>
        <w:t>market risk premium</w:t>
      </w:r>
      <w:r w:rsidRPr="00266149">
        <w:t xml:space="preserve"> and risk free rate is internally </w:t>
      </w:r>
      <w:r>
        <w:t xml:space="preserve">consistent </w:t>
      </w:r>
      <w:r w:rsidRPr="00B3368A">
        <w:t>bec</w:t>
      </w:r>
      <w:r>
        <w:t>ause both are 10 year forward</w:t>
      </w:r>
      <w:r w:rsidRPr="00B3368A">
        <w:t xml:space="preserve"> looking estimates.</w:t>
      </w:r>
      <w:r w:rsidR="00B96D76">
        <w:rPr>
          <w:rStyle w:val="FootnoteReference"/>
        </w:rPr>
        <w:footnoteReference w:id="272"/>
      </w:r>
      <w:r w:rsidRPr="005C299E">
        <w:t xml:space="preserve"> </w:t>
      </w:r>
    </w:p>
    <w:p w:rsidR="005D015E" w:rsidRDefault="005D015E" w:rsidP="005D015E">
      <w:pPr>
        <w:pStyle w:val="AERbulletlistfirststyle"/>
      </w:pPr>
      <w:r>
        <w:t xml:space="preserve">We are satisfied that an estimate of </w:t>
      </w:r>
      <w:r w:rsidRPr="00E43E1A">
        <w:t>2.</w:t>
      </w:r>
      <w:r>
        <w:t>6 per cent is the best estimate of the risk free rate at this time (over the specified averaging period).</w:t>
      </w:r>
    </w:p>
    <w:p w:rsidR="005D015E" w:rsidRDefault="005D015E" w:rsidP="00E31230">
      <w:pPr>
        <w:pStyle w:val="AERbulletlistfirststyle"/>
        <w:numPr>
          <w:ilvl w:val="0"/>
          <w:numId w:val="0"/>
        </w:numPr>
      </w:pPr>
    </w:p>
    <w:p w:rsidR="00705158" w:rsidRDefault="00705158" w:rsidP="00705158">
      <w:pPr>
        <w:pStyle w:val="AERbulletlistfirststyle"/>
        <w:numPr>
          <w:ilvl w:val="0"/>
          <w:numId w:val="24"/>
        </w:numPr>
      </w:pPr>
      <w:r>
        <w:t>Our draft decision is to accept APTPPL's proposed risk free rate averaging period (specified in its 10 February 2017 letter) which will be used to update the risk free rate in the final decision.</w:t>
      </w:r>
      <w:r>
        <w:rPr>
          <w:rStyle w:val="FootnoteReference"/>
        </w:rPr>
        <w:footnoteReference w:id="273"/>
      </w:r>
      <w:r>
        <w:t xml:space="preserve"> We specify this </w:t>
      </w:r>
      <w:r w:rsidRPr="0005391C">
        <w:t xml:space="preserve">period in confidential Appendix </w:t>
      </w:r>
      <w:r>
        <w:fldChar w:fldCharType="begin"/>
      </w:r>
      <w:r>
        <w:instrText xml:space="preserve"> REF _Ref484680127 \r \h </w:instrText>
      </w:r>
      <w:r>
        <w:fldChar w:fldCharType="separate"/>
      </w:r>
      <w:r w:rsidR="002C24D6">
        <w:t>0</w:t>
      </w:r>
      <w:r>
        <w:fldChar w:fldCharType="end"/>
      </w:r>
      <w:r w:rsidRPr="0005391C">
        <w:t>.</w:t>
      </w:r>
      <w:r>
        <w:t xml:space="preserve"> </w:t>
      </w:r>
    </w:p>
    <w:p w:rsidR="00744D2E" w:rsidRPr="00305631" w:rsidRDefault="00744D2E" w:rsidP="00744D2E">
      <w:r>
        <w:t>We will update this risk free rate for the final decision using the period nominated by APTPPL in its 10 February 2017 response to our request for a final averaging period.</w:t>
      </w:r>
      <w:r>
        <w:rPr>
          <w:rStyle w:val="FootnoteReference"/>
        </w:rPr>
        <w:footnoteReference w:id="274"/>
      </w:r>
      <w:r>
        <w:t xml:space="preserve"> This averaging period is consistent with the approach in our Guideline</w:t>
      </w:r>
      <w:r w:rsidRPr="00305631">
        <w:t>:</w:t>
      </w:r>
    </w:p>
    <w:p w:rsidR="00744D2E" w:rsidRDefault="00744D2E" w:rsidP="00744D2E">
      <w:pPr>
        <w:pStyle w:val="AERbulletlistfirststyle"/>
      </w:pPr>
      <w:r w:rsidRPr="00EC409F">
        <w:t>short—</w:t>
      </w:r>
      <w:r w:rsidRPr="00702EEF">
        <w:t>specifically</w:t>
      </w:r>
      <w:r w:rsidRPr="00EC409F">
        <w:t>, 20 consecutive business days in length</w:t>
      </w:r>
      <w:r>
        <w:rPr>
          <w:rStyle w:val="FootnoteReference"/>
        </w:rPr>
        <w:footnoteReference w:id="275"/>
      </w:r>
    </w:p>
    <w:p w:rsidR="00744D2E" w:rsidRDefault="00744D2E" w:rsidP="00744D2E">
      <w:pPr>
        <w:pStyle w:val="AERbulletlistfirststyle"/>
      </w:pPr>
      <w:r w:rsidRPr="00305631">
        <w:t xml:space="preserve">as close as </w:t>
      </w:r>
      <w:r w:rsidRPr="00702EEF">
        <w:t>practicably</w:t>
      </w:r>
      <w:r w:rsidRPr="00305631">
        <w:t xml:space="preserve"> </w:t>
      </w:r>
      <w:r w:rsidRPr="00A91E5F">
        <w:t>possible</w:t>
      </w:r>
      <w:r w:rsidRPr="00305631">
        <w:t xml:space="preserve"> to the commencement of the regulatory period.</w:t>
      </w:r>
    </w:p>
    <w:p w:rsidR="00744D2E" w:rsidRDefault="00744D2E" w:rsidP="00744D2E">
      <w:r>
        <w:t>We note APTPPL did not propose a final risk free rate averaging period in its regulatory proposal for the Roma to Brisbane Pipeline.</w:t>
      </w:r>
      <w:r>
        <w:rPr>
          <w:rStyle w:val="FootnoteReference"/>
        </w:rPr>
        <w:footnoteReference w:id="276"/>
      </w:r>
      <w:r>
        <w:t xml:space="preserve"> It responded with the above mentioned averaging period after we wrote to it on 25 January 2017 to give an opportunity to nominate an alternative averaging period and also proposed an averaging period consistent with the Guideline to APTPPL as a 'default' option.</w:t>
      </w:r>
      <w:r>
        <w:rPr>
          <w:rStyle w:val="FootnoteReference"/>
        </w:rPr>
        <w:footnoteReference w:id="277"/>
      </w:r>
      <w:r>
        <w:t xml:space="preserve"> We developed this approach because:</w:t>
      </w:r>
    </w:p>
    <w:p w:rsidR="00744D2E" w:rsidRPr="00A95EEE" w:rsidRDefault="00744D2E" w:rsidP="00744D2E">
      <w:pPr>
        <w:pStyle w:val="AERbulletlistfirststyle"/>
      </w:pPr>
      <w:r w:rsidRPr="00A95EEE">
        <w:t>Previously, the onus was on service providers to propose their own averaging period subject to our criteria. This approach facilitated service providers in organising their financial arrangements in advance.</w:t>
      </w:r>
      <w:r>
        <w:rPr>
          <w:rStyle w:val="FootnoteReference"/>
        </w:rPr>
        <w:footnoteReference w:id="278"/>
      </w:r>
      <w:r w:rsidRPr="00A95EEE">
        <w:t xml:space="preserve"> </w:t>
      </w:r>
    </w:p>
    <w:p w:rsidR="00744D2E" w:rsidRPr="00A95EEE" w:rsidRDefault="00744D2E" w:rsidP="00744D2E">
      <w:pPr>
        <w:pStyle w:val="AERbulletlistfirststyle"/>
      </w:pPr>
      <w:r w:rsidRPr="00A95EEE">
        <w:t>In the draft Guideline we proposed moving away from providing service providers with the flexibility to determine the exact dates of the risk free rate averaging period for the return on equity.</w:t>
      </w:r>
      <w:r>
        <w:rPr>
          <w:rStyle w:val="FootnoteReference"/>
        </w:rPr>
        <w:footnoteReference w:id="279"/>
      </w:r>
      <w:r w:rsidRPr="00A95EEE">
        <w:t xml:space="preserve"> This was because our previous approach resulted in concurrent determinations having different return on equity allowances, without a particular economic reason for this occurring.</w:t>
      </w:r>
      <w:r>
        <w:rPr>
          <w:rStyle w:val="FootnoteReference"/>
        </w:rPr>
        <w:footnoteReference w:id="280"/>
      </w:r>
    </w:p>
    <w:p w:rsidR="00744D2E" w:rsidRDefault="00744D2E" w:rsidP="00272584">
      <w:pPr>
        <w:pStyle w:val="AERbulletlistfirststyle"/>
      </w:pPr>
      <w:r w:rsidRPr="00A95EEE">
        <w:t>In the final Guideline, we had regard to the benefits and limitations listed above. We did not specify whether or not service providers would nominate their own risk free rate averaging period for the return on equity.</w:t>
      </w:r>
      <w:r>
        <w:rPr>
          <w:rStyle w:val="FootnoteReference"/>
        </w:rPr>
        <w:footnoteReference w:id="281"/>
      </w:r>
    </w:p>
    <w:p w:rsidR="00744D2E" w:rsidRPr="00744D2E" w:rsidRDefault="00744D2E" w:rsidP="00272584">
      <w:pPr>
        <w:pStyle w:val="AERbulletlistfirststyle"/>
        <w:numPr>
          <w:ilvl w:val="0"/>
          <w:numId w:val="0"/>
        </w:numPr>
      </w:pPr>
      <w:r w:rsidRPr="001174B8">
        <w:t xml:space="preserve">We </w:t>
      </w:r>
      <w:r w:rsidRPr="00744D2E">
        <w:t>consider the risk free rate we will apply provides for a return on equity that contributes to the achievement of the allowed rate of return objective.</w:t>
      </w:r>
      <w:r w:rsidRPr="00744D2E">
        <w:rPr>
          <w:rStyle w:val="FootnoteReference"/>
        </w:rPr>
        <w:footnoteReference w:id="282"/>
      </w:r>
      <w:r w:rsidRPr="00744D2E">
        <w:t xml:space="preserve"> That is, it is a forward looking risk free rate commensurate with prevailing conditions in the market for funds at the commencement of the regulatory control period.</w:t>
      </w:r>
      <w:r w:rsidRPr="00744D2E">
        <w:rPr>
          <w:rStyle w:val="FootnoteReference"/>
        </w:rPr>
        <w:footnoteReference w:id="283"/>
      </w:r>
      <w:r w:rsidRPr="00744D2E">
        <w:t xml:space="preserve"> As such, this risk free rate also has regard to the prevailing conditions in the market for equity funds, as the rules require.</w:t>
      </w:r>
      <w:r w:rsidRPr="00744D2E">
        <w:rPr>
          <w:rStyle w:val="FootnoteReference"/>
        </w:rPr>
        <w:footnoteReference w:id="284"/>
      </w:r>
      <w:r w:rsidRPr="00744D2E">
        <w:t xml:space="preserve">  </w:t>
      </w:r>
    </w:p>
    <w:p w:rsidR="00744D2E" w:rsidRPr="00C81BBE" w:rsidRDefault="00744D2E" w:rsidP="00744D2E">
      <w:r w:rsidRPr="00C81BBE">
        <w:t xml:space="preserve">We consider </w:t>
      </w:r>
      <w:r>
        <w:t>the</w:t>
      </w:r>
      <w:r w:rsidRPr="00C81BBE">
        <w:t xml:space="preserve"> averaging period </w:t>
      </w:r>
      <w:r>
        <w:t xml:space="preserve">will contribute </w:t>
      </w:r>
      <w:r w:rsidRPr="00C81BBE">
        <w:t>to the achievement of the allowed rate of return objective and ha</w:t>
      </w:r>
      <w:r>
        <w:t>s</w:t>
      </w:r>
      <w:r w:rsidRPr="00C81BBE">
        <w:t xml:space="preserve"> regard to the prevailing conditions in the market for equity funds.</w:t>
      </w:r>
      <w:r w:rsidRPr="00C81BBE">
        <w:rPr>
          <w:rStyle w:val="FootnoteReference"/>
        </w:rPr>
        <w:footnoteReference w:id="285"/>
      </w:r>
      <w:r w:rsidRPr="00C81BBE">
        <w:t xml:space="preserve"> This is because:</w:t>
      </w:r>
    </w:p>
    <w:p w:rsidR="00744D2E" w:rsidRDefault="00744D2E" w:rsidP="00744D2E">
      <w:pPr>
        <w:pStyle w:val="AERbulletlistfirststyle"/>
      </w:pPr>
      <w:r w:rsidRPr="0086086E">
        <w:t>It is an unbiased estimate</w:t>
      </w:r>
      <w:r>
        <w:t xml:space="preserve"> because</w:t>
      </w:r>
      <w:r w:rsidRPr="0086086E">
        <w:t xml:space="preserve"> </w:t>
      </w:r>
      <w:r>
        <w:t xml:space="preserve">the </w:t>
      </w:r>
      <w:r w:rsidRPr="0086086E">
        <w:t>averaging period was chosen in advance of it occurring.</w:t>
      </w:r>
      <w:r w:rsidRPr="003B6A08">
        <w:rPr>
          <w:rStyle w:val="FootnoteReference"/>
        </w:rPr>
        <w:t xml:space="preserve"> </w:t>
      </w:r>
      <w:r>
        <w:rPr>
          <w:rStyle w:val="FootnoteReference"/>
        </w:rPr>
        <w:footnoteReference w:id="286"/>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287"/>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NEO/NGO and the revenue and pricing principles.</w:t>
      </w:r>
      <w:r>
        <w:rPr>
          <w:rStyle w:val="FootnoteReference"/>
        </w:rPr>
        <w:footnoteReference w:id="288"/>
      </w:r>
      <w:r>
        <w:t xml:space="preserve"> This is because regulated service providers are to use the forward looking allowed rate of return to value their investment decisions.</w:t>
      </w:r>
      <w:r>
        <w:rPr>
          <w:rStyle w:val="FootnoteReference"/>
        </w:rPr>
        <w:footnoteReference w:id="289"/>
      </w:r>
      <w:r>
        <w:t xml:space="preserve"> </w:t>
      </w:r>
    </w:p>
    <w:p w:rsidR="00744D2E" w:rsidRDefault="00744D2E" w:rsidP="00744D2E">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744D2E" w:rsidRDefault="00744D2E" w:rsidP="00744D2E">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w:t>
      </w:r>
      <w:r>
        <w:t>rket for equity funds, as the rules</w:t>
      </w:r>
      <w:r w:rsidRPr="00B3368A">
        <w:t xml:space="preserve"> require.</w:t>
      </w:r>
      <w:r w:rsidRPr="00B3368A">
        <w:rPr>
          <w:rStyle w:val="FootnoteReference"/>
        </w:rPr>
        <w:footnoteReference w:id="290"/>
      </w:r>
      <w:r w:rsidRPr="00B3368A">
        <w:t xml:space="preserve"> </w:t>
      </w:r>
      <w:r>
        <w:t>This is because:</w:t>
      </w:r>
    </w:p>
    <w:p w:rsidR="00744D2E" w:rsidRDefault="00744D2E" w:rsidP="00744D2E">
      <w:pPr>
        <w:pStyle w:val="AERbulletlistsecondstyle"/>
      </w:pPr>
      <w:r>
        <w:t xml:space="preserve">It is based on </w:t>
      </w:r>
      <w:r w:rsidRPr="00B3368A">
        <w:t>a short term (20 consecutive business days) averaging period close to the time at which we make our decision.</w:t>
      </w:r>
      <w:r w:rsidRPr="00B3368A">
        <w:rPr>
          <w:rStyle w:val="FootnoteReference"/>
        </w:rPr>
        <w:footnoteReference w:id="291"/>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292"/>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293"/>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294"/>
      </w:r>
      <w:r w:rsidRPr="00BB442C">
        <w:t xml:space="preserve"> </w:t>
      </w:r>
    </w:p>
    <w:p w:rsidR="00744D2E" w:rsidRDefault="00744D2E" w:rsidP="00744D2E">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and five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295"/>
      </w:r>
      <w:r>
        <w:t xml:space="preserve"> </w:t>
      </w:r>
    </w:p>
    <w:p w:rsidR="00744D2E" w:rsidRDefault="00744D2E" w:rsidP="00744D2E">
      <w:pPr>
        <w:pStyle w:val="AERbulletlistsecondstyle"/>
      </w:pPr>
      <w:r>
        <w:t xml:space="preserve">The agreed averaging period ends as close as practically possible to the commencement of the regulatory control period given the uncertainty with the date the final decision would be released and the time needed for modelling to be completed. </w:t>
      </w:r>
    </w:p>
    <w:p w:rsidR="008B2351" w:rsidDel="0005391C" w:rsidRDefault="008B2351" w:rsidP="008B2351">
      <w:r w:rsidDel="0005391C">
        <w:t>O</w:t>
      </w:r>
      <w:r w:rsidRPr="00AF6956" w:rsidDel="0005391C">
        <w:t>ur practice is to keep the dates of averaging periods confidential until they have expired</w:t>
      </w:r>
      <w:r w:rsidDel="0005391C">
        <w:t>. This</w:t>
      </w:r>
      <w:r w:rsidRPr="00AF6956" w:rsidDel="0005391C">
        <w:t xml:space="preserve"> allows </w:t>
      </w:r>
      <w:r w:rsidDel="0005391C">
        <w:t>service providers</w:t>
      </w:r>
      <w:r w:rsidRPr="00AF6956" w:rsidDel="0005391C">
        <w:t xml:space="preserve"> to manage </w:t>
      </w:r>
      <w:r w:rsidDel="0005391C">
        <w:t>their</w:t>
      </w:r>
      <w:r w:rsidRPr="00AF6956" w:rsidDel="0005391C">
        <w:t xml:space="preserve"> financing arrangements without </w:t>
      </w:r>
      <w:r w:rsidDel="0005391C">
        <w:t>the possibility of the public announcement of the potential timing of their arrangements putting them in a disadvantaged bargaining position</w:t>
      </w:r>
      <w:r w:rsidRPr="00AF6956" w:rsidDel="0005391C">
        <w:t>.</w:t>
      </w:r>
      <w:r w:rsidDel="0005391C">
        <w:t xml:space="preserve"> </w:t>
      </w:r>
    </w:p>
    <w:p w:rsidR="003379AF" w:rsidRPr="00A42F74" w:rsidRDefault="003379AF" w:rsidP="00E31230">
      <w:pPr>
        <w:pStyle w:val="HeadingBoldItalic"/>
        <w:rPr>
          <w:rStyle w:val="AERtextorange"/>
          <w:rFonts w:eastAsiaTheme="minorHAnsi" w:cstheme="minorBidi"/>
          <w:b w:val="0"/>
          <w:bCs w:val="0"/>
          <w:color w:val="51626F"/>
          <w:sz w:val="22"/>
        </w:rPr>
      </w:pPr>
      <w:bookmarkStart w:id="71" w:name="_Toc443923184"/>
      <w:r w:rsidRPr="00A42F74">
        <w:rPr>
          <w:rStyle w:val="AERtextorange"/>
          <w:color w:val="51626F"/>
        </w:rPr>
        <w:t>Estimating equity beta</w:t>
      </w:r>
      <w:bookmarkEnd w:id="71"/>
    </w:p>
    <w:p w:rsidR="00116228" w:rsidRDefault="001D4715" w:rsidP="00051A1F">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96"/>
      </w:r>
      <w:r>
        <w:t xml:space="preserve"> </w:t>
      </w:r>
    </w:p>
    <w:p w:rsidR="001D4715" w:rsidRDefault="001D4715" w:rsidP="00421A98">
      <w:pPr>
        <w:numPr>
          <w:ilvl w:val="0"/>
          <w:numId w:val="24"/>
        </w:numPr>
      </w:pPr>
      <w:r w:rsidRPr="003A198B" w:rsidDel="00AF0794">
        <w:rPr>
          <w:rStyle w:val="AERbody"/>
        </w:rPr>
        <w:t>We adopt an equity beta point estimate of 0.7 from a range of 0.4 to 0.7</w:t>
      </w:r>
      <w:r w:rsidRPr="00B90B7A" w:rsidDel="00AF0794">
        <w:rPr>
          <w:rStyle w:val="AERbody"/>
        </w:rPr>
        <w:t xml:space="preserve">. </w:t>
      </w:r>
      <w:r>
        <w:rPr>
          <w:rStyle w:val="AERbody"/>
        </w:rPr>
        <w:t xml:space="preserve">Our equity beta estimate is required to be commensurate with a similar degree of risk as that which applies to </w:t>
      </w:r>
      <w:r w:rsidR="009A630C">
        <w:rPr>
          <w:rStyle w:val="AERbody"/>
        </w:rPr>
        <w:t>APTPPL</w:t>
      </w:r>
      <w:r w:rsidR="00F6504B">
        <w:rPr>
          <w:rStyle w:val="AERbody"/>
        </w:rPr>
        <w:t>'s</w:t>
      </w:r>
      <w:r w:rsidR="00F716E1">
        <w:rPr>
          <w:rStyle w:val="AERbody"/>
        </w:rPr>
        <w:t xml:space="preserve"> </w:t>
      </w:r>
      <w:r>
        <w:rPr>
          <w:rStyle w:val="AERbody"/>
        </w:rPr>
        <w:t xml:space="preserve">provision of </w:t>
      </w:r>
      <w:r w:rsidR="00436092">
        <w:rPr>
          <w:rStyle w:val="AERbody"/>
        </w:rPr>
        <w:t>reference services</w:t>
      </w:r>
      <w:r>
        <w:rPr>
          <w:rStyle w:val="AERbody"/>
        </w:rPr>
        <w:t>.</w:t>
      </w:r>
      <w:r>
        <w:rPr>
          <w:rStyle w:val="FootnoteReference"/>
        </w:rPr>
        <w:footnoteReference w:id="297"/>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3F20B4">
        <w:rPr>
          <w:rStyle w:val="AERbody"/>
        </w:rPr>
        <w:t>APTPPL</w:t>
      </w:r>
      <w:r w:rsidR="003F20B4" w:rsidRPr="00B90B7A">
        <w:rPr>
          <w:rStyle w:val="AERbody"/>
        </w:rPr>
        <w:t xml:space="preserve"> </w:t>
      </w:r>
      <w:r w:rsidRPr="00B90B7A">
        <w:rPr>
          <w:rStyle w:val="AERbody"/>
        </w:rPr>
        <w:t xml:space="preserve">is exposed to </w:t>
      </w:r>
      <w:r>
        <w:rPr>
          <w:rStyle w:val="AERbody"/>
        </w:rPr>
        <w:t>in providing re</w:t>
      </w:r>
      <w:r w:rsidR="006B3297">
        <w:rPr>
          <w:rStyle w:val="AERbody"/>
        </w:rPr>
        <w:t>ference</w:t>
      </w:r>
      <w:r>
        <w:rPr>
          <w:rStyle w:val="AERbody"/>
        </w:rPr>
        <w:t xml:space="preserve"> services</w:t>
      </w:r>
      <w:r w:rsidRPr="00B90B7A">
        <w:rPr>
          <w:rStyle w:val="AERbody"/>
        </w:rPr>
        <w:t>.</w:t>
      </w:r>
      <w:r w:rsidRPr="00A71CB9">
        <w:t xml:space="preserve"> </w:t>
      </w:r>
      <w:r>
        <w:t>We hold this view because:</w:t>
      </w:r>
    </w:p>
    <w:p w:rsidR="001D4715" w:rsidRDefault="001D4715" w:rsidP="001D4715">
      <w:pPr>
        <w:pStyle w:val="AERbulletlistfirststyle"/>
      </w:pPr>
      <w:r>
        <w:t xml:space="preserve">Our range and point estimate </w:t>
      </w:r>
      <w:r w:rsidR="00116228">
        <w:t>give most weight</w:t>
      </w:r>
      <w:r>
        <w:t xml:space="preserve"> </w:t>
      </w:r>
      <w:r w:rsidR="00116228">
        <w:t>to</w:t>
      </w:r>
      <w:r>
        <w:t xml:space="preserve"> direct measurements (that is, empirical estimates) of the equity beta that businesses with a similar degree of risk as </w:t>
      </w:r>
      <w:r w:rsidR="00A07CE8">
        <w:t xml:space="preserve">APTPPL </w:t>
      </w:r>
      <w:r>
        <w:t xml:space="preserve">have exhibited in the past. We consider these are reliable indicators of the prevailing, forward-looking equity beta for an efficient business (or benchmark efficient entity) with a similar degree of risk as </w:t>
      </w:r>
      <w:r w:rsidR="003F20B4">
        <w:t>APTPPL</w:t>
      </w:r>
      <w:r>
        <w:t xml:space="preserve">. </w:t>
      </w:r>
    </w:p>
    <w:p w:rsidR="001D4715" w:rsidRDefault="001D4715" w:rsidP="001D4715">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sidR="003F20B4">
        <w:rPr>
          <w:rStyle w:val="AERbody"/>
        </w:rPr>
        <w:t>APTPPL</w:t>
      </w:r>
      <w:r>
        <w:rPr>
          <w:rStyle w:val="FootnoteReference"/>
        </w:rPr>
        <w:footnoteReference w:id="298"/>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99"/>
      </w:r>
    </w:p>
    <w:p w:rsidR="001D4715" w:rsidRDefault="001D4715" w:rsidP="001D4715">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9A630C">
        <w:rPr>
          <w:rStyle w:val="AERbody"/>
        </w:rPr>
        <w:t>APTPPL</w:t>
      </w:r>
      <w:r w:rsidR="00A870F7">
        <w:rPr>
          <w:rStyle w:val="AERbody"/>
        </w:rPr>
        <w:t xml:space="preserve"> </w:t>
      </w:r>
      <w:r>
        <w:rPr>
          <w:rStyle w:val="AERbody"/>
        </w:rPr>
        <w:t>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300"/>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4279C0">
        <w:rPr>
          <w:rStyle w:val="AERbody"/>
        </w:rPr>
        <w:t xml:space="preserve"> </w:t>
      </w:r>
      <w:r w:rsidR="00395B78">
        <w:rPr>
          <w:rStyle w:val="AERbody"/>
        </w:rPr>
        <w:fldChar w:fldCharType="begin"/>
      </w:r>
      <w:r w:rsidR="00395B78">
        <w:rPr>
          <w:rStyle w:val="AERbody"/>
        </w:rPr>
        <w:instrText xml:space="preserve"> REF _Ref449007419 \r \h </w:instrText>
      </w:r>
      <w:r w:rsidR="00395B78">
        <w:rPr>
          <w:rStyle w:val="AERbody"/>
        </w:rPr>
      </w:r>
      <w:r w:rsidR="00395B78">
        <w:rPr>
          <w:rStyle w:val="AERbody"/>
        </w:rPr>
        <w:fldChar w:fldCharType="separate"/>
      </w:r>
      <w:r w:rsidR="002C24D6">
        <w:rPr>
          <w:rStyle w:val="AERbody"/>
        </w:rPr>
        <w:t>B.2</w:t>
      </w:r>
      <w:r w:rsidR="00395B78">
        <w:rPr>
          <w:rStyle w:val="AERbody"/>
        </w:rPr>
        <w:fldChar w:fldCharType="end"/>
      </w:r>
      <w:r>
        <w:rPr>
          <w:rStyle w:val="AERbody"/>
        </w:rPr>
        <w:t>.</w:t>
      </w:r>
    </w:p>
    <w:p w:rsidR="001D4715" w:rsidRDefault="001D4715" w:rsidP="001D4715">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301"/>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302"/>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BE0E56" w:rsidRDefault="001D4715">
      <w:r>
        <w:t xml:space="preserve">Our direct measurements of the equity beta for businesses with a similar degree of risk as </w:t>
      </w:r>
      <w:r w:rsidR="009A630C">
        <w:t>APTPPL</w:t>
      </w:r>
      <w:r w:rsidR="00F716E1">
        <w:t xml:space="preserve"> </w:t>
      </w:r>
      <w:r>
        <w:t xml:space="preserve">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303"/>
      </w:r>
      <w:r w:rsidR="00FB15D2">
        <w:t xml:space="preserve"> </w:t>
      </w:r>
      <w:r w:rsidR="00116228">
        <w:t>We have</w:t>
      </w:r>
      <w:r w:rsidR="001D69D5">
        <w:t xml:space="preserve"> </w:t>
      </w:r>
      <w:r w:rsidR="00E326E6">
        <w:t xml:space="preserve">analysed </w:t>
      </w:r>
      <w:r w:rsidR="006C50DC">
        <w:t xml:space="preserve">equity beta using </w:t>
      </w:r>
      <w:r w:rsidR="009173F5">
        <w:t xml:space="preserve">Henry's methodology and </w:t>
      </w:r>
      <w:r w:rsidR="006C50DC">
        <w:t>data up to 28 April 2017.</w:t>
      </w:r>
      <w:r w:rsidR="00116228">
        <w:t xml:space="preserve"> </w:t>
      </w:r>
      <w:r w:rsidR="00BE0E56">
        <w:t xml:space="preserve">Our </w:t>
      </w:r>
      <w:r w:rsidR="0048462F">
        <w:t>finding is</w:t>
      </w:r>
      <w:r w:rsidR="00FF307E">
        <w:t xml:space="preserve"> that</w:t>
      </w:r>
      <w:r w:rsidR="0048462F">
        <w:t xml:space="preserve"> </w:t>
      </w:r>
      <w:r w:rsidR="00530EA0">
        <w:t xml:space="preserve">empirical estimates continue to support </w:t>
      </w:r>
      <w:r w:rsidR="00051A1F">
        <w:t xml:space="preserve">Henry's </w:t>
      </w:r>
      <w:r w:rsidR="00A3214C">
        <w:t>empirical</w:t>
      </w:r>
      <w:r w:rsidR="009173F5">
        <w:t xml:space="preserve"> range of 0.3–0.8</w:t>
      </w:r>
      <w:r w:rsidR="00A3214C">
        <w:t>.</w:t>
      </w:r>
      <w:r w:rsidR="009173F5">
        <w:rPr>
          <w:rStyle w:val="FootnoteReference"/>
        </w:rPr>
        <w:footnoteReference w:id="304"/>
      </w:r>
      <w:r w:rsidR="009173F5">
        <w:t xml:space="preserve"> </w:t>
      </w:r>
    </w:p>
    <w:p w:rsidR="00AD4293" w:rsidRDefault="00AD4293" w:rsidP="00013867">
      <w:pPr>
        <w:pStyle w:val="AERbulletlistfirststyle"/>
        <w:numPr>
          <w:ilvl w:val="0"/>
          <w:numId w:val="0"/>
        </w:numPr>
      </w:pPr>
      <w:r>
        <w:t>W</w:t>
      </w:r>
      <w:r w:rsidRPr="00AD4293">
        <w:t xml:space="preserve">e discuss our study in more detail in section </w:t>
      </w:r>
      <w:r w:rsidR="002F4EEF">
        <w:fldChar w:fldCharType="begin"/>
      </w:r>
      <w:r w:rsidR="002F4EEF">
        <w:instrText xml:space="preserve"> REF _Ref478460051 \r \h </w:instrText>
      </w:r>
      <w:r w:rsidR="002F4EEF">
        <w:fldChar w:fldCharType="separate"/>
      </w:r>
      <w:r w:rsidR="002C24D6">
        <w:t>G</w:t>
      </w:r>
      <w:r w:rsidR="002F4EEF">
        <w:fldChar w:fldCharType="end"/>
      </w:r>
      <w:r w:rsidRPr="00AD4293">
        <w:t>.</w:t>
      </w:r>
    </w:p>
    <w:p w:rsidR="00FB15D2" w:rsidRDefault="00FB15D2" w:rsidP="00013867">
      <w:pPr>
        <w:pStyle w:val="AERbulletlistfirststyle"/>
        <w:numPr>
          <w:ilvl w:val="0"/>
          <w:numId w:val="0"/>
        </w:numPr>
      </w:pPr>
      <w:r>
        <w:t xml:space="preserve">We have reviewed service providers' </w:t>
      </w:r>
      <w:r w:rsidR="00FB5276">
        <w:t xml:space="preserve">new </w:t>
      </w:r>
      <w:r>
        <w:t>material on equity beta</w:t>
      </w:r>
      <w:r w:rsidRPr="00FB15D2">
        <w:t xml:space="preserve"> which include </w:t>
      </w:r>
      <w:r>
        <w:t xml:space="preserve">a CEG report and </w:t>
      </w:r>
      <w:r w:rsidRPr="00FB15D2">
        <w:t>a Frontier report.</w:t>
      </w:r>
      <w:r w:rsidRPr="00FB15D2">
        <w:rPr>
          <w:rStyle w:val="FootnoteReference"/>
        </w:rPr>
        <w:footnoteReference w:id="305"/>
      </w:r>
    </w:p>
    <w:p w:rsidR="00FB5276" w:rsidRDefault="00FB5276" w:rsidP="00FB5276">
      <w:r>
        <w:t xml:space="preserve">While the material does display small changes in empirical estimates, we do not find satisfactory evidence of an increase to depart from our range and point estimate. Our updated </w:t>
      </w:r>
      <w:r w:rsidRPr="00FB15D2">
        <w:t xml:space="preserve">analysis </w:t>
      </w:r>
      <w:r w:rsidR="00BA048C">
        <w:t>re</w:t>
      </w:r>
      <w:r w:rsidR="006B3297">
        <w:t>ma</w:t>
      </w:r>
      <w:r w:rsidR="00BA048C">
        <w:t>ins</w:t>
      </w:r>
      <w:r w:rsidRPr="00FB15D2">
        <w:t xml:space="preserve"> consistent with Henry's </w:t>
      </w:r>
      <w:r w:rsidR="00BA048C">
        <w:t>range</w:t>
      </w:r>
      <w:r w:rsidRPr="00FB15D2">
        <w:t xml:space="preserve"> </w:t>
      </w:r>
      <w:r w:rsidR="00BA048C">
        <w:t>which</w:t>
      </w:r>
      <w:r w:rsidRPr="00FB15D2">
        <w:t xml:space="preserve"> supports our range </w:t>
      </w:r>
      <w:r w:rsidR="00BA048C">
        <w:t xml:space="preserve">(0.4–0.7) </w:t>
      </w:r>
      <w:r w:rsidRPr="00FB15D2">
        <w:t>and point estimate</w:t>
      </w:r>
      <w:r w:rsidR="00BA048C">
        <w:t xml:space="preserve"> (0.7)</w:t>
      </w:r>
      <w:r w:rsidRPr="00FB15D2">
        <w:t xml:space="preserve">. </w:t>
      </w:r>
      <w:r w:rsidR="00BA048C">
        <w:t>Further, t</w:t>
      </w:r>
      <w:r>
        <w:t>here appears to be conflicting information between the CEG report and Frontier report as Frontier's10 year average firm-level estimates suggest a decline in empirical estimates since Henry's study.</w:t>
      </w:r>
    </w:p>
    <w:p w:rsidR="00040F7D" w:rsidRDefault="00FB5276" w:rsidP="00013867">
      <w:pPr>
        <w:pStyle w:val="AERbulletlistfirststyle"/>
        <w:numPr>
          <w:ilvl w:val="0"/>
          <w:numId w:val="0"/>
        </w:numPr>
      </w:pPr>
      <w:r>
        <w:t xml:space="preserve">Both </w:t>
      </w:r>
      <w:r w:rsidR="00AD4293">
        <w:t>CEG</w:t>
      </w:r>
      <w:r>
        <w:t xml:space="preserve"> and Frontier</w:t>
      </w:r>
      <w:r w:rsidR="00AD4293">
        <w:t xml:space="preserve"> ha</w:t>
      </w:r>
      <w:r>
        <w:t>ve</w:t>
      </w:r>
      <w:r w:rsidR="00AD4293">
        <w:t xml:space="preserve"> attempted extension of Henry's results and observed increases.</w:t>
      </w:r>
      <w:r w:rsidR="00AD4293" w:rsidRPr="00AD4293">
        <w:rPr>
          <w:rStyle w:val="FootnoteReference"/>
        </w:rPr>
        <w:footnoteReference w:id="306"/>
      </w:r>
      <w:r w:rsidR="00AD4293">
        <w:t xml:space="preserve"> However, </w:t>
      </w:r>
      <w:r>
        <w:t>their</w:t>
      </w:r>
      <w:r w:rsidR="00040F7D">
        <w:t xml:space="preserve"> observations are driven by its use of short</w:t>
      </w:r>
      <w:r w:rsidR="00206701">
        <w:t>er</w:t>
      </w:r>
      <w:r w:rsidR="00040F7D">
        <w:t>-term estimates</w:t>
      </w:r>
      <w:r w:rsidR="00623502">
        <w:t>.</w:t>
      </w:r>
      <w:r w:rsidR="00040F7D">
        <w:rPr>
          <w:rStyle w:val="FootnoteReference"/>
        </w:rPr>
        <w:footnoteReference w:id="307"/>
      </w:r>
      <w:r w:rsidR="00623502">
        <w:t xml:space="preserve"> This can lead to results being prone to factors such as </w:t>
      </w:r>
      <w:r w:rsidR="00A65A7E">
        <w:t>volatilities</w:t>
      </w:r>
      <w:r w:rsidR="00623502">
        <w:t xml:space="preserve">, </w:t>
      </w:r>
      <w:r w:rsidR="00A65A7E">
        <w:t>fluctuations</w:t>
      </w:r>
      <w:r w:rsidR="00623502">
        <w:t xml:space="preserve"> and one-off events which </w:t>
      </w:r>
      <w:r w:rsidR="00206701">
        <w:t>can</w:t>
      </w:r>
      <w:r w:rsidR="00040F7D">
        <w:t xml:space="preserve"> obscure the 'true' eq</w:t>
      </w:r>
      <w:r w:rsidR="00666F6A">
        <w:t>u</w:t>
      </w:r>
      <w:r w:rsidR="00040F7D">
        <w:t xml:space="preserve">ity beta for a benchmark efficient entity and is unlikely to provide a robust estimate. </w:t>
      </w:r>
      <w:r>
        <w:t xml:space="preserve">Further, Frontier itself recognised that short term data 'is insufficient to provide statistically </w:t>
      </w:r>
      <w:r w:rsidR="00A65A7E">
        <w:t>reliable</w:t>
      </w:r>
      <w:r>
        <w:t xml:space="preserve"> </w:t>
      </w:r>
      <w:r w:rsidR="00A65A7E">
        <w:t>estimates</w:t>
      </w:r>
      <w:r>
        <w:t xml:space="preserve"> of beta.'</w:t>
      </w:r>
      <w:r>
        <w:rPr>
          <w:rStyle w:val="FootnoteReference"/>
        </w:rPr>
        <w:footnoteReference w:id="308"/>
      </w:r>
    </w:p>
    <w:p w:rsidR="00AD4293" w:rsidRDefault="00AD4293" w:rsidP="00013867">
      <w:pPr>
        <w:pStyle w:val="AERbulletlistfirststyle"/>
        <w:numPr>
          <w:ilvl w:val="0"/>
          <w:numId w:val="0"/>
        </w:numPr>
      </w:pPr>
      <w:r>
        <w:t xml:space="preserve">We discuss </w:t>
      </w:r>
      <w:r w:rsidR="00FB5276">
        <w:t>CEG's</w:t>
      </w:r>
      <w:r>
        <w:t xml:space="preserve"> report in more detail in the '</w:t>
      </w:r>
      <w:r>
        <w:fldChar w:fldCharType="begin"/>
      </w:r>
      <w:r>
        <w:instrText xml:space="preserve"> REF _Ref483381030 \h </w:instrText>
      </w:r>
      <w:r>
        <w:fldChar w:fldCharType="separate"/>
      </w:r>
      <w:r w:rsidR="002C24D6">
        <w:t>CEG's replication and extension of Henry's results</w:t>
      </w:r>
      <w:r>
        <w:fldChar w:fldCharType="end"/>
      </w:r>
      <w:r>
        <w:t>' below</w:t>
      </w:r>
      <w:r w:rsidR="00FB5276">
        <w:t xml:space="preserve"> and Frontier's report in the 'APTPPL and APA proposal for equity beta of 0.8' below.</w:t>
      </w:r>
    </w:p>
    <w:p w:rsidR="00CA4537" w:rsidRDefault="001D4715" w:rsidP="001D4715">
      <w:r>
        <w:t>We also consider a number of other empirical studies of the equity beta of Australian energy network businesses. These empirical studies show a consistent pattern of equity beta estimates that is robust to the use of different econometric methods and time periods. From 2002 to 201</w:t>
      </w:r>
      <w:r w:rsidR="00296CB2">
        <w:t>6</w:t>
      </w:r>
      <w:r>
        <w:t>, these empirical studies present equity beta estimates that converge on the range of 0.4 to 0.7.</w:t>
      </w:r>
      <w:r>
        <w:rPr>
          <w:rStyle w:val="FootnoteReference"/>
        </w:rPr>
        <w:footnoteReference w:id="309"/>
      </w:r>
      <w:r>
        <w:t xml:space="preserve"> </w:t>
      </w:r>
    </w:p>
    <w:p w:rsidR="001D4715" w:rsidRDefault="001D4715" w:rsidP="001D4715">
      <w:r>
        <w:t xml:space="preserve">We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9A630C">
        <w:t>APTPPL</w:t>
      </w:r>
      <w:r>
        <w:t xml:space="preserve">. More information on empirical estimates can be found in section </w:t>
      </w:r>
      <w:r w:rsidR="009211CA">
        <w:fldChar w:fldCharType="begin"/>
      </w:r>
      <w:r w:rsidR="009211CA">
        <w:instrText xml:space="preserve"> REF _Ref478460051 \r \h </w:instrText>
      </w:r>
      <w:r w:rsidR="009211CA">
        <w:fldChar w:fldCharType="separate"/>
      </w:r>
      <w:r w:rsidR="002C24D6">
        <w:t>G</w:t>
      </w:r>
      <w:r w:rsidR="009211CA">
        <w:fldChar w:fldCharType="end"/>
      </w:r>
      <w:r>
        <w:t>.</w:t>
      </w:r>
    </w:p>
    <w:p w:rsidR="001D4715" w:rsidRDefault="00116228" w:rsidP="001D4715">
      <w:r>
        <w:rPr>
          <w:rStyle w:val="AERbody"/>
        </w:rPr>
        <w:t xml:space="preserve">We have </w:t>
      </w:r>
      <w:r w:rsidR="001D4715">
        <w:rPr>
          <w:rStyle w:val="AERbody"/>
        </w:rPr>
        <w:t>consider</w:t>
      </w:r>
      <w:r>
        <w:rPr>
          <w:rStyle w:val="AERbody"/>
        </w:rPr>
        <w:t>ed</w:t>
      </w:r>
      <w:r w:rsidR="001D4715">
        <w:rPr>
          <w:rStyle w:val="AERbody"/>
        </w:rPr>
        <w:t xml:space="preserve"> international estimates</w:t>
      </w:r>
      <w:r>
        <w:rPr>
          <w:rStyle w:val="AERbody"/>
        </w:rPr>
        <w:t xml:space="preserve"> which</w:t>
      </w:r>
      <w:r w:rsidR="001D4715">
        <w:rPr>
          <w:rStyle w:val="AERbody"/>
        </w:rPr>
        <w:t>, in conjunction with considerations of the Black CAPM and investor certainty (as discussed above) support a higher estimate and an estimate at the upper end of our range.</w:t>
      </w:r>
      <w:r w:rsidR="001D4715">
        <w:rPr>
          <w:rStyle w:val="FootnoteReference"/>
        </w:rPr>
        <w:footnoteReference w:id="310"/>
      </w:r>
      <w:r w:rsidR="001D4715">
        <w:rPr>
          <w:rStyle w:val="AERbody"/>
        </w:rPr>
        <w:t xml:space="preserve"> </w:t>
      </w:r>
      <w:r w:rsidR="001D4715" w:rsidRPr="002D3111">
        <w:t xml:space="preserve">Our equity beta point estimate </w:t>
      </w:r>
      <w:r w:rsidR="001D4715">
        <w:t xml:space="preserve">also </w:t>
      </w:r>
      <w:r w:rsidR="001D4715" w:rsidRPr="002D3111">
        <w:t>provides a balanced outcome given the submissions by stakeholders and services providers</w:t>
      </w:r>
      <w:r w:rsidR="001D4715">
        <w:t xml:space="preserve">, as shown in </w:t>
      </w:r>
      <w:r w:rsidR="004279C0">
        <w:fldChar w:fldCharType="begin"/>
      </w:r>
      <w:r w:rsidR="004279C0">
        <w:instrText xml:space="preserve"> REF _Ref482694946 \h </w:instrText>
      </w:r>
      <w:r w:rsidR="004279C0">
        <w:fldChar w:fldCharType="separate"/>
      </w:r>
      <w:r w:rsidR="002C24D6">
        <w:t xml:space="preserve">Figure </w:t>
      </w:r>
      <w:r w:rsidR="002C24D6">
        <w:rPr>
          <w:noProof/>
        </w:rPr>
        <w:t>3</w:t>
      </w:r>
      <w:r w:rsidR="002C24D6">
        <w:noBreakHyphen/>
      </w:r>
      <w:r w:rsidR="002C24D6">
        <w:rPr>
          <w:noProof/>
        </w:rPr>
        <w:t>3</w:t>
      </w:r>
      <w:r w:rsidR="004279C0">
        <w:fldChar w:fldCharType="end"/>
      </w:r>
      <w:r w:rsidR="001D4715">
        <w:t xml:space="preserve">. </w:t>
      </w:r>
    </w:p>
    <w:p w:rsidR="001D4715" w:rsidRDefault="001D4715" w:rsidP="001D4715">
      <w:pPr>
        <w:pStyle w:val="Caption"/>
      </w:pPr>
      <w:bookmarkStart w:id="72" w:name="_Ref482694946"/>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3</w:t>
      </w:r>
      <w:r w:rsidR="002C24D6">
        <w:rPr>
          <w:noProof/>
        </w:rPr>
        <w:fldChar w:fldCharType="end"/>
      </w:r>
      <w:bookmarkEnd w:id="72"/>
      <w:r>
        <w:tab/>
        <w:t xml:space="preserve">Submissions on the value of the equity beta </w:t>
      </w:r>
    </w:p>
    <w:p w:rsidR="002106AB" w:rsidRPr="002106AB" w:rsidRDefault="00783308" w:rsidP="007A451A">
      <w:r>
        <w:rPr>
          <w:noProof/>
          <w:lang w:eastAsia="en-AU"/>
        </w:rPr>
        <w:drawing>
          <wp:inline distT="0" distB="0" distL="0" distR="0" wp14:anchorId="056F873B" wp14:editId="22A38308">
            <wp:extent cx="5223053" cy="369360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3320" cy="3693795"/>
                    </a:xfrm>
                    <a:prstGeom prst="rect">
                      <a:avLst/>
                    </a:prstGeom>
                    <a:noFill/>
                  </pic:spPr>
                </pic:pic>
              </a:graphicData>
            </a:graphic>
          </wp:inline>
        </w:drawing>
      </w:r>
    </w:p>
    <w:p w:rsidR="001D4715" w:rsidRPr="00812033" w:rsidRDefault="001D4715" w:rsidP="00CC7A1C">
      <w:pPr>
        <w:numPr>
          <w:ilvl w:val="0"/>
          <w:numId w:val="24"/>
        </w:numPr>
        <w:rPr>
          <w:rStyle w:val="AERbody"/>
        </w:rPr>
      </w:pPr>
    </w:p>
    <w:p w:rsidR="001D4715" w:rsidRPr="00F474B9" w:rsidRDefault="001D4715" w:rsidP="001D4715">
      <w:pPr>
        <w:pStyle w:val="AERtablesource"/>
      </w:pPr>
      <w:r>
        <w:t>Source:</w:t>
      </w:r>
      <w:r>
        <w:tab/>
      </w:r>
      <w:r w:rsidRPr="00F474B9">
        <w:t>AER analysis</w:t>
      </w:r>
      <w:r w:rsidRPr="00F474B9">
        <w:rPr>
          <w:rStyle w:val="FootnoteReference"/>
        </w:rPr>
        <w:footnoteReference w:id="311"/>
      </w:r>
    </w:p>
    <w:p w:rsidR="001D4715" w:rsidRDefault="001D4715" w:rsidP="001D4715">
      <w:pPr>
        <w:pStyle w:val="AERtablesource"/>
      </w:pPr>
      <w:r w:rsidRPr="00F474B9">
        <w:t>Note:</w:t>
      </w:r>
      <w:r w:rsidRPr="00F474B9">
        <w:tab/>
      </w:r>
      <w:r w:rsidRPr="00E04BEF">
        <w:t xml:space="preserve">Henry 2014 presents the range specified in Henry’s 2014 report (0.3 to 0.8). </w:t>
      </w:r>
      <w:r w:rsidR="00296CB2">
        <w:t xml:space="preserve">AER 2017 presents the range specified in our updated study of beta estimates in 2017. </w:t>
      </w:r>
      <w:r w:rsidRPr="00E04BEF">
        <w:t xml:space="preserve">The stakeholder submissions range is intended to reflect the views of consumer groups and those who use/engage with the energy network (or pipeline).  The lower bound of this range is based on </w:t>
      </w:r>
      <w:r w:rsidR="001F10BC">
        <w:t xml:space="preserve">CCP11's submission to Multinet, AusNet and AGN's regulatory proposal and the upper bound is based on </w:t>
      </w:r>
      <w:r w:rsidR="00037B3E">
        <w:t>Origin Energy's submission</w:t>
      </w:r>
      <w:r w:rsidRPr="00E04BEF">
        <w:t>. The SFG 2014 and 2015 range lower bound is based on multiple model regression analysis of Australian and US firms and the upper bound is based on SFG multiple model based equity beta estimates (under its ‘foundation model' approach for the return on equity).</w:t>
      </w:r>
      <w:r>
        <w:t xml:space="preserve"> CEG 2015 figures are from CEG January 2015 paper on estimating the cost of equity, equity beta and MRP.  CEG 2016 beta range is the result of CEG</w:t>
      </w:r>
      <w:r w:rsidR="00296CB2">
        <w:t>'s</w:t>
      </w:r>
      <w:r>
        <w:t xml:space="preserve"> re-estimation of the Henry 2014 paper with extension to 30 June 2016 submitted with AusNet Services Revised revenue proposal in September 2016. </w:t>
      </w:r>
      <w:r w:rsidR="00296CB2">
        <w:t xml:space="preserve">CEG 2016a beta range is the result of CEG's update to its 2016 estimation using data to October 2016. </w:t>
      </w:r>
      <w:r w:rsidRPr="00E04BEF">
        <w:t>Frontier Economics range is drawn from their Jan</w:t>
      </w:r>
      <w:r>
        <w:t>uary</w:t>
      </w:r>
      <w:r w:rsidRPr="00E04BEF">
        <w:t xml:space="preserve"> 2016 reports for Jemena, ActewAGL, AusNet Services, Australian Gas Networks, Citipower, Powercor and United Energy on beta estimations.</w:t>
      </w:r>
      <w:r w:rsidR="00783308">
        <w:t xml:space="preserve"> Frontier 2016a is from its December 2016 report for APA.</w:t>
      </w:r>
    </w:p>
    <w:p w:rsidR="00B1779E" w:rsidRPr="00BF2229" w:rsidRDefault="00B1779E" w:rsidP="00B1779E">
      <w:pPr>
        <w:pStyle w:val="HeadingItalic"/>
        <w:numPr>
          <w:ilvl w:val="0"/>
          <w:numId w:val="24"/>
        </w:numPr>
      </w:pPr>
      <w:bookmarkStart w:id="73" w:name="_Ref483381030"/>
      <w:r>
        <w:t>CEG's replication and extension of Henry's results</w:t>
      </w:r>
      <w:bookmarkEnd w:id="73"/>
    </w:p>
    <w:p w:rsidR="001D4715" w:rsidRDefault="001D4715" w:rsidP="00CC7A1C">
      <w:pPr>
        <w:numPr>
          <w:ilvl w:val="0"/>
          <w:numId w:val="24"/>
        </w:numPr>
      </w:pPr>
      <w:r>
        <w:t xml:space="preserve">We note </w:t>
      </w:r>
      <w:r w:rsidR="0087187D">
        <w:t xml:space="preserve">Multinet, AGN and AusNet </w:t>
      </w:r>
      <w:r w:rsidR="00F6504B">
        <w:t xml:space="preserve">have </w:t>
      </w:r>
      <w:r>
        <w:t xml:space="preserve">accepted our Guideline equity beta of 0.7. </w:t>
      </w:r>
    </w:p>
    <w:p w:rsidR="001D4715" w:rsidRDefault="001D4715" w:rsidP="00CC7A1C">
      <w:pPr>
        <w:numPr>
          <w:ilvl w:val="0"/>
          <w:numId w:val="24"/>
        </w:numPr>
      </w:pPr>
      <w:r>
        <w:t xml:space="preserve">However, </w:t>
      </w:r>
      <w:r w:rsidR="009A1909">
        <w:t>all three service providers</w:t>
      </w:r>
      <w:r>
        <w:t xml:space="preserve"> submitted a report from CEG</w:t>
      </w:r>
      <w:r w:rsidR="00F14F1D">
        <w:t xml:space="preserve"> (</w:t>
      </w:r>
      <w:r w:rsidR="006F2F74">
        <w:t xml:space="preserve">AGN and AusNet submitted </w:t>
      </w:r>
      <w:r w:rsidR="003D7979">
        <w:t>the</w:t>
      </w:r>
      <w:r w:rsidR="00F14F1D">
        <w:t xml:space="preserve"> September 2016</w:t>
      </w:r>
      <w:r w:rsidR="006F2F74">
        <w:t xml:space="preserve"> version and Multinet submitted </w:t>
      </w:r>
      <w:r w:rsidR="003D7979">
        <w:t>the</w:t>
      </w:r>
      <w:r w:rsidR="006F2F74">
        <w:t xml:space="preserve"> November 2016 version</w:t>
      </w:r>
      <w:r w:rsidR="00F14F1D">
        <w:t>)</w:t>
      </w:r>
      <w:r>
        <w:t>.</w:t>
      </w:r>
      <w:r>
        <w:rPr>
          <w:rStyle w:val="FootnoteReference"/>
        </w:rPr>
        <w:footnoteReference w:id="312"/>
      </w:r>
      <w:r>
        <w:t xml:space="preserve">  </w:t>
      </w:r>
      <w:r w:rsidR="006F2F74">
        <w:t>Both versions of the report</w:t>
      </w:r>
      <w:r>
        <w:t xml:space="preserve"> attempted to replicate and extend results from the Henry (2014) paper to 2016 to show a material increase in beta estimates. CEG raised a number of issues in support of a higher equity beta, for example:</w:t>
      </w:r>
      <w:r>
        <w:rPr>
          <w:rStyle w:val="FootnoteReference"/>
        </w:rPr>
        <w:footnoteReference w:id="313"/>
      </w:r>
    </w:p>
    <w:p w:rsidR="001D4715" w:rsidRPr="001D4715" w:rsidRDefault="001D4715" w:rsidP="00F54369">
      <w:pPr>
        <w:pStyle w:val="AERbulletlistfirststyle"/>
      </w:pPr>
      <w:r w:rsidRPr="001D4715">
        <w:t>CEG's extension of Henry's estimates suggest</w:t>
      </w:r>
      <w:r w:rsidR="00B27D32">
        <w:t>s</w:t>
      </w:r>
      <w:r w:rsidRPr="001D4715">
        <w:t xml:space="preserve"> that empirical estimates of equity have increased since Henry's 2014 report</w:t>
      </w:r>
      <w:r w:rsidR="00510E5E">
        <w:t>.</w:t>
      </w:r>
    </w:p>
    <w:p w:rsidR="001D4715" w:rsidRDefault="001D4715" w:rsidP="00F54369">
      <w:pPr>
        <w:pStyle w:val="AERbulletlistfirststyle"/>
      </w:pPr>
      <w:r>
        <w:t>CEG</w:t>
      </w:r>
      <w:r w:rsidRPr="001D4715">
        <w:t>'s more recent estimates (one year and five year estimates</w:t>
      </w:r>
      <w:r w:rsidR="006F2F74">
        <w:t xml:space="preserve"> to 2016</w:t>
      </w:r>
      <w:r w:rsidRPr="001D4715">
        <w:t>) for still listed firms indicate a more prominent increase in the equity beta</w:t>
      </w:r>
      <w:r w:rsidR="00510E5E">
        <w:t>.</w:t>
      </w:r>
    </w:p>
    <w:p w:rsidR="00FB15D2" w:rsidRPr="001D4715" w:rsidRDefault="00FB15D2" w:rsidP="00FB15D2">
      <w:pPr>
        <w:pStyle w:val="AERbulletlistfirststyle"/>
      </w:pPr>
      <w:r>
        <w:t xml:space="preserve">The increase in beta is consistent with the observation from </w:t>
      </w:r>
      <w:r w:rsidRPr="001D4715">
        <w:t>a February 2016 CEG report which observed a structural break in average rolling beta at 2014/15</w:t>
      </w:r>
      <w:r>
        <w:t>.</w:t>
      </w:r>
    </w:p>
    <w:p w:rsidR="006F2F74" w:rsidRDefault="00F6504B" w:rsidP="00013867">
      <w:pPr>
        <w:pStyle w:val="AERbulletlistfirststyle"/>
        <w:numPr>
          <w:ilvl w:val="0"/>
          <w:numId w:val="0"/>
        </w:numPr>
      </w:pPr>
      <w:r>
        <w:t>Apart from updated estimates (due to inclusion of a further 4 months' of data), t</w:t>
      </w:r>
      <w:r w:rsidR="006F2F74">
        <w:t>he</w:t>
      </w:r>
      <w:r w:rsidR="004F1646">
        <w:t xml:space="preserve"> key </w:t>
      </w:r>
      <w:r w:rsidR="00F54488">
        <w:t>addition in</w:t>
      </w:r>
      <w:r w:rsidR="003F6971">
        <w:t xml:space="preserve"> the November 2016 </w:t>
      </w:r>
      <w:r w:rsidR="003D7979">
        <w:t>version of the report</w:t>
      </w:r>
      <w:r w:rsidR="006F2F74">
        <w:t xml:space="preserve"> </w:t>
      </w:r>
      <w:r w:rsidR="00F54488">
        <w:t>is</w:t>
      </w:r>
      <w:r w:rsidR="003603EC">
        <w:t xml:space="preserve"> </w:t>
      </w:r>
      <w:r w:rsidR="004F1646">
        <w:t>using</w:t>
      </w:r>
      <w:r w:rsidR="003603EC">
        <w:t xml:space="preserve"> the Quandt-Andrews test to</w:t>
      </w:r>
      <w:r w:rsidR="00F54488">
        <w:t xml:space="preserve"> </w:t>
      </w:r>
      <w:r w:rsidR="006F2F74">
        <w:t>identi</w:t>
      </w:r>
      <w:r w:rsidR="003603EC">
        <w:t>fy</w:t>
      </w:r>
      <w:r w:rsidR="006F2F74">
        <w:t xml:space="preserve"> structural break</w:t>
      </w:r>
      <w:r w:rsidR="00BE0E56">
        <w:t>s</w:t>
      </w:r>
      <w:r w:rsidR="006F2F74">
        <w:t xml:space="preserve"> in</w:t>
      </w:r>
      <w:r w:rsidR="003D7979">
        <w:t xml:space="preserve"> </w:t>
      </w:r>
      <w:r w:rsidR="00BE0E56">
        <w:t xml:space="preserve">August 2009 and </w:t>
      </w:r>
      <w:r w:rsidR="006F2F74">
        <w:t>August 2014</w:t>
      </w:r>
      <w:r w:rsidR="003F6971">
        <w:t>.</w:t>
      </w:r>
      <w:r w:rsidR="003F6971">
        <w:rPr>
          <w:rStyle w:val="FootnoteReference"/>
        </w:rPr>
        <w:footnoteReference w:id="314"/>
      </w:r>
      <w:r w:rsidR="003603EC">
        <w:t xml:space="preserve"> </w:t>
      </w:r>
    </w:p>
    <w:p w:rsidR="00B90A09" w:rsidRDefault="00B90A09" w:rsidP="00013867">
      <w:pPr>
        <w:pStyle w:val="AERbulletlistfirststyle"/>
        <w:numPr>
          <w:ilvl w:val="0"/>
          <w:numId w:val="0"/>
        </w:numPr>
      </w:pPr>
      <w:r>
        <w:t>We have carefully consider</w:t>
      </w:r>
      <w:r w:rsidRPr="00B90A09">
        <w:t>ed CEG</w:t>
      </w:r>
      <w:r w:rsidR="001975B2">
        <w:t>'s</w:t>
      </w:r>
      <w:r w:rsidRPr="00B90A09">
        <w:t xml:space="preserve"> report.</w:t>
      </w:r>
      <w:r w:rsidR="00146F08">
        <w:t xml:space="preserve"> We acknowledge there may be some change in empirical esti</w:t>
      </w:r>
      <w:r w:rsidR="00510E5E">
        <w:t>mates of equity beta since 2014.</w:t>
      </w:r>
      <w:r w:rsidR="00510E5E" w:rsidRPr="00510E5E">
        <w:t xml:space="preserve"> </w:t>
      </w:r>
      <w:r w:rsidR="00146F08">
        <w:t xml:space="preserve"> </w:t>
      </w:r>
    </w:p>
    <w:p w:rsidR="00D67158" w:rsidRPr="001D4715" w:rsidRDefault="00E339F5" w:rsidP="00013867">
      <w:pPr>
        <w:pStyle w:val="AERbulletlistfirststyle"/>
        <w:numPr>
          <w:ilvl w:val="0"/>
          <w:numId w:val="0"/>
        </w:numPr>
      </w:pPr>
      <w:r>
        <w:t xml:space="preserve">However, </w:t>
      </w:r>
      <w:r w:rsidR="00510E5E">
        <w:t>w</w:t>
      </w:r>
      <w:r w:rsidR="00D67158">
        <w:t xml:space="preserve">e do not consider </w:t>
      </w:r>
      <w:r w:rsidR="00510E5E">
        <w:t>CEG</w:t>
      </w:r>
      <w:r w:rsidR="00D67158">
        <w:t xml:space="preserve"> provide significant evidence of a material increase to warrant adjusting our empirical range of 0.4–0.7 or point estimate 0.7</w:t>
      </w:r>
      <w:r w:rsidR="00206701">
        <w:t>.</w:t>
      </w:r>
      <w:r w:rsidR="00D67158">
        <w:t xml:space="preserve"> </w:t>
      </w:r>
      <w:r w:rsidR="00206701">
        <w:t>I</w:t>
      </w:r>
      <w:r w:rsidR="00B2024A">
        <w:t xml:space="preserve">n its September report </w:t>
      </w:r>
      <w:r w:rsidR="00D67158">
        <w:t>for a number of reasons specified in</w:t>
      </w:r>
      <w:r w:rsidR="00F6504B">
        <w:t xml:space="preserve"> </w:t>
      </w:r>
      <w:r w:rsidR="00421A98">
        <w:t>section</w:t>
      </w:r>
      <w:r w:rsidR="00D67158">
        <w:t xml:space="preserve"> </w:t>
      </w:r>
      <w:r w:rsidR="00F6504B">
        <w:fldChar w:fldCharType="begin"/>
      </w:r>
      <w:r w:rsidR="00F6504B">
        <w:instrText xml:space="preserve"> REF _Ref483299544 \r \h </w:instrText>
      </w:r>
      <w:r w:rsidR="00F6504B">
        <w:fldChar w:fldCharType="separate"/>
      </w:r>
      <w:r w:rsidR="002C24D6">
        <w:t>H</w:t>
      </w:r>
      <w:r w:rsidR="00F6504B">
        <w:fldChar w:fldCharType="end"/>
      </w:r>
      <w:r w:rsidR="00421A98">
        <w:t xml:space="preserve"> and </w:t>
      </w:r>
      <w:r w:rsidR="00421A98">
        <w:fldChar w:fldCharType="begin"/>
      </w:r>
      <w:r w:rsidR="00421A98">
        <w:instrText xml:space="preserve"> REF _Ref483320451 \r \h </w:instrText>
      </w:r>
      <w:r w:rsidR="00421A98">
        <w:fldChar w:fldCharType="separate"/>
      </w:r>
      <w:r w:rsidR="002C24D6">
        <w:t>G.2.1</w:t>
      </w:r>
      <w:r w:rsidR="00421A98">
        <w:fldChar w:fldCharType="end"/>
      </w:r>
      <w:r w:rsidR="00D67158">
        <w:t xml:space="preserve">. Partington and Satchell have advised that they are not ‘convinced that there has been material change in beta’ </w:t>
      </w:r>
      <w:r w:rsidR="00206701">
        <w:t>after reviewing CEG's</w:t>
      </w:r>
      <w:r w:rsidR="00F6504B">
        <w:t xml:space="preserve"> September report</w:t>
      </w:r>
      <w:r w:rsidR="00D67158">
        <w:t>.</w:t>
      </w:r>
      <w:r w:rsidR="00D67158" w:rsidRPr="001D4715">
        <w:rPr>
          <w:rStyle w:val="FootnoteReference"/>
        </w:rPr>
        <w:footnoteReference w:id="315"/>
      </w:r>
      <w:r w:rsidR="00146F08">
        <w:t xml:space="preserve"> </w:t>
      </w:r>
    </w:p>
    <w:p w:rsidR="00B90A09" w:rsidRDefault="00B90A09" w:rsidP="00D67158">
      <w:r>
        <w:t xml:space="preserve">We </w:t>
      </w:r>
      <w:r w:rsidR="0021093F">
        <w:t xml:space="preserve">also </w:t>
      </w:r>
      <w:r w:rsidR="0075491B">
        <w:t>disagree with</w:t>
      </w:r>
      <w:r>
        <w:t xml:space="preserve"> </w:t>
      </w:r>
      <w:r w:rsidRPr="00994793">
        <w:t>CEG</w:t>
      </w:r>
      <w:r>
        <w:t>’s</w:t>
      </w:r>
      <w:r w:rsidR="00421A98">
        <w:t xml:space="preserve"> November</w:t>
      </w:r>
      <w:r>
        <w:t xml:space="preserve"> report for a number of reasons including:</w:t>
      </w:r>
    </w:p>
    <w:p w:rsidR="006F23AB" w:rsidRDefault="00747FAF" w:rsidP="00747FAF">
      <w:pPr>
        <w:pStyle w:val="AERbulletlistfirststyle"/>
      </w:pPr>
      <w:r w:rsidRPr="001D4715">
        <w:t>CEG's extension</w:t>
      </w:r>
      <w:r>
        <w:t xml:space="preserve"> of firm level estimates does not </w:t>
      </w:r>
      <w:r w:rsidRPr="001D4715">
        <w:t xml:space="preserve">indicate a significant change in empirical estimates of the equity beta. For example, the average re-levered firm-level estimate </w:t>
      </w:r>
      <w:r>
        <w:t xml:space="preserve">(using </w:t>
      </w:r>
      <w:r w:rsidR="005372B6">
        <w:t xml:space="preserve">weekly data and </w:t>
      </w:r>
      <w:r>
        <w:t xml:space="preserve">Henry's longest sampling period extended until October 2016) </w:t>
      </w:r>
      <w:r w:rsidRPr="001D4715">
        <w:t>increased slightly (by 0.0</w:t>
      </w:r>
      <w:r w:rsidR="006F23AB">
        <w:t>5</w:t>
      </w:r>
      <w:r w:rsidRPr="001D4715">
        <w:t>) from 0.554 to 0.</w:t>
      </w:r>
      <w:r>
        <w:t>6</w:t>
      </w:r>
      <w:r w:rsidRPr="001D4715">
        <w:t>.</w:t>
      </w:r>
      <w:r>
        <w:rPr>
          <w:rStyle w:val="FootnoteReference"/>
        </w:rPr>
        <w:footnoteReference w:id="316"/>
      </w:r>
      <w:r>
        <w:t xml:space="preserve"> If this is restricted to firms with additional data, then </w:t>
      </w:r>
      <w:r w:rsidRPr="001D4715">
        <w:t>the average re-levered firm-level estimate</w:t>
      </w:r>
      <w:r>
        <w:t xml:space="preserve"> is 0.488 which is a decrease compared to CEG's and Henry's estimates for 2013.</w:t>
      </w:r>
      <w:r w:rsidRPr="001D4715">
        <w:t xml:space="preserve"> </w:t>
      </w:r>
    </w:p>
    <w:p w:rsidR="00747FAF" w:rsidRPr="001D4715" w:rsidRDefault="00747FAF" w:rsidP="00747FAF">
      <w:pPr>
        <w:pStyle w:val="AERbulletlistfirststyle"/>
      </w:pPr>
      <w:r w:rsidRPr="001D4715">
        <w:t xml:space="preserve">The average re-levered portfolio estimates </w:t>
      </w:r>
      <w:r>
        <w:t xml:space="preserve">for both equally-weighted and value-weighted portfolios </w:t>
      </w:r>
      <w:r w:rsidRPr="001D4715">
        <w:t>increased by a similar magnitude.</w:t>
      </w:r>
      <w:r>
        <w:rPr>
          <w:rStyle w:val="FootnoteReference"/>
        </w:rPr>
        <w:footnoteReference w:id="317"/>
      </w:r>
    </w:p>
    <w:p w:rsidR="00747FAF" w:rsidRDefault="00421A98" w:rsidP="00B90A09">
      <w:pPr>
        <w:pStyle w:val="AERbulletlistfirststyle"/>
      </w:pPr>
      <w:r>
        <w:t xml:space="preserve">CEG did not </w:t>
      </w:r>
      <w:r w:rsidR="00747FAF">
        <w:t>report</w:t>
      </w:r>
      <w:r>
        <w:t xml:space="preserve"> the standard error of its regressions. If we </w:t>
      </w:r>
      <w:r w:rsidR="00747FAF">
        <w:t xml:space="preserve">use </w:t>
      </w:r>
      <w:r>
        <w:t>Henry's standard errors as a proxy, CEG's extension</w:t>
      </w:r>
      <w:r w:rsidR="00747FAF">
        <w:t xml:space="preserve"> of firm-level estimates (longest time period)</w:t>
      </w:r>
      <w:r>
        <w:t xml:space="preserve"> falls within 2 standard deviations of Henry's results. </w:t>
      </w:r>
    </w:p>
    <w:p w:rsidR="00623502" w:rsidRDefault="00623502" w:rsidP="00623502">
      <w:pPr>
        <w:pStyle w:val="AERbulletlistfirststyle"/>
      </w:pPr>
      <w:r>
        <w:t>CEG</w:t>
      </w:r>
      <w:r w:rsidR="00B24ECF">
        <w:t>'s observed increase is driven by</w:t>
      </w:r>
      <w:r>
        <w:t xml:space="preserve"> short term estimates.</w:t>
      </w:r>
      <w:r>
        <w:rPr>
          <w:rStyle w:val="FootnoteReference"/>
        </w:rPr>
        <w:footnoteReference w:id="318"/>
      </w:r>
      <w:r>
        <w:t xml:space="preserve"> We consider that this is unlikely to provide a robust equity beta estimate and is of the view that estimate of equity beta using the longest possible data set </w:t>
      </w:r>
      <w:r w:rsidR="00B24ECF">
        <w:t>would be better suited</w:t>
      </w:r>
      <w:r>
        <w:t xml:space="preserve">. </w:t>
      </w:r>
    </w:p>
    <w:p w:rsidR="00B90A09" w:rsidRDefault="00B90A09" w:rsidP="00B90A09">
      <w:pPr>
        <w:pStyle w:val="AERbulletlistfirststyle"/>
      </w:pPr>
      <w:r>
        <w:t>S</w:t>
      </w:r>
      <w:r w:rsidRPr="001D4715">
        <w:t>hort term estimates (such as CEG's one year</w:t>
      </w:r>
      <w:r w:rsidR="00E1299F">
        <w:t>, two year</w:t>
      </w:r>
      <w:r w:rsidRPr="001D4715">
        <w:t xml:space="preserve"> and five year estimates) </w:t>
      </w:r>
      <w:r>
        <w:t>are not</w:t>
      </w:r>
      <w:r w:rsidRPr="001D4715">
        <w:t xml:space="preserve"> sufficiently robust to provide enough evidence of a change in beta or for the purpose of testing structural breaks. This is because the imprecise nature of short term estimates (due to one-off events, fluctuations and volatilities) may obscure the 'true' equity beta for a benchmark efficient entity.</w:t>
      </w:r>
      <w:r w:rsidR="004D6E57">
        <w:rPr>
          <w:rStyle w:val="FootnoteReference"/>
        </w:rPr>
        <w:footnoteReference w:id="319"/>
      </w:r>
      <w:r w:rsidRPr="001D4715">
        <w:t xml:space="preserve">  </w:t>
      </w:r>
    </w:p>
    <w:p w:rsidR="001975B2" w:rsidRDefault="009A5289">
      <w:pPr>
        <w:pStyle w:val="AERbulletlistfirststyle"/>
      </w:pPr>
      <w:r>
        <w:t>Partington and Satchell have advised that they continue to see 'little evidence of change</w:t>
      </w:r>
      <w:r w:rsidR="001975B2">
        <w:t>' in the November CEG report</w:t>
      </w:r>
      <w:r w:rsidR="0075491B">
        <w:t>.</w:t>
      </w:r>
      <w:r w:rsidR="000E1303">
        <w:rPr>
          <w:rStyle w:val="FootnoteReference"/>
        </w:rPr>
        <w:footnoteReference w:id="320"/>
      </w:r>
      <w:r w:rsidR="001975B2">
        <w:t xml:space="preserve"> </w:t>
      </w:r>
    </w:p>
    <w:p w:rsidR="009A5289" w:rsidRDefault="006C39E1">
      <w:pPr>
        <w:pStyle w:val="AERbulletlistfirststyle"/>
      </w:pPr>
      <w:r>
        <w:t xml:space="preserve">CEG's observed </w:t>
      </w:r>
      <w:r w:rsidRPr="0075491B">
        <w:t>increases</w:t>
      </w:r>
      <w:r w:rsidR="00B92356">
        <w:t xml:space="preserve"> for the longest data period</w:t>
      </w:r>
      <w:r>
        <w:t xml:space="preserve"> are driven by gearing</w:t>
      </w:r>
      <w:r w:rsidR="0013103E">
        <w:t>.</w:t>
      </w:r>
      <w:r w:rsidR="001975B2">
        <w:t xml:space="preserve"> </w:t>
      </w:r>
      <w:r w:rsidR="0013103E">
        <w:t>However, the underlying risk of supplying the regulated ser</w:t>
      </w:r>
      <w:r w:rsidR="00A65A7E">
        <w:t>v</w:t>
      </w:r>
      <w:r w:rsidR="0013103E">
        <w:t>i</w:t>
      </w:r>
      <w:r w:rsidR="00A65A7E">
        <w:t>c</w:t>
      </w:r>
      <w:r w:rsidR="0013103E">
        <w:t>es appears relatively unchanged as</w:t>
      </w:r>
      <w:r>
        <w:t xml:space="preserve"> </w:t>
      </w:r>
      <w:r w:rsidR="001975B2">
        <w:t>there continues to be 'relatively little difference in the raw beta estimates'.</w:t>
      </w:r>
      <w:r w:rsidR="001975B2">
        <w:rPr>
          <w:rStyle w:val="FootnoteReference"/>
        </w:rPr>
        <w:footnoteReference w:id="321"/>
      </w:r>
    </w:p>
    <w:p w:rsidR="006C39E1" w:rsidRDefault="000E1303">
      <w:pPr>
        <w:pStyle w:val="AERbulletlistfirststyle"/>
      </w:pPr>
      <w:r>
        <w:t>R</w:t>
      </w:r>
      <w:r w:rsidR="0013103E">
        <w:t xml:space="preserve">e-levered equity beta can be sensitive to the gearing </w:t>
      </w:r>
      <w:r w:rsidR="0088556A">
        <w:t xml:space="preserve">and leveraging </w:t>
      </w:r>
      <w:r w:rsidR="0013103E">
        <w:t>assumptions. For example, five year estimates for APA are 0.71 (Frontier) and 0.81 (CEG)</w:t>
      </w:r>
      <w:r w:rsidR="0022268B">
        <w:t xml:space="preserve"> despite </w:t>
      </w:r>
      <w:r w:rsidR="00A65A7E">
        <w:t>similar</w:t>
      </w:r>
      <w:r w:rsidR="0022268B">
        <w:t xml:space="preserve"> data period and use of Henry's methodology</w:t>
      </w:r>
      <w:r w:rsidR="0013103E">
        <w:t xml:space="preserve">. </w:t>
      </w:r>
      <w:r w:rsidR="0022268B">
        <w:t>Therefore, it may be that it is the choice of gearing assumptions that is driving the observed increases.</w:t>
      </w:r>
      <w:r w:rsidR="0022268B">
        <w:rPr>
          <w:rStyle w:val="FootnoteReference"/>
        </w:rPr>
        <w:footnoteReference w:id="322"/>
      </w:r>
      <w:r w:rsidR="0013103E">
        <w:t xml:space="preserve">  </w:t>
      </w:r>
    </w:p>
    <w:p w:rsidR="0088556A" w:rsidRDefault="006C0FE7" w:rsidP="00013867">
      <w:pPr>
        <w:pStyle w:val="AERbulletlistfirststyle"/>
        <w:numPr>
          <w:ilvl w:val="0"/>
          <w:numId w:val="0"/>
        </w:numPr>
      </w:pPr>
      <w:r>
        <w:t xml:space="preserve">We also </w:t>
      </w:r>
      <w:r w:rsidRPr="00013867">
        <w:rPr>
          <w:rStyle w:val="AERbody"/>
        </w:rPr>
        <w:t>consider</w:t>
      </w:r>
      <w:r>
        <w:t xml:space="preserve"> that </w:t>
      </w:r>
      <w:r w:rsidR="0088556A">
        <w:t>CEG has not provided satisfactory evidence to show that there are structural breaks in empirical estimates of equity beta</w:t>
      </w:r>
      <w:r>
        <w:t xml:space="preserve"> in 2014</w:t>
      </w:r>
      <w:r w:rsidR="00AB34D9">
        <w:t xml:space="preserve">. </w:t>
      </w:r>
      <w:r w:rsidR="00623502">
        <w:t xml:space="preserve">Our analysis </w:t>
      </w:r>
      <w:r>
        <w:t xml:space="preserve">does not support a break in 2014. </w:t>
      </w:r>
      <w:r w:rsidR="00AB34D9">
        <w:t>Partington and Satchell</w:t>
      </w:r>
      <w:r>
        <w:t xml:space="preserve"> have advised that</w:t>
      </w:r>
      <w:r w:rsidR="00812CD4">
        <w:t>:</w:t>
      </w:r>
    </w:p>
    <w:p w:rsidR="001975B2" w:rsidRDefault="006C0FE7" w:rsidP="0088556A">
      <w:pPr>
        <w:pStyle w:val="AERbulletlistfirststyle"/>
      </w:pPr>
      <w:r>
        <w:t>T</w:t>
      </w:r>
      <w:r w:rsidR="0088556A">
        <w:t xml:space="preserve">here is no statistical test of the </w:t>
      </w:r>
      <w:r w:rsidR="00A65A7E">
        <w:t>significance</w:t>
      </w:r>
      <w:r w:rsidR="0088556A">
        <w:t xml:space="preserve"> of the increase in re-levered betas.</w:t>
      </w:r>
      <w:r w:rsidR="0088556A">
        <w:rPr>
          <w:rStyle w:val="FootnoteReference"/>
        </w:rPr>
        <w:footnoteReference w:id="323"/>
      </w:r>
    </w:p>
    <w:p w:rsidR="0088556A" w:rsidRDefault="00094BDD" w:rsidP="0088556A">
      <w:pPr>
        <w:pStyle w:val="AERbulletlistfirststyle"/>
      </w:pPr>
      <w:r>
        <w:t>CEG's observations are focused on</w:t>
      </w:r>
      <w:r w:rsidR="006C0FE7">
        <w:t xml:space="preserve"> portfolio 6</w:t>
      </w:r>
      <w:r>
        <w:t xml:space="preserve"> </w:t>
      </w:r>
      <w:r w:rsidR="006C0FE7">
        <w:t>(</w:t>
      </w:r>
      <w:r>
        <w:t>P6</w:t>
      </w:r>
      <w:r w:rsidR="006C0FE7">
        <w:t>)</w:t>
      </w:r>
      <w:r>
        <w:t xml:space="preserve"> which</w:t>
      </w:r>
      <w:r w:rsidR="0088556A">
        <w:t xml:space="preserve"> </w:t>
      </w:r>
      <w:r>
        <w:t xml:space="preserve">contains the four still-listed comparator firms. P6 will be sensitive to the weightings for individual </w:t>
      </w:r>
      <w:r w:rsidR="00A65A7E">
        <w:t>stocks</w:t>
      </w:r>
      <w:r>
        <w:t xml:space="preserve"> </w:t>
      </w:r>
      <w:r w:rsidR="00164C41">
        <w:t>and change in weighting</w:t>
      </w:r>
      <w:r w:rsidR="00E628A5">
        <w:t>. Frontier has also cautioned that a 'sample of four firms is insufficient to produce statistically reliable estimates of beta'</w:t>
      </w:r>
      <w:r w:rsidR="00B24ECF">
        <w:t xml:space="preserve"> which appears inconsistent with its conclusion which relies on observations from four firms</w:t>
      </w:r>
      <w:r w:rsidR="00E628A5">
        <w:t>.</w:t>
      </w:r>
      <w:r w:rsidR="00E628A5">
        <w:rPr>
          <w:rStyle w:val="FootnoteReference"/>
        </w:rPr>
        <w:footnoteReference w:id="324"/>
      </w:r>
      <w:r w:rsidR="00164C41">
        <w:t xml:space="preserve"> </w:t>
      </w:r>
    </w:p>
    <w:p w:rsidR="00E339F5" w:rsidRPr="00BF2229" w:rsidRDefault="00E339F5" w:rsidP="00E339F5">
      <w:pPr>
        <w:pStyle w:val="HeadingItalic"/>
        <w:numPr>
          <w:ilvl w:val="0"/>
          <w:numId w:val="24"/>
        </w:numPr>
      </w:pPr>
      <w:r>
        <w:t>APTPPL and APA proposal for equity beta of 0.8</w:t>
      </w:r>
    </w:p>
    <w:p w:rsidR="00745A20" w:rsidRDefault="00745A20" w:rsidP="00013867">
      <w:r>
        <w:t>APTPPL and APA proposed an equity beta of 0.8 based on the following material:</w:t>
      </w:r>
      <w:r>
        <w:rPr>
          <w:rStyle w:val="FootnoteReference"/>
        </w:rPr>
        <w:footnoteReference w:id="325"/>
      </w:r>
    </w:p>
    <w:p w:rsidR="00745A20" w:rsidRPr="001D4715" w:rsidRDefault="00745A20" w:rsidP="00745A20">
      <w:pPr>
        <w:pStyle w:val="AERbulletlistfirststyle"/>
      </w:pPr>
      <w:r>
        <w:t>The AER previously set a beta 0.8 for APTPPL and APA VTS based on the same empirical range as that used to</w:t>
      </w:r>
      <w:r w:rsidRPr="001D4715">
        <w:t xml:space="preserve"> set the Guideline’s 0.7.</w:t>
      </w:r>
    </w:p>
    <w:p w:rsidR="00745A20" w:rsidRDefault="00745A20" w:rsidP="00745A20">
      <w:pPr>
        <w:pStyle w:val="AERbulletlistfirststyle"/>
      </w:pPr>
      <w:r>
        <w:t xml:space="preserve">Updated empirical estimates from </w:t>
      </w:r>
      <w:r w:rsidRPr="001D4715">
        <w:t>a 2016 ERA decisi</w:t>
      </w:r>
      <w:r>
        <w:t xml:space="preserve">on indicate an increase in beta. </w:t>
      </w:r>
    </w:p>
    <w:p w:rsidR="00745A20" w:rsidRDefault="00745A20" w:rsidP="00745A20">
      <w:pPr>
        <w:pStyle w:val="AERbulletlistfirststyle"/>
      </w:pPr>
      <w:r>
        <w:t xml:space="preserve">CEG’s February 2016 </w:t>
      </w:r>
      <w:r w:rsidRPr="001D4715">
        <w:t>report (considered in the ERA’s 2016 decision) concluded that there have been structural breaks since the Guideline was released.</w:t>
      </w:r>
    </w:p>
    <w:p w:rsidR="00745A20" w:rsidRPr="00745A20" w:rsidRDefault="00745A20" w:rsidP="00013867">
      <w:pPr>
        <w:pStyle w:val="AERbulletlistfirststyle"/>
        <w:numPr>
          <w:ilvl w:val="0"/>
          <w:numId w:val="0"/>
        </w:numPr>
      </w:pPr>
      <w:r>
        <w:t>APA also submitted a Frontier report</w:t>
      </w:r>
      <w:r w:rsidRPr="00745A20">
        <w:t xml:space="preserve"> (dated November 2016) </w:t>
      </w:r>
      <w:r w:rsidR="00583598">
        <w:t>in support of an equity beta of 0.8</w:t>
      </w:r>
      <w:r w:rsidR="00B5360B">
        <w:t>.</w:t>
      </w:r>
      <w:r w:rsidRPr="00745A20">
        <w:rPr>
          <w:rStyle w:val="FootnoteReference"/>
        </w:rPr>
        <w:footnoteReference w:id="326"/>
      </w:r>
    </w:p>
    <w:p w:rsidR="006E4294" w:rsidRPr="006E4294" w:rsidRDefault="006E4294" w:rsidP="00013867">
      <w:pPr>
        <w:pStyle w:val="AERbulletlistfirststyle"/>
        <w:numPr>
          <w:ilvl w:val="0"/>
          <w:numId w:val="0"/>
        </w:numPr>
      </w:pPr>
      <w:r w:rsidRPr="00172833">
        <w:t>We do not consider APTPPL</w:t>
      </w:r>
      <w:r>
        <w:t xml:space="preserve"> and APA </w:t>
      </w:r>
      <w:r w:rsidRPr="00172833">
        <w:t>has provided material supportive of a beta higher than 0.7</w:t>
      </w:r>
      <w:r w:rsidRPr="006E4294">
        <w:t xml:space="preserve">. We disagree with an equity beta of 0.8 and in particular note: </w:t>
      </w:r>
    </w:p>
    <w:p w:rsidR="006E4294" w:rsidRDefault="006E4294" w:rsidP="006E4294">
      <w:pPr>
        <w:pStyle w:val="AERbulletlistfirststyle"/>
      </w:pPr>
      <w:r>
        <w:t>We previously set a 0.8 equity beta (</w:t>
      </w:r>
      <w:r w:rsidRPr="001D4715">
        <w:t xml:space="preserve">slightly above our range of 0.4–0.7) for </w:t>
      </w:r>
      <w:r>
        <w:t>APTPPL and APA in</w:t>
      </w:r>
      <w:r w:rsidRPr="001D4715">
        <w:t xml:space="preserve"> </w:t>
      </w:r>
      <w:r w:rsidR="009255B7">
        <w:t>2012 and 2013</w:t>
      </w:r>
      <w:r w:rsidRPr="001D4715">
        <w:t xml:space="preserve"> to account for the precision of estimates.</w:t>
      </w:r>
      <w:r w:rsidRPr="001D4715">
        <w:rPr>
          <w:rStyle w:val="FootnoteReference"/>
        </w:rPr>
        <w:footnoteReference w:id="327"/>
      </w:r>
      <w:r w:rsidRPr="001D4715">
        <w:t xml:space="preserve"> However, the substantial increase in the number of data points at the time of the Guideline, and the fact that estimates across both relatively stable and volatile periods supported our range of 0.4–0.7, gave greater confidence in our range.</w:t>
      </w:r>
      <w:r w:rsidRPr="001D4715">
        <w:rPr>
          <w:rStyle w:val="FootnoteReference"/>
        </w:rPr>
        <w:footnoteReference w:id="328"/>
      </w:r>
      <w:r w:rsidRPr="001D4715">
        <w:t xml:space="preserve"> As result, we have greater confidence that the equity beta for the benchmark efficient entity is in the range of 0.4–0.7.</w:t>
      </w:r>
    </w:p>
    <w:p w:rsidR="00812595" w:rsidRPr="00E953D7" w:rsidRDefault="00812595" w:rsidP="00D84F19">
      <w:pPr>
        <w:pStyle w:val="AERbulletlistfirststyle"/>
        <w:rPr>
          <w:rStyle w:val="AERtextsize8"/>
          <w:sz w:val="22"/>
        </w:rPr>
      </w:pPr>
      <w:r w:rsidRPr="00E953D7">
        <w:rPr>
          <w:rStyle w:val="AERtextsize8"/>
          <w:sz w:val="22"/>
        </w:rPr>
        <w:t>The ERA's estimation is based on a period of five years. We note that short term data</w:t>
      </w:r>
      <w:r w:rsidR="00B24ECF">
        <w:rPr>
          <w:rStyle w:val="AERtextsize8"/>
          <w:sz w:val="22"/>
        </w:rPr>
        <w:t xml:space="preserve"> is</w:t>
      </w:r>
      <w:r w:rsidRPr="00E953D7">
        <w:rPr>
          <w:rStyle w:val="AERtextsize8"/>
          <w:sz w:val="22"/>
        </w:rPr>
        <w:t xml:space="preserve"> mor</w:t>
      </w:r>
      <w:r w:rsidRPr="00F175B6">
        <w:rPr>
          <w:rStyle w:val="AERtextsize8"/>
          <w:sz w:val="22"/>
        </w:rPr>
        <w:t>e prone to one</w:t>
      </w:r>
      <w:r w:rsidRPr="00BF42CA">
        <w:rPr>
          <w:rStyle w:val="AERtextsize8"/>
          <w:sz w:val="22"/>
        </w:rPr>
        <w:t>-off events, fluctuations and volatilities in the market–which may obscure the ‘true’ equity beta for a benchmark efficient entity. Therefore, we have most regard to longer term estimates and a large sample of firms when determining the equity beta</w:t>
      </w:r>
      <w:r w:rsidRPr="006417F0">
        <w:rPr>
          <w:rStyle w:val="AERtextsize8"/>
        </w:rPr>
        <w:t>.</w:t>
      </w:r>
    </w:p>
    <w:p w:rsidR="00812595" w:rsidRPr="00BF42CA" w:rsidRDefault="00812595" w:rsidP="00013867">
      <w:pPr>
        <w:pStyle w:val="AERbulletlistfirststyle"/>
        <w:rPr>
          <w:rStyle w:val="AERtextsize8"/>
          <w:sz w:val="22"/>
        </w:rPr>
      </w:pPr>
      <w:r w:rsidRPr="00D84F19">
        <w:rPr>
          <w:rStyle w:val="AERtextsize8"/>
          <w:sz w:val="22"/>
        </w:rPr>
        <w:t xml:space="preserve">The test in CEG's </w:t>
      </w:r>
      <w:r w:rsidRPr="00E953D7">
        <w:rPr>
          <w:rStyle w:val="AERtextsize8"/>
          <w:sz w:val="22"/>
        </w:rPr>
        <w:t>February 2016 report is based on short term estimates (three year and five year estimates). We do not consider this to be sufficiently robust to provide satisfactory evidence for the purposes testing stru</w:t>
      </w:r>
      <w:r w:rsidRPr="00F175B6">
        <w:rPr>
          <w:rStyle w:val="AERtextsize8"/>
          <w:sz w:val="22"/>
        </w:rPr>
        <w:t>ctural breaks.</w:t>
      </w:r>
    </w:p>
    <w:p w:rsidR="00812595" w:rsidRPr="00D84F19" w:rsidRDefault="00812595">
      <w:pPr>
        <w:pStyle w:val="AERbulletlistfirststyle"/>
      </w:pPr>
      <w:r w:rsidRPr="00697C2E">
        <w:rPr>
          <w:rStyle w:val="AERtextsize8"/>
          <w:sz w:val="22"/>
        </w:rPr>
        <w:t>Our own analysis using data up to 28 April 2017 do not support a structural break since Henry's study.</w:t>
      </w:r>
      <w:r w:rsidRPr="00D4363B">
        <w:rPr>
          <w:rStyle w:val="AERtextsize8"/>
          <w:sz w:val="22"/>
        </w:rPr>
        <w:t xml:space="preserve"> </w:t>
      </w:r>
    </w:p>
    <w:p w:rsidR="002A4AA6" w:rsidRDefault="002A4AA6" w:rsidP="00013867">
      <w:pPr>
        <w:pStyle w:val="AERbulletlistfirststyle"/>
        <w:numPr>
          <w:ilvl w:val="0"/>
          <w:numId w:val="0"/>
        </w:numPr>
      </w:pPr>
      <w:r>
        <w:t xml:space="preserve">We have considered the Frontier report and do not consider that it provides </w:t>
      </w:r>
      <w:r w:rsidR="00A65A7E">
        <w:t>satisfactory</w:t>
      </w:r>
      <w:r>
        <w:t xml:space="preserve"> evidence</w:t>
      </w:r>
      <w:r w:rsidR="00022ADD">
        <w:t xml:space="preserve"> of a material change in empirical estimates</w:t>
      </w:r>
      <w:r>
        <w:t xml:space="preserve"> to warrant departure from our point estimate of 0.7 for the following reasons:</w:t>
      </w:r>
    </w:p>
    <w:p w:rsidR="00F81F86" w:rsidRDefault="00B5360B" w:rsidP="00013867">
      <w:pPr>
        <w:pStyle w:val="AERbulletlistfirststyle"/>
      </w:pPr>
      <w:r>
        <w:t>Frontier</w:t>
      </w:r>
      <w:r w:rsidR="00F81F86">
        <w:t xml:space="preserve">'s observations of increase </w:t>
      </w:r>
      <w:r w:rsidR="00583598">
        <w:t>are</w:t>
      </w:r>
      <w:r w:rsidR="00F81F86">
        <w:t xml:space="preserve"> based on shorter-term (5 year) estimates of equity beta.</w:t>
      </w:r>
      <w:r w:rsidR="00F81F86">
        <w:rPr>
          <w:rStyle w:val="FootnoteReference"/>
        </w:rPr>
        <w:footnoteReference w:id="329"/>
      </w:r>
      <w:r>
        <w:t xml:space="preserve"> </w:t>
      </w:r>
      <w:r w:rsidR="00F81F86">
        <w:t xml:space="preserve">However, Frontier itself </w:t>
      </w:r>
      <w:r w:rsidR="00583598">
        <w:t>supports the use of long</w:t>
      </w:r>
      <w:r w:rsidR="00583598" w:rsidRPr="00583598">
        <w:t>er term data</w:t>
      </w:r>
      <w:r w:rsidR="00583598">
        <w:t xml:space="preserve"> and</w:t>
      </w:r>
      <w:r w:rsidR="00583598" w:rsidRPr="00583598">
        <w:t xml:space="preserve"> </w:t>
      </w:r>
      <w:r w:rsidR="00583598">
        <w:t>noted</w:t>
      </w:r>
      <w:r w:rsidR="00F81F86">
        <w:t xml:space="preserve"> that ‘five years of data is insufficient to provide statistically reliable estimates of beta’.</w:t>
      </w:r>
      <w:r w:rsidR="00583598">
        <w:rPr>
          <w:rStyle w:val="FootnoteReference"/>
        </w:rPr>
        <w:footnoteReference w:id="330"/>
      </w:r>
      <w:r w:rsidR="00F81F86">
        <w:t xml:space="preserve"> This is consistent with our approach because longer-term data is less vulnerable to market volatility and one-off events which may mask the 'true' beta. </w:t>
      </w:r>
    </w:p>
    <w:p w:rsidR="00B5360B" w:rsidRDefault="00F81F86" w:rsidP="00013867">
      <w:pPr>
        <w:pStyle w:val="AERbulletlistfirststyle"/>
      </w:pPr>
      <w:r>
        <w:t>Frontier's</w:t>
      </w:r>
      <w:r w:rsidR="00B5360B">
        <w:t xml:space="preserve"> 10 year estimates of the </w:t>
      </w:r>
      <w:r>
        <w:t xml:space="preserve">equity beta </w:t>
      </w:r>
      <w:r w:rsidR="00B5360B">
        <w:t xml:space="preserve">betas </w:t>
      </w:r>
      <w:r>
        <w:t xml:space="preserve">does not </w:t>
      </w:r>
      <w:r w:rsidR="002A4AA6">
        <w:t xml:space="preserve">support an increase </w:t>
      </w:r>
      <w:r w:rsidR="004615B6">
        <w:t>to our range and point estimate:</w:t>
      </w:r>
      <w:r w:rsidR="00B5360B">
        <w:rPr>
          <w:rStyle w:val="FootnoteReference"/>
        </w:rPr>
        <w:footnoteReference w:id="331"/>
      </w:r>
    </w:p>
    <w:p w:rsidR="00F81F86" w:rsidRDefault="00F81F86" w:rsidP="00013867">
      <w:pPr>
        <w:pStyle w:val="AERbulletlistsecondstyle"/>
      </w:pPr>
      <w:r>
        <w:t>Front</w:t>
      </w:r>
      <w:r w:rsidR="00623502">
        <w:t>ier</w:t>
      </w:r>
      <w:r>
        <w:t>'s average of firm-level re-levered beta estimates is 0.48 which is lower than Henry's estimate of 0.52</w:t>
      </w:r>
      <w:r w:rsidR="00193B5C">
        <w:t xml:space="preserve"> in 2014</w:t>
      </w:r>
    </w:p>
    <w:p w:rsidR="00F81F86" w:rsidRDefault="00F81F86" w:rsidP="00013867">
      <w:pPr>
        <w:pStyle w:val="AERbulletlistsecondstyle"/>
      </w:pPr>
      <w:r>
        <w:t>Fronti</w:t>
      </w:r>
      <w:r w:rsidR="00583598">
        <w:t>er's portfolio-level estimates are within 2 standard deviations of Henry's results</w:t>
      </w:r>
      <w:r w:rsidR="004615B6">
        <w:t>. Given the relative imprecision of empirical estimates, this does not provide material evidence to justify moving from our range and point estimate.</w:t>
      </w:r>
    </w:p>
    <w:p w:rsidR="00022ADD" w:rsidRDefault="00193B5C" w:rsidP="00013867">
      <w:pPr>
        <w:pStyle w:val="AERbulletlistfirststyle"/>
      </w:pPr>
      <w:r>
        <w:t>We do not consider that the re-levered equity betas of</w:t>
      </w:r>
      <w:r w:rsidR="00065B59">
        <w:t xml:space="preserve"> unregulated</w:t>
      </w:r>
      <w:r>
        <w:t xml:space="preserve"> transport-related infrastructure firms can be used to inform the equity beta of a benchmark efficient entity with</w:t>
      </w:r>
      <w:r w:rsidR="00065B59">
        <w:t xml:space="preserve"> a similar level of risk as </w:t>
      </w:r>
      <w:r w:rsidR="003F20B4">
        <w:t xml:space="preserve">APTPPL </w:t>
      </w:r>
      <w:r w:rsidR="00065B59">
        <w:t>in providing the re</w:t>
      </w:r>
      <w:r w:rsidR="006B3297">
        <w:t>ference</w:t>
      </w:r>
      <w:r w:rsidR="00065B59">
        <w:t xml:space="preserve"> services. </w:t>
      </w:r>
      <w:r w:rsidR="00304CCC">
        <w:t>This is because t</w:t>
      </w:r>
      <w:r w:rsidRPr="0080606A">
        <w:t xml:space="preserve">he risk characteristics of </w:t>
      </w:r>
      <w:r>
        <w:t>transport-related</w:t>
      </w:r>
      <w:r w:rsidRPr="0080606A">
        <w:t xml:space="preserve"> businesses such as </w:t>
      </w:r>
      <w:r>
        <w:t xml:space="preserve">Auckland International Airport </w:t>
      </w:r>
      <w:r w:rsidR="00065B59">
        <w:t xml:space="preserve">would be very </w:t>
      </w:r>
      <w:r w:rsidRPr="0080606A">
        <w:t>different to those of the benchmark efficient entity (for example, due to demand risk)</w:t>
      </w:r>
      <w:r w:rsidR="00065B59">
        <w:t>.</w:t>
      </w:r>
      <w:r w:rsidRPr="0080606A">
        <w:t xml:space="preserve"> </w:t>
      </w:r>
      <w:r w:rsidR="00D77A3E">
        <w:t xml:space="preserve">Partington and Satchell also advised that unregulated transport-related infrastructure be 'given </w:t>
      </w:r>
      <w:r w:rsidR="00A65A7E">
        <w:t>negligible</w:t>
      </w:r>
      <w:r w:rsidR="00D77A3E">
        <w:t xml:space="preserve"> weight'.</w:t>
      </w:r>
      <w:r w:rsidR="00D77A3E">
        <w:rPr>
          <w:rStyle w:val="FootnoteReference"/>
        </w:rPr>
        <w:footnoteReference w:id="332"/>
      </w:r>
      <w:r w:rsidR="00D77A3E">
        <w:t xml:space="preserve"> </w:t>
      </w:r>
    </w:p>
    <w:p w:rsidR="00022ADD" w:rsidRDefault="00022ADD" w:rsidP="00013867">
      <w:pPr>
        <w:pStyle w:val="AERbulletlistfirststyle"/>
      </w:pPr>
      <w:r>
        <w:t>Partington and Satchell have advised that Frontier has provided a 'weak case that beta has increased in recent times'</w:t>
      </w:r>
      <w:r w:rsidR="00D77A3E">
        <w:t xml:space="preserve"> based on the following observations:</w:t>
      </w:r>
      <w:r w:rsidR="00D77A3E" w:rsidRPr="00D77A3E">
        <w:rPr>
          <w:rStyle w:val="FootnoteReference"/>
        </w:rPr>
        <w:footnoteReference w:id="333"/>
      </w:r>
    </w:p>
    <w:p w:rsidR="00423ABF" w:rsidRDefault="00423ABF" w:rsidP="00013867">
      <w:pPr>
        <w:pStyle w:val="AERbulletlistsecondstyle"/>
      </w:pPr>
      <w:r>
        <w:t>There is no statistical test for a significant change</w:t>
      </w:r>
      <w:r w:rsidR="003047CC">
        <w:t xml:space="preserve"> </w:t>
      </w:r>
      <w:r>
        <w:t>in beta</w:t>
      </w:r>
      <w:r w:rsidR="003047CC">
        <w:t xml:space="preserve">.  </w:t>
      </w:r>
    </w:p>
    <w:p w:rsidR="00D77A3E" w:rsidRDefault="00D77A3E" w:rsidP="00013867">
      <w:pPr>
        <w:pStyle w:val="AERbulletlistsecondstyle"/>
      </w:pPr>
      <w:r>
        <w:t>Frontier has acknowledged concern</w:t>
      </w:r>
      <w:r w:rsidR="00423ABF">
        <w:t>s</w:t>
      </w:r>
      <w:r>
        <w:t xml:space="preserve"> with the reliability of </w:t>
      </w:r>
      <w:r w:rsidR="00423ABF">
        <w:t>five-year</w:t>
      </w:r>
      <w:r>
        <w:t xml:space="preserve"> estimates yet continues to use them</w:t>
      </w:r>
      <w:r w:rsidR="003047CC">
        <w:t xml:space="preserve"> makes its conclusions 'less than compelling'.</w:t>
      </w:r>
      <w:r>
        <w:rPr>
          <w:rStyle w:val="FootnoteReference"/>
        </w:rPr>
        <w:footnoteReference w:id="334"/>
      </w:r>
      <w:r>
        <w:t xml:space="preserve"> </w:t>
      </w:r>
    </w:p>
    <w:p w:rsidR="00D77A3E" w:rsidRDefault="00423ABF" w:rsidP="00013867">
      <w:pPr>
        <w:pStyle w:val="AERbulletlistsecondstyle"/>
      </w:pPr>
      <w:r>
        <w:t>A comparison of the confidence intervals for Frontier's five-year and 10-year estimates shows many overlaps. It is not clear that five year estimates represent a recent increase in beta relative to a more reliable estimate (in Frontier's judgement) taken over a ten year period.</w:t>
      </w:r>
    </w:p>
    <w:p w:rsidR="003047CC" w:rsidRDefault="003047CC" w:rsidP="00013867">
      <w:pPr>
        <w:pStyle w:val="AERbulletlistsecondstyle"/>
      </w:pPr>
      <w:r>
        <w:t>Frontier's 10 year relevered equally-weighted portfolio estimates are very close to the AER's base estimate.</w:t>
      </w:r>
    </w:p>
    <w:p w:rsidR="00423ABF" w:rsidRDefault="00420104" w:rsidP="00013867">
      <w:pPr>
        <w:pStyle w:val="AERbulletlistsecondstyle"/>
      </w:pPr>
      <w:r>
        <w:t xml:space="preserve">The AER's value of 0.7 is 'well within the confidence interval' </w:t>
      </w:r>
      <w:r w:rsidR="008847AF">
        <w:t>from</w:t>
      </w:r>
      <w:r>
        <w:t xml:space="preserve"> Frontier</w:t>
      </w:r>
      <w:r w:rsidR="003047CC">
        <w:t>'s rolling average of value-weighted portfolio</w:t>
      </w:r>
      <w:r w:rsidR="008847AF">
        <w:t xml:space="preserve"> estimates</w:t>
      </w:r>
      <w:r w:rsidR="003047CC">
        <w:t>.</w:t>
      </w:r>
      <w:r>
        <w:rPr>
          <w:rStyle w:val="FootnoteReference"/>
        </w:rPr>
        <w:footnoteReference w:id="335"/>
      </w:r>
    </w:p>
    <w:p w:rsidR="009E5768" w:rsidRPr="00BF2229" w:rsidRDefault="009E5768" w:rsidP="009E5768">
      <w:pPr>
        <w:pStyle w:val="HeadingItalic"/>
        <w:numPr>
          <w:ilvl w:val="0"/>
          <w:numId w:val="24"/>
        </w:numPr>
      </w:pPr>
      <w:r>
        <w:t xml:space="preserve">Other </w:t>
      </w:r>
      <w:r w:rsidR="00AA1ABD">
        <w:t xml:space="preserve">and previous </w:t>
      </w:r>
      <w:r>
        <w:t>submissions</w:t>
      </w:r>
    </w:p>
    <w:p w:rsidR="00421A98" w:rsidRDefault="00623502" w:rsidP="00013867">
      <w:r>
        <w:t>We note s</w:t>
      </w:r>
      <w:r w:rsidR="00421A98" w:rsidRPr="00421A98">
        <w:t>ome stakeholders</w:t>
      </w:r>
      <w:r w:rsidR="00AA1ABD">
        <w:t xml:space="preserve"> have</w:t>
      </w:r>
      <w:r w:rsidR="00421A98" w:rsidRPr="00421A98">
        <w:t xml:space="preserve"> submitted </w:t>
      </w:r>
      <w:r>
        <w:t>on the equity beta. Submissions include w</w:t>
      </w:r>
      <w:r w:rsidR="00421A98" w:rsidRPr="00421A98">
        <w:t>e place too much reliance on some material,</w:t>
      </w:r>
      <w:r>
        <w:t xml:space="preserve"> we </w:t>
      </w:r>
      <w:r w:rsidR="00421A98" w:rsidRPr="00421A98">
        <w:t xml:space="preserve">did not have appropriate regard to information from other relevant sources </w:t>
      </w:r>
      <w:r>
        <w:t>and w</w:t>
      </w:r>
      <w:r w:rsidR="00421A98" w:rsidRPr="00421A98">
        <w:t xml:space="preserve">e made inappropriate methodological choices in our empirical analysis. </w:t>
      </w:r>
      <w:r w:rsidR="00AA1ABD">
        <w:t xml:space="preserve">Section </w:t>
      </w:r>
      <w:r w:rsidR="00AA1ABD">
        <w:fldChar w:fldCharType="begin"/>
      </w:r>
      <w:r w:rsidR="00AA1ABD">
        <w:instrText xml:space="preserve"> REF _Ref483299544 \r \h </w:instrText>
      </w:r>
      <w:r w:rsidR="00AA1ABD">
        <w:fldChar w:fldCharType="separate"/>
      </w:r>
      <w:r w:rsidR="002C24D6">
        <w:t>H</w:t>
      </w:r>
      <w:r w:rsidR="00AA1ABD">
        <w:fldChar w:fldCharType="end"/>
      </w:r>
      <w:r w:rsidR="00AA1ABD">
        <w:t xml:space="preserve"> contains</w:t>
      </w:r>
      <w:r w:rsidR="00421A98" w:rsidRPr="00421A98">
        <w:t xml:space="preserve"> </w:t>
      </w:r>
      <w:r w:rsidR="00AA1ABD">
        <w:t xml:space="preserve">previous </w:t>
      </w:r>
      <w:r w:rsidR="00421A98" w:rsidRPr="00421A98">
        <w:t>stakeholder views on our use of relevant material.</w:t>
      </w:r>
    </w:p>
    <w:p w:rsidR="00AA1ABD" w:rsidRDefault="00AA1ABD" w:rsidP="00CC7A1C">
      <w:pPr>
        <w:numPr>
          <w:ilvl w:val="0"/>
          <w:numId w:val="24"/>
        </w:numPr>
      </w:pPr>
      <w:r>
        <w:t>User group submissions to the current service providers</w:t>
      </w:r>
      <w:r w:rsidR="003B25AB">
        <w:t>' proposals</w:t>
      </w:r>
      <w:r>
        <w:t xml:space="preserve"> have generally supported the use of our Guideline approach to estimate the equity beta and a point estimate of 0.7:</w:t>
      </w:r>
    </w:p>
    <w:p w:rsidR="00AA1ABD" w:rsidRDefault="00AA1ABD" w:rsidP="00013867">
      <w:pPr>
        <w:pStyle w:val="AERbulletlistfirststyle"/>
      </w:pPr>
      <w:r>
        <w:t>Service providers have not provided substantial reasons for increasing the equity beta from 0.7 to 0.8</w:t>
      </w:r>
      <w:r w:rsidRPr="00101380">
        <w:rPr>
          <w:rStyle w:val="FootnoteReference"/>
        </w:rPr>
        <w:footnoteReference w:id="336"/>
      </w:r>
      <w:r>
        <w:t xml:space="preserve"> </w:t>
      </w:r>
      <w:r w:rsidR="003B25AB" w:rsidRPr="003B25AB">
        <w:rPr>
          <w:rStyle w:val="FootnoteReference"/>
        </w:rPr>
        <w:footnoteReference w:id="337"/>
      </w:r>
    </w:p>
    <w:p w:rsidR="002B18E5" w:rsidRDefault="002B18E5" w:rsidP="00013867">
      <w:pPr>
        <w:pStyle w:val="AERbulletlistfirststyle"/>
      </w:pPr>
      <w:r>
        <w:t xml:space="preserve">Service providers reference the ERA's decision when arguing for a higher beta, but fail to acknowledge that </w:t>
      </w:r>
      <w:r w:rsidR="003B25AB">
        <w:t>the ERA</w:t>
      </w:r>
      <w:r>
        <w:t xml:space="preserve"> still determined an equity beta of 0.7.</w:t>
      </w:r>
      <w:r w:rsidRPr="002B18E5">
        <w:rPr>
          <w:rStyle w:val="FootnoteReference"/>
        </w:rPr>
        <w:t xml:space="preserve"> </w:t>
      </w:r>
      <w:r w:rsidRPr="002B18E5">
        <w:rPr>
          <w:rStyle w:val="FootnoteReference"/>
        </w:rPr>
        <w:footnoteReference w:id="338"/>
      </w:r>
    </w:p>
    <w:p w:rsidR="002B18E5" w:rsidRDefault="002B18E5" w:rsidP="00013867">
      <w:pPr>
        <w:pStyle w:val="AERbulletlistfirststyle"/>
      </w:pPr>
      <w:r>
        <w:t>Service providers ignore the</w:t>
      </w:r>
      <w:r w:rsidR="00F34411">
        <w:t>ir own consultant's</w:t>
      </w:r>
      <w:r>
        <w:t xml:space="preserve"> recomme</w:t>
      </w:r>
      <w:r w:rsidR="00F34411">
        <w:t xml:space="preserve">ndation of using 10-year estimates which </w:t>
      </w:r>
      <w:r w:rsidR="003B25AB">
        <w:t>result in</w:t>
      </w:r>
      <w:r w:rsidR="00F34411">
        <w:t xml:space="preserve"> estimates (0.52–0.57) close to Henry's estimates</w:t>
      </w:r>
      <w:r w:rsidR="00F34411" w:rsidRPr="00D0055F">
        <w:rPr>
          <w:rStyle w:val="FootnoteReference"/>
        </w:rPr>
        <w:footnoteReference w:id="339"/>
      </w:r>
    </w:p>
    <w:p w:rsidR="003B25AB" w:rsidRDefault="00F34411" w:rsidP="003B25AB">
      <w:pPr>
        <w:pStyle w:val="AERbulletlistfirststyle"/>
      </w:pPr>
      <w:r w:rsidRPr="00101380">
        <w:t>Frontier’s preferred formulation results in a range of empirical equity betas for the 5-year</w:t>
      </w:r>
      <w:r w:rsidRPr="00F34411">
        <w:t xml:space="preserve"> data of 0.65 to 0.72.</w:t>
      </w:r>
      <w:r w:rsidR="003B25AB" w:rsidRPr="003B25AB">
        <w:t xml:space="preserve"> </w:t>
      </w:r>
      <w:r w:rsidR="003B25AB" w:rsidRPr="00F34411">
        <w:t>.</w:t>
      </w:r>
      <w:r w:rsidR="003B25AB" w:rsidRPr="00F34411">
        <w:rPr>
          <w:rStyle w:val="FootnoteReference"/>
        </w:rPr>
        <w:footnoteReference w:id="340"/>
      </w:r>
      <w:r w:rsidR="003B25AB">
        <w:t xml:space="preserve"> </w:t>
      </w:r>
      <w:r w:rsidR="003B25AB" w:rsidRPr="003B25AB">
        <w:rPr>
          <w:rStyle w:val="FootnoteReference"/>
        </w:rPr>
        <w:footnoteReference w:id="341"/>
      </w:r>
      <w:r w:rsidR="003B25AB">
        <w:t xml:space="preserve"> This is consistent with the AER's point estimate.</w:t>
      </w:r>
    </w:p>
    <w:p w:rsidR="008E4C50" w:rsidRPr="008E4C50" w:rsidRDefault="008E4C50" w:rsidP="008E4C50">
      <w:pPr>
        <w:pStyle w:val="AERbulletlistfirststyle"/>
      </w:pPr>
      <w:r w:rsidRPr="008E4C50">
        <w:t xml:space="preserve">There is no clear theoretical basis or substantive empirical rationale provided to explain the stated increases in the empirically derived equity beta of the regulated energy network businesses since 2014. This is particularly important given evidence of a relatively long period of stability in the empirically derived equity beta using data prior to 2014, despite the changes in the state of the economy over the historical assessment period. </w:t>
      </w:r>
      <w:r w:rsidRPr="008E4C50">
        <w:rPr>
          <w:rStyle w:val="FootnoteReference"/>
        </w:rPr>
        <w:footnoteReference w:id="342"/>
      </w:r>
    </w:p>
    <w:p w:rsidR="0002339A" w:rsidRPr="0002339A" w:rsidRDefault="003B25AB" w:rsidP="0002339A">
      <w:pPr>
        <w:pStyle w:val="AERbulletlistfirststyle"/>
      </w:pPr>
      <w:r>
        <w:t>G</w:t>
      </w:r>
      <w:r w:rsidR="0002339A" w:rsidRPr="0002339A">
        <w:t>iven the</w:t>
      </w:r>
      <w:r w:rsidR="00666F6A">
        <w:t xml:space="preserve"> </w:t>
      </w:r>
      <w:r w:rsidR="0002339A" w:rsidRPr="0002339A">
        <w:t>lack of any theoretical underpinning for a change in the empirical beta, consumers can have</w:t>
      </w:r>
      <w:r w:rsidR="00666F6A">
        <w:t xml:space="preserve"> </w:t>
      </w:r>
      <w:r w:rsidR="0002339A" w:rsidRPr="0002339A">
        <w:t>no confidence that the recent observations (using 5-year data) represent a longer term</w:t>
      </w:r>
      <w:r w:rsidR="00666F6A">
        <w:t xml:space="preserve"> </w:t>
      </w:r>
      <w:r w:rsidR="0002339A" w:rsidRPr="0002339A">
        <w:t>‘break’ in the historical data analyses which have remained fairly consistent since Henry</w:t>
      </w:r>
      <w:r w:rsidR="00666F6A">
        <w:t xml:space="preserve">'s </w:t>
      </w:r>
      <w:r w:rsidR="0002339A" w:rsidRPr="0002339A">
        <w:t>2008</w:t>
      </w:r>
      <w:r w:rsidR="00666F6A">
        <w:t xml:space="preserve"> study</w:t>
      </w:r>
      <w:r w:rsidR="0002339A" w:rsidRPr="0002339A">
        <w:t xml:space="preserve">. The analysis referred to above by CEG appears to be similarly based on short term data (3-years). </w:t>
      </w:r>
      <w:r w:rsidR="0002339A" w:rsidRPr="0002339A">
        <w:rPr>
          <w:rStyle w:val="FootnoteReference"/>
        </w:rPr>
        <w:footnoteReference w:id="343"/>
      </w:r>
    </w:p>
    <w:p w:rsidR="008E4C50" w:rsidRDefault="00882F6A" w:rsidP="00013867">
      <w:pPr>
        <w:pStyle w:val="AERbulletlistfirststyle"/>
      </w:pPr>
      <w:r>
        <w:t>T</w:t>
      </w:r>
      <w:r w:rsidR="0002339A" w:rsidRPr="00A33926">
        <w:t>here is no evidence provided that the market in general perceives a change in</w:t>
      </w:r>
      <w:r w:rsidR="0002339A" w:rsidRPr="0002339A">
        <w:t xml:space="preserve"> risk for regulated network assets. Nor does APA or other listed regulated gas networks appear to identify such a change in risk in their annual reports to shareholders. In fact, the listed networks continue to promote to investors the benefits of stable and predictable cash flows from their regulated businesses. </w:t>
      </w:r>
      <w:r w:rsidR="0002339A" w:rsidRPr="0002339A">
        <w:rPr>
          <w:rStyle w:val="FootnoteReference"/>
        </w:rPr>
        <w:footnoteReference w:id="344"/>
      </w:r>
    </w:p>
    <w:p w:rsidR="00882F6A" w:rsidRDefault="00882F6A" w:rsidP="003B25AB">
      <w:pPr>
        <w:pStyle w:val="AERbulletlistfirststyle"/>
      </w:pPr>
      <w:r w:rsidRPr="00882F6A">
        <w:t>Multinet’s proposal represents an implicit adoption of the theory of the Black CAPM and an attempt at quantification of the theory.</w:t>
      </w:r>
      <w:r w:rsidRPr="00882F6A">
        <w:rPr>
          <w:rStyle w:val="FootnoteReference"/>
        </w:rPr>
        <w:footnoteReference w:id="345"/>
      </w:r>
      <w:r>
        <w:t xml:space="preserve"> T</w:t>
      </w:r>
      <w:r w:rsidRPr="003B25AB">
        <w:t>he theory of the Black CAPM is difficult</w:t>
      </w:r>
      <w:r w:rsidRPr="00882F6A">
        <w:t xml:space="preserve"> to put into practice because of the well-known problems with quantifying the adjustment required.</w:t>
      </w:r>
      <w:r w:rsidRPr="00882F6A">
        <w:rPr>
          <w:rStyle w:val="FootnoteReference"/>
        </w:rPr>
        <w:footnoteReference w:id="346"/>
      </w:r>
    </w:p>
    <w:p w:rsidR="001D4715" w:rsidRDefault="001D4715" w:rsidP="00CC7A1C">
      <w:pPr>
        <w:numPr>
          <w:ilvl w:val="0"/>
          <w:numId w:val="24"/>
        </w:numPr>
      </w:pPr>
      <w:r w:rsidRPr="00B005DF">
        <w:t xml:space="preserve">Having considered the overall information and </w:t>
      </w:r>
      <w:r>
        <w:t xml:space="preserve">all </w:t>
      </w:r>
      <w:r w:rsidRPr="00B005DF">
        <w:t>material</w:t>
      </w:r>
      <w:r>
        <w:t xml:space="preserve"> currently</w:t>
      </w:r>
      <w:r w:rsidRPr="00B005DF">
        <w:t xml:space="preserve"> before us, at this time we are not satisfied that </w:t>
      </w:r>
      <w:r>
        <w:t>an increase to our equity beta estimate of 0.7 will better contribute to the achievement of the ARORO</w:t>
      </w:r>
      <w:r w:rsidRPr="00762AAF">
        <w:t xml:space="preserve"> </w:t>
      </w:r>
      <w:r>
        <w:t>and the N</w:t>
      </w:r>
      <w:r w:rsidR="00B5360B">
        <w:t>G</w:t>
      </w:r>
      <w:r>
        <w:t>O.</w:t>
      </w:r>
      <w:r>
        <w:rPr>
          <w:rStyle w:val="FootnoteReference"/>
        </w:rPr>
        <w:footnoteReference w:id="347"/>
      </w:r>
    </w:p>
    <w:p w:rsidR="001D4715" w:rsidRPr="00A42F74" w:rsidRDefault="001D4715" w:rsidP="00F07C14">
      <w:pPr>
        <w:pStyle w:val="HeadingBoldItalic"/>
        <w:rPr>
          <w:rStyle w:val="AERtextorange"/>
          <w:rFonts w:eastAsia="Calibri" w:cs="Times New Roman"/>
          <w:b w:val="0"/>
          <w:bCs w:val="0"/>
          <w:color w:val="51626F"/>
          <w:sz w:val="16"/>
          <w:szCs w:val="20"/>
          <w:lang w:eastAsia="en-AU"/>
        </w:rPr>
      </w:pPr>
      <w:r w:rsidRPr="00A42F74">
        <w:rPr>
          <w:rStyle w:val="AERtextorange"/>
          <w:color w:val="51626F"/>
        </w:rPr>
        <w:t>Estimating the market risk premium</w:t>
      </w:r>
    </w:p>
    <w:p w:rsidR="007C54F1" w:rsidRDefault="007C54F1" w:rsidP="007C54F1">
      <w:bookmarkStart w:id="74" w:name="_Ref446266907"/>
      <w:bookmarkStart w:id="75" w:name="_Ref417222210"/>
      <w:r>
        <w:t>Our Guideline, developed after extensive consultation with stakeholders, sets out our preferred approach to estimate the market risk premium. We have consistently applied this approach since publication of the Guideline in 2013 which was upheld by the Tribunal in its decision for AusGrid.</w:t>
      </w:r>
      <w:r>
        <w:rPr>
          <w:rStyle w:val="FootnoteReference"/>
        </w:rPr>
        <w:footnoteReference w:id="348"/>
      </w:r>
      <w:r>
        <w:t xml:space="preserve"> We also note the Tribunal upheld our use of and decision on the various relevant materials we relied upon in making our estimates.</w:t>
      </w:r>
      <w:r>
        <w:rPr>
          <w:rStyle w:val="FootnoteReference"/>
        </w:rPr>
        <w:footnoteReference w:id="349"/>
      </w:r>
      <w:r>
        <w:t xml:space="preserve"> </w:t>
      </w:r>
    </w:p>
    <w:p w:rsidR="007C54F1" w:rsidRPr="007C54F1" w:rsidRDefault="007C54F1" w:rsidP="00013867">
      <w:pPr>
        <w:pStyle w:val="AERbulletlistfirststyle"/>
        <w:numPr>
          <w:ilvl w:val="0"/>
          <w:numId w:val="0"/>
        </w:numPr>
      </w:pPr>
      <w:r>
        <w:t xml:space="preserve">We have considered the current service providers' proposals to depart from the Guideline when estimating the market risk premium. </w:t>
      </w:r>
      <w:r w:rsidRPr="007C54F1">
        <w:rPr>
          <w:rStyle w:val="AERbody"/>
        </w:rPr>
        <w:t xml:space="preserve">We also note that Multinet’s proposal </w:t>
      </w:r>
      <w:r w:rsidRPr="007C54F1">
        <w:t>is similar in some respects to those submitted previously by other service providers which we have previously rejected. For example, Multinet proposes a higher market risk premium by assigning more weight to dividend growth model estimates of the market risk premium than we consider appropriate.</w:t>
      </w:r>
      <w:r w:rsidRPr="007C54F1">
        <w:rPr>
          <w:rStyle w:val="FootnoteReference"/>
        </w:rPr>
        <w:footnoteReference w:id="350"/>
      </w:r>
      <w:r w:rsidRPr="007C54F1">
        <w:t xml:space="preserve"> </w:t>
      </w:r>
    </w:p>
    <w:p w:rsidR="007C54F1" w:rsidRDefault="007C54F1" w:rsidP="007C54F1">
      <w:r>
        <w:t xml:space="preserve">Additional material, that has not been considered by us in our previous determinations has, however, been submitted by stakeholders through the consultation process for making this decision. We have taken all of the relevant information obtained through the determination process into account in making our decision. </w:t>
      </w:r>
      <w:r w:rsidRPr="00BF2229">
        <w:t xml:space="preserve">Our estimate of the prevailing market risk premium for this decision is 6.5 per cent. </w:t>
      </w:r>
      <w:r>
        <w:t xml:space="preserve">We have applied the approach set out in the Guideline to derive that estimate. </w:t>
      </w:r>
      <w:r w:rsidRPr="00BF2229">
        <w:t>This is a forward-looking estimate of the risk premium – the</w:t>
      </w:r>
      <w:r>
        <w:t xml:space="preserve"> derived market</w:t>
      </w:r>
      <w:r w:rsidRPr="00BF2229">
        <w:t xml:space="preserve"> return above the risk free rate – on the market portfolio required by investors with a ten-year investment horizon. This is in line with the definition stated in the 2013 Guideline.</w:t>
      </w:r>
    </w:p>
    <w:p w:rsidR="007C54F1" w:rsidRDefault="007C54F1" w:rsidP="007C54F1">
      <w:r>
        <w:t>Having considered all the relevant material before us we do not consider there is satisfactory evidence to warrant departure from the Guideline approach and our 6.5 per cent point estimate. For example, the conditioning variables indicate there has not been a material change in market conditions to warrant adjusting the market risk premium.</w:t>
      </w:r>
      <w:r>
        <w:rPr>
          <w:rStyle w:val="FootnoteReference"/>
        </w:rPr>
        <w:footnoteReference w:id="351"/>
      </w:r>
      <w:r>
        <w:t xml:space="preserve"> We consider that the Guideline approach will best contribute to achieving the rate of return objective. Our reasons are set out below.</w:t>
      </w:r>
    </w:p>
    <w:p w:rsidR="007C54F1" w:rsidRPr="00BF2229" w:rsidRDefault="007C54F1" w:rsidP="007C54F1">
      <w:r w:rsidRPr="00BF2229">
        <w:t>We consider 6.5 per cent to be the best estimate of the market risk premium to contribute to the achievement of the ARORO because:</w:t>
      </w:r>
    </w:p>
    <w:p w:rsidR="007C54F1" w:rsidRPr="00BF2229" w:rsidRDefault="007C54F1" w:rsidP="007C54F1">
      <w:pPr>
        <w:pStyle w:val="AERbulletlistfirststyle"/>
      </w:pPr>
      <w:r w:rsidRPr="00BF2229">
        <w:t>It is supported by our consideration of all relevant material submitted to us (following consideration and scrutiny of their relative merits)</w:t>
      </w:r>
    </w:p>
    <w:p w:rsidR="007C54F1" w:rsidRPr="00BF2229" w:rsidRDefault="007C54F1" w:rsidP="007C54F1">
      <w:pPr>
        <w:pStyle w:val="AERbulletlistfirststyle"/>
      </w:pPr>
      <w:r w:rsidRPr="00BF2229">
        <w:t>It is corroborated and verified by our cross-checks on the overall return on equity and equity risk premium. This further supports our estimate of the equity risk premium (of which the market risk premium is a component)</w:t>
      </w:r>
    </w:p>
    <w:p w:rsidR="007C54F1" w:rsidRPr="00BF2229" w:rsidRDefault="007C54F1" w:rsidP="007C54F1">
      <w:pPr>
        <w:pStyle w:val="AERbulletlistfirststyle"/>
      </w:pPr>
      <w:r w:rsidRPr="00BF2229">
        <w:t>It provides a balanced outcome between submissions by service providers and other stakeholders.</w:t>
      </w:r>
    </w:p>
    <w:p w:rsidR="007C54F1" w:rsidRPr="007C54F1" w:rsidRDefault="007C54F1" w:rsidP="00272584">
      <w:pPr>
        <w:pStyle w:val="AERbulletlistfirststyle"/>
        <w:numPr>
          <w:ilvl w:val="0"/>
          <w:numId w:val="0"/>
        </w:numPr>
      </w:pPr>
      <w:r w:rsidRPr="00BF2229">
        <w:t xml:space="preserve">The next figure shows the market risk premium estimates from the relevant material that we have used to inform our decision. These estimates range from a low of </w:t>
      </w:r>
      <w:r w:rsidR="00F01795">
        <w:rPr>
          <w:rStyle w:val="AERbody"/>
        </w:rPr>
        <w:t>5.1</w:t>
      </w:r>
      <w:r w:rsidRPr="007C54F1">
        <w:t xml:space="preserve"> per</w:t>
      </w:r>
      <w:r w:rsidR="00666F6A">
        <w:t xml:space="preserve"> </w:t>
      </w:r>
      <w:r w:rsidRPr="007C54F1">
        <w:t xml:space="preserve">cent to a high of </w:t>
      </w:r>
      <w:r w:rsidR="00F01795">
        <w:t>7.8</w:t>
      </w:r>
      <w:r w:rsidRPr="007C54F1">
        <w:t xml:space="preserve"> per cent.</w:t>
      </w:r>
    </w:p>
    <w:p w:rsidR="00772B77" w:rsidRDefault="00772B77" w:rsidP="006E5878">
      <w:pPr>
        <w:pStyle w:val="Caption"/>
      </w:pPr>
      <w:r w:rsidRPr="00BF2229">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4</w:t>
      </w:r>
      <w:r w:rsidR="002C24D6">
        <w:rPr>
          <w:noProof/>
        </w:rPr>
        <w:fldChar w:fldCharType="end"/>
      </w:r>
      <w:bookmarkEnd w:id="74"/>
      <w:r w:rsidRPr="00BF2229">
        <w:tab/>
        <w:t xml:space="preserve">Comparison of estimates of the market risk premium </w:t>
      </w:r>
      <w:bookmarkEnd w:id="75"/>
    </w:p>
    <w:p w:rsidR="00704113" w:rsidRDefault="007C54F1" w:rsidP="00772B77">
      <w:r w:rsidRPr="007C54F1">
        <w:rPr>
          <w:noProof/>
          <w:lang w:eastAsia="en-AU"/>
        </w:rPr>
        <w:drawing>
          <wp:inline distT="0" distB="0" distL="0" distR="0" wp14:anchorId="75E67DE7" wp14:editId="2679095F">
            <wp:extent cx="5382895" cy="275227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2752278"/>
                    </a:xfrm>
                    <a:prstGeom prst="rect">
                      <a:avLst/>
                    </a:prstGeom>
                  </pic:spPr>
                </pic:pic>
              </a:graphicData>
            </a:graphic>
          </wp:inline>
        </w:drawing>
      </w:r>
    </w:p>
    <w:p w:rsidR="00772B77" w:rsidRDefault="00772B77" w:rsidP="00772B77">
      <w:pPr>
        <w:pStyle w:val="AERtablesource"/>
      </w:pPr>
      <w:r>
        <w:t>Source: AER analysis</w:t>
      </w:r>
    </w:p>
    <w:p w:rsidR="00772B77" w:rsidRPr="00772B77" w:rsidRDefault="00772B77" w:rsidP="00BA392B">
      <w:pPr>
        <w:pStyle w:val="AERtablesource"/>
      </w:pPr>
      <w:r>
        <w:t>Note:</w:t>
      </w:r>
      <w:r w:rsidRPr="00772B77">
        <w:t xml:space="preserve"> </w:t>
      </w:r>
      <w:r w:rsidR="00D72913">
        <w:tab/>
      </w:r>
      <w:r w:rsidRPr="00772B77">
        <w:t>The range of regulator's decisions was formed from data from other regulator's most recent decisions. The Top of the range (7.</w:t>
      </w:r>
      <w:r w:rsidR="00FB58FE">
        <w:t>7</w:t>
      </w:r>
      <w:r w:rsidRPr="00772B77">
        <w:t>5 per cent) is from IPART and the bottom of the range from ESCV and ESCOSA</w:t>
      </w:r>
      <w:r w:rsidRPr="00772B77">
        <w:rPr>
          <w:rStyle w:val="FootnoteReference"/>
        </w:rPr>
        <w:footnoteReference w:id="352"/>
      </w:r>
      <w:r w:rsidRPr="00772B77">
        <w:t xml:space="preserve">. The stakeholder submissions range is intended to reflect the views of consumer groups and those who use/engage with the energy network or pipeline, and as such it does not include submissions from service providers. The bottom and top of the stakeholder range comes from the </w:t>
      </w:r>
      <w:r w:rsidR="0056513F">
        <w:t>Consumer Challenger Panel subpanel 4 (CCP4 (Hugh Grant)), CCP5, CCP4 and Queensland Farmers' Federation</w:t>
      </w:r>
      <w:r w:rsidRPr="00772B77">
        <w:t>.</w:t>
      </w:r>
      <w:r w:rsidRPr="00772B77">
        <w:rPr>
          <w:rStyle w:val="FootnoteReference"/>
        </w:rPr>
        <w:footnoteReference w:id="353"/>
      </w:r>
      <w:r w:rsidRPr="00772B77">
        <w:t xml:space="preserve"> The bottom and top of the service provider proposed range comes from submissions by </w:t>
      </w:r>
      <w:r w:rsidR="00A870F7">
        <w:t>AGN, AusNet, Multinet, APA and APTPPL</w:t>
      </w:r>
      <w:r w:rsidR="00475EF7">
        <w:t>.</w:t>
      </w:r>
      <w:r w:rsidRPr="00772B77">
        <w:rPr>
          <w:rStyle w:val="FootnoteReference"/>
        </w:rPr>
        <w:footnoteReference w:id="354"/>
      </w:r>
    </w:p>
    <w:p w:rsidR="007C54F1" w:rsidRPr="00BF2229" w:rsidRDefault="007C54F1" w:rsidP="007C54F1">
      <w:r w:rsidRPr="00BF2229">
        <w:t>We derive our point estimate from within this range by considering the relative merits of all of the relevant material. The application of our approach is set out as follows</w:t>
      </w:r>
      <w:r>
        <w:t>:</w:t>
      </w:r>
    </w:p>
    <w:p w:rsidR="007C54F1" w:rsidRPr="00BF2229" w:rsidRDefault="007C54F1" w:rsidP="007C54F1">
      <w:pPr>
        <w:pStyle w:val="AERbulletlistfirststyle"/>
      </w:pPr>
      <w:r w:rsidRPr="00BF2229">
        <w:t>Historical excess returns provide a baseline estimate and indicates a market risk premium of approximately</w:t>
      </w:r>
      <w:r w:rsidR="007A06BC">
        <w:t xml:space="preserve"> 5.5–6.0</w:t>
      </w:r>
      <w:r>
        <w:t xml:space="preserve"> </w:t>
      </w:r>
      <w:r w:rsidRPr="00BF2229">
        <w:t>per cent from a range of</w:t>
      </w:r>
      <w:r w:rsidR="007A06BC">
        <w:t xml:space="preserve"> 5.1 per cent to 6.4</w:t>
      </w:r>
      <w:r w:rsidRPr="00BF2229">
        <w:t xml:space="preserve"> </w:t>
      </w:r>
      <w:r>
        <w:t>per cent</w:t>
      </w:r>
      <w:r w:rsidRPr="00BF2229">
        <w:t>. We consider both geometric and arithmetic averages of historical excess returns when considering this result. However we are aware of evidence that there may be a bias in the geometric averages. We take this into account when forming our result and baseline estimate, and as such our range for historical returns is based on arithmetic averages and informed by the geometric averages.</w:t>
      </w:r>
    </w:p>
    <w:p w:rsidR="007C54F1" w:rsidRPr="00BF2229" w:rsidRDefault="007C54F1" w:rsidP="007C54F1">
      <w:pPr>
        <w:pStyle w:val="AERbulletlistfirststyle"/>
      </w:pPr>
      <w:r w:rsidRPr="00BF2229">
        <w:t>Dividend growth model estimates indicate a market risk premium estimate above this baseline with a range of</w:t>
      </w:r>
      <w:r w:rsidR="007A06BC">
        <w:t xml:space="preserve"> 6.53 to</w:t>
      </w:r>
      <w:r w:rsidRPr="00BF2229">
        <w:t xml:space="preserve"> </w:t>
      </w:r>
      <w:r>
        <w:t>7.80 per cent, which when conducting sensitivity analysis expands to</w:t>
      </w:r>
      <w:r w:rsidR="007A06BC">
        <w:t xml:space="preserve"> 5.97 to</w:t>
      </w:r>
      <w:r>
        <w:t xml:space="preserve"> 8.88 per cent. </w:t>
      </w:r>
      <w:r w:rsidRPr="00BF2229">
        <w:t xml:space="preserve">We consider our dividend growth model is theoretically sound but that there are many limitations in practically implementing the model. As previously stated in our assessment of the dividend growth model, it may capture current conditions to a certain extent but fails to adequately provide a 'true' estimate of the forward looking MRP. We consider our, and other, dividend growth models are likely to produce upward biased estimates in the current market due to reasons provided in Section B.4. We also take into consideration that our model, and other models, may not accurately track changes in the return on equity for the market. For these reasons, we do not consider that the dividend growth model estimates are reliable on their own, but they do provide an indication for a point estimate above the range derived from the historical returns, as the guideline method shows. The guideline </w:t>
      </w:r>
      <w:r>
        <w:t>designated</w:t>
      </w:r>
      <w:r w:rsidRPr="00BF2229">
        <w:t xml:space="preserve"> the dividend growth model </w:t>
      </w:r>
      <w:r>
        <w:t>to inform on</w:t>
      </w:r>
      <w:r w:rsidRPr="00BF2229">
        <w:t xml:space="preserve"> whether the market risk premium </w:t>
      </w:r>
      <w:r>
        <w:t>may be</w:t>
      </w:r>
      <w:r w:rsidRPr="00BF2229">
        <w:t xml:space="preserve"> above or below the historical estimates.</w:t>
      </w:r>
      <w:r w:rsidRPr="00BF2229">
        <w:rPr>
          <w:rStyle w:val="FootnoteReference"/>
        </w:rPr>
        <w:footnoteReference w:id="355"/>
      </w:r>
      <w:r w:rsidRPr="00BF2229">
        <w:t xml:space="preserve"> The </w:t>
      </w:r>
      <w:r>
        <w:t>substantial widening</w:t>
      </w:r>
      <w:r w:rsidRPr="00BF2229">
        <w:t xml:space="preserve"> in the range of results</w:t>
      </w:r>
      <w:r>
        <w:t xml:space="preserve"> from the sensitivity analysis</w:t>
      </w:r>
      <w:r w:rsidRPr="00BF2229">
        <w:t xml:space="preserve"> </w:t>
      </w:r>
      <w:r>
        <w:t>is indicative of</w:t>
      </w:r>
      <w:r w:rsidRPr="00BF2229">
        <w:t xml:space="preserve"> the unreliability stressed by the limitations </w:t>
      </w:r>
      <w:r>
        <w:t>we discuss</w:t>
      </w:r>
      <w:r w:rsidRPr="00BF2229">
        <w:t xml:space="preserve"> in Section B.4.</w:t>
      </w:r>
    </w:p>
    <w:p w:rsidR="004A13E0" w:rsidRPr="004A13E0" w:rsidRDefault="004A13E0" w:rsidP="004A13E0">
      <w:pPr>
        <w:pStyle w:val="AERbulletlistfirststyle"/>
      </w:pPr>
      <w:r w:rsidRPr="004A13E0">
        <w:t>We also look at other regulator's decisions when considering our estimate of the market risk premium, after we have accounted for differences in objectives and approved calculation methods, as a cross check. Regulatory decisions over the past 12 months indicate a market risk premium of 6.5 is reasonable. The most recent regulatory decisions in 2017 have largely used an MRP value from 2016. Conditioning variables indicate that there has not been a material change in market conditions since our May and April 2016 decisions. See section F.4 for more detail on regulators' recent decisions and their estimations</w:t>
      </w:r>
    </w:p>
    <w:p w:rsidR="007C54F1" w:rsidRPr="00BF2229" w:rsidRDefault="007C54F1" w:rsidP="007C54F1">
      <w:pPr>
        <w:pStyle w:val="AERbulletlistfirststyle"/>
      </w:pPr>
      <w:r w:rsidRPr="00BF2229">
        <w:t xml:space="preserve">Survey evidence supports a market risk premium around </w:t>
      </w:r>
      <w:r>
        <w:t>6.0 to 6.5 per cent</w:t>
      </w:r>
      <w:r w:rsidRPr="00BF2229">
        <w:t xml:space="preserve">. </w:t>
      </w:r>
    </w:p>
    <w:p w:rsidR="007C54F1" w:rsidRPr="00814CDE" w:rsidRDefault="007C54F1" w:rsidP="007C54F1">
      <w:pPr>
        <w:pStyle w:val="AERbulletlistfirststyle"/>
        <w:numPr>
          <w:ilvl w:val="0"/>
          <w:numId w:val="0"/>
        </w:numPr>
      </w:pPr>
      <w:r>
        <w:t>Service user</w:t>
      </w:r>
      <w:r w:rsidRPr="00BF2229">
        <w:t xml:space="preserve"> submissions have generally supported a market risk premium at or below the 6.5 per cent. </w:t>
      </w:r>
      <w:r>
        <w:t>We have considered the submissions and our analysis of the relevant evidence and all material before us indicate that the forward looking 10 year estimate of the market risk premium is 6.5 per cent. These submissions are summarised in table 3–5 below</w:t>
      </w:r>
    </w:p>
    <w:p w:rsidR="00772B77" w:rsidRPr="0007286C" w:rsidRDefault="00AC1A83" w:rsidP="00772B77">
      <w:pPr>
        <w:pStyle w:val="Caption"/>
        <w:rPr>
          <w:rStyle w:val="Strong"/>
        </w:rPr>
      </w:pPr>
      <w:r w:rsidRPr="00AC1A83">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4</w:t>
      </w:r>
      <w:r w:rsidR="002C24D6">
        <w:rPr>
          <w:noProof/>
        </w:rPr>
        <w:fldChar w:fldCharType="end"/>
      </w:r>
      <w:r w:rsidR="00772B77">
        <w:t>: Stakeholder Submissions on the Return on Equity</w:t>
      </w:r>
      <w:r w:rsidR="008D52B7">
        <w:t xml:space="preserve"> and market risk premium</w:t>
      </w:r>
    </w:p>
    <w:tbl>
      <w:tblPr>
        <w:tblStyle w:val="AERtable-text0"/>
        <w:tblW w:w="8977" w:type="dxa"/>
        <w:tblLook w:val="04A0" w:firstRow="1" w:lastRow="0" w:firstColumn="1" w:lastColumn="0" w:noHBand="0" w:noVBand="1"/>
      </w:tblPr>
      <w:tblGrid>
        <w:gridCol w:w="2871"/>
        <w:gridCol w:w="6106"/>
      </w:tblGrid>
      <w:tr w:rsidR="007C54F1" w:rsidTr="00E45414">
        <w:trPr>
          <w:cnfStyle w:val="100000000000" w:firstRow="1" w:lastRow="0" w:firstColumn="0" w:lastColumn="0" w:oddVBand="0" w:evenVBand="0" w:oddHBand="0" w:evenHBand="0" w:firstRowFirstColumn="0" w:firstRowLastColumn="0" w:lastRowFirstColumn="0" w:lastRowLastColumn="0"/>
          <w:trHeight w:val="504"/>
        </w:trPr>
        <w:tc>
          <w:tcPr>
            <w:tcW w:w="2871" w:type="dxa"/>
          </w:tcPr>
          <w:p w:rsidR="007C54F1" w:rsidRPr="007C54F1" w:rsidRDefault="007C54F1" w:rsidP="007C54F1">
            <w:pPr>
              <w:pStyle w:val="AERtabletextleft"/>
            </w:pPr>
            <w:r>
              <w:t>S</w:t>
            </w:r>
            <w:r w:rsidRPr="007C54F1">
              <w:t>takeholder</w:t>
            </w:r>
          </w:p>
        </w:tc>
        <w:tc>
          <w:tcPr>
            <w:tcW w:w="6106" w:type="dxa"/>
          </w:tcPr>
          <w:p w:rsidR="007C54F1" w:rsidRPr="007C54F1" w:rsidRDefault="007C54F1" w:rsidP="007C54F1">
            <w:pPr>
              <w:pStyle w:val="AERtabletextleft"/>
            </w:pPr>
            <w:r>
              <w:t>Submission Content</w:t>
            </w:r>
          </w:p>
        </w:tc>
      </w:tr>
      <w:tr w:rsidR="007C54F1" w:rsidTr="00013867">
        <w:trPr>
          <w:trHeight w:val="1439"/>
        </w:trPr>
        <w:tc>
          <w:tcPr>
            <w:tcW w:w="2871" w:type="dxa"/>
          </w:tcPr>
          <w:p w:rsidR="007C54F1" w:rsidRPr="007C54F1" w:rsidRDefault="007C54F1" w:rsidP="007C54F1">
            <w:pPr>
              <w:pStyle w:val="AERtabletextleft"/>
            </w:pPr>
            <w:r w:rsidRPr="00BF2229">
              <w:t>Consumer Challenge Panel (CCP</w:t>
            </w:r>
            <w:r w:rsidRPr="007C54F1">
              <w:t>5)</w:t>
            </w:r>
          </w:p>
        </w:tc>
        <w:tc>
          <w:tcPr>
            <w:tcW w:w="6106" w:type="dxa"/>
          </w:tcPr>
          <w:p w:rsidR="007C54F1" w:rsidRPr="007C54F1" w:rsidRDefault="007C54F1" w:rsidP="007C54F1">
            <w:pPr>
              <w:pStyle w:val="AERtabletextleft"/>
            </w:pPr>
            <w:r>
              <w:t>A</w:t>
            </w:r>
            <w:r w:rsidRPr="007C54F1">
              <w:t>ny move from the recommended 6.5 per cent MRP to the service providers’ new recommendation of 7.5 per cent would be a reactionary in light of “short term fluctuation in the risk return relationship”.</w:t>
            </w:r>
            <w:r w:rsidRPr="007C54F1">
              <w:rPr>
                <w:rStyle w:val="FootnoteReference"/>
              </w:rPr>
              <w:footnoteReference w:id="356"/>
            </w:r>
          </w:p>
        </w:tc>
      </w:tr>
      <w:tr w:rsidR="007C54F1" w:rsidTr="00E45414">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C54F1" w:rsidRPr="007C54F1" w:rsidRDefault="007C54F1" w:rsidP="007C54F1">
            <w:pPr>
              <w:pStyle w:val="AERtabletextleft"/>
            </w:pPr>
            <w:r w:rsidRPr="00BF2229">
              <w:t>Asia Pacific LNG (APLNG)</w:t>
            </w:r>
          </w:p>
        </w:tc>
        <w:tc>
          <w:tcPr>
            <w:tcW w:w="6106" w:type="dxa"/>
          </w:tcPr>
          <w:p w:rsidR="007C54F1" w:rsidRPr="007C54F1" w:rsidRDefault="007C54F1" w:rsidP="007C54F1">
            <w:pPr>
              <w:pStyle w:val="AERtabletextleft"/>
            </w:pPr>
            <w:r w:rsidRPr="007C54F1">
              <w:t>MRP of 8.1% submitted in the RBP access arrangement decision was too high, and they had specific concerns over the “interpretation of the cost of equity method for the purposes of estimated the MRP and the subsequent departure from the AER’s stated methodology in the Rate of Return Guideline which results in an upward revision of this estimate.”</w:t>
            </w:r>
            <w:r w:rsidRPr="007C54F1">
              <w:rPr>
                <w:rStyle w:val="FootnoteReference"/>
              </w:rPr>
              <w:footnoteReference w:id="357"/>
            </w:r>
          </w:p>
        </w:tc>
      </w:tr>
      <w:tr w:rsidR="007C54F1" w:rsidTr="00013867">
        <w:trPr>
          <w:trHeight w:val="1560"/>
        </w:trPr>
        <w:tc>
          <w:tcPr>
            <w:tcW w:w="2871" w:type="dxa"/>
          </w:tcPr>
          <w:p w:rsidR="007C54F1" w:rsidRPr="007C54F1" w:rsidRDefault="007C54F1" w:rsidP="007C54F1">
            <w:pPr>
              <w:pStyle w:val="AERtabletextleft"/>
            </w:pPr>
            <w:r>
              <w:t>QGC</w:t>
            </w:r>
          </w:p>
        </w:tc>
        <w:tc>
          <w:tcPr>
            <w:tcW w:w="6106" w:type="dxa"/>
          </w:tcPr>
          <w:p w:rsidR="007C54F1" w:rsidRPr="007C54F1" w:rsidRDefault="007C54F1" w:rsidP="007C54F1">
            <w:pPr>
              <w:pStyle w:val="AERtabletextleft"/>
            </w:pPr>
            <w:r>
              <w:t xml:space="preserve">This submission </w:t>
            </w:r>
            <w:r w:rsidRPr="007C54F1">
              <w:t>raised concerns about the higher WACC, of which the MRP is a significant part, that APTPPL have submitted in their recent decision claiming that there is no clear reason why “a high WACC is applicable to the RBP relative to other regulated infrastructure”.</w:t>
            </w:r>
            <w:r w:rsidRPr="007C54F1">
              <w:rPr>
                <w:rStyle w:val="FootnoteReference"/>
              </w:rPr>
              <w:footnoteReference w:id="358"/>
            </w:r>
          </w:p>
        </w:tc>
      </w:tr>
      <w:tr w:rsidR="007C54F1" w:rsidTr="00E45414">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C54F1" w:rsidRPr="007C54F1" w:rsidRDefault="007C54F1" w:rsidP="007C54F1">
            <w:pPr>
              <w:pStyle w:val="AERtabletextleft"/>
            </w:pPr>
            <w:r>
              <w:t>Australian Energy council (AEC)</w:t>
            </w:r>
          </w:p>
        </w:tc>
        <w:tc>
          <w:tcPr>
            <w:tcW w:w="6106" w:type="dxa"/>
          </w:tcPr>
          <w:p w:rsidR="007C54F1" w:rsidRPr="007C54F1" w:rsidRDefault="007C54F1" w:rsidP="007C54F1">
            <w:pPr>
              <w:pStyle w:val="AERtabletextleft"/>
            </w:pPr>
            <w:r>
              <w:t xml:space="preserve">The AEC </w:t>
            </w:r>
            <w:r w:rsidRPr="007C54F1">
              <w:t>stated that APTPPL's given rate of return of 7.7 per cent seems high given the current risk free rate, the nature of APTPPL's operations on the RBP and the pass through costs that apply to the tariff. The AEC implies that with a rate of return this high the service providers are not baring the risks they should be expected to.</w:t>
            </w:r>
            <w:r w:rsidRPr="007C54F1">
              <w:rPr>
                <w:rStyle w:val="FootnoteReference"/>
              </w:rPr>
              <w:footnoteReference w:id="359"/>
            </w:r>
          </w:p>
        </w:tc>
      </w:tr>
      <w:tr w:rsidR="007C54F1" w:rsidTr="00013867">
        <w:trPr>
          <w:trHeight w:val="1515"/>
        </w:trPr>
        <w:tc>
          <w:tcPr>
            <w:tcW w:w="2871" w:type="dxa"/>
          </w:tcPr>
          <w:p w:rsidR="007C54F1" w:rsidRPr="007C54F1" w:rsidRDefault="007C54F1" w:rsidP="007C54F1">
            <w:pPr>
              <w:pStyle w:val="AERtabletextleft"/>
            </w:pPr>
            <w:r w:rsidRPr="00BF2229">
              <w:t>Consumer Challenge Panel</w:t>
            </w:r>
            <w:r w:rsidRPr="007C54F1">
              <w:t>-David Headberry (CCP4 (David Headberry))</w:t>
            </w:r>
          </w:p>
        </w:tc>
        <w:tc>
          <w:tcPr>
            <w:tcW w:w="6106" w:type="dxa"/>
          </w:tcPr>
          <w:p w:rsidR="007C54F1" w:rsidRPr="007C54F1" w:rsidRDefault="007C54F1" w:rsidP="007C54F1">
            <w:pPr>
              <w:pStyle w:val="AERtabletextleft"/>
            </w:pPr>
            <w:r>
              <w:t xml:space="preserve">CCP4 (David Headberry) submitted that with the rising risk free rate the </w:t>
            </w:r>
            <w:r w:rsidRPr="007C54F1">
              <w:t>previously acknowledged conservative parameters, namely MRP and Equity Beta, should be adjusted accordingly to take the rise into account.</w:t>
            </w:r>
            <w:r w:rsidRPr="007C54F1">
              <w:rPr>
                <w:rStyle w:val="FootnoteReference"/>
              </w:rPr>
              <w:footnoteReference w:id="360"/>
            </w:r>
            <w:r w:rsidRPr="007C54F1">
              <w:t xml:space="preserve"> </w:t>
            </w:r>
          </w:p>
        </w:tc>
      </w:tr>
      <w:tr w:rsidR="007C54F1" w:rsidTr="00013867">
        <w:trPr>
          <w:cnfStyle w:val="000000010000" w:firstRow="0" w:lastRow="0" w:firstColumn="0" w:lastColumn="0" w:oddVBand="0" w:evenVBand="0" w:oddHBand="0" w:evenHBand="1" w:firstRowFirstColumn="0" w:firstRowLastColumn="0" w:lastRowFirstColumn="0" w:lastRowLastColumn="0"/>
          <w:trHeight w:val="997"/>
        </w:trPr>
        <w:tc>
          <w:tcPr>
            <w:tcW w:w="2871" w:type="dxa"/>
          </w:tcPr>
          <w:p w:rsidR="007C54F1" w:rsidRPr="007C54F1" w:rsidRDefault="007C54F1" w:rsidP="007C54F1">
            <w:pPr>
              <w:pStyle w:val="AERtabletextleft"/>
            </w:pPr>
            <w:r w:rsidRPr="00BF2229">
              <w:t>Consumer Challenge Panel</w:t>
            </w:r>
            <w:r w:rsidRPr="007C54F1">
              <w:t>-Hugh Grant (CCP4 (Hugh Grant))</w:t>
            </w:r>
          </w:p>
        </w:tc>
        <w:tc>
          <w:tcPr>
            <w:tcW w:w="6106" w:type="dxa"/>
          </w:tcPr>
          <w:p w:rsidR="007C54F1" w:rsidRPr="007C54F1" w:rsidRDefault="007C54F1" w:rsidP="007C54F1">
            <w:pPr>
              <w:pStyle w:val="AERtabletextleft"/>
            </w:pPr>
            <w:r>
              <w:t xml:space="preserve">CCP4 (Hugh Grant) also submitted that the AER </w:t>
            </w:r>
            <w:r w:rsidRPr="007C54F1">
              <w:t>should propose an MRP closer to 5 per cent.</w:t>
            </w:r>
            <w:r w:rsidRPr="007C54F1">
              <w:rPr>
                <w:rStyle w:val="FootnoteReference"/>
              </w:rPr>
              <w:footnoteReference w:id="361"/>
            </w:r>
          </w:p>
        </w:tc>
      </w:tr>
      <w:tr w:rsidR="007C54F1" w:rsidTr="00013867">
        <w:trPr>
          <w:trHeight w:val="956"/>
        </w:trPr>
        <w:tc>
          <w:tcPr>
            <w:tcW w:w="2871" w:type="dxa"/>
          </w:tcPr>
          <w:p w:rsidR="007C54F1" w:rsidRPr="007C54F1" w:rsidRDefault="007C54F1" w:rsidP="007C54F1">
            <w:pPr>
              <w:pStyle w:val="AERtabletextleft"/>
            </w:pPr>
            <w:r>
              <w:t>Cotton Australia</w:t>
            </w:r>
          </w:p>
        </w:tc>
        <w:tc>
          <w:tcPr>
            <w:tcW w:w="6106" w:type="dxa"/>
          </w:tcPr>
          <w:p w:rsidR="007C54F1" w:rsidRPr="007C54F1" w:rsidRDefault="007C54F1" w:rsidP="007C54F1">
            <w:pPr>
              <w:pStyle w:val="AERtabletextleft"/>
            </w:pPr>
            <w:r>
              <w:t>Cotton Australia were encouraged by the lower rate of return proposed in Powerlink's revised proposal and acknowledges that this is in line with the AER's proposal on the matter.</w:t>
            </w:r>
            <w:r w:rsidRPr="007C54F1">
              <w:rPr>
                <w:rStyle w:val="FootnoteReference"/>
              </w:rPr>
              <w:footnoteReference w:id="362"/>
            </w:r>
          </w:p>
        </w:tc>
      </w:tr>
      <w:tr w:rsidR="007C54F1" w:rsidTr="00013867">
        <w:trPr>
          <w:cnfStyle w:val="000000010000" w:firstRow="0" w:lastRow="0" w:firstColumn="0" w:lastColumn="0" w:oddVBand="0" w:evenVBand="0" w:oddHBand="0" w:evenHBand="1" w:firstRowFirstColumn="0" w:firstRowLastColumn="0" w:lastRowFirstColumn="0" w:lastRowLastColumn="0"/>
          <w:trHeight w:val="1134"/>
        </w:trPr>
        <w:tc>
          <w:tcPr>
            <w:tcW w:w="2871" w:type="dxa"/>
          </w:tcPr>
          <w:p w:rsidR="007C54F1" w:rsidRDefault="007C54F1" w:rsidP="007C54F1">
            <w:pPr>
              <w:pStyle w:val="AERtabletextleft"/>
            </w:pPr>
            <w:r>
              <w:t xml:space="preserve">Queensland Farmers' Federation </w:t>
            </w:r>
          </w:p>
        </w:tc>
        <w:tc>
          <w:tcPr>
            <w:tcW w:w="6106" w:type="dxa"/>
          </w:tcPr>
          <w:p w:rsidR="007C54F1" w:rsidRPr="007C54F1" w:rsidRDefault="007C54F1" w:rsidP="007C54F1">
            <w:pPr>
              <w:pStyle w:val="AERtabletextleft"/>
            </w:pPr>
            <w:r>
              <w:t>The QFA maintains its position that current utility regulation should be transitioned towards direct performance regulation in order to keep in line with the over-inflated revenue proposals presented.</w:t>
            </w:r>
            <w:r w:rsidRPr="007C54F1">
              <w:rPr>
                <w:rStyle w:val="FootnoteReference"/>
              </w:rPr>
              <w:footnoteReference w:id="363"/>
            </w:r>
          </w:p>
        </w:tc>
      </w:tr>
      <w:tr w:rsidR="007C54F1" w:rsidTr="00013867">
        <w:trPr>
          <w:trHeight w:val="1071"/>
        </w:trPr>
        <w:tc>
          <w:tcPr>
            <w:tcW w:w="2871" w:type="dxa"/>
          </w:tcPr>
          <w:p w:rsidR="007C54F1" w:rsidRDefault="007C54F1" w:rsidP="007C54F1">
            <w:pPr>
              <w:pStyle w:val="AERtabletextleft"/>
            </w:pPr>
            <w:r>
              <w:t>John Herbst</w:t>
            </w:r>
          </w:p>
        </w:tc>
        <w:tc>
          <w:tcPr>
            <w:tcW w:w="6106" w:type="dxa"/>
          </w:tcPr>
          <w:p w:rsidR="007C54F1" w:rsidRPr="007C54F1" w:rsidRDefault="007C54F1" w:rsidP="007C54F1">
            <w:pPr>
              <w:pStyle w:val="AERtabletextleft"/>
            </w:pPr>
            <w:r>
              <w:t>Mr Herbst submits that the AER is not holding the service providers to account in regards to applying the National Electricity Rules and setting a rate of return that allows consumers to pay for the value the network provides to them</w:t>
            </w:r>
            <w:r w:rsidRPr="007C54F1">
              <w:rPr>
                <w:rStyle w:val="FootnoteReference"/>
              </w:rPr>
              <w:footnoteReference w:id="364"/>
            </w:r>
          </w:p>
        </w:tc>
      </w:tr>
      <w:tr w:rsidR="007C54F1" w:rsidTr="00013867">
        <w:trPr>
          <w:cnfStyle w:val="000000010000" w:firstRow="0" w:lastRow="0" w:firstColumn="0" w:lastColumn="0" w:oddVBand="0" w:evenVBand="0" w:oddHBand="0" w:evenHBand="1" w:firstRowFirstColumn="0" w:firstRowLastColumn="0" w:lastRowFirstColumn="0" w:lastRowLastColumn="0"/>
          <w:trHeight w:val="1418"/>
        </w:trPr>
        <w:tc>
          <w:tcPr>
            <w:tcW w:w="2871" w:type="dxa"/>
          </w:tcPr>
          <w:p w:rsidR="007C54F1" w:rsidRDefault="007C54F1" w:rsidP="007C54F1">
            <w:pPr>
              <w:pStyle w:val="AERtabletextleft"/>
            </w:pPr>
            <w:r>
              <w:t>CCP11 – Beverly Hughson</w:t>
            </w:r>
          </w:p>
        </w:tc>
        <w:tc>
          <w:tcPr>
            <w:tcW w:w="6106" w:type="dxa"/>
          </w:tcPr>
          <w:p w:rsidR="007C54F1" w:rsidRPr="007C54F1" w:rsidRDefault="007C54F1" w:rsidP="007C54F1">
            <w:pPr>
              <w:pStyle w:val="AERtabletextleft"/>
            </w:pPr>
            <w:r>
              <w:t>Ms Hughson submitted that the AER should continue to stick to the guideline</w:t>
            </w:r>
            <w:r w:rsidRPr="007C54F1">
              <w:t xml:space="preserve"> value of 6.5 per cent for the MRP in absence of evidence from the service providers. Ms Hughson also proposes further investigation into the DGM and conditioning variables and their impact on the MRP decision.</w:t>
            </w:r>
            <w:r w:rsidRPr="007C54F1">
              <w:rPr>
                <w:rStyle w:val="FootnoteReference"/>
              </w:rPr>
              <w:footnoteReference w:id="365"/>
            </w:r>
          </w:p>
        </w:tc>
      </w:tr>
      <w:tr w:rsidR="007C54F1" w:rsidTr="00013867">
        <w:trPr>
          <w:trHeight w:val="1397"/>
        </w:trPr>
        <w:tc>
          <w:tcPr>
            <w:tcW w:w="2871" w:type="dxa"/>
          </w:tcPr>
          <w:p w:rsidR="007C54F1" w:rsidRDefault="007C54F1" w:rsidP="007C54F1">
            <w:pPr>
              <w:pStyle w:val="AERtabletextleft"/>
            </w:pPr>
            <w:r>
              <w:t>CCP11 submission on APA VTS</w:t>
            </w:r>
          </w:p>
        </w:tc>
        <w:tc>
          <w:tcPr>
            <w:tcW w:w="6106" w:type="dxa"/>
          </w:tcPr>
          <w:p w:rsidR="007C54F1" w:rsidRPr="007C54F1" w:rsidRDefault="007C54F1" w:rsidP="007C54F1">
            <w:pPr>
              <w:pStyle w:val="AERtabletextleft"/>
            </w:pPr>
            <w:r>
              <w:t>The CCP submits that the AER should not diverge from the guideline to accept APA VTS’s method of calculating the MRP, noting that the service provider quotes the ERA selectively in finding evidence for this method.</w:t>
            </w:r>
            <w:r w:rsidRPr="007C54F1">
              <w:rPr>
                <w:rStyle w:val="FootnoteReference"/>
              </w:rPr>
              <w:footnoteReference w:id="366"/>
            </w:r>
          </w:p>
        </w:tc>
      </w:tr>
      <w:tr w:rsidR="007C54F1" w:rsidTr="00013867">
        <w:trPr>
          <w:cnfStyle w:val="000000010000" w:firstRow="0" w:lastRow="0" w:firstColumn="0" w:lastColumn="0" w:oddVBand="0" w:evenVBand="0" w:oddHBand="0" w:evenHBand="1" w:firstRowFirstColumn="0" w:firstRowLastColumn="0" w:lastRowFirstColumn="0" w:lastRowLastColumn="0"/>
          <w:trHeight w:val="1558"/>
        </w:trPr>
        <w:tc>
          <w:tcPr>
            <w:tcW w:w="2871" w:type="dxa"/>
          </w:tcPr>
          <w:p w:rsidR="007C54F1" w:rsidRDefault="007C54F1" w:rsidP="007C54F1">
            <w:pPr>
              <w:pStyle w:val="AERtabletextleft"/>
            </w:pPr>
            <w:r>
              <w:t>CCP11 submission on AGN, AusNet and Multinet</w:t>
            </w:r>
          </w:p>
        </w:tc>
        <w:tc>
          <w:tcPr>
            <w:tcW w:w="6106" w:type="dxa"/>
          </w:tcPr>
          <w:p w:rsidR="007C54F1" w:rsidRPr="007C54F1" w:rsidRDefault="007C54F1" w:rsidP="007C54F1">
            <w:pPr>
              <w:pStyle w:val="AERtabletextleft"/>
            </w:pPr>
            <w:r>
              <w:t>The CCP submit that there is no reason for the AER to deviate from their proposed 6.5 per cent in the absence of evidence of a sustained change in the MRP provided by the service providers, and that the AER is placing the most reliance on the Historical Excess Returns</w:t>
            </w:r>
            <w:r w:rsidRPr="007C54F1">
              <w:rPr>
                <w:rStyle w:val="FootnoteReference"/>
              </w:rPr>
              <w:footnoteReference w:id="367"/>
            </w:r>
          </w:p>
        </w:tc>
      </w:tr>
    </w:tbl>
    <w:p w:rsidR="00AA06E5" w:rsidRDefault="007C54F1" w:rsidP="00013867">
      <w:bookmarkStart w:id="76" w:name="_Ref478395602"/>
      <w:r w:rsidRPr="00BF2229">
        <w:t>The current service providers diverge in their proposed market risk premium</w:t>
      </w:r>
      <w:r w:rsidR="00AA06E5">
        <w:t>:</w:t>
      </w:r>
      <w:r w:rsidRPr="00BF2229">
        <w:t xml:space="preserve"> </w:t>
      </w:r>
    </w:p>
    <w:p w:rsidR="00AA06E5" w:rsidRDefault="007C54F1" w:rsidP="00CC4694">
      <w:pPr>
        <w:pStyle w:val="AERbulletlistfirststyle"/>
      </w:pPr>
      <w:r>
        <w:t>AGN adopt</w:t>
      </w:r>
      <w:r w:rsidR="00AA06E5">
        <w:t>s</w:t>
      </w:r>
      <w:r>
        <w:t xml:space="preserve"> the Guideline.</w:t>
      </w:r>
      <w:r w:rsidRPr="00BF2229">
        <w:t xml:space="preserve"> </w:t>
      </w:r>
    </w:p>
    <w:p w:rsidR="00AA06E5" w:rsidRDefault="007C54F1" w:rsidP="00CC4694">
      <w:pPr>
        <w:pStyle w:val="AERbulletlistfirststyle"/>
      </w:pPr>
      <w:r w:rsidRPr="00BF2229">
        <w:t xml:space="preserve">AusNet </w:t>
      </w:r>
      <w:r>
        <w:t>and Multinet</w:t>
      </w:r>
      <w:r w:rsidRPr="00BF2229">
        <w:t xml:space="preserve"> depart from the Guideline</w:t>
      </w:r>
      <w:r>
        <w:t xml:space="preserve"> foundation model approach</w:t>
      </w:r>
      <w:r w:rsidRPr="00BF2229">
        <w:t xml:space="preserve"> </w:t>
      </w:r>
      <w:r w:rsidRPr="007C54F1">
        <w:t>by mischaracterising it in proposing a market risk premium of 7.5 per cent.</w:t>
      </w:r>
      <w:r w:rsidR="00AA06E5">
        <w:t xml:space="preserve"> </w:t>
      </w:r>
    </w:p>
    <w:p w:rsidR="007C54F1" w:rsidRDefault="007C54F1" w:rsidP="00CC4694">
      <w:pPr>
        <w:pStyle w:val="AERbulletlistfirststyle"/>
      </w:pPr>
      <w:r w:rsidRPr="007C54F1">
        <w:t>APTPPL and APA VTS deviate from the Guideline method of estimating the market risk premium by using a method similar to the Wright Approach.</w:t>
      </w:r>
    </w:p>
    <w:p w:rsidR="007C54F1" w:rsidRPr="00BF2229" w:rsidRDefault="007C54F1" w:rsidP="007C54F1">
      <w:pPr>
        <w:pStyle w:val="AERbulletlistfirststyle"/>
        <w:numPr>
          <w:ilvl w:val="0"/>
          <w:numId w:val="0"/>
        </w:numPr>
      </w:pPr>
      <w:r w:rsidRPr="00BF2229">
        <w:t xml:space="preserve">We discuss </w:t>
      </w:r>
      <w:r w:rsidR="00AA06E5">
        <w:t>bottom two</w:t>
      </w:r>
      <w:r w:rsidRPr="00BF2229">
        <w:t xml:space="preserve"> points below.</w:t>
      </w:r>
    </w:p>
    <w:p w:rsidR="007C54F1" w:rsidRPr="00BF2229" w:rsidRDefault="007C54F1" w:rsidP="007C54F1">
      <w:pPr>
        <w:pStyle w:val="HeadingItalic"/>
      </w:pPr>
      <w:bookmarkStart w:id="77" w:name="_Toc478676190"/>
      <w:bookmarkEnd w:id="76"/>
      <w:r>
        <w:t>M</w:t>
      </w:r>
      <w:r w:rsidRPr="00BF2229">
        <w:t>ischaracterisation of the Guideline</w:t>
      </w:r>
      <w:bookmarkEnd w:id="77"/>
    </w:p>
    <w:p w:rsidR="007C54F1" w:rsidRDefault="007C54F1" w:rsidP="007C54F1">
      <w:r>
        <w:t>Multinet</w:t>
      </w:r>
      <w:r w:rsidRPr="00BF2229">
        <w:t xml:space="preserve"> </w:t>
      </w:r>
      <w:r>
        <w:t>and AusNet, relying on</w:t>
      </w:r>
      <w:r w:rsidR="00AA06E5">
        <w:t xml:space="preserve"> a</w:t>
      </w:r>
      <w:r>
        <w:t xml:space="preserve"> Frontier report, </w:t>
      </w:r>
      <w:r w:rsidRPr="00BF2229">
        <w:t>claim</w:t>
      </w:r>
      <w:r>
        <w:t>ed</w:t>
      </w:r>
      <w:r w:rsidRPr="00BF2229">
        <w:t xml:space="preserve"> the December 2013 Guideline </w:t>
      </w:r>
      <w:r>
        <w:t xml:space="preserve">used the simple average </w:t>
      </w:r>
      <w:r w:rsidRPr="00BF2229">
        <w:t>of historical excess returns and dividend growth model estimates to set a market risk premium of 6.5 per cent</w:t>
      </w:r>
      <w:r>
        <w:t xml:space="preserve"> while giving 'little' weight to other relevant material</w:t>
      </w:r>
      <w:r w:rsidRPr="00BF2229">
        <w:t>.</w:t>
      </w:r>
      <w:r w:rsidRPr="00BF2229">
        <w:rPr>
          <w:rStyle w:val="FootnoteReference"/>
        </w:rPr>
        <w:footnoteReference w:id="368"/>
      </w:r>
      <w:r w:rsidRPr="00BF2229">
        <w:t xml:space="preserve"> </w:t>
      </w:r>
      <w:r>
        <w:t xml:space="preserve">They </w:t>
      </w:r>
      <w:r w:rsidRPr="00BF2229">
        <w:t>argu</w:t>
      </w:r>
      <w:r>
        <w:t>ed</w:t>
      </w:r>
      <w:r w:rsidRPr="00BF2229">
        <w:t xml:space="preserve"> a consistent application (based on </w:t>
      </w:r>
      <w:r>
        <w:t xml:space="preserve">excess return and </w:t>
      </w:r>
      <w:r w:rsidRPr="00BF2229">
        <w:t>dividend growth model data</w:t>
      </w:r>
      <w:r>
        <w:t xml:space="preserve"> in the </w:t>
      </w:r>
      <w:r w:rsidR="001E3DDE">
        <w:t>July</w:t>
      </w:r>
      <w:r>
        <w:t xml:space="preserve"> 2016 AusNet Services Transmission draft decision</w:t>
      </w:r>
      <w:r w:rsidRPr="00BF2229">
        <w:t xml:space="preserve">) would lead to a market risk premium of 7.5 per cent. </w:t>
      </w:r>
    </w:p>
    <w:p w:rsidR="007C54F1" w:rsidRDefault="007C54F1" w:rsidP="007C54F1">
      <w:r w:rsidRPr="00BF2229">
        <w:t>This is a mischaracterisation of the Guideline</w:t>
      </w:r>
      <w:r>
        <w:t xml:space="preserve"> approach: </w:t>
      </w:r>
    </w:p>
    <w:p w:rsidR="007C54F1" w:rsidRPr="00772B77" w:rsidRDefault="007C54F1" w:rsidP="007C54F1">
      <w:pPr>
        <w:pStyle w:val="AERbulletlistfirststyle"/>
      </w:pPr>
      <w:r>
        <w:t>T</w:t>
      </w:r>
      <w:r w:rsidRPr="00B97F30">
        <w:t>he Guideline</w:t>
      </w:r>
      <w:r>
        <w:t xml:space="preserve"> approach</w:t>
      </w:r>
      <w:r w:rsidRPr="00B97F30">
        <w:t xml:space="preserve"> </w:t>
      </w:r>
      <w:r>
        <w:t>is not to</w:t>
      </w:r>
      <w:r w:rsidRPr="00B97F30">
        <w:t xml:space="preserve"> simply average estimates across historical excess returns and dividend growth models to inform point estimate selections.</w:t>
      </w:r>
      <w:r>
        <w:t xml:space="preserve"> </w:t>
      </w:r>
    </w:p>
    <w:p w:rsidR="007C54F1" w:rsidRDefault="007C54F1" w:rsidP="007C54F1">
      <w:pPr>
        <w:pStyle w:val="AERbulletlistfirststyle"/>
        <w:rPr>
          <w:rStyle w:val="AERtexthighlight"/>
        </w:rPr>
      </w:pPr>
      <w:r>
        <w:t>T</w:t>
      </w:r>
      <w:r w:rsidRPr="00B97F30">
        <w:t xml:space="preserve">he mechanistic approach suggested by </w:t>
      </w:r>
      <w:r w:rsidR="00A62356">
        <w:t>Frontier</w:t>
      </w:r>
      <w:r w:rsidR="00A62356" w:rsidRPr="00B97F30">
        <w:t xml:space="preserve"> </w:t>
      </w:r>
      <w:r w:rsidRPr="00B97F30">
        <w:t>downplays issues with the reliability of dividend growth models, their suitability for our regulatory task and the consequent role/s the Guideline assigns them</w:t>
      </w:r>
      <w:r>
        <w:t xml:space="preserve"> and the manner in which we take different evidence into account when exercising discretionary judgement.</w:t>
      </w:r>
      <w:r w:rsidRPr="00C26886">
        <w:rPr>
          <w:rStyle w:val="AERtexthighlight"/>
        </w:rPr>
        <w:t xml:space="preserve"> </w:t>
      </w:r>
    </w:p>
    <w:p w:rsidR="007C54F1" w:rsidRPr="00772B77" w:rsidRDefault="007C54F1" w:rsidP="007C54F1">
      <w:pPr>
        <w:pStyle w:val="AERbulletlistfirststyle"/>
      </w:pPr>
      <w:r w:rsidRPr="00BF2229">
        <w:t>We have consistently outlined our considerations and methods in the Guideline, and application of the Guideline in regulatory decisions to date.</w:t>
      </w:r>
      <w:r w:rsidRPr="00772B77">
        <w:rPr>
          <w:rStyle w:val="FootnoteReference"/>
        </w:rPr>
        <w:footnoteReference w:id="369"/>
      </w:r>
      <w:r w:rsidRPr="00772B77">
        <w:t xml:space="preserve"> Our estimation of the market risk premium is informed by a range of relevant material:</w:t>
      </w:r>
      <w:r w:rsidRPr="00772B77">
        <w:rPr>
          <w:rStyle w:val="FootnoteReference"/>
        </w:rPr>
        <w:footnoteReference w:id="370"/>
      </w:r>
      <w:r w:rsidRPr="00772B77">
        <w:t xml:space="preserve"> </w:t>
      </w:r>
    </w:p>
    <w:p w:rsidR="007C54F1" w:rsidRDefault="007C54F1" w:rsidP="007C54F1">
      <w:pPr>
        <w:pStyle w:val="AERbulletlistsecondstyle"/>
      </w:pPr>
      <w:r>
        <w:t>We place most reliance on historical excess returns. Therefore, we use this information to determine a baseline estimate of the market risk premium. We consider 6.0 per cent (from a range of 5.1–6.4 per cent) is, at this time, a reasonable point estimate based on this source of evidence.</w:t>
      </w:r>
    </w:p>
    <w:p w:rsidR="007C54F1" w:rsidRDefault="007C54F1" w:rsidP="007C54F1">
      <w:pPr>
        <w:pStyle w:val="AERbulletlistsecondstyle"/>
      </w:pPr>
      <w:r>
        <w:t>We place less reliance on our dividend growth model estimates of the market risk premium. This information indicates whether we should select a market risk premium point estimate above or below the baseline estimate.</w:t>
      </w:r>
    </w:p>
    <w:p w:rsidR="007C54F1" w:rsidRDefault="007C54F1" w:rsidP="007C54F1">
      <w:pPr>
        <w:pStyle w:val="AERbulletlistsecondstyle"/>
      </w:pPr>
      <w:r>
        <w:t xml:space="preserve">We place some reliance on the other information (survey evidence and conditioning variables). This information, in conjunction with dividend growth model evidence, helps to indicate how far above or below the baseline estimate the market risk premium point estimate should be. We use other Australian regulators' market risk premium estimates as a cross check on how we consider information. </w:t>
      </w:r>
    </w:p>
    <w:p w:rsidR="007C54F1" w:rsidRPr="00BF2229" w:rsidRDefault="007C54F1" w:rsidP="007C54F1">
      <w:r w:rsidRPr="00BF2229">
        <w:t>Our use of relevant material is informed by the roles assigned to them which are based on their relative merits and suitability for our regulatory task</w:t>
      </w:r>
      <w:r>
        <w:t>:</w:t>
      </w:r>
      <w:r w:rsidRPr="00BF2229">
        <w:rPr>
          <w:rStyle w:val="FootnoteReference"/>
        </w:rPr>
        <w:footnoteReference w:id="371"/>
      </w:r>
    </w:p>
    <w:p w:rsidR="007C54F1" w:rsidRPr="0007286C" w:rsidRDefault="007C54F1" w:rsidP="007C54F1">
      <w:pPr>
        <w:pStyle w:val="Caption"/>
        <w:rPr>
          <w:rStyle w:val="Strong"/>
        </w:rPr>
      </w:pPr>
      <w:r w:rsidRPr="00AC1A83">
        <w:t xml:space="preserve">Table </w:t>
      </w:r>
      <w:r w:rsidRPr="007C54F1">
        <w:fldChar w:fldCharType="begin"/>
      </w:r>
      <w:r>
        <w:instrText xml:space="preserve"> STYLEREF 1 \s </w:instrText>
      </w:r>
      <w:r w:rsidRPr="007C54F1">
        <w:fldChar w:fldCharType="separate"/>
      </w:r>
      <w:r w:rsidR="002C24D6">
        <w:rPr>
          <w:noProof/>
        </w:rPr>
        <w:t>3</w:t>
      </w:r>
      <w:r w:rsidRPr="007C54F1">
        <w:fldChar w:fldCharType="end"/>
      </w:r>
      <w:r w:rsidRPr="00AC1A83">
        <w:noBreakHyphen/>
      </w:r>
      <w:r w:rsidRPr="007C54F1">
        <w:fldChar w:fldCharType="begin"/>
      </w:r>
      <w:r>
        <w:instrText xml:space="preserve"> SEQ Table \* ARABIC \s 1 </w:instrText>
      </w:r>
      <w:r w:rsidRPr="007C54F1">
        <w:fldChar w:fldCharType="separate"/>
      </w:r>
      <w:r w:rsidR="002C24D6">
        <w:rPr>
          <w:noProof/>
        </w:rPr>
        <w:t>5</w:t>
      </w:r>
      <w:r w:rsidRPr="007C54F1">
        <w:fldChar w:fldCharType="end"/>
      </w:r>
      <w:r>
        <w:t>: Role assigned to each source of relevant material in determining the market risk premium</w:t>
      </w:r>
    </w:p>
    <w:tbl>
      <w:tblPr>
        <w:tblStyle w:val="AERtable-text0"/>
        <w:tblW w:w="8755" w:type="dxa"/>
        <w:tblLook w:val="04A0" w:firstRow="1" w:lastRow="0" w:firstColumn="1" w:lastColumn="0" w:noHBand="0" w:noVBand="1"/>
      </w:tblPr>
      <w:tblGrid>
        <w:gridCol w:w="2134"/>
        <w:gridCol w:w="2020"/>
        <w:gridCol w:w="4601"/>
      </w:tblGrid>
      <w:tr w:rsidR="007C54F1" w:rsidTr="00E45414">
        <w:trPr>
          <w:cnfStyle w:val="100000000000" w:firstRow="1" w:lastRow="0" w:firstColumn="0" w:lastColumn="0" w:oddVBand="0" w:evenVBand="0" w:oddHBand="0" w:evenHBand="0" w:firstRowFirstColumn="0" w:firstRowLastColumn="0" w:lastRowFirstColumn="0" w:lastRowLastColumn="0"/>
          <w:tblHeader/>
        </w:trPr>
        <w:tc>
          <w:tcPr>
            <w:tcW w:w="2134" w:type="dxa"/>
          </w:tcPr>
          <w:p w:rsidR="007C54F1" w:rsidRPr="007C54F1" w:rsidRDefault="007C54F1" w:rsidP="007C54F1">
            <w:pPr>
              <w:pStyle w:val="AERtabletextleft"/>
            </w:pPr>
            <w:r>
              <w:t>Relevant material</w:t>
            </w:r>
          </w:p>
        </w:tc>
        <w:tc>
          <w:tcPr>
            <w:tcW w:w="2020" w:type="dxa"/>
          </w:tcPr>
          <w:p w:rsidR="007C54F1" w:rsidRPr="007C54F1" w:rsidRDefault="007C54F1" w:rsidP="007C54F1">
            <w:pPr>
              <w:pStyle w:val="AERtabletextleft"/>
            </w:pPr>
            <w:r>
              <w:t>Role</w:t>
            </w:r>
          </w:p>
        </w:tc>
        <w:tc>
          <w:tcPr>
            <w:tcW w:w="4601" w:type="dxa"/>
          </w:tcPr>
          <w:p w:rsidR="007C54F1" w:rsidRPr="007C54F1" w:rsidRDefault="007C54F1" w:rsidP="007C54F1">
            <w:pPr>
              <w:pStyle w:val="AERtabletextleft"/>
            </w:pPr>
            <w:r>
              <w:t xml:space="preserve">Reasons for </w:t>
            </w:r>
            <w:r w:rsidRPr="007C54F1">
              <w:t>chosen role</w:t>
            </w:r>
          </w:p>
        </w:tc>
      </w:tr>
      <w:tr w:rsidR="007C54F1" w:rsidTr="00E45414">
        <w:tc>
          <w:tcPr>
            <w:tcW w:w="2134" w:type="dxa"/>
          </w:tcPr>
          <w:p w:rsidR="007C54F1" w:rsidRPr="007C54F1" w:rsidRDefault="007C54F1" w:rsidP="007C54F1">
            <w:pPr>
              <w:pStyle w:val="AERtabletextleft"/>
            </w:pPr>
            <w:r>
              <w:t>Historical excess returns</w:t>
            </w:r>
          </w:p>
        </w:tc>
        <w:tc>
          <w:tcPr>
            <w:tcW w:w="2020" w:type="dxa"/>
          </w:tcPr>
          <w:p w:rsidR="007C54F1" w:rsidRPr="007C54F1" w:rsidRDefault="007C54F1" w:rsidP="007C54F1">
            <w:pPr>
              <w:pStyle w:val="AERtabletextleft"/>
            </w:pPr>
            <w:r>
              <w:t xml:space="preserve">Given the most reliance </w:t>
            </w:r>
          </w:p>
        </w:tc>
        <w:tc>
          <w:tcPr>
            <w:tcW w:w="4601" w:type="dxa"/>
          </w:tcPr>
          <w:p w:rsidR="007C54F1" w:rsidRPr="007C54F1" w:rsidRDefault="007C54F1" w:rsidP="007C54F1">
            <w:pPr>
              <w:pStyle w:val="AERtabletextleft"/>
            </w:pPr>
            <w:r>
              <w:t xml:space="preserve">Meets most of the criteria. </w:t>
            </w:r>
            <w:r w:rsidRPr="007C54F1">
              <w:t>The main potential limitation is slow response to changes in market conditions. This is not a limitation if investor expectations of the 10 year forward looking market risk premium move similarly slowly. Further, considering other sources of evidence reduces this limitation.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Dividend growth models (AER's construction)</w:t>
            </w:r>
          </w:p>
        </w:tc>
        <w:tc>
          <w:tcPr>
            <w:tcW w:w="2020" w:type="dxa"/>
          </w:tcPr>
          <w:p w:rsidR="007C54F1" w:rsidRPr="007C54F1" w:rsidRDefault="007C54F1" w:rsidP="007C54F1">
            <w:pPr>
              <w:pStyle w:val="AERtabletextleft"/>
            </w:pPr>
            <w:r>
              <w:t xml:space="preserve">Given </w:t>
            </w:r>
            <w:r w:rsidRPr="007C54F1">
              <w:t>the second most reliance</w:t>
            </w:r>
          </w:p>
        </w:tc>
        <w:tc>
          <w:tcPr>
            <w:tcW w:w="4601" w:type="dxa"/>
          </w:tcPr>
          <w:p w:rsidR="007C54F1" w:rsidRPr="007C54F1" w:rsidRDefault="007C54F1" w:rsidP="007C54F1">
            <w:pPr>
              <w:pStyle w:val="AERtabletextleft"/>
            </w:pPr>
            <w:r>
              <w:t>Meets most</w:t>
            </w:r>
            <w:r w:rsidRPr="007C54F1">
              <w:t xml:space="preserve"> of the criteria. The main limitation is its sensitivity to assumptions, which is significant. It is also likely to produce upward biased estimates.</w:t>
            </w:r>
            <w:r w:rsidRPr="007C54F1">
              <w:rPr>
                <w:rStyle w:val="FootnoteReference"/>
              </w:rPr>
              <w:footnoteReference w:id="372"/>
            </w:r>
            <w:r w:rsidRPr="007C54F1">
              <w:t xml:space="preserve"> Since it can readily reflect changes in market conditions, it complements our use of historical excess returns. However, its tracking ability is limited if it produces inaccurate results.</w:t>
            </w:r>
          </w:p>
        </w:tc>
      </w:tr>
      <w:tr w:rsidR="007C54F1" w:rsidTr="00E45414">
        <w:tc>
          <w:tcPr>
            <w:tcW w:w="2134" w:type="dxa"/>
          </w:tcPr>
          <w:p w:rsidR="007C54F1" w:rsidRPr="007C54F1" w:rsidRDefault="007C54F1" w:rsidP="007C54F1">
            <w:pPr>
              <w:pStyle w:val="AERtabletextleft"/>
            </w:pPr>
            <w:r>
              <w:t>Survey evidence</w:t>
            </w:r>
          </w:p>
        </w:tc>
        <w:tc>
          <w:tcPr>
            <w:tcW w:w="2020" w:type="dxa"/>
          </w:tcPr>
          <w:p w:rsidR="007C54F1" w:rsidRPr="007C54F1" w:rsidRDefault="007C54F1" w:rsidP="007C54F1">
            <w:pPr>
              <w:pStyle w:val="AERtabletextleft"/>
            </w:pPr>
            <w:r>
              <w:t>Given some reliance (point in time estimate)</w:t>
            </w:r>
          </w:p>
        </w:tc>
        <w:tc>
          <w:tcPr>
            <w:tcW w:w="4601" w:type="dxa"/>
          </w:tcPr>
          <w:p w:rsidR="007C54F1" w:rsidRPr="007C54F1" w:rsidRDefault="007C54F1" w:rsidP="007C54F1">
            <w:pPr>
              <w:pStyle w:val="AERtabletextleft"/>
            </w:pPr>
            <w:r>
              <w:t>Its main strength is that it estimates investor expectations. However, limitations related to survey design and representativeness of respondents can reduce the value of these estimates. T</w:t>
            </w:r>
            <w:r w:rsidRPr="007C54F1">
              <w:t>riangulation of survey evidence may reduce these limitations.</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Conditioning variables (dividend yields, credit spreads, implied volatility)</w:t>
            </w:r>
          </w:p>
        </w:tc>
        <w:tc>
          <w:tcPr>
            <w:tcW w:w="2020" w:type="dxa"/>
          </w:tcPr>
          <w:p w:rsidR="007C54F1" w:rsidRPr="007C54F1" w:rsidRDefault="007C54F1" w:rsidP="007C54F1">
            <w:pPr>
              <w:pStyle w:val="AERtabletextleft"/>
            </w:pPr>
            <w:r>
              <w:t>Given some reliance  (directional information only)</w:t>
            </w:r>
          </w:p>
        </w:tc>
        <w:tc>
          <w:tcPr>
            <w:tcW w:w="4601" w:type="dxa"/>
          </w:tcPr>
          <w:p w:rsidR="007C54F1" w:rsidRPr="007C54F1" w:rsidRDefault="007C54F1" w:rsidP="007C54F1">
            <w:pPr>
              <w:pStyle w:val="AERtabletextleft"/>
            </w:pPr>
            <w:r>
              <w:t xml:space="preserve">Their main strength is their ability to detect changing market conditions. However, it is difficult to derive an MRP estimate from this information in a robust manner. </w:t>
            </w:r>
            <w:r w:rsidRPr="007C54F1">
              <w:t>Academic and empirical evidence on this information is mixed.</w:t>
            </w:r>
          </w:p>
        </w:tc>
      </w:tr>
      <w:tr w:rsidR="007C54F1" w:rsidTr="00E45414">
        <w:tc>
          <w:tcPr>
            <w:tcW w:w="2134" w:type="dxa"/>
          </w:tcPr>
          <w:p w:rsidR="007C54F1" w:rsidRPr="007C54F1" w:rsidRDefault="007C54F1" w:rsidP="007C54F1">
            <w:pPr>
              <w:pStyle w:val="AERtabletextleft"/>
            </w:pPr>
            <w:r>
              <w:t>Other Australian regulators' market risk premium</w:t>
            </w:r>
            <w:r w:rsidRPr="007C54F1">
              <w:t xml:space="preserve"> estimates</w:t>
            </w:r>
          </w:p>
        </w:tc>
        <w:tc>
          <w:tcPr>
            <w:tcW w:w="2020" w:type="dxa"/>
          </w:tcPr>
          <w:p w:rsidR="007C54F1" w:rsidRPr="007C54F1" w:rsidRDefault="007C54F1" w:rsidP="007C54F1">
            <w:pPr>
              <w:pStyle w:val="AERtabletextleft"/>
            </w:pPr>
            <w:r>
              <w:t>Cross check on how we consider information</w:t>
            </w:r>
          </w:p>
        </w:tc>
        <w:tc>
          <w:tcPr>
            <w:tcW w:w="4601" w:type="dxa"/>
          </w:tcPr>
          <w:p w:rsidR="007C54F1" w:rsidRPr="007C54F1" w:rsidRDefault="007C54F1" w:rsidP="007C54F1">
            <w:pPr>
              <w:pStyle w:val="AERtabletextleft"/>
            </w:pPr>
            <w:r>
              <w:t>This</w:t>
            </w:r>
            <w:r w:rsidRPr="007C54F1">
              <w:t xml:space="preserve"> is indirect evidence of the market risk premium, which we do not use to estimate the market risk premium. However, we consider it useful to have regard to the approaches other regulators are taking to consider the evidence before them. </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Dividend growth models (SFG's construction)</w:t>
            </w:r>
          </w:p>
        </w:tc>
        <w:tc>
          <w:tcPr>
            <w:tcW w:w="2020" w:type="dxa"/>
          </w:tcPr>
          <w:p w:rsidR="007C54F1" w:rsidRPr="007C54F1" w:rsidRDefault="007C54F1" w:rsidP="007C54F1">
            <w:pPr>
              <w:pStyle w:val="AERtabletextleft"/>
            </w:pPr>
            <w:r>
              <w:t xml:space="preserve">Does not inform our </w:t>
            </w:r>
            <w:r w:rsidRPr="007C54F1">
              <w:t>market risk premium estimate</w:t>
            </w:r>
          </w:p>
        </w:tc>
        <w:tc>
          <w:tcPr>
            <w:tcW w:w="4601" w:type="dxa"/>
          </w:tcPr>
          <w:p w:rsidR="007C54F1" w:rsidRPr="007C54F1" w:rsidRDefault="007C54F1" w:rsidP="007C54F1">
            <w:pPr>
              <w:pStyle w:val="AERtabletextleft"/>
            </w:pPr>
            <w:r>
              <w:t xml:space="preserve">We consider this </w:t>
            </w:r>
            <w:r w:rsidRPr="007C54F1">
              <w:t>dividend growth model is unnecessarily complex and produces unrealistic growth rates. We consider SFG overstates its benefits because it transfers where one makes assumptions, rather than reducing the need to make assumptions. (see appendix B—DGM)</w:t>
            </w:r>
          </w:p>
        </w:tc>
      </w:tr>
      <w:tr w:rsidR="007C54F1" w:rsidTr="00E45414">
        <w:tc>
          <w:tcPr>
            <w:tcW w:w="2134" w:type="dxa"/>
          </w:tcPr>
          <w:p w:rsidR="007C54F1" w:rsidRPr="007C54F1" w:rsidRDefault="007C54F1" w:rsidP="007C54F1">
            <w:pPr>
              <w:pStyle w:val="AERtabletextleft"/>
            </w:pPr>
            <w:r>
              <w:t>Imputation credit adjustment (AER, Brailsford et al</w:t>
            </w:r>
            <w:r w:rsidRPr="007C54F1">
              <w:t>.)</w:t>
            </w:r>
          </w:p>
        </w:tc>
        <w:tc>
          <w:tcPr>
            <w:tcW w:w="2020" w:type="dxa"/>
          </w:tcPr>
          <w:p w:rsidR="007C54F1" w:rsidRPr="007C54F1" w:rsidRDefault="007C54F1" w:rsidP="007C54F1">
            <w:pPr>
              <w:pStyle w:val="AERtabletextleft"/>
            </w:pPr>
            <w:r>
              <w:t xml:space="preserve">Adjust </w:t>
            </w:r>
            <w:r w:rsidRPr="007C54F1">
              <w:t>market risk premium estimate under the dividend growth model and historical excess returns</w:t>
            </w:r>
          </w:p>
        </w:tc>
        <w:tc>
          <w:tcPr>
            <w:tcW w:w="4601" w:type="dxa"/>
          </w:tcPr>
          <w:p w:rsidR="007C54F1" w:rsidRPr="007C54F1" w:rsidRDefault="007C54F1" w:rsidP="007C54F1">
            <w:pPr>
              <w:pStyle w:val="AERtabletextleft"/>
            </w:pPr>
            <w:r>
              <w:t xml:space="preserve">This is </w:t>
            </w:r>
            <w:r w:rsidRPr="007C54F1">
              <w:t xml:space="preserve">consistent with economic and finance principles and empirical analysis. The adjustment is also transparent and replicable. </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Imputation credit adjustment (SFG)</w:t>
            </w:r>
          </w:p>
        </w:tc>
        <w:tc>
          <w:tcPr>
            <w:tcW w:w="2020" w:type="dxa"/>
          </w:tcPr>
          <w:p w:rsidR="007C54F1" w:rsidRPr="007C54F1" w:rsidRDefault="007C54F1" w:rsidP="007C54F1">
            <w:pPr>
              <w:pStyle w:val="AERtabletextleft"/>
            </w:pPr>
            <w:r>
              <w:t>Does not inform our</w:t>
            </w:r>
            <w:r w:rsidRPr="007C54F1">
              <w:t xml:space="preserve"> market risk premium estimate</w:t>
            </w:r>
          </w:p>
        </w:tc>
        <w:tc>
          <w:tcPr>
            <w:tcW w:w="4601" w:type="dxa"/>
          </w:tcPr>
          <w:p w:rsidR="007C54F1" w:rsidRPr="007C54F1" w:rsidRDefault="007C54F1" w:rsidP="007C54F1">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7C54F1" w:rsidTr="00E45414">
        <w:tc>
          <w:tcPr>
            <w:tcW w:w="2134" w:type="dxa"/>
          </w:tcPr>
          <w:p w:rsidR="007C54F1" w:rsidRPr="007C54F1" w:rsidRDefault="007C54F1" w:rsidP="007C54F1">
            <w:pPr>
              <w:pStyle w:val="AERtabletextleft"/>
            </w:pPr>
            <w:r w:rsidRPr="007F16A5">
              <w:t>Independent valuation reports</w:t>
            </w:r>
          </w:p>
        </w:tc>
        <w:tc>
          <w:tcPr>
            <w:tcW w:w="2020" w:type="dxa"/>
          </w:tcPr>
          <w:p w:rsidR="007C54F1" w:rsidRPr="007C54F1" w:rsidRDefault="007C54F1" w:rsidP="007C54F1">
            <w:pPr>
              <w:pStyle w:val="AERtabletextleft"/>
            </w:pPr>
            <w:r w:rsidRPr="007F16A5">
              <w:t xml:space="preserve">Does not inform our </w:t>
            </w:r>
            <w:r w:rsidRPr="007C54F1">
              <w:t>market risk premium estimate</w:t>
            </w:r>
          </w:p>
        </w:tc>
        <w:tc>
          <w:tcPr>
            <w:tcW w:w="4601" w:type="dxa"/>
          </w:tcPr>
          <w:p w:rsidR="007C54F1" w:rsidRPr="007C54F1" w:rsidRDefault="007C54F1" w:rsidP="007C54F1">
            <w:pPr>
              <w:pStyle w:val="AERtabletextleft"/>
            </w:pPr>
            <w:r w:rsidRPr="007F16A5">
              <w:t>More suitable for use at the overall return on equity level because writers of these reports can adjust individual parameters to obtain an overall result.</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rsidRPr="007F16A5">
              <w:t xml:space="preserve">The </w:t>
            </w:r>
            <w:r w:rsidRPr="007C54F1">
              <w:t>Wright approach</w:t>
            </w:r>
          </w:p>
        </w:tc>
        <w:tc>
          <w:tcPr>
            <w:tcW w:w="2020" w:type="dxa"/>
          </w:tcPr>
          <w:p w:rsidR="007C54F1" w:rsidRPr="007C54F1" w:rsidRDefault="007C54F1" w:rsidP="007C54F1">
            <w:pPr>
              <w:pStyle w:val="AERtabletextleft"/>
            </w:pPr>
            <w:r w:rsidRPr="007F16A5">
              <w:t xml:space="preserve">Does not inform our </w:t>
            </w:r>
            <w:r w:rsidRPr="007C54F1">
              <w:t>market risk premium estimate</w:t>
            </w:r>
          </w:p>
        </w:tc>
        <w:tc>
          <w:tcPr>
            <w:tcW w:w="4601" w:type="dxa"/>
          </w:tcPr>
          <w:p w:rsidR="007C54F1" w:rsidRPr="007C54F1" w:rsidRDefault="007C54F1" w:rsidP="007C54F1">
            <w:pPr>
              <w:pStyle w:val="AERtabletextleft"/>
            </w:pPr>
            <w:r w:rsidRPr="00D36C21">
              <w:t xml:space="preserve">More suitable for informing the overall return on equity because it is </w:t>
            </w:r>
            <w:r w:rsidRPr="007C54F1">
              <w:rPr>
                <w:rStyle w:val="AERbody"/>
              </w:rPr>
              <w:t xml:space="preserve">designed to provide information at the return on equity level and does not use a direct estimate of the MRP. </w:t>
            </w:r>
          </w:p>
        </w:tc>
      </w:tr>
    </w:tbl>
    <w:p w:rsidR="007C54F1" w:rsidRDefault="007C54F1" w:rsidP="007C54F1">
      <w:pPr>
        <w:pStyle w:val="AERtablesource"/>
      </w:pPr>
    </w:p>
    <w:p w:rsidR="007C54F1" w:rsidRPr="00772B77" w:rsidRDefault="007C54F1" w:rsidP="007C54F1">
      <w:pPr>
        <w:pStyle w:val="AERtablesource"/>
        <w:rPr>
          <w:rStyle w:val="AERbody"/>
        </w:rPr>
      </w:pPr>
      <w:r w:rsidRPr="006B6B29">
        <w:t>Source:</w:t>
      </w:r>
      <w:r w:rsidRPr="006B6B29">
        <w:tab/>
        <w:t>AER analysis.</w:t>
      </w:r>
    </w:p>
    <w:p w:rsidR="007C54F1" w:rsidRPr="00C26886" w:rsidRDefault="007C54F1" w:rsidP="007C54F1">
      <w:pPr>
        <w:rPr>
          <w:rStyle w:val="AERtexthighlight"/>
        </w:rPr>
      </w:pPr>
      <w:r>
        <w:rPr>
          <w:rStyle w:val="AERbody"/>
        </w:rPr>
        <w:t>Partington and Satchell advised against giving more weight to dividend growth estimates in the absence of reliable evidence reviewing the accuracy of dividend growth model estimates.</w:t>
      </w:r>
      <w:r>
        <w:rPr>
          <w:rStyle w:val="FootnoteReference"/>
        </w:rPr>
        <w:footnoteReference w:id="373"/>
      </w:r>
      <w:r>
        <w:rPr>
          <w:rStyle w:val="AERbody"/>
        </w:rPr>
        <w:t xml:space="preserve"> They noted that 'it is not clear that it is appropriate to apply equal weights' to historical excess returns and dividend growth model estimates.</w:t>
      </w:r>
      <w:r>
        <w:rPr>
          <w:rStyle w:val="FootnoteReference"/>
        </w:rPr>
        <w:footnoteReference w:id="374"/>
      </w:r>
      <w:r>
        <w:rPr>
          <w:rStyle w:val="AERbody"/>
        </w:rPr>
        <w:t xml:space="preserve"> Further, </w:t>
      </w:r>
      <w:r w:rsidRPr="005B0AFA">
        <w:rPr>
          <w:rStyle w:val="AERbody"/>
        </w:rPr>
        <w:t xml:space="preserve">Partington and Satchell </w:t>
      </w:r>
      <w:r>
        <w:rPr>
          <w:rStyle w:val="AERbody"/>
        </w:rPr>
        <w:t>noted</w:t>
      </w:r>
      <w:r w:rsidRPr="005B0AFA">
        <w:rPr>
          <w:rStyle w:val="AERbody"/>
        </w:rPr>
        <w:t xml:space="preserve"> that issues with dividend growth forecasts</w:t>
      </w:r>
      <w:r>
        <w:rPr>
          <w:rStyle w:val="AERbody"/>
        </w:rPr>
        <w:t>,</w:t>
      </w:r>
      <w:r w:rsidRPr="005B0AFA">
        <w:rPr>
          <w:rStyle w:val="AERbody"/>
        </w:rPr>
        <w:t xml:space="preserve"> as well as bias within analyst reports</w:t>
      </w:r>
      <w:r>
        <w:rPr>
          <w:rStyle w:val="AERbody"/>
        </w:rPr>
        <w:t>,</w:t>
      </w:r>
      <w:r w:rsidRPr="005B0AFA">
        <w:rPr>
          <w:rStyle w:val="FootnoteReference"/>
        </w:rPr>
        <w:footnoteReference w:id="375"/>
      </w:r>
      <w:r w:rsidRPr="008E4F6D">
        <w:rPr>
          <w:rStyle w:val="AERbody"/>
        </w:rPr>
        <w:t xml:space="preserve"> are </w:t>
      </w:r>
      <w:r w:rsidRPr="005B0AFA">
        <w:rPr>
          <w:rStyle w:val="AERbody"/>
        </w:rPr>
        <w:t>still valid and prominent in the current market conditions</w:t>
      </w:r>
      <w:r>
        <w:rPr>
          <w:rStyle w:val="AERbody"/>
        </w:rPr>
        <w:t>.</w:t>
      </w:r>
      <w:r w:rsidRPr="005B0AFA">
        <w:rPr>
          <w:rStyle w:val="FootnoteReference"/>
        </w:rPr>
        <w:footnoteReference w:id="376"/>
      </w:r>
    </w:p>
    <w:p w:rsidR="007C54F1" w:rsidRDefault="007C54F1" w:rsidP="007C54F1">
      <w:pPr>
        <w:rPr>
          <w:rStyle w:val="AERbody"/>
        </w:rPr>
      </w:pPr>
      <w:r>
        <w:rPr>
          <w:rStyle w:val="AERbody"/>
        </w:rPr>
        <w:t>Multinet effectively proposes to estimate the market risk premium using a (simple) average of historical excess returns and dividend growth model estimates. This bears some resemblance to the previously proposed "multi-model" approach</w:t>
      </w:r>
      <w:r>
        <w:rPr>
          <w:rStyle w:val="FootnoteReference"/>
        </w:rPr>
        <w:footnoteReference w:id="377"/>
      </w:r>
      <w:r>
        <w:rPr>
          <w:rStyle w:val="AERbody"/>
        </w:rPr>
        <w:t xml:space="preserve"> which estimated the return on equity and market risk premium using an average of four different sources.</w:t>
      </w:r>
      <w:r>
        <w:rPr>
          <w:rStyle w:val="FootnoteReference"/>
        </w:rPr>
        <w:footnoteReference w:id="378"/>
      </w:r>
      <w:r>
        <w:rPr>
          <w:rStyle w:val="AERbody"/>
        </w:rPr>
        <w:t xml:space="preserve"> </w:t>
      </w:r>
    </w:p>
    <w:p w:rsidR="007C54F1" w:rsidRDefault="007C54F1" w:rsidP="007C54F1">
      <w:pPr>
        <w:rPr>
          <w:rStyle w:val="AERbody"/>
        </w:rPr>
      </w:pPr>
      <w:r>
        <w:rPr>
          <w:rStyle w:val="AERbody"/>
        </w:rPr>
        <w:t xml:space="preserve">Our assessment of the relevant evidence in the Guideline and regulatory decisions indicates that the dividend growth model is most suited to inform whether the point estimate lies above or below the historical excess returns. Multinet’s proposal gives insufficient consideration to the relative merits of the relevant evidence.  </w:t>
      </w:r>
    </w:p>
    <w:p w:rsidR="007C54F1" w:rsidRDefault="007C54F1" w:rsidP="007C54F1">
      <w:r>
        <w:t>Partington and Satchell advised that we should not assign more weight to dividend growth model estimates (as Multinet seem</w:t>
      </w:r>
      <w:r w:rsidR="001E3DDE">
        <w:t>s</w:t>
      </w:r>
      <w:r>
        <w:t xml:space="preserve"> to suggest) because of inaccuracy, upward bias of the estimates and sensitivity of the model to inputs and assumptions.</w:t>
      </w:r>
      <w:r>
        <w:rPr>
          <w:rStyle w:val="FootnoteReference"/>
        </w:rPr>
        <w:footnoteReference w:id="379"/>
      </w:r>
      <w:r>
        <w:t xml:space="preserve"> They concluded that it is 'very unlikely that the DGM will produce a forward looking MRP commensurate with the prevailing conditions in the market for funds'.</w:t>
      </w:r>
      <w:r>
        <w:rPr>
          <w:rStyle w:val="FootnoteReference"/>
        </w:rPr>
        <w:footnoteReference w:id="380"/>
      </w:r>
      <w:r>
        <w:t xml:space="preserve"> They also noted that '</w:t>
      </w:r>
      <w:r w:rsidRPr="00135673">
        <w:t>DGM-based estimates of the MRP in a 10 year horizon context are probably better down-weighted than given more weight</w:t>
      </w:r>
      <w:r>
        <w:t xml:space="preserve">'. </w:t>
      </w:r>
    </w:p>
    <w:p w:rsidR="007C54F1" w:rsidRDefault="007C54F1" w:rsidP="007C54F1">
      <w:r>
        <w:t>Partington and Satchell advised that 'the DGM…</w:t>
      </w:r>
      <w:r w:rsidRPr="00135673">
        <w:t>is more useful as a conceptual tool than a forecasting model</w:t>
      </w:r>
      <w:r>
        <w:t>'.</w:t>
      </w:r>
      <w:r>
        <w:rPr>
          <w:rStyle w:val="FootnoteReference"/>
        </w:rPr>
        <w:footnoteReference w:id="381"/>
      </w:r>
      <w:r>
        <w:t xml:space="preserve"> This is consistent with our Guideline approach of using dividend growth model estimates to inform if a point estimate may be above or below the historical excess estimate. The AER has not changed its view on the DGM and how useful the information it provides is in forming a point estimate of the MRP.</w:t>
      </w:r>
    </w:p>
    <w:p w:rsidR="007C54F1" w:rsidRDefault="007C54F1" w:rsidP="007C54F1">
      <w:pPr>
        <w:rPr>
          <w:rStyle w:val="AERbody"/>
        </w:rPr>
      </w:pPr>
      <w:r>
        <w:rPr>
          <w:rStyle w:val="AERbody"/>
        </w:rPr>
        <w:t>Multinet also</w:t>
      </w:r>
      <w:r w:rsidRPr="008E4F6D">
        <w:rPr>
          <w:rStyle w:val="AERbody"/>
        </w:rPr>
        <w:t xml:space="preserve"> submitted that </w:t>
      </w:r>
      <w:r>
        <w:rPr>
          <w:rStyle w:val="AERbody"/>
        </w:rPr>
        <w:t>its proposed (7.5 per cent) market risk premium is supported by 'prevailing conditions in the market' on the basis that:</w:t>
      </w:r>
    </w:p>
    <w:p w:rsidR="007C54F1" w:rsidRDefault="007C54F1" w:rsidP="007C54F1">
      <w:pPr>
        <w:pStyle w:val="AERbulletlistfirststyle"/>
        <w:rPr>
          <w:rStyle w:val="AERbody"/>
        </w:rPr>
      </w:pPr>
      <w:r>
        <w:rPr>
          <w:rStyle w:val="AERbody"/>
        </w:rPr>
        <w:t xml:space="preserve">Frontier's construction of the historical excess returns and dividend growth model provides an estimate of 7.5 per cent, and </w:t>
      </w:r>
    </w:p>
    <w:p w:rsidR="007C54F1" w:rsidRDefault="007C54F1" w:rsidP="007C54F1">
      <w:pPr>
        <w:pStyle w:val="AERbulletlistfirststyle"/>
        <w:rPr>
          <w:rStyle w:val="AERbody"/>
        </w:rPr>
      </w:pPr>
      <w:r>
        <w:rPr>
          <w:rStyle w:val="AERbody"/>
        </w:rPr>
        <w:t xml:space="preserve">Frontier's consideration of independent valuation reports, surveys, other regulators' decisions, conditioning variables and market participants </w:t>
      </w:r>
      <w:r w:rsidRPr="00600336">
        <w:rPr>
          <w:rStyle w:val="AERbody"/>
        </w:rPr>
        <w:t>support</w:t>
      </w:r>
      <w:r w:rsidRPr="008E4F6D">
        <w:rPr>
          <w:rStyle w:val="AERbody"/>
        </w:rPr>
        <w:t xml:space="preserve"> a </w:t>
      </w:r>
      <w:r>
        <w:rPr>
          <w:rStyle w:val="AERbody"/>
        </w:rPr>
        <w:t>point estimate</w:t>
      </w:r>
      <w:r w:rsidRPr="008E4F6D">
        <w:rPr>
          <w:rStyle w:val="AERbody"/>
        </w:rPr>
        <w:t xml:space="preserve"> of 7.5 per cent. </w:t>
      </w:r>
    </w:p>
    <w:p w:rsidR="007C54F1" w:rsidRPr="007C54F1" w:rsidRDefault="007C54F1" w:rsidP="00272584">
      <w:pPr>
        <w:pStyle w:val="AERbulletlistfirststyle"/>
        <w:numPr>
          <w:ilvl w:val="0"/>
          <w:numId w:val="0"/>
        </w:numPr>
        <w:rPr>
          <w:rStyle w:val="AERbody"/>
          <w:rFonts w:cstheme="minorBidi"/>
        </w:rPr>
      </w:pPr>
      <w:r>
        <w:rPr>
          <w:rStyle w:val="AERbody"/>
        </w:rPr>
        <w:t xml:space="preserve">We </w:t>
      </w:r>
      <w:r w:rsidRPr="007C54F1">
        <w:rPr>
          <w:rStyle w:val="AERbody"/>
        </w:rPr>
        <w:t xml:space="preserve">disagree with </w:t>
      </w:r>
      <w:r w:rsidR="00A62356">
        <w:rPr>
          <w:rStyle w:val="AERbody"/>
        </w:rPr>
        <w:t>Frontier</w:t>
      </w:r>
      <w:r w:rsidR="00A62356" w:rsidRPr="007C54F1">
        <w:rPr>
          <w:rStyle w:val="AERbody"/>
        </w:rPr>
        <w:t xml:space="preserve">’s </w:t>
      </w:r>
      <w:r w:rsidRPr="007C54F1">
        <w:rPr>
          <w:rStyle w:val="AERbody"/>
        </w:rPr>
        <w:t>view that prevailing market conditions support a market risk premium of 7.5 per cent for the following reasons:</w:t>
      </w:r>
    </w:p>
    <w:p w:rsidR="007C54F1" w:rsidRDefault="007C54F1" w:rsidP="007C54F1">
      <w:pPr>
        <w:pStyle w:val="AERbulletlistfirststyle"/>
        <w:rPr>
          <w:rStyle w:val="AERbody"/>
        </w:rPr>
      </w:pPr>
      <w:r w:rsidRPr="00B965A8">
        <w:rPr>
          <w:rStyle w:val="AERbody"/>
        </w:rPr>
        <w:t xml:space="preserve">As noted </w:t>
      </w:r>
      <w:r w:rsidR="00A07CE8">
        <w:rPr>
          <w:rStyle w:val="AERbody"/>
        </w:rPr>
        <w:t>above</w:t>
      </w:r>
      <w:r w:rsidRPr="00024AAE">
        <w:rPr>
          <w:rStyle w:val="AERbody"/>
        </w:rPr>
        <w:t xml:space="preserve">, </w:t>
      </w:r>
      <w:r w:rsidR="00A62356">
        <w:rPr>
          <w:rStyle w:val="AERbody"/>
        </w:rPr>
        <w:t>Frontier</w:t>
      </w:r>
      <w:r w:rsidR="00A62356" w:rsidRPr="00766D70">
        <w:rPr>
          <w:rStyle w:val="AERbody"/>
        </w:rPr>
        <w:t xml:space="preserve"> </w:t>
      </w:r>
      <w:r w:rsidRPr="00766D70">
        <w:rPr>
          <w:rStyle w:val="AERbody"/>
        </w:rPr>
        <w:t xml:space="preserve">has mischaracterised the Guideline approach for </w:t>
      </w:r>
      <w:r>
        <w:rPr>
          <w:rStyle w:val="AERbody"/>
        </w:rPr>
        <w:t>estimating the market risk premium. We did not and do not average estimates across historical excess returns and dividend growth model estimates. We have regard to a range of relevant evidence.</w:t>
      </w:r>
    </w:p>
    <w:p w:rsidR="007C54F1" w:rsidRDefault="007C54F1" w:rsidP="007C54F1">
      <w:pPr>
        <w:pStyle w:val="AERbulletlistfirststyle"/>
        <w:rPr>
          <w:rStyle w:val="AERbody"/>
        </w:rPr>
      </w:pPr>
      <w:r>
        <w:rPr>
          <w:rStyle w:val="AERbody"/>
        </w:rPr>
        <w:t>Frontier's historical excess returns are based on computational decisions</w:t>
      </w:r>
      <w:r>
        <w:rPr>
          <w:rStyle w:val="FootnoteReference"/>
        </w:rPr>
        <w:footnoteReference w:id="382"/>
      </w:r>
      <w:r>
        <w:rPr>
          <w:rStyle w:val="AERbody"/>
        </w:rPr>
        <w:t xml:space="preserve"> that we have previously considered and rejected. We continue to consider that historical excess returns should be computed assuming a theta of 0.6, in</w:t>
      </w:r>
      <w:r w:rsidRPr="0092640E">
        <w:rPr>
          <w:rStyle w:val="AERbody"/>
        </w:rPr>
        <w:t>clusion of the post 1980 averaging period</w:t>
      </w:r>
      <w:r>
        <w:rPr>
          <w:rStyle w:val="AERbody"/>
        </w:rPr>
        <w:t>s</w:t>
      </w:r>
      <w:r w:rsidRPr="0092640E">
        <w:rPr>
          <w:rStyle w:val="AERbody"/>
        </w:rPr>
        <w:t xml:space="preserve"> and </w:t>
      </w:r>
      <w:r>
        <w:rPr>
          <w:rStyle w:val="AERbody"/>
        </w:rPr>
        <w:t xml:space="preserve">without </w:t>
      </w:r>
      <w:r w:rsidRPr="0092640E">
        <w:rPr>
          <w:rStyle w:val="AERbody"/>
        </w:rPr>
        <w:t>the NERA adjustment.</w:t>
      </w:r>
      <w:r>
        <w:rPr>
          <w:rStyle w:val="FootnoteReference"/>
        </w:rPr>
        <w:footnoteReference w:id="383"/>
      </w:r>
      <w:r>
        <w:rPr>
          <w:rStyle w:val="AERbody"/>
        </w:rPr>
        <w:t xml:space="preserve"> See</w:t>
      </w:r>
      <w:r w:rsidR="00A65A7E">
        <w:rPr>
          <w:rStyle w:val="AERbody"/>
        </w:rPr>
        <w:t xml:space="preserve"> section</w:t>
      </w:r>
      <w:r>
        <w:rPr>
          <w:rStyle w:val="AERbody"/>
        </w:rPr>
        <w:t xml:space="preserve"> </w:t>
      </w:r>
      <w:r w:rsidR="00A65A7E">
        <w:rPr>
          <w:rStyle w:val="AERbody"/>
        </w:rPr>
        <w:fldChar w:fldCharType="begin"/>
      </w:r>
      <w:r w:rsidR="00A65A7E">
        <w:rPr>
          <w:rStyle w:val="AERbody"/>
        </w:rPr>
        <w:instrText xml:space="preserve"> REF _Ref484767206 \r \h </w:instrText>
      </w:r>
      <w:r w:rsidR="00A65A7E">
        <w:rPr>
          <w:rStyle w:val="AERbody"/>
        </w:rPr>
      </w:r>
      <w:r w:rsidR="00A65A7E">
        <w:rPr>
          <w:rStyle w:val="AERbody"/>
        </w:rPr>
        <w:fldChar w:fldCharType="separate"/>
      </w:r>
      <w:r w:rsidR="002C24D6">
        <w:rPr>
          <w:rStyle w:val="AERbody"/>
        </w:rPr>
        <w:t>I</w:t>
      </w:r>
      <w:r w:rsidR="00A65A7E">
        <w:rPr>
          <w:rStyle w:val="AERbody"/>
        </w:rPr>
        <w:fldChar w:fldCharType="end"/>
      </w:r>
      <w:r w:rsidR="00A65A7E">
        <w:rPr>
          <w:rStyle w:val="AERbody"/>
        </w:rPr>
        <w:t xml:space="preserve"> </w:t>
      </w:r>
      <w:r>
        <w:rPr>
          <w:rStyle w:val="AERbody"/>
        </w:rPr>
        <w:t>for further discussion of this point.</w:t>
      </w:r>
    </w:p>
    <w:p w:rsidR="007C54F1" w:rsidRDefault="007C54F1" w:rsidP="007C54F1">
      <w:pPr>
        <w:pStyle w:val="AERbulletlistfirststyle"/>
        <w:rPr>
          <w:rStyle w:val="AERbody"/>
        </w:rPr>
      </w:pPr>
      <w:r>
        <w:rPr>
          <w:rStyle w:val="AERbody"/>
        </w:rPr>
        <w:t xml:space="preserve">We do not consider the other materials referenced by Frontier support a 7.5 per cent market risk premium. For example, </w:t>
      </w:r>
      <w:r w:rsidR="00A62356">
        <w:rPr>
          <w:rStyle w:val="AERbody"/>
        </w:rPr>
        <w:t>Frontier has</w:t>
      </w:r>
      <w:r>
        <w:rPr>
          <w:rStyle w:val="AERbody"/>
        </w:rPr>
        <w:t xml:space="preserve"> claimed that survey evidence supports their estimate of 7.5 per cent because they state survey answers are ex-imputation estimates. However we have covered this argument before as to the ambiguity of survey estimates in relation to imputation credits, and it is discussed further in </w:t>
      </w:r>
      <w:r w:rsidR="00A24A52">
        <w:rPr>
          <w:rStyle w:val="AERbody"/>
        </w:rPr>
        <w:t>Appendix I</w:t>
      </w:r>
      <w:r>
        <w:rPr>
          <w:rStyle w:val="AERbody"/>
        </w:rPr>
        <w:t>.</w:t>
      </w:r>
    </w:p>
    <w:p w:rsidR="007C54F1" w:rsidRDefault="007C54F1" w:rsidP="007C54F1">
      <w:pPr>
        <w:pStyle w:val="AERbulletlistfirststyle"/>
        <w:rPr>
          <w:rStyle w:val="AERbody"/>
        </w:rPr>
      </w:pPr>
      <w:r>
        <w:rPr>
          <w:rStyle w:val="AERbody"/>
        </w:rPr>
        <w:t>Frontier has continued to depart from the Guideline by using valuation reports to inform the market risk premium.</w:t>
      </w:r>
      <w:r>
        <w:rPr>
          <w:rStyle w:val="FootnoteReference"/>
        </w:rPr>
        <w:footnoteReference w:id="384"/>
      </w:r>
      <w:r>
        <w:rPr>
          <w:rStyle w:val="AERbody"/>
        </w:rPr>
        <w:t xml:space="preserve"> The reasons for departing from the guideline in this manner have not been robustly set out and as such we are not satisfied such a movement away from the Guideline is in accordance with the ARORO. This is discussed further in </w:t>
      </w:r>
      <w:r w:rsidR="00A24A52">
        <w:rPr>
          <w:rStyle w:val="AERbody"/>
        </w:rPr>
        <w:t>Appendix I</w:t>
      </w:r>
      <w:r>
        <w:rPr>
          <w:rStyle w:val="AERbody"/>
        </w:rPr>
        <w:t>.</w:t>
      </w:r>
    </w:p>
    <w:p w:rsidR="007C54F1" w:rsidRDefault="007C54F1" w:rsidP="00A24A52">
      <w:pPr>
        <w:rPr>
          <w:rStyle w:val="AERbody"/>
        </w:rPr>
      </w:pPr>
      <w:r w:rsidRPr="009D1627">
        <w:rPr>
          <w:rStyle w:val="AERbody"/>
        </w:rPr>
        <w:t xml:space="preserve">Expert advice from Partington and Satchell supports our </w:t>
      </w:r>
      <w:r>
        <w:rPr>
          <w:rStyle w:val="AERbody"/>
        </w:rPr>
        <w:t xml:space="preserve">Guideline </w:t>
      </w:r>
      <w:r w:rsidRPr="009D1627">
        <w:rPr>
          <w:rStyle w:val="AERbody"/>
        </w:rPr>
        <w:t xml:space="preserve">approach for estimating the market risk premium. They observe </w:t>
      </w:r>
      <w:r w:rsidRPr="008E4F6D">
        <w:rPr>
          <w:rStyle w:val="AERbody"/>
        </w:rPr>
        <w:t xml:space="preserve">that the evidence provided by Frontier and </w:t>
      </w:r>
      <w:r>
        <w:rPr>
          <w:rStyle w:val="AERbody"/>
        </w:rPr>
        <w:t>Multinet</w:t>
      </w:r>
      <w:r w:rsidRPr="008E4F6D">
        <w:rPr>
          <w:rStyle w:val="AERbody"/>
        </w:rPr>
        <w:t xml:space="preserve"> is not convincing </w:t>
      </w:r>
      <w:r>
        <w:rPr>
          <w:rStyle w:val="AERbody"/>
        </w:rPr>
        <w:t xml:space="preserve">them that </w:t>
      </w:r>
      <w:r w:rsidRPr="009D1627">
        <w:rPr>
          <w:rStyle w:val="AERbody"/>
        </w:rPr>
        <w:t>there should be a current increase in the market risk premium</w:t>
      </w:r>
      <w:r>
        <w:rPr>
          <w:rStyle w:val="AERbody"/>
        </w:rPr>
        <w:t>.</w:t>
      </w:r>
      <w:r w:rsidRPr="008E4F6D">
        <w:rPr>
          <w:rStyle w:val="FootnoteReference"/>
        </w:rPr>
        <w:footnoteReference w:id="385"/>
      </w:r>
      <w:r w:rsidRPr="008E4F6D">
        <w:rPr>
          <w:rStyle w:val="FootnoteReference"/>
        </w:rPr>
        <w:t xml:space="preserve"> </w:t>
      </w:r>
      <w:r>
        <w:rPr>
          <w:rStyle w:val="AERbody"/>
        </w:rPr>
        <w:t>Moreover,</w:t>
      </w:r>
      <w:r w:rsidRPr="008E4F6D">
        <w:rPr>
          <w:rStyle w:val="AERbody"/>
        </w:rPr>
        <w:t xml:space="preserve"> </w:t>
      </w:r>
      <w:r w:rsidRPr="009D1627">
        <w:rPr>
          <w:rStyle w:val="AERbody"/>
        </w:rPr>
        <w:t xml:space="preserve">many of the arguments regarding a stable return on equity since the </w:t>
      </w:r>
      <w:r>
        <w:rPr>
          <w:rStyle w:val="AERbody"/>
        </w:rPr>
        <w:t>2013 Guideline</w:t>
      </w:r>
      <w:r w:rsidRPr="009D1627">
        <w:rPr>
          <w:rStyle w:val="AERbody"/>
        </w:rPr>
        <w:t xml:space="preserve"> are reforg</w:t>
      </w:r>
      <w:r>
        <w:rPr>
          <w:rStyle w:val="AERbody"/>
        </w:rPr>
        <w:t>ed</w:t>
      </w:r>
      <w:r w:rsidRPr="009D1627">
        <w:rPr>
          <w:rStyle w:val="AERbody"/>
        </w:rPr>
        <w:t xml:space="preserve"> arguments </w:t>
      </w:r>
      <w:r>
        <w:rPr>
          <w:rStyle w:val="AERbody"/>
        </w:rPr>
        <w:t xml:space="preserve">from </w:t>
      </w:r>
      <w:r w:rsidRPr="009D1627">
        <w:rPr>
          <w:rStyle w:val="AERbody"/>
        </w:rPr>
        <w:t>previous</w:t>
      </w:r>
      <w:r>
        <w:rPr>
          <w:rStyle w:val="AERbody"/>
        </w:rPr>
        <w:t xml:space="preserve"> </w:t>
      </w:r>
      <w:r w:rsidRPr="009D1627">
        <w:rPr>
          <w:rStyle w:val="AERbody"/>
        </w:rPr>
        <w:t>Frontier</w:t>
      </w:r>
      <w:r>
        <w:rPr>
          <w:rStyle w:val="AERbody"/>
        </w:rPr>
        <w:t xml:space="preserve"> submissions.</w:t>
      </w:r>
      <w:r w:rsidRPr="009D1627">
        <w:rPr>
          <w:rStyle w:val="FootnoteReference"/>
        </w:rPr>
        <w:footnoteReference w:id="386"/>
      </w:r>
      <w:r w:rsidRPr="00272584">
        <w:t xml:space="preserve"> </w:t>
      </w:r>
      <w:r>
        <w:rPr>
          <w:rStyle w:val="AERbody"/>
        </w:rPr>
        <w:t xml:space="preserve">For example, </w:t>
      </w:r>
      <w:r w:rsidRPr="009D1627">
        <w:rPr>
          <w:rStyle w:val="AERbody"/>
        </w:rPr>
        <w:t xml:space="preserve">Partington and Satchell </w:t>
      </w:r>
      <w:r>
        <w:rPr>
          <w:rStyle w:val="AERbody"/>
        </w:rPr>
        <w:t>noted</w:t>
      </w:r>
      <w:r w:rsidRPr="009D1627">
        <w:rPr>
          <w:rStyle w:val="AERbody"/>
        </w:rPr>
        <w:t xml:space="preserve"> Frontier's continued reliance on earnings yield and PE based evidence</w:t>
      </w:r>
      <w:r>
        <w:rPr>
          <w:rStyle w:val="AERbody"/>
        </w:rPr>
        <w:t xml:space="preserve"> to argue the required return on equity has remained stable since the Guideline.</w:t>
      </w:r>
      <w:r w:rsidRPr="009D1627">
        <w:rPr>
          <w:rStyle w:val="FootnoteReference"/>
        </w:rPr>
        <w:footnoteReference w:id="387"/>
      </w:r>
      <w:r>
        <w:rPr>
          <w:rStyle w:val="AERbody"/>
        </w:rPr>
        <w:t xml:space="preserve"> Partington and Satchell continue to show that the relationship between the earnings yield (and PE ratio) and the cost of equity is not a simple linear one but a complex one that does not allow for the assumptions Frontier have made.</w:t>
      </w:r>
      <w:r>
        <w:rPr>
          <w:rStyle w:val="FootnoteReference"/>
        </w:rPr>
        <w:footnoteReference w:id="388"/>
      </w:r>
    </w:p>
    <w:p w:rsidR="007C54F1" w:rsidRDefault="007C54F1" w:rsidP="007C54F1">
      <w:pPr>
        <w:rPr>
          <w:rStyle w:val="AERbody"/>
        </w:rPr>
      </w:pPr>
      <w:r>
        <w:rPr>
          <w:rStyle w:val="AERbody"/>
        </w:rPr>
        <w:t>Multinet argues that the AER should not use conditioning variables when estimating the MRP, despite the information they provide. The service provider argues that in the absence of formal econometric mapping there should be no reliance placed on the information, but that if you were to place weight on their information they would support a stable return on equity.</w:t>
      </w:r>
      <w:r>
        <w:rPr>
          <w:rStyle w:val="FootnoteReference"/>
        </w:rPr>
        <w:footnoteReference w:id="389"/>
      </w:r>
      <w:r>
        <w:rPr>
          <w:rStyle w:val="AERbody"/>
        </w:rPr>
        <w:t xml:space="preserve"> However the AER has put forward in previous decisions that the information is useful for adding information to our decision as discussed in </w:t>
      </w:r>
      <w:r w:rsidR="00A07CE8">
        <w:rPr>
          <w:rStyle w:val="AERbody"/>
        </w:rPr>
        <w:t xml:space="preserve">section </w:t>
      </w:r>
      <w:r w:rsidR="00A07CE8">
        <w:rPr>
          <w:rStyle w:val="AERbody"/>
        </w:rPr>
        <w:fldChar w:fldCharType="begin"/>
      </w:r>
      <w:r w:rsidR="00A07CE8">
        <w:rPr>
          <w:rStyle w:val="AERbody"/>
        </w:rPr>
        <w:instrText xml:space="preserve"> REF _Ref484767206 \r \h </w:instrText>
      </w:r>
      <w:r w:rsidR="00A07CE8">
        <w:rPr>
          <w:rStyle w:val="AERbody"/>
        </w:rPr>
      </w:r>
      <w:r w:rsidR="00A07CE8">
        <w:rPr>
          <w:rStyle w:val="AERbody"/>
        </w:rPr>
        <w:fldChar w:fldCharType="separate"/>
      </w:r>
      <w:r w:rsidR="002C24D6">
        <w:rPr>
          <w:rStyle w:val="AERbody"/>
        </w:rPr>
        <w:t>I</w:t>
      </w:r>
      <w:r w:rsidR="00A07CE8">
        <w:rPr>
          <w:rStyle w:val="AERbody"/>
        </w:rPr>
        <w:fldChar w:fldCharType="end"/>
      </w:r>
      <w:r>
        <w:rPr>
          <w:rStyle w:val="AERbody"/>
        </w:rPr>
        <w:t xml:space="preserve">. We also note that other regulators such as the ERA use such conditioning variables as additional evidence. See </w:t>
      </w:r>
      <w:r w:rsidR="00A07CE8">
        <w:rPr>
          <w:rStyle w:val="AERbody"/>
        </w:rPr>
        <w:t xml:space="preserve">section </w:t>
      </w:r>
      <w:r w:rsidR="00A07CE8">
        <w:rPr>
          <w:rStyle w:val="AERbody"/>
        </w:rPr>
        <w:fldChar w:fldCharType="begin"/>
      </w:r>
      <w:r w:rsidR="00A07CE8">
        <w:rPr>
          <w:rStyle w:val="AERbody"/>
        </w:rPr>
        <w:instrText xml:space="preserve"> REF _Ref484767206 \r \h </w:instrText>
      </w:r>
      <w:r w:rsidR="00A07CE8">
        <w:rPr>
          <w:rStyle w:val="AERbody"/>
        </w:rPr>
      </w:r>
      <w:r w:rsidR="00A07CE8">
        <w:rPr>
          <w:rStyle w:val="AERbody"/>
        </w:rPr>
        <w:fldChar w:fldCharType="separate"/>
      </w:r>
      <w:r w:rsidR="002C24D6">
        <w:rPr>
          <w:rStyle w:val="AERbody"/>
        </w:rPr>
        <w:t>I</w:t>
      </w:r>
      <w:r w:rsidR="00A07CE8">
        <w:rPr>
          <w:rStyle w:val="AERbody"/>
        </w:rPr>
        <w:fldChar w:fldCharType="end"/>
      </w:r>
      <w:r w:rsidR="00A07CE8">
        <w:rPr>
          <w:rStyle w:val="AERbody"/>
        </w:rPr>
        <w:t xml:space="preserve"> </w:t>
      </w:r>
      <w:r>
        <w:rPr>
          <w:rStyle w:val="AERbody"/>
        </w:rPr>
        <w:t>for further details.</w:t>
      </w:r>
    </w:p>
    <w:p w:rsidR="007C54F1" w:rsidRDefault="007C54F1" w:rsidP="007C54F1">
      <w:pPr>
        <w:rPr>
          <w:rStyle w:val="AERbody"/>
        </w:rPr>
      </w:pPr>
      <w:r>
        <w:rPr>
          <w:rStyle w:val="AERbody"/>
        </w:rPr>
        <w:t>The report from Multinet also sets forward that the methods the AER use to estimate the overall return of equity have remained stable, which therefore indicate the MRP should have increased as the risk free rate has fallen.</w:t>
      </w:r>
      <w:r>
        <w:rPr>
          <w:rStyle w:val="FootnoteReference"/>
        </w:rPr>
        <w:footnoteReference w:id="390"/>
      </w:r>
      <w:r>
        <w:rPr>
          <w:rStyle w:val="AERbody"/>
        </w:rPr>
        <w:t xml:space="preserve"> However we have previously stated that the Wright approach, one of the two methods used by Mu</w:t>
      </w:r>
      <w:r w:rsidR="00A65A7E">
        <w:rPr>
          <w:rStyle w:val="AERbody"/>
        </w:rPr>
        <w:t>lt</w:t>
      </w:r>
      <w:r>
        <w:rPr>
          <w:rStyle w:val="AERbody"/>
        </w:rPr>
        <w:t xml:space="preserve">inet to demonstrate a steady return on equity, should not be used to form an opinion of the </w:t>
      </w:r>
      <w:r w:rsidR="001E3DDE">
        <w:rPr>
          <w:rStyle w:val="AERbody"/>
        </w:rPr>
        <w:t>market risk premium</w:t>
      </w:r>
      <w:r>
        <w:rPr>
          <w:rStyle w:val="AERbody"/>
        </w:rPr>
        <w:t>.</w:t>
      </w:r>
      <w:r w:rsidR="001E3DDE">
        <w:rPr>
          <w:rStyle w:val="FootnoteReference"/>
        </w:rPr>
        <w:footnoteReference w:id="391"/>
      </w:r>
      <w:r>
        <w:rPr>
          <w:rStyle w:val="AERbody"/>
        </w:rPr>
        <w:t xml:space="preserve"> This has also been restated by Partington and Satchell in their most recent advice.</w:t>
      </w:r>
      <w:r w:rsidR="001E3DDE">
        <w:rPr>
          <w:rStyle w:val="FootnoteReference"/>
        </w:rPr>
        <w:footnoteReference w:id="392"/>
      </w:r>
      <w:r>
        <w:rPr>
          <w:rStyle w:val="AERbody"/>
        </w:rPr>
        <w:t xml:space="preserve"> The Guideline also states that the DGM, the other model used by Frontier, should not be used to directly calculate an estimate for the return on equity.</w:t>
      </w:r>
      <w:r>
        <w:rPr>
          <w:rStyle w:val="FootnoteReference"/>
        </w:rPr>
        <w:footnoteReference w:id="393"/>
      </w:r>
    </w:p>
    <w:p w:rsidR="007C54F1" w:rsidRDefault="007C54F1" w:rsidP="007C54F1">
      <w:pPr>
        <w:pStyle w:val="HeadingItalic"/>
      </w:pPr>
      <w:r>
        <w:t>APTPPL's and APAs Wright approach for the market risk premium</w:t>
      </w:r>
    </w:p>
    <w:p w:rsidR="007C54F1" w:rsidRPr="007C54F1" w:rsidRDefault="007C54F1" w:rsidP="007C54F1">
      <w:pPr>
        <w:pStyle w:val="AERbulletlistfirststyle"/>
      </w:pPr>
      <w:r w:rsidRPr="00BF2229">
        <w:t>APTPPL</w:t>
      </w:r>
      <w:r w:rsidRPr="007C54F1">
        <w:t xml:space="preserve"> and APA proposed using the long term average of the return on the market and the prevailing risk free rate. This resulted in a market risk premium of 8.06 per cent for APTPPL and 7.76 per cent for APA VTS.</w:t>
      </w:r>
      <w:r w:rsidRPr="007C54F1">
        <w:rPr>
          <w:rStyle w:val="FootnoteReference"/>
        </w:rPr>
        <w:footnoteReference w:id="394"/>
      </w:r>
    </w:p>
    <w:p w:rsidR="007C54F1" w:rsidRPr="007C54F1" w:rsidRDefault="007C54F1" w:rsidP="007C54F1">
      <w:pPr>
        <w:pStyle w:val="AERbulletlistfirststyle"/>
      </w:pPr>
      <w:r w:rsidRPr="00772B77">
        <w:t>APTPPL</w:t>
      </w:r>
      <w:r w:rsidRPr="007C54F1">
        <w:t xml:space="preserve"> and APA submitted that their proposals are:</w:t>
      </w:r>
      <w:r w:rsidRPr="007C54F1">
        <w:rPr>
          <w:rStyle w:val="FootnoteReference"/>
        </w:rPr>
        <w:footnoteReference w:id="395"/>
      </w:r>
    </w:p>
    <w:p w:rsidR="007C54F1" w:rsidRDefault="007C54F1" w:rsidP="007C54F1">
      <w:pPr>
        <w:pStyle w:val="AERbulletlistfirststyle"/>
      </w:pPr>
      <w:r>
        <w:t>the 'correct' implementation of the Sharpe-</w:t>
      </w:r>
      <w:r w:rsidR="00666F6A">
        <w:t>Lintner</w:t>
      </w:r>
      <w:r>
        <w:t xml:space="preserve"> CAPM and has not applied the Wright CAPM.</w:t>
      </w:r>
    </w:p>
    <w:p w:rsidR="007C54F1" w:rsidRDefault="007C54F1" w:rsidP="007C54F1">
      <w:pPr>
        <w:pStyle w:val="AERbulletlistfirststyle"/>
      </w:pPr>
      <w:r>
        <w:t>supported by the 2016 ERA decision for Goldfields Pipeline</w:t>
      </w:r>
    </w:p>
    <w:p w:rsidR="007C54F1" w:rsidRPr="007C54F1" w:rsidRDefault="007C54F1" w:rsidP="00013867">
      <w:pPr>
        <w:pStyle w:val="AERbulletlistfirststyle"/>
        <w:numPr>
          <w:ilvl w:val="0"/>
          <w:numId w:val="0"/>
        </w:numPr>
      </w:pPr>
      <w:r>
        <w:t>We</w:t>
      </w:r>
      <w:r w:rsidRPr="007C54F1">
        <w:t xml:space="preserve"> disagree. </w:t>
      </w:r>
    </w:p>
    <w:p w:rsidR="007C54F1" w:rsidRDefault="007C54F1" w:rsidP="007C54F1">
      <w:r>
        <w:t>Partington and Satchell has advised that it 'is the risk premium that determines the market portfolio' and 'practitioners tend to treat the MRP as the exogenous variable' to the CAPM (instead of the return on the market as suggested by APTPPL).</w:t>
      </w:r>
      <w:r>
        <w:rPr>
          <w:rStyle w:val="FootnoteReference"/>
        </w:rPr>
        <w:footnoteReference w:id="396"/>
      </w:r>
      <w:r>
        <w:t xml:space="preserve"> </w:t>
      </w:r>
    </w:p>
    <w:p w:rsidR="007C54F1" w:rsidRPr="007C54F1" w:rsidRDefault="007C54F1" w:rsidP="007C54F1">
      <w:pPr>
        <w:pStyle w:val="AERbulletlistfirststyle"/>
      </w:pPr>
      <w:r>
        <w:t>W</w:t>
      </w:r>
      <w:r w:rsidRPr="007C54F1">
        <w:t>e note that APTPPL and APA's approach shares similarities with a Wright CAPM, and appears to be a historical/alternative specification of the CAPM (if not a Wright CAPM, see Appendix B.5 for more discussion):</w:t>
      </w:r>
    </w:p>
    <w:p w:rsidR="007C54F1" w:rsidRDefault="007C54F1" w:rsidP="007C54F1">
      <w:pPr>
        <w:pStyle w:val="AERbulletlistfirststyle"/>
      </w:pPr>
      <w:r>
        <w:t>It implies a</w:t>
      </w:r>
      <w:r w:rsidRPr="00B12C7A">
        <w:t xml:space="preserve"> perfectly offsetting relationship between the risk free rate and the market risk premium, which is similar to an assumption under the Wright CAPM. </w:t>
      </w:r>
    </w:p>
    <w:p w:rsidR="007C54F1" w:rsidRDefault="007C54F1" w:rsidP="007C54F1">
      <w:pPr>
        <w:pStyle w:val="AERbulletlistfirststyle"/>
      </w:pPr>
      <w:r>
        <w:t xml:space="preserve">APTPPL and APA </w:t>
      </w:r>
      <w:r w:rsidRPr="00A637C3">
        <w:t>rel</w:t>
      </w:r>
      <w:r>
        <w:t>y</w:t>
      </w:r>
      <w:r w:rsidRPr="00A637C3">
        <w:t xml:space="preserve"> on</w:t>
      </w:r>
      <w:r>
        <w:t xml:space="preserve"> the</w:t>
      </w:r>
      <w:r w:rsidRPr="00A637C3">
        <w:t xml:space="preserve"> ERA's observations of </w:t>
      </w:r>
      <w:r>
        <w:t xml:space="preserve">(effectively) </w:t>
      </w:r>
      <w:r w:rsidRPr="00A637C3">
        <w:t xml:space="preserve">a Wright CAPM estimate of the return on market. </w:t>
      </w:r>
    </w:p>
    <w:p w:rsidR="007C54F1" w:rsidRDefault="007C54F1" w:rsidP="007C54F1">
      <w:pPr>
        <w:pStyle w:val="AERbulletlistfirststyle"/>
      </w:pPr>
      <w:r>
        <w:t>It does not account for changing market conditions.</w:t>
      </w:r>
    </w:p>
    <w:p w:rsidR="007C54F1" w:rsidRPr="007C54F1" w:rsidRDefault="007C54F1" w:rsidP="00013867">
      <w:pPr>
        <w:pStyle w:val="AERbulletlistfirststyle"/>
      </w:pPr>
      <w:r>
        <w:t>It uses the AER's Wright CAPM estimate to estimate the market risk premium.</w:t>
      </w:r>
    </w:p>
    <w:p w:rsidR="007C54F1" w:rsidRDefault="007C54F1" w:rsidP="007C54F1">
      <w:r>
        <w:t>Partington and Satchell also advise that the method used by APTPPL and APA VTS is not as independent from the Wright CAPM as the service providers claim. They note that the</w:t>
      </w:r>
      <w:r w:rsidR="00984E2B">
        <w:t xml:space="preserve"> service providers'</w:t>
      </w:r>
      <w:r>
        <w:t xml:space="preserve"> method ‘assumes stability of the market rate of return over time’</w:t>
      </w:r>
      <w:r>
        <w:rPr>
          <w:rStyle w:val="FootnoteReference"/>
        </w:rPr>
        <w:footnoteReference w:id="397"/>
      </w:r>
      <w:r w:rsidR="00984E2B">
        <w:t xml:space="preserve"> (which both dispute)</w:t>
      </w:r>
      <w:r>
        <w:t xml:space="preserve"> due to ‘heavy reliance on the long run historic average for the return on the market’</w:t>
      </w:r>
      <w:r>
        <w:rPr>
          <w:rStyle w:val="FootnoteReference"/>
        </w:rPr>
        <w:footnoteReference w:id="398"/>
      </w:r>
      <w:r>
        <w:t xml:space="preserve"> .</w:t>
      </w:r>
      <w:r>
        <w:rPr>
          <w:rStyle w:val="FootnoteReference"/>
        </w:rPr>
        <w:footnoteReference w:id="399"/>
      </w:r>
      <w:r>
        <w:t xml:space="preserve"> They also</w:t>
      </w:r>
      <w:r w:rsidR="00984E2B">
        <w:t xml:space="preserve"> observed</w:t>
      </w:r>
      <w:r>
        <w:t xml:space="preserve"> ‘an inverse relation between the equity risk premium and the interest rate </w:t>
      </w:r>
      <w:r w:rsidR="00984E2B">
        <w:t>[</w:t>
      </w:r>
      <w:r>
        <w:t>arise</w:t>
      </w:r>
      <w:r w:rsidR="00984E2B">
        <w:t>]</w:t>
      </w:r>
      <w:r>
        <w:t xml:space="preserve"> as a consequence of assuming stability in the market return’,</w:t>
      </w:r>
      <w:r w:rsidR="001E3DDE">
        <w:rPr>
          <w:rStyle w:val="FootnoteReference"/>
        </w:rPr>
        <w:footnoteReference w:id="400"/>
      </w:r>
      <w:r>
        <w:t xml:space="preserve"> which again contradicts APA’s table of assumptions. </w:t>
      </w:r>
    </w:p>
    <w:p w:rsidR="007C54F1" w:rsidRPr="00B12C7A" w:rsidRDefault="007C54F1" w:rsidP="007C54F1">
      <w:r>
        <w:t>We do not consider the</w:t>
      </w:r>
      <w:r w:rsidRPr="00B12C7A">
        <w:t>se alternative specifications of the CAPM (such as the Wright CAPM) when estimating market risk premium. Our assessment indicates that these material</w:t>
      </w:r>
      <w:r>
        <w:t>s</w:t>
      </w:r>
      <w:r w:rsidRPr="00B12C7A">
        <w:t xml:space="preserve"> contain limitations that make them unsuitable for our regulatory task</w:t>
      </w:r>
      <w:r>
        <w:t>. T</w:t>
      </w:r>
      <w:r w:rsidRPr="00B12C7A">
        <w:t xml:space="preserve">his is discussed further in </w:t>
      </w:r>
      <w:r w:rsidRPr="00A164C0">
        <w:rPr>
          <w:rStyle w:val="AERbody"/>
        </w:rPr>
        <w:t xml:space="preserve">section </w:t>
      </w:r>
      <w:r w:rsidRPr="00A164C0">
        <w:rPr>
          <w:rStyle w:val="AERbody"/>
        </w:rPr>
        <w:fldChar w:fldCharType="begin"/>
      </w:r>
      <w:r w:rsidRPr="00A164C0">
        <w:rPr>
          <w:rStyle w:val="AERbody"/>
        </w:rPr>
        <w:instrText xml:space="preserve"> REF _Ref430958591 \r \h  \* MERGEFORMAT </w:instrText>
      </w:r>
      <w:r w:rsidRPr="00A164C0">
        <w:rPr>
          <w:rStyle w:val="AERbody"/>
        </w:rPr>
      </w:r>
      <w:r w:rsidRPr="00A164C0">
        <w:rPr>
          <w:rStyle w:val="AERbody"/>
        </w:rPr>
        <w:fldChar w:fldCharType="separate"/>
      </w:r>
      <w:r w:rsidR="002C24D6">
        <w:rPr>
          <w:rStyle w:val="AERbody"/>
        </w:rPr>
        <w:t>3.4.1</w:t>
      </w:r>
      <w:r w:rsidRPr="00A164C0">
        <w:rPr>
          <w:rStyle w:val="AERbody"/>
        </w:rPr>
        <w:fldChar w:fldCharType="end"/>
      </w:r>
      <w:r w:rsidRPr="00A164C0">
        <w:rPr>
          <w:rStyle w:val="AERbody"/>
        </w:rPr>
        <w:t xml:space="preserve"> and Appendix </w:t>
      </w:r>
      <w:r w:rsidRPr="00A164C0">
        <w:rPr>
          <w:rStyle w:val="AERbody"/>
        </w:rPr>
        <w:fldChar w:fldCharType="begin"/>
      </w:r>
      <w:r w:rsidRPr="00A164C0">
        <w:rPr>
          <w:rStyle w:val="AERbody"/>
        </w:rPr>
        <w:instrText xml:space="preserve"> REF _Ref449018117 \r \h  \* MERGEFORMAT </w:instrText>
      </w:r>
      <w:r w:rsidRPr="00A164C0">
        <w:rPr>
          <w:rStyle w:val="AERbody"/>
        </w:rPr>
      </w:r>
      <w:r w:rsidRPr="00A164C0">
        <w:rPr>
          <w:rStyle w:val="AERbody"/>
        </w:rPr>
        <w:fldChar w:fldCharType="separate"/>
      </w:r>
      <w:r w:rsidR="002C24D6">
        <w:rPr>
          <w:rStyle w:val="AERbody"/>
        </w:rPr>
        <w:t>B.5</w:t>
      </w:r>
      <w:r w:rsidRPr="00A164C0">
        <w:rPr>
          <w:rStyle w:val="AERbody"/>
        </w:rPr>
        <w:fldChar w:fldCharType="end"/>
      </w:r>
      <w:r w:rsidRPr="00A164C0">
        <w:rPr>
          <w:rStyle w:val="AERbody"/>
        </w:rPr>
        <w:t>.</w:t>
      </w:r>
    </w:p>
    <w:p w:rsidR="007C54F1" w:rsidRPr="007C54F1" w:rsidRDefault="007C54F1" w:rsidP="00013867">
      <w:pPr>
        <w:pStyle w:val="AERbulletlistfirststyle"/>
        <w:numPr>
          <w:ilvl w:val="0"/>
          <w:numId w:val="0"/>
        </w:numPr>
      </w:pPr>
      <w:r>
        <w:t xml:space="preserve">It is </w:t>
      </w:r>
      <w:r w:rsidRPr="007C54F1">
        <w:t>also not clear that the ERA's 2016 decision for the Goldfields Gas Pipeline supports APTPPL</w:t>
      </w:r>
      <w:r w:rsidR="001E3DDE">
        <w:t xml:space="preserve"> and</w:t>
      </w:r>
      <w:r w:rsidRPr="007C54F1">
        <w:t xml:space="preserve"> APA’s approach </w:t>
      </w:r>
      <w:r w:rsidR="001E3DDE">
        <w:t>and</w:t>
      </w:r>
      <w:r w:rsidRPr="007C54F1">
        <w:t xml:space="preserve"> the</w:t>
      </w:r>
      <w:r w:rsidR="001E3DDE">
        <w:t>ir</w:t>
      </w:r>
      <w:r w:rsidRPr="007C54F1">
        <w:t xml:space="preserve"> </w:t>
      </w:r>
      <w:r w:rsidR="001E3DDE">
        <w:t xml:space="preserve">proposed </w:t>
      </w:r>
      <w:r w:rsidRPr="007C54F1">
        <w:t>market risk premiums.</w:t>
      </w:r>
      <w:r w:rsidRPr="007C54F1">
        <w:rPr>
          <w:rStyle w:val="FootnoteReference"/>
        </w:rPr>
        <w:footnoteReference w:id="401"/>
      </w:r>
      <w:r w:rsidRPr="007C54F1">
        <w:t xml:space="preserve"> We note the following:</w:t>
      </w:r>
    </w:p>
    <w:p w:rsidR="007C54F1" w:rsidRDefault="007C54F1" w:rsidP="007C54F1">
      <w:pPr>
        <w:pStyle w:val="AERbulletlistfirststyle"/>
      </w:pPr>
      <w:r>
        <w:t>APTPPL appears to mischaracterise the ERA's decision.</w:t>
      </w:r>
      <w:r>
        <w:rPr>
          <w:rStyle w:val="FootnoteReference"/>
        </w:rPr>
        <w:footnoteReference w:id="402"/>
      </w:r>
      <w:r>
        <w:t xml:space="preserve"> The ERA noted itself that our market risk premium of 6.5 per cent is comparable with its market risk premium.</w:t>
      </w:r>
      <w:r>
        <w:rPr>
          <w:rStyle w:val="FootnoteReference"/>
        </w:rPr>
        <w:footnoteReference w:id="403"/>
      </w:r>
    </w:p>
    <w:p w:rsidR="007C54F1" w:rsidRDefault="007C54F1" w:rsidP="007C54F1">
      <w:pPr>
        <w:pStyle w:val="AERbulletlistfirststyle"/>
      </w:pPr>
      <w:r>
        <w:t xml:space="preserve">APTPPL </w:t>
      </w:r>
      <w:r w:rsidRPr="00772B77">
        <w:t>noted that the ERA 'inverted the AER's approach to estimating</w:t>
      </w:r>
      <w:r>
        <w:t xml:space="preserve"> the market risk premium</w:t>
      </w:r>
      <w:r w:rsidRPr="00772B77">
        <w:t>, using the estimates for a set of dividend growth models, and using the average historical excess returns as a cross check'.</w:t>
      </w:r>
      <w:r w:rsidRPr="00772B77">
        <w:rPr>
          <w:rStyle w:val="FootnoteReference"/>
        </w:rPr>
        <w:footnoteReference w:id="404"/>
      </w:r>
      <w:r w:rsidRPr="00772B77">
        <w:t xml:space="preserve">  However, that is not the case. The ERA used historical excess return and dividend growth model estimates to inform a range for the market risk premium.</w:t>
      </w:r>
      <w:r w:rsidRPr="00772B77">
        <w:rPr>
          <w:rStyle w:val="FootnoteReference"/>
        </w:rPr>
        <w:footnoteReference w:id="405"/>
      </w:r>
      <w:r w:rsidRPr="00772B77">
        <w:t xml:space="preserve"> It also used other relevant material (such as conditioning variables)</w:t>
      </w:r>
      <w:r>
        <w:t xml:space="preserve"> to inform its decision</w:t>
      </w:r>
      <w:r w:rsidRPr="00772B77">
        <w:t xml:space="preserve">. </w:t>
      </w:r>
    </w:p>
    <w:p w:rsidR="007C54F1" w:rsidRDefault="007C54F1" w:rsidP="007C54F1">
      <w:pPr>
        <w:pStyle w:val="AERbulletlistfirststyle"/>
      </w:pPr>
      <w:r>
        <w:t>The ERA concluded that its analysis indicated mean-reversion and not stationarity (which is what APTPPL and APA noted), so it is not clear they are equivalent characteristics.</w:t>
      </w:r>
      <w:r>
        <w:rPr>
          <w:rStyle w:val="FootnoteReference"/>
        </w:rPr>
        <w:footnoteReference w:id="406"/>
      </w:r>
      <w:r>
        <w:t xml:space="preserve"> It is not clear that a series displaying mean-reversion can be a proxy for a series (expected return on the market) that demands stationarity. </w:t>
      </w:r>
    </w:p>
    <w:p w:rsidR="007C54F1" w:rsidRDefault="007C54F1" w:rsidP="007C54F1">
      <w:pPr>
        <w:pStyle w:val="AERbulletlistfirststyle"/>
      </w:pPr>
      <w:r>
        <w:t>APTPPL and APA have not provided robust evidence to show that its proposed long term return on market data series exhibits stationarity.</w:t>
      </w:r>
    </w:p>
    <w:p w:rsidR="007C54F1" w:rsidRPr="007C54F1" w:rsidRDefault="007C54F1" w:rsidP="007C54F1">
      <w:pPr>
        <w:pStyle w:val="AERbulletlistfirststyle"/>
      </w:pPr>
      <w:r>
        <w:t>We also note that APTPPL</w:t>
      </w:r>
      <w:r w:rsidRPr="007C54F1">
        <w:t xml:space="preserve"> and APA ’s proposals are a clear departure from the Guideline and common practice. We note the 2013 Guideline estimates the market risk premium independent of the risk free rate as it is a parameter that cannot be as readily observed as the risk free rate</w:t>
      </w:r>
      <w:r w:rsidRPr="007C54F1">
        <w:rPr>
          <w:rStyle w:val="FootnoteReference"/>
        </w:rPr>
        <w:footnoteReference w:id="407"/>
      </w:r>
      <w:r w:rsidRPr="007C54F1">
        <w:t>. Partington and Satchell also advised that it is common market practice to 'treat the MRP as the exogenous variable' to the Sharpe-Lintner CAPM and 'it is the risk premium that determines the market portfolio'.</w:t>
      </w:r>
      <w:r w:rsidRPr="007C54F1">
        <w:rPr>
          <w:rStyle w:val="FootnoteReference"/>
        </w:rPr>
        <w:footnoteReference w:id="408"/>
      </w:r>
      <w:r w:rsidRPr="007C54F1">
        <w:t xml:space="preserve"> </w:t>
      </w:r>
    </w:p>
    <w:p w:rsidR="007C54F1" w:rsidRPr="007C54F1" w:rsidRDefault="007C54F1" w:rsidP="007C54F1">
      <w:pPr>
        <w:pStyle w:val="AERbulletlistfirststyle"/>
      </w:pPr>
      <w:r>
        <w:t>Further, APTPPL</w:t>
      </w:r>
      <w:r w:rsidRPr="007C54F1">
        <w:t xml:space="preserve"> and APAS’s approach leads to a market risk premium significantly above the historic average. Partington and Satchell has advised that ‘it is more likely that the MRP is below the long run historic average than that it has risen'</w:t>
      </w:r>
      <w:r w:rsidRPr="007C54F1">
        <w:rPr>
          <w:rStyle w:val="FootnoteReference"/>
        </w:rPr>
        <w:footnoteReference w:id="409"/>
      </w:r>
      <w:r w:rsidRPr="007C54F1">
        <w:t xml:space="preserve"> and that the resulting MRP provided by the service providers is implausible.</w:t>
      </w:r>
      <w:r w:rsidRPr="007C54F1">
        <w:rPr>
          <w:rStyle w:val="FootnoteReference"/>
        </w:rPr>
        <w:footnoteReference w:id="410"/>
      </w:r>
      <w:r w:rsidRPr="007C54F1">
        <w:t xml:space="preserve"> They also consider recent evidence from the Credit Suisse Global Investment Yearbook 2017 which indicates that the average risk premium for Australia has decreased over time.</w:t>
      </w:r>
      <w:r w:rsidRPr="007C54F1">
        <w:rPr>
          <w:rStyle w:val="FootnoteReference"/>
        </w:rPr>
        <w:footnoteReference w:id="411"/>
      </w:r>
    </w:p>
    <w:p w:rsidR="00772B77" w:rsidRPr="00BF2229" w:rsidRDefault="00772B77" w:rsidP="001A7089">
      <w:pPr>
        <w:pStyle w:val="HeadingItalic"/>
      </w:pPr>
      <w:r w:rsidRPr="00BF2229">
        <w:t>Issues addressed in previous decisions</w:t>
      </w:r>
    </w:p>
    <w:p w:rsidR="007C54F1" w:rsidRDefault="007C54F1" w:rsidP="007C54F1">
      <w:bookmarkStart w:id="78" w:name="_Ref446275314"/>
      <w:bookmarkStart w:id="79" w:name="_Ref444171050"/>
      <w:r>
        <w:t xml:space="preserve">We note that some stakeholders continue to submit on a range of issues we discussed and addressed in previous regulatory decisions. That is, they submitted that we place too much reliance on some material, that we did not have appropriate regard to information from other relevant sources, or that we made inappropriate methodological choices in our empirical analysis. </w:t>
      </w:r>
    </w:p>
    <w:p w:rsidR="00772B77" w:rsidRDefault="00E326E6" w:rsidP="00013867">
      <w:r>
        <w:t>S</w:t>
      </w:r>
      <w:r w:rsidR="00DE7538">
        <w:t>ection</w:t>
      </w:r>
      <w:r w:rsidR="007C54F1">
        <w:t xml:space="preserve"> </w:t>
      </w:r>
      <w:r>
        <w:fldChar w:fldCharType="begin"/>
      </w:r>
      <w:r>
        <w:instrText xml:space="preserve"> REF _Ref484767206 \r \h </w:instrText>
      </w:r>
      <w:r>
        <w:fldChar w:fldCharType="separate"/>
      </w:r>
      <w:r w:rsidR="002C24D6">
        <w:t>I</w:t>
      </w:r>
      <w:r>
        <w:fldChar w:fldCharType="end"/>
      </w:r>
      <w:r w:rsidR="007C54F1">
        <w:t xml:space="preserve"> sets out stakeholder views on our use of relevant material and our responses. We have considered the majority of these views in previous regulatory decisions.</w:t>
      </w:r>
      <w:r w:rsidR="007C54F1">
        <w:rPr>
          <w:rStyle w:val="FootnoteReference"/>
        </w:rPr>
        <w:footnoteReference w:id="412"/>
      </w:r>
      <w:r w:rsidR="007C54F1">
        <w:t xml:space="preserve"> Having considered these views, the overall information and all material before us, at this time we are not satisfied that these submissions indicate a departure from the Guideline would contribute to the achievement of the ARORO and the National </w:t>
      </w:r>
      <w:r w:rsidR="00AA06E5">
        <w:t xml:space="preserve">Gas </w:t>
      </w:r>
      <w:r w:rsidR="007C54F1">
        <w:t>Objective.</w:t>
      </w:r>
      <w:bookmarkEnd w:id="78"/>
      <w:bookmarkEnd w:id="79"/>
    </w:p>
    <w:p w:rsidR="00E13934" w:rsidRDefault="00E13934" w:rsidP="00E13934">
      <w:pPr>
        <w:pStyle w:val="HeadingBoldBlue"/>
        <w:rPr>
          <w:rStyle w:val="AERtextorange"/>
        </w:rPr>
      </w:pPr>
      <w:r>
        <w:rPr>
          <w:rStyle w:val="AERtextorange"/>
        </w:rPr>
        <w:t>Steps four and five: other information and evaluation of information set on overall return on equity</w:t>
      </w:r>
    </w:p>
    <w:p w:rsidR="007C54F1" w:rsidRDefault="007C54F1" w:rsidP="007C54F1">
      <w:bookmarkStart w:id="80" w:name="_Ref445923478"/>
      <w:bookmarkStart w:id="81" w:name="_Ref445927856"/>
      <w:r>
        <w:t xml:space="preserve">To inform the reasonableness of the Guideline's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413"/>
      </w:r>
      <w:r w:rsidRPr="00AD1905">
        <w:t xml:space="preserve"> </w:t>
      </w:r>
      <w:r>
        <w:t>In having regard to prevailing market conditions we have also examined recent movements in the relevant material.</w:t>
      </w:r>
      <w:r w:rsidRPr="00F97967">
        <w:t xml:space="preserve"> </w:t>
      </w:r>
    </w:p>
    <w:p w:rsidR="007C54F1" w:rsidRPr="00010BCE" w:rsidRDefault="007C54F1" w:rsidP="007C54F1">
      <w:r w:rsidRPr="00F97967">
        <w:t xml:space="preserve">Our task is to set the allowed rate of return to be commensurate with a similar degree of risk as that which applies to </w:t>
      </w:r>
      <w:r w:rsidR="00721978">
        <w:t>APTPPL</w:t>
      </w:r>
      <w:r>
        <w:t xml:space="preserve"> with respect to the provision of </w:t>
      </w:r>
      <w:r w:rsidR="001E3DDE">
        <w:t>reference</w:t>
      </w:r>
      <w:r>
        <w:t xml:space="preserve"> services</w:t>
      </w:r>
      <w:r w:rsidRPr="00F97967">
        <w:t>.</w:t>
      </w:r>
      <w:r w:rsidRPr="00010BCE">
        <w:rPr>
          <w:rStyle w:val="FootnoteReference"/>
        </w:rPr>
        <w:footnoteReference w:id="414"/>
      </w:r>
      <w:r w:rsidRPr="00010BCE">
        <w:t xml:space="preserve"> </w:t>
      </w:r>
      <w:r>
        <w:t xml:space="preserve">This requires us to consider the additional riskiness of </w:t>
      </w:r>
      <w:r w:rsidR="00721978">
        <w:t>APTPPL</w:t>
      </w:r>
      <w:r>
        <w:rPr>
          <w:rStyle w:val="FootnoteReference"/>
        </w:rPr>
        <w:footnoteReference w:id="415"/>
      </w:r>
      <w:r>
        <w:t xml:space="preserve"> relative to the risk free asset, and the commensurate return that equity investors require to take on this additional risk. </w:t>
      </w:r>
      <w:r w:rsidRPr="00010BCE">
        <w:t>Hence, the critical allowance is the allowed equity risk premium over and above the estimated risk free rate at a given time.</w:t>
      </w:r>
      <w:r w:rsidR="002F4EEF">
        <w:t xml:space="preserve"> Section</w:t>
      </w:r>
      <w:r w:rsidRPr="00010BCE">
        <w:t xml:space="preserve"> </w:t>
      </w:r>
      <w:r w:rsidR="002F4EEF">
        <w:fldChar w:fldCharType="begin"/>
      </w:r>
      <w:r w:rsidR="002F4EEF">
        <w:instrText xml:space="preserve"> REF _Ref451685642 \r \h </w:instrText>
      </w:r>
      <w:r w:rsidR="002F4EEF">
        <w:fldChar w:fldCharType="separate"/>
      </w:r>
      <w:r w:rsidR="002C24D6">
        <w:t>E.3</w:t>
      </w:r>
      <w:r w:rsidR="002F4EEF">
        <w:fldChar w:fldCharType="end"/>
      </w:r>
      <w:r w:rsidR="002F4EEF">
        <w:t xml:space="preserve"> and </w:t>
      </w:r>
      <w:r w:rsidR="002F4EEF">
        <w:fldChar w:fldCharType="begin"/>
      </w:r>
      <w:r w:rsidR="002F4EEF">
        <w:instrText xml:space="preserve"> REF _Ref484768892 \r \h </w:instrText>
      </w:r>
      <w:r w:rsidR="002F4EEF">
        <w:fldChar w:fldCharType="separate"/>
      </w:r>
      <w:r w:rsidR="002C24D6">
        <w:t>F</w:t>
      </w:r>
      <w:r w:rsidR="002F4EEF">
        <w:fldChar w:fldCharType="end"/>
      </w:r>
      <w:r w:rsidR="002F4EEF">
        <w:t xml:space="preserve"> </w:t>
      </w:r>
      <w:r>
        <w:t>compares our foundation model equity risk premium to other relevant material</w:t>
      </w:r>
      <w:r>
        <w:rPr>
          <w:rStyle w:val="FootnoteReference"/>
        </w:rPr>
        <w:footnoteReference w:id="416"/>
      </w:r>
      <w:r>
        <w:t xml:space="preserve"> that can inform our estimate of return on equity and equity risk premium. </w:t>
      </w:r>
    </w:p>
    <w:p w:rsidR="007C54F1" w:rsidRPr="00010BCE" w:rsidRDefault="007C54F1" w:rsidP="007C54F1">
      <w:r>
        <w:t xml:space="preserve">We consider that, on the whole, </w:t>
      </w:r>
      <w:r w:rsidRPr="00010BCE">
        <w:t xml:space="preserve">the other </w:t>
      </w:r>
      <w:r>
        <w:t>material</w:t>
      </w:r>
      <w:r>
        <w:rPr>
          <w:rStyle w:val="FootnoteReference"/>
        </w:rPr>
        <w:footnoteReference w:id="417"/>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bookmarkEnd w:id="80"/>
    <w:p w:rsidR="0056513F" w:rsidRDefault="002F4EEF" w:rsidP="002F4EEF">
      <w:pPr>
        <w:pStyle w:val="Caption"/>
      </w:pPr>
      <w:r w:rsidRPr="00BF2229">
        <w:t xml:space="preserve">Figure </w:t>
      </w:r>
      <w:r w:rsidRPr="002F4EEF">
        <w:fldChar w:fldCharType="begin"/>
      </w:r>
      <w:r>
        <w:instrText xml:space="preserve"> STYLEREF 1 \s </w:instrText>
      </w:r>
      <w:r w:rsidRPr="002F4EEF">
        <w:fldChar w:fldCharType="separate"/>
      </w:r>
      <w:r w:rsidR="002C24D6">
        <w:rPr>
          <w:noProof/>
        </w:rPr>
        <w:t>3</w:t>
      </w:r>
      <w:r w:rsidRPr="002F4EEF">
        <w:fldChar w:fldCharType="end"/>
      </w:r>
      <w:r>
        <w:noBreakHyphen/>
      </w:r>
      <w:r w:rsidRPr="002F4EEF">
        <w:fldChar w:fldCharType="begin"/>
      </w:r>
      <w:r>
        <w:instrText xml:space="preserve"> SEQ Figure \* ARABIC \s 1 </w:instrText>
      </w:r>
      <w:r w:rsidRPr="002F4EEF">
        <w:fldChar w:fldCharType="separate"/>
      </w:r>
      <w:r w:rsidR="002C24D6">
        <w:rPr>
          <w:noProof/>
        </w:rPr>
        <w:t>5</w:t>
      </w:r>
      <w:r w:rsidRPr="002F4EEF">
        <w:fldChar w:fldCharType="end"/>
      </w:r>
      <w:r>
        <w:tab/>
        <w:t>Comparison of foundation model equity risk premium</w:t>
      </w:r>
    </w:p>
    <w:p w:rsidR="0056513F" w:rsidRPr="0056513F" w:rsidRDefault="0056513F" w:rsidP="006E5878"/>
    <w:p w:rsidR="00501F99" w:rsidRPr="00D46494" w:rsidRDefault="00501F99" w:rsidP="00501F99"/>
    <w:p w:rsidR="007C54F1" w:rsidRPr="00D46494" w:rsidRDefault="007C54F1" w:rsidP="007C54F1"/>
    <w:p w:rsidR="007C54F1" w:rsidRPr="00033144" w:rsidRDefault="00567A88" w:rsidP="007C54F1">
      <w:r w:rsidRPr="00567A88">
        <w:rPr>
          <w:noProof/>
          <w:lang w:eastAsia="en-AU"/>
        </w:rPr>
        <w:drawing>
          <wp:inline distT="0" distB="0" distL="0" distR="0" wp14:anchorId="0C693E22" wp14:editId="3C814FCE">
            <wp:extent cx="5382895" cy="4506818"/>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4506818"/>
                    </a:xfrm>
                    <a:prstGeom prst="rect">
                      <a:avLst/>
                    </a:prstGeom>
                  </pic:spPr>
                </pic:pic>
              </a:graphicData>
            </a:graphic>
          </wp:inline>
        </w:drawing>
      </w:r>
    </w:p>
    <w:p w:rsidR="007C54F1" w:rsidRPr="00033144" w:rsidRDefault="007C54F1" w:rsidP="007C54F1">
      <w:pPr>
        <w:pStyle w:val="AERtablesource"/>
      </w:pPr>
      <w:r w:rsidRPr="00033144">
        <w:t>Source:</w:t>
      </w:r>
      <w:r w:rsidRPr="00033144">
        <w:tab/>
        <w:t>AER analysis and various submissions and reports.</w:t>
      </w:r>
    </w:p>
    <w:p w:rsidR="007C54F1" w:rsidRPr="00033144" w:rsidRDefault="007C54F1" w:rsidP="007C54F1">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2C24D6">
        <w:t>C.2</w:t>
      </w:r>
      <w:r w:rsidRPr="00033144">
        <w:fldChar w:fldCharType="end"/>
      </w:r>
      <w:r w:rsidRPr="00033144">
        <w:t>.  The calculation of brokers and other regulators ranges is outlined in Appendix F. The calculation of debt risk premium is in Appendix E.3.</w:t>
      </w:r>
    </w:p>
    <w:p w:rsidR="007C54F1" w:rsidRPr="00033144" w:rsidRDefault="007C54F1" w:rsidP="007C54F1">
      <w:pPr>
        <w:pStyle w:val="AERtablesource"/>
      </w:pPr>
      <w:r w:rsidRPr="00033144">
        <w:tab/>
        <w:t xml:space="preserve">Grant Samuel's final WACC range included </w:t>
      </w:r>
      <w:r w:rsidR="006C250D" w:rsidRPr="00033144">
        <w:t>uplift</w:t>
      </w:r>
      <w:r w:rsidRPr="00033144">
        <w:t xml:space="preserve">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418"/>
      </w:r>
      <w:r w:rsidRPr="00033144">
        <w:t xml:space="preserve"> </w:t>
      </w:r>
    </w:p>
    <w:p w:rsidR="007C54F1" w:rsidRPr="00033144" w:rsidRDefault="007C54F1" w:rsidP="007C54F1">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7C54F1" w:rsidRPr="00033144" w:rsidRDefault="007C54F1" w:rsidP="007C54F1">
      <w:pPr>
        <w:pStyle w:val="AERtablesource"/>
      </w:pPr>
      <w:r w:rsidRPr="00033144">
        <w:tab/>
        <w:t>The service provider proposals range is based on the proposals from businesses</w:t>
      </w:r>
      <w:r w:rsidRPr="00033144">
        <w:rPr>
          <w:rStyle w:val="FootnoteReference"/>
        </w:rPr>
        <w:footnoteReference w:id="419"/>
      </w:r>
      <w:r w:rsidRPr="00033144">
        <w:t xml:space="preserve"> for which we </w:t>
      </w:r>
      <w:r>
        <w:t>will make decisions</w:t>
      </w:r>
      <w:r w:rsidRPr="00033144">
        <w:t xml:space="preserve"> in </w:t>
      </w:r>
      <w:r w:rsidR="006E238F">
        <w:t>June</w:t>
      </w:r>
      <w:r>
        <w:t xml:space="preserve"> 2017</w:t>
      </w:r>
      <w:r w:rsidRPr="00033144">
        <w:t xml:space="preserve">. The lower bound of the CCP/stakeholder range is based on the </w:t>
      </w:r>
      <w:r>
        <w:t>CCP5</w:t>
      </w:r>
      <w:r w:rsidRPr="00033144">
        <w:t xml:space="preserve"> submission, </w:t>
      </w:r>
      <w:r w:rsidRPr="00033144">
        <w:rPr>
          <w:rStyle w:val="FootnoteReference"/>
        </w:rPr>
        <w:footnoteReference w:id="420"/>
      </w:r>
      <w:r w:rsidRPr="00033144">
        <w:t xml:space="preserve"> the upper bound is based on </w:t>
      </w:r>
      <w:r>
        <w:t>multiple</w:t>
      </w:r>
      <w:r w:rsidRPr="00033144">
        <w:t xml:space="preserve"> submission</w:t>
      </w:r>
      <w:r>
        <w:t>s which accept the AER's MRP and equity beta</w:t>
      </w:r>
      <w:r w:rsidRPr="00033144">
        <w:t>.</w:t>
      </w:r>
      <w:r w:rsidRPr="00033144">
        <w:rPr>
          <w:rStyle w:val="FootnoteReference"/>
        </w:rPr>
        <w:footnoteReference w:id="421"/>
      </w:r>
    </w:p>
    <w:p w:rsidR="007C54F1" w:rsidRPr="00033144" w:rsidRDefault="007C54F1" w:rsidP="00A24A52">
      <w:bookmarkStart w:id="82" w:name="_Ref478718977"/>
      <w:r w:rsidRPr="00033144">
        <w:t xml:space="preserve">Our implementation of the foundation model approach results in a return on equity of </w:t>
      </w:r>
      <w:r w:rsidRPr="00272584">
        <w:t>7.</w:t>
      </w:r>
      <w:r w:rsidR="001E3DDE" w:rsidRPr="00272584">
        <w:t>2</w:t>
      </w:r>
      <w:r w:rsidRPr="00033144">
        <w:t xml:space="preserve"> per cent and an equity risk premium of 4.55 per cent. This is consistent with equity risk premium ranges from broker reports, valuation reports, other regulators' decisions, and the Wright approach as shown i</w:t>
      </w:r>
      <w:r w:rsidR="002F4EEF">
        <w:t xml:space="preserve">n </w:t>
      </w:r>
      <w:r w:rsidR="002F4EEF">
        <w:fldChar w:fldCharType="begin"/>
      </w:r>
      <w:r w:rsidR="002F4EEF">
        <w:instrText xml:space="preserve"> REF _Ref484769014 \r \h </w:instrText>
      </w:r>
      <w:r w:rsidR="002F4EEF">
        <w:fldChar w:fldCharType="separate"/>
      </w:r>
      <w:r w:rsidR="002C24D6">
        <w:t>C</w:t>
      </w:r>
      <w:r w:rsidR="002F4EEF">
        <w:fldChar w:fldCharType="end"/>
      </w:r>
      <w:r w:rsidR="002F4EEF">
        <w:t xml:space="preserve">, </w:t>
      </w:r>
      <w:r w:rsidR="002F4EEF">
        <w:fldChar w:fldCharType="begin"/>
      </w:r>
      <w:r w:rsidR="002F4EEF">
        <w:instrText xml:space="preserve"> REF _Ref451685221 \r \h </w:instrText>
      </w:r>
      <w:r w:rsidR="002F4EEF">
        <w:fldChar w:fldCharType="separate"/>
      </w:r>
      <w:r w:rsidR="002C24D6">
        <w:t>E</w:t>
      </w:r>
      <w:r w:rsidR="002F4EEF">
        <w:fldChar w:fldCharType="end"/>
      </w:r>
      <w:r w:rsidR="002F4EEF">
        <w:t xml:space="preserve"> and </w:t>
      </w:r>
      <w:r w:rsidR="002F4EEF">
        <w:fldChar w:fldCharType="begin"/>
      </w:r>
      <w:r w:rsidR="002F4EEF">
        <w:instrText xml:space="preserve"> REF _Ref484769029 \r \h </w:instrText>
      </w:r>
      <w:r w:rsidR="002F4EEF">
        <w:fldChar w:fldCharType="separate"/>
      </w:r>
      <w:r w:rsidR="002C24D6">
        <w:t>F</w:t>
      </w:r>
      <w:r w:rsidR="002F4EEF">
        <w:fldChar w:fldCharType="end"/>
      </w:r>
      <w:r w:rsidRPr="00033144">
        <w:t xml:space="preserve">.  The range of equity risk premium estimates from valuation reports and other regulators' decisions have not materially changed since our </w:t>
      </w:r>
      <w:r>
        <w:t>May and August 2016 decisions</w:t>
      </w:r>
      <w:r w:rsidRPr="00033144">
        <w:t xml:space="preserve">. The estimated equity risk premium range from the Wright approach has increased since </w:t>
      </w:r>
      <w:r>
        <w:t>we made the October and November 2015</w:t>
      </w:r>
      <w:r w:rsidRPr="00033144">
        <w:t xml:space="preserve"> decision</w:t>
      </w:r>
      <w:r>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2C24D6">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7C54F1" w:rsidRDefault="007C54F1" w:rsidP="007C54F1">
      <w:r w:rsidRPr="00B005DF">
        <w:t xml:space="preserve">The return on debt material </w:t>
      </w:r>
      <w:r>
        <w:t>shown in</w:t>
      </w:r>
      <w:r w:rsidR="002F4EEF">
        <w:t xml:space="preserve"> the figure above</w:t>
      </w:r>
      <w:r>
        <w:t xml:space="preserve"> </w:t>
      </w:r>
      <w:r w:rsidRPr="00B005DF">
        <w:t>does not support any change to our foundation model return on equity estimate.</w:t>
      </w:r>
      <w:r>
        <w:t xml:space="preserve"> </w:t>
      </w:r>
      <w:r w:rsidRPr="00E5005D">
        <w:t xml:space="preserve">Our </w:t>
      </w:r>
      <w:r>
        <w:t>analysis indicates that the equity risk premium</w:t>
      </w:r>
      <w:r w:rsidRPr="00E5005D">
        <w:t xml:space="preserve"> is about</w:t>
      </w:r>
      <w:r w:rsidR="007A06BC">
        <w:t xml:space="preserve"> 234</w:t>
      </w:r>
      <w:r w:rsidRPr="00E5005D">
        <w:t xml:space="preserve">  </w:t>
      </w:r>
      <w:r>
        <w:t>basis points</w:t>
      </w:r>
      <w:r>
        <w:rPr>
          <w:rStyle w:val="FootnoteReference"/>
        </w:rPr>
        <w:footnoteReference w:id="422"/>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423"/>
      </w:r>
      <w:r w:rsidRPr="00B005DF">
        <w:t xml:space="preserve"> investors' expected return on equity will exceed the expected return on debt. For </w:t>
      </w:r>
      <w:r w:rsidR="00534313">
        <w:t>a</w:t>
      </w:r>
      <w:r w:rsidR="00534313" w:rsidRPr="00B005DF">
        <w:t xml:space="preserve"> </w:t>
      </w:r>
      <w:r w:rsidRPr="00B005DF">
        <w:t xml:space="preserve">benchmark efficient entity with a similar degree of risk as </w:t>
      </w:r>
      <w:r w:rsidR="00721978">
        <w:t>APTPPL</w:t>
      </w:r>
      <w:r w:rsidRPr="00B005DF">
        <w:t>, we would not expect the return on equity to be a large margin above the prevailing return on debt</w:t>
      </w:r>
      <w:r>
        <w:t>.</w:t>
      </w:r>
      <w:r>
        <w:rPr>
          <w:rStyle w:val="FootnoteReference"/>
        </w:rPr>
        <w:footnoteReference w:id="424"/>
      </w:r>
      <w:r>
        <w:t xml:space="preserve"> </w:t>
      </w:r>
    </w:p>
    <w:p w:rsidR="007C54F1" w:rsidRDefault="007C54F1" w:rsidP="007C54F1">
      <w:r>
        <w:t xml:space="preserve">The spread between the equity and debt premiums has remained fairly constant in early 2017 after widening in the latter part of 2016 and it remains above the estimate at the publication of the Guideline in December 2013 (see </w:t>
      </w:r>
      <w:r>
        <w:fldChar w:fldCharType="begin"/>
      </w:r>
      <w:r>
        <w:instrText xml:space="preserve"> REF _Ref456700933 \h </w:instrText>
      </w:r>
      <w:r>
        <w:fldChar w:fldCharType="separate"/>
      </w:r>
      <w:r w:rsidR="002C24D6">
        <w:t xml:space="preserve">Figure </w:t>
      </w:r>
      <w:r w:rsidR="002C24D6">
        <w:rPr>
          <w:noProof/>
        </w:rPr>
        <w:t>3</w:t>
      </w:r>
      <w:r w:rsidR="002C24D6">
        <w:noBreakHyphen/>
      </w:r>
      <w:r w:rsidR="002C24D6">
        <w:rPr>
          <w:noProof/>
        </w:rPr>
        <w:t>11</w:t>
      </w:r>
      <w:r>
        <w:fldChar w:fldCharType="end"/>
      </w:r>
      <w:r>
        <w:t xml:space="preserve"> in section </w:t>
      </w:r>
      <w:r>
        <w:fldChar w:fldCharType="begin"/>
      </w:r>
      <w:r>
        <w:instrText xml:space="preserve"> REF _Ref449052987 \r \h </w:instrText>
      </w:r>
      <w:r>
        <w:fldChar w:fldCharType="separate"/>
      </w:r>
      <w:r w:rsidR="002C24D6">
        <w:t>E.3</w:t>
      </w:r>
      <w:r>
        <w:fldChar w:fldCharType="end"/>
      </w:r>
      <w:r>
        <w:t>). It remains broadly consistent with those observed in previous regulatory decisions.</w:t>
      </w:r>
      <w:r>
        <w:rPr>
          <w:rStyle w:val="FootnoteReference"/>
        </w:rPr>
        <w:footnoteReference w:id="425"/>
      </w:r>
      <w:r>
        <w:t>. Contrary to the 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721978">
        <w:t xml:space="preserve">APTPPL </w:t>
      </w:r>
      <w:r>
        <w:t xml:space="preserve">in providing </w:t>
      </w:r>
      <w:r w:rsidR="007D0613">
        <w:t xml:space="preserve">reference </w:t>
      </w:r>
      <w:r>
        <w:t>services.</w:t>
      </w:r>
      <w:r w:rsidRPr="00B005DF">
        <w:rPr>
          <w:rStyle w:val="FootnoteReference"/>
        </w:rPr>
        <w:footnoteReference w:id="426"/>
      </w:r>
      <w:r>
        <w:t xml:space="preserve"> Further, measured debt yields likely understate the expected yield spread due to default risk</w:t>
      </w:r>
      <w:r w:rsidRPr="00B005DF">
        <w:t>.</w:t>
      </w:r>
      <w:r>
        <w:rPr>
          <w:rStyle w:val="FootnoteReference"/>
        </w:rPr>
        <w:footnoteReference w:id="427"/>
      </w:r>
      <w:r w:rsidRPr="00B75657">
        <w:rPr>
          <w:rStyle w:val="CommentReference"/>
        </w:rPr>
        <w:t xml:space="preserve"> </w:t>
      </w:r>
    </w:p>
    <w:p w:rsidR="007C54F1" w:rsidRDefault="007C54F1" w:rsidP="007C54F1">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428"/>
      </w:r>
      <w:r>
        <w:t xml:space="preserve"> This suggests the allowances set in the past using the Sharpe-Lintner CAPM </w:t>
      </w:r>
      <w:r w:rsidR="006C250D">
        <w:t>was</w:t>
      </w:r>
      <w:r>
        <w:t xml:space="preserve"> at least adequate to recover efficient costs.</w:t>
      </w:r>
      <w:r>
        <w:rPr>
          <w:rStyle w:val="FootnoteReference"/>
        </w:rPr>
        <w:footnoteReference w:id="429"/>
      </w:r>
      <w:r>
        <w:t xml:space="preserve"> We also note that broker reports suggest that our recent determinations have not removed the ability for listed networks to maintain payment of dividends.</w:t>
      </w:r>
      <w:r>
        <w:rPr>
          <w:rStyle w:val="FootnoteReference"/>
        </w:rPr>
        <w:footnoteReference w:id="430"/>
      </w:r>
      <w:r>
        <w:t xml:space="preserve"> This provides confidence that our estimate for this decision, while taking account of the downward trends of equity beta and risk free rate, is likely to provide X a reasonable opportunity to recover at least the efficient costs of providing </w:t>
      </w:r>
      <w:r w:rsidR="007D0613">
        <w:t>reference s</w:t>
      </w:r>
      <w:r>
        <w:t>ervices.</w:t>
      </w:r>
    </w:p>
    <w:p w:rsidR="002C24D6" w:rsidRDefault="007C54F1" w:rsidP="007C54F1">
      <w:r>
        <w:t xml:space="preserve">In addition to the equity risk premium ranges shown in </w:t>
      </w:r>
      <w:r w:rsidR="002F4EEF">
        <w:t>Figure 3-5</w:t>
      </w:r>
      <w:r>
        <w:fldChar w:fldCharType="begin"/>
      </w:r>
      <w:r>
        <w:instrText xml:space="preserve"> REF _Ref445923478 \h </w:instrText>
      </w:r>
      <w:r>
        <w:fldChar w:fldCharType="separate"/>
      </w:r>
      <w:r w:rsidR="002C24D6">
        <w:t xml:space="preserve">To inform the reasonableness of the Guideline's foundation model </w:t>
      </w:r>
      <w:r w:rsidR="002C24D6" w:rsidRPr="00010BCE">
        <w:t>retur</w:t>
      </w:r>
      <w:r w:rsidR="002C24D6">
        <w:t>n</w:t>
      </w:r>
      <w:r w:rsidR="002C24D6" w:rsidRPr="00010BCE">
        <w:t xml:space="preserve"> on equity estimate, we estimate and evaluate values from other relevant sources of information (steps four and five of the foundation model approach).</w:t>
      </w:r>
      <w:r w:rsidR="002C24D6" w:rsidRPr="00AD1905">
        <w:t xml:space="preserve"> </w:t>
      </w:r>
      <w:r w:rsidR="002C24D6">
        <w:t>In having regard to prevailing market conditions we have also examined recent movements in the relevant material.</w:t>
      </w:r>
      <w:r w:rsidR="002C24D6" w:rsidRPr="00F97967">
        <w:t xml:space="preserve"> </w:t>
      </w:r>
    </w:p>
    <w:p w:rsidR="002C24D6" w:rsidRPr="00010BCE" w:rsidRDefault="002C24D6" w:rsidP="007C54F1">
      <w:r w:rsidRPr="00F97967">
        <w:t xml:space="preserve">Our task is to set the allowed rate of return to be commensurate with a similar degree of risk as that which applies to </w:t>
      </w:r>
      <w:r>
        <w:t>APTPPL with respect to the provision of reference services</w:t>
      </w:r>
      <w:r w:rsidRPr="00F97967">
        <w:t>.</w:t>
      </w:r>
      <w:r w:rsidRPr="00010BCE">
        <w:t xml:space="preserve"> </w:t>
      </w:r>
      <w:r>
        <w:t xml:space="preserve">This requires us to consider the additional riskiness of APTPPL relative to the risk free asset, and the commensurate return that equity investors require to take on this additional risk. </w:t>
      </w:r>
      <w:r w:rsidRPr="00010BCE">
        <w:t>Hence, the critical allowance is the allowed equity risk premium over and above the estimated risk free rate at a given time.</w:t>
      </w:r>
      <w:r>
        <w:t xml:space="preserve"> Section</w:t>
      </w:r>
      <w:r w:rsidRPr="00010BCE">
        <w:t xml:space="preserve"> </w:t>
      </w:r>
      <w:r>
        <w:t xml:space="preserve">E.3 and F compares our foundation model equity risk premium to other relevant material that can inform our estimate of return on equity and equity risk premium. </w:t>
      </w:r>
    </w:p>
    <w:p w:rsidR="002C24D6" w:rsidRPr="00010BCE" w:rsidRDefault="002C24D6" w:rsidP="007C54F1">
      <w:r>
        <w:t xml:space="preserve">We consider that, on the whole, </w:t>
      </w:r>
      <w:r w:rsidRPr="00010BCE">
        <w:t xml:space="preserve">the other </w:t>
      </w:r>
      <w:r>
        <w:t>material</w:t>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p w:rsidR="007C54F1" w:rsidRDefault="007C54F1" w:rsidP="007C54F1">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431"/>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There was broad agreement from consumer groups on the application of our foundation model approach as set out in our Guideline.</w:t>
      </w:r>
      <w:r>
        <w:rPr>
          <w:rStyle w:val="FootnoteReference"/>
        </w:rPr>
        <w:footnoteReference w:id="432"/>
      </w:r>
      <w:r>
        <w:t xml:space="preserve"> We consider that this means applying the Guideline in its entirety including the overall approach, parameter estimation and use of other information</w:t>
      </w:r>
      <w:r>
        <w:rPr>
          <w:rStyle w:val="FootnoteReference"/>
        </w:rPr>
        <w:footnoteReference w:id="433"/>
      </w:r>
      <w:r>
        <w:t xml:space="preserve"> as relevant cross-checks.  </w:t>
      </w:r>
    </w:p>
    <w:p w:rsidR="007C54F1" w:rsidRDefault="007C54F1" w:rsidP="007C54F1">
      <w:r>
        <w:t>In total, nine consumer groups</w:t>
      </w:r>
      <w:r w:rsidRPr="007A701A">
        <w:rPr>
          <w:rStyle w:val="FootnoteReference"/>
        </w:rPr>
        <w:footnoteReference w:id="434"/>
      </w:r>
      <w:r>
        <w:t xml:space="preserve"> supported our approach during 2016 and early 2017, with some groups noting that they valued the predictability and transparency resulting from the application of our Guideline and foundation model approach.</w:t>
      </w:r>
      <w:r>
        <w:rPr>
          <w:rStyle w:val="FootnoteReference"/>
        </w:rPr>
        <w:footnoteReference w:id="435"/>
      </w:r>
      <w:r>
        <w:t xml:space="preserve"> Consumer groups also submitted support for the AER's implementation of the Guideline in their submissions on the AusNet Services' transmission regulatory process.</w:t>
      </w:r>
      <w:r>
        <w:rPr>
          <w:rStyle w:val="FootnoteReference"/>
        </w:rPr>
        <w:footnoteReference w:id="436"/>
      </w:r>
      <w:r>
        <w:t xml:space="preserve">  We note that applying the foundation model approach, as in the Guideline, results in an equity risk premium of 4.55 per cent. </w:t>
      </w:r>
    </w:p>
    <w:p w:rsidR="007C54F1" w:rsidRPr="00501F99" w:rsidRDefault="007C54F1" w:rsidP="007C54F1">
      <w:pPr>
        <w:pStyle w:val="ListParagraph"/>
        <w:numPr>
          <w:ilvl w:val="0"/>
          <w:numId w:val="24"/>
        </w:numPr>
      </w:pPr>
      <w:r w:rsidRPr="00501F99">
        <w:t>While supporting our Guideline, some consumer groups have submitted that it reflects conservative choices</w:t>
      </w:r>
      <w:r w:rsidRPr="00501F99">
        <w:rPr>
          <w:rStyle w:val="FootnoteReference"/>
        </w:rPr>
        <w:footnoteReference w:id="437"/>
      </w:r>
      <w:r w:rsidRPr="00501F99">
        <w:t xml:space="preserve"> that may result in over-estimating the return on equity and that parameter estimates (and rate of return) can be lowered further.</w:t>
      </w:r>
      <w:r w:rsidRPr="00501F99">
        <w:rPr>
          <w:rStyle w:val="FootnoteReference"/>
        </w:rPr>
        <w:footnoteReference w:id="438"/>
      </w:r>
      <w:r w:rsidRPr="00501F99">
        <w:t xml:space="preserve"> Submissions also noted that we need to give more weight to market data and realised returns such as financial performance and asset sales when considering the overall return on equity.</w:t>
      </w:r>
      <w:r w:rsidRPr="00501F99">
        <w:rPr>
          <w:rStyle w:val="FootnoteReference"/>
        </w:rPr>
        <w:footnoteReference w:id="439"/>
      </w:r>
    </w:p>
    <w:p w:rsidR="007C54F1" w:rsidRPr="00501F99" w:rsidRDefault="007C54F1" w:rsidP="007C54F1">
      <w:pPr>
        <w:pStyle w:val="ListParagraph"/>
        <w:numPr>
          <w:ilvl w:val="0"/>
          <w:numId w:val="24"/>
        </w:numPr>
      </w:pPr>
      <w:r w:rsidRPr="00501F99">
        <w:t xml:space="preserve">We note the service providers submitted that we did not have appropriate regard to information from other relevant sources. A summary of these submissions and our responses are provided in </w:t>
      </w:r>
      <w:r>
        <w:t>table 3–8</w:t>
      </w:r>
      <w:r w:rsidRPr="00501F99">
        <w:t xml:space="preserve"> below. Having considered the overall information and all material before us, at this time we are not satisfied that this information indicates a departure from the Guideline would contribute to the achievement of the ARORO. </w:t>
      </w:r>
    </w:p>
    <w:p w:rsidR="007C54F1" w:rsidRPr="00501F99" w:rsidRDefault="007C54F1" w:rsidP="007C54F1">
      <w:pPr>
        <w:pStyle w:val="ListParagraph"/>
        <w:numPr>
          <w:ilvl w:val="0"/>
          <w:numId w:val="24"/>
        </w:numPr>
      </w:pPr>
      <w:r w:rsidRPr="00501F99">
        <w:t>Some service providers continue to disagree with our cross checks on the overall return on equity. They submit material that is substantively similar to previous submissions which we have considered and responded to in previous determinations.</w:t>
      </w:r>
      <w:r w:rsidRPr="00501F99">
        <w:rPr>
          <w:rStyle w:val="FootnoteReference"/>
        </w:rPr>
        <w:footnoteReference w:id="440"/>
      </w:r>
      <w:r w:rsidRPr="00501F99">
        <w:t xml:space="preserve"> We respond to key issues service providers have resubmitted but see Attachment 3 of previous regulatory decisions</w:t>
      </w:r>
      <w:r w:rsidRPr="00501F99">
        <w:rPr>
          <w:rStyle w:val="FootnoteReference"/>
        </w:rPr>
        <w:footnoteReference w:id="441"/>
      </w:r>
      <w:r w:rsidRPr="00501F99">
        <w:t xml:space="preserve"> for more detailed discussions.</w:t>
      </w:r>
    </w:p>
    <w:p w:rsidR="006A3314" w:rsidRDefault="006A3314" w:rsidP="00CC7A1C">
      <w:pPr>
        <w:pStyle w:val="Caption"/>
        <w:numPr>
          <w:ilvl w:val="0"/>
          <w:numId w:val="24"/>
        </w:numPr>
      </w:pPr>
      <w:bookmarkStart w:id="83" w:name="_Ref484769962"/>
      <w:r w:rsidRPr="0087746B">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6</w:t>
      </w:r>
      <w:r w:rsidR="002C24D6">
        <w:rPr>
          <w:noProof/>
        </w:rPr>
        <w:fldChar w:fldCharType="end"/>
      </w:r>
      <w:bookmarkEnd w:id="81"/>
      <w:bookmarkEnd w:id="83"/>
      <w:r w:rsidRPr="0087746B">
        <w:tab/>
        <w:t>Issues about overall return on equity cross-checks</w:t>
      </w:r>
      <w:bookmarkEnd w:id="82"/>
    </w:p>
    <w:tbl>
      <w:tblPr>
        <w:tblStyle w:val="AERtable-text0"/>
        <w:tblW w:w="0" w:type="auto"/>
        <w:tblLook w:val="04A0" w:firstRow="1" w:lastRow="0" w:firstColumn="1" w:lastColumn="0" w:noHBand="0" w:noVBand="1"/>
      </w:tblPr>
      <w:tblGrid>
        <w:gridCol w:w="2235"/>
        <w:gridCol w:w="6458"/>
      </w:tblGrid>
      <w:tr w:rsidR="007C54F1" w:rsidTr="00E45414">
        <w:trPr>
          <w:cnfStyle w:val="100000000000" w:firstRow="1" w:lastRow="0" w:firstColumn="0" w:lastColumn="0" w:oddVBand="0" w:evenVBand="0" w:oddHBand="0" w:evenHBand="0" w:firstRowFirstColumn="0" w:firstRowLastColumn="0" w:lastRowFirstColumn="0" w:lastRowLastColumn="0"/>
        </w:trPr>
        <w:tc>
          <w:tcPr>
            <w:tcW w:w="2235" w:type="dxa"/>
          </w:tcPr>
          <w:p w:rsidR="007C54F1" w:rsidRPr="007C54F1" w:rsidRDefault="007C54F1" w:rsidP="007C54F1">
            <w:r w:rsidRPr="0087746B">
              <w:t>Issue</w:t>
            </w:r>
          </w:p>
        </w:tc>
        <w:tc>
          <w:tcPr>
            <w:tcW w:w="6458" w:type="dxa"/>
          </w:tcPr>
          <w:p w:rsidR="007C54F1" w:rsidRPr="007C54F1" w:rsidRDefault="007C54F1" w:rsidP="007C54F1">
            <w:r w:rsidRPr="0087746B">
              <w:t>Our response</w:t>
            </w:r>
          </w:p>
        </w:tc>
      </w:tr>
      <w:tr w:rsidR="007C54F1" w:rsidTr="00E45414">
        <w:tc>
          <w:tcPr>
            <w:tcW w:w="2235" w:type="dxa"/>
          </w:tcPr>
          <w:p w:rsidR="007C54F1" w:rsidRPr="007C54F1" w:rsidRDefault="007C54F1" w:rsidP="007C54F1">
            <w:r w:rsidRPr="0087746B">
              <w:t xml:space="preserve">Uplifts to market </w:t>
            </w:r>
            <w:r w:rsidRPr="007C54F1">
              <w:t>risk premium and risk free rate estimates from broker and valuation reports should be taken into account.</w:t>
            </w:r>
            <w:r w:rsidRPr="007C54F1">
              <w:rPr>
                <w:rStyle w:val="FootnoteReference"/>
              </w:rPr>
              <w:t xml:space="preserve"> </w:t>
            </w:r>
            <w:r w:rsidRPr="007C54F1">
              <w:rPr>
                <w:rStyle w:val="FootnoteReference"/>
              </w:rPr>
              <w:footnoteReference w:id="442"/>
            </w:r>
          </w:p>
        </w:tc>
        <w:tc>
          <w:tcPr>
            <w:tcW w:w="6458" w:type="dxa"/>
          </w:tcPr>
          <w:p w:rsidR="007C54F1" w:rsidRPr="007C54F1" w:rsidRDefault="007C54F1" w:rsidP="007C54F1">
            <w:r w:rsidRPr="0087746B">
              <w:t>Uplifts applied by brokers and valuers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r w:rsidRPr="007C54F1">
              <w:rPr>
                <w:rStyle w:val="FootnoteReference"/>
              </w:rPr>
              <w:footnoteReference w:id="443"/>
            </w:r>
          </w:p>
          <w:p w:rsidR="007C54F1" w:rsidRPr="007C54F1" w:rsidRDefault="007C54F1" w:rsidP="007C54F1">
            <w:r>
              <w:t xml:space="preserve">Partington and Satchell has also advised </w:t>
            </w:r>
            <w:r w:rsidRPr="007C54F1">
              <w:t>that due to the nature of these uplifts found worldwide in consultants' reports 'the approach seems too ad-hoc to be a regulatory tool.'</w:t>
            </w:r>
            <w:r w:rsidRPr="007C54F1">
              <w:rPr>
                <w:rStyle w:val="FootnoteReference"/>
              </w:rPr>
              <w:footnoteReference w:id="444"/>
            </w:r>
          </w:p>
          <w:p w:rsidR="007C54F1" w:rsidRPr="0087746B" w:rsidRDefault="007C54F1" w:rsidP="007C54F1">
            <w:r w:rsidRPr="0087746B">
              <w:t>As a result, we prefer to have greater regard to estimates exclusive of these uplifts. For more detail, see sections E.3, E.4 and E.6 in Attachment 3 to our preliminary decision for AusNet Services' 2016-20 distribution determination.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rsidRPr="0087746B">
              <w:t>Service providers submitted that the relevant estimates from broker and valuation reports are the imputation-adjusted estimates.</w:t>
            </w:r>
            <w:r w:rsidRPr="007C54F1">
              <w:rPr>
                <w:rStyle w:val="FootnoteReference"/>
              </w:rPr>
              <w:t xml:space="preserve"> </w:t>
            </w:r>
            <w:r w:rsidRPr="007C54F1">
              <w:rPr>
                <w:rStyle w:val="FootnoteReference"/>
              </w:rPr>
              <w:footnoteReference w:id="445"/>
            </w:r>
          </w:p>
        </w:tc>
        <w:tc>
          <w:tcPr>
            <w:tcW w:w="6458" w:type="dxa"/>
          </w:tcPr>
          <w:p w:rsidR="007C54F1" w:rsidRPr="007C54F1" w:rsidRDefault="007C54F1" w:rsidP="007C54F1">
            <w:r w:rsidRPr="0087746B">
              <w:t>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 2016-20 distribution determination.</w:t>
            </w:r>
          </w:p>
        </w:tc>
      </w:tr>
      <w:tr w:rsidR="007C54F1" w:rsidTr="00E45414">
        <w:tc>
          <w:tcPr>
            <w:tcW w:w="2235" w:type="dxa"/>
          </w:tcPr>
          <w:p w:rsidR="007C54F1" w:rsidRPr="007C54F1" w:rsidRDefault="007C54F1" w:rsidP="007C54F1">
            <w:r w:rsidRPr="0087746B">
              <w:t>Service providers submitted that it is not appropriate to focus just on the equity risk premium from broker reports.</w:t>
            </w:r>
            <w:r w:rsidRPr="007C54F1">
              <w:rPr>
                <w:rStyle w:val="FootnoteReference"/>
              </w:rPr>
              <w:t xml:space="preserve"> </w:t>
            </w:r>
            <w:r w:rsidRPr="007C54F1">
              <w:rPr>
                <w:rStyle w:val="FootnoteReference"/>
              </w:rPr>
              <w:footnoteReference w:id="446"/>
            </w:r>
          </w:p>
        </w:tc>
        <w:tc>
          <w:tcPr>
            <w:tcW w:w="6458" w:type="dxa"/>
          </w:tcPr>
          <w:p w:rsidR="007C54F1" w:rsidRPr="007C54F1" w:rsidRDefault="007C54F1" w:rsidP="007C54F1">
            <w:r w:rsidRPr="0087746B">
              <w:t xml:space="preserve">This submission indicates a misunderstanding of our approach. We clearly have regard to both equity risk premium and overall return on equity estimates from broker reports. For more details see section </w:t>
            </w:r>
            <w:r w:rsidRPr="007C54F1">
              <w:fldChar w:fldCharType="begin"/>
            </w:r>
            <w:r w:rsidRPr="007C54F1">
              <w:instrText xml:space="preserve"> REF _Ref445898024 \r \h </w:instrText>
            </w:r>
            <w:r w:rsidRPr="007C54F1">
              <w:fldChar w:fldCharType="separate"/>
            </w:r>
            <w:r w:rsidR="002C24D6">
              <w:t>F.2</w:t>
            </w:r>
            <w:r w:rsidRPr="007C54F1">
              <w:fldChar w:fldCharType="end"/>
            </w:r>
            <w:r w:rsidRPr="007C54F1">
              <w:t xml:space="preserve"> of this attachment.</w:t>
            </w:r>
            <w:r w:rsidRPr="007C54F1">
              <w:rPr>
                <w:rStyle w:val="FootnoteReference"/>
              </w:rPr>
              <w:footnoteReference w:id="447"/>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 xml:space="preserve">Frontier </w:t>
            </w:r>
            <w:r w:rsidRPr="007C54F1">
              <w:t>submitted that the AER's cross checks at the equity risk premium level are ineffectual and are not fit for purpose</w:t>
            </w:r>
            <w:r w:rsidRPr="007C54F1">
              <w:rPr>
                <w:rStyle w:val="FootnoteReference"/>
              </w:rPr>
              <w:footnoteReference w:id="448"/>
            </w:r>
          </w:p>
        </w:tc>
        <w:tc>
          <w:tcPr>
            <w:tcW w:w="6458" w:type="dxa"/>
          </w:tcPr>
          <w:p w:rsidR="007C54F1" w:rsidRPr="007C54F1" w:rsidRDefault="007C54F1" w:rsidP="007C54F1">
            <w:r>
              <w:t xml:space="preserve">We carry out cross-checks to supplement the information we have already considered in </w:t>
            </w:r>
            <w:r w:rsidRPr="007C54F1">
              <w:t xml:space="preserve">the formation of the market risk premium and equity risk premium. The cross check pass or fail adds to the weight of evidence on either side which we consider when putting forward a decision on the estimation. </w:t>
            </w:r>
          </w:p>
          <w:p w:rsidR="007C54F1" w:rsidRPr="007C54F1" w:rsidRDefault="007C54F1" w:rsidP="007C54F1">
            <w:r>
              <w:t xml:space="preserve">Partington and Satchell </w:t>
            </w:r>
            <w:r w:rsidRPr="007C54F1">
              <w:t>agree that cross-checks provide value by 'providing a pause for thought'.</w:t>
            </w:r>
            <w:r w:rsidRPr="007C54F1">
              <w:rPr>
                <w:rStyle w:val="FootnoteReference"/>
              </w:rPr>
              <w:footnoteReference w:id="449"/>
            </w:r>
          </w:p>
          <w:p w:rsidR="007C54F1" w:rsidRPr="007C54F1" w:rsidRDefault="007C54F1" w:rsidP="007C54F1">
            <w:r>
              <w:t>To claim that our crosschecks are inadequate is to mischaracterise their use in the decision.</w:t>
            </w:r>
          </w:p>
        </w:tc>
      </w:tr>
      <w:tr w:rsidR="007C54F1" w:rsidTr="00E45414">
        <w:tc>
          <w:tcPr>
            <w:tcW w:w="2235" w:type="dxa"/>
          </w:tcPr>
          <w:p w:rsidR="007C54F1" w:rsidRPr="007C54F1" w:rsidRDefault="007C54F1" w:rsidP="007C54F1">
            <w:r>
              <w:t xml:space="preserve">Frontier </w:t>
            </w:r>
            <w:r w:rsidRPr="007C54F1">
              <w:t>submitted that applying the cross checks at the equity risk premium level is misleading by ignoring uplifts to the risk free rate and the adjustments valuers use to account for prevailing conditions.</w:t>
            </w:r>
            <w:r w:rsidRPr="007C54F1">
              <w:rPr>
                <w:rStyle w:val="FootnoteReference"/>
              </w:rPr>
              <w:footnoteReference w:id="450"/>
            </w:r>
          </w:p>
        </w:tc>
        <w:tc>
          <w:tcPr>
            <w:tcW w:w="6458" w:type="dxa"/>
          </w:tcPr>
          <w:p w:rsidR="007C54F1" w:rsidRPr="00894A39" w:rsidRDefault="007C54F1" w:rsidP="007C54F1">
            <w:r w:rsidRPr="00894A39">
              <w:t>We have consistently explained why we have greater regard to unadjusted estimates. Expert valuation reports carry a number of limitations that limits their use for our regulatory task. And adjustments by valuers and brokers may be inconsistent with the ARORO as noted above.</w:t>
            </w:r>
          </w:p>
          <w:p w:rsidR="007C54F1" w:rsidRPr="007C54F1" w:rsidRDefault="007C54F1" w:rsidP="007C54F1">
            <w:r w:rsidRPr="0087746B">
              <w:t>For more detail, see sections E.3, E.4 and E.6 in Attachment 3 to our preliminary decision for AusNet Services' 2016-20 distribution determination.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 xml:space="preserve">Frontier submitted that </w:t>
            </w:r>
            <w:r w:rsidRPr="007C54F1">
              <w:t>cross checks should be at the overall return on equity level and not at the equity risk premium level</w:t>
            </w:r>
            <w:r w:rsidRPr="007C54F1">
              <w:rPr>
                <w:rStyle w:val="FootnoteReference"/>
              </w:rPr>
              <w:footnoteReference w:id="451"/>
            </w:r>
          </w:p>
        </w:tc>
        <w:tc>
          <w:tcPr>
            <w:tcW w:w="6458" w:type="dxa"/>
          </w:tcPr>
          <w:p w:rsidR="007C54F1" w:rsidRPr="007C54F1" w:rsidDel="00962E77" w:rsidRDefault="007C54F1" w:rsidP="00D662DB">
            <w:r>
              <w:t xml:space="preserve">Our task is to set the allowed rate of return to be commensurate with a similar degree of risk as that which applies to </w:t>
            </w:r>
            <w:r w:rsidR="00D662DB">
              <w:t>APTPPL</w:t>
            </w:r>
            <w:r>
              <w:t xml:space="preserve"> with respect the provision of </w:t>
            </w:r>
            <w:r w:rsidR="007D0613">
              <w:t xml:space="preserve">reference </w:t>
            </w:r>
            <w:r w:rsidRPr="007C54F1">
              <w:t xml:space="preserve">services. This requires consideration of the additional riskiness of </w:t>
            </w:r>
            <w:r w:rsidR="00D662DB">
              <w:t>APTPPL</w:t>
            </w:r>
            <w:r w:rsidRPr="007C54F1">
              <w:t xml:space="preserve"> relative to the risk free asset, and the commensurate return that equity investors require to take on this additional risk. Hence the critical allowance is the allowed equity risk premium over and above the estimate of the risk free rate at a given time.</w:t>
            </w:r>
          </w:p>
        </w:tc>
      </w:tr>
      <w:tr w:rsidR="007C54F1" w:rsidTr="00E45414">
        <w:tc>
          <w:tcPr>
            <w:tcW w:w="2235" w:type="dxa"/>
          </w:tcPr>
          <w:p w:rsidR="007C54F1" w:rsidRPr="007C54F1" w:rsidRDefault="007C54F1" w:rsidP="007C54F1">
            <w:r>
              <w:t xml:space="preserve">Multinet submitted that the comparison between equity and debt risk premia is ineffectual </w:t>
            </w:r>
            <w:r w:rsidRPr="007C54F1">
              <w:t>and undefined</w:t>
            </w:r>
            <w:r w:rsidRPr="007C54F1">
              <w:rPr>
                <w:rStyle w:val="FootnoteReference"/>
              </w:rPr>
              <w:footnoteReference w:id="452"/>
            </w:r>
          </w:p>
        </w:tc>
        <w:tc>
          <w:tcPr>
            <w:tcW w:w="6458" w:type="dxa"/>
          </w:tcPr>
          <w:p w:rsidR="007C54F1" w:rsidRPr="007C54F1" w:rsidRDefault="007C54F1" w:rsidP="007C54F1">
            <w:r>
              <w:t xml:space="preserve">We use cross checks against the debt risk </w:t>
            </w:r>
            <w:r w:rsidRPr="007C54F1">
              <w:t>premium to inform the overall return on equity as set out in the guideline.</w:t>
            </w:r>
            <w:r w:rsidRPr="007C54F1">
              <w:rPr>
                <w:rStyle w:val="FootnoteReference"/>
              </w:rPr>
              <w:footnoteReference w:id="453"/>
            </w:r>
          </w:p>
          <w:p w:rsidR="007C54F1" w:rsidRDefault="007C54F1" w:rsidP="007C54F1">
            <w:r>
              <w:t>Our use of and consideration of the cross-checks on the overall return on equity is based on the roles assigned to these materials. The roles are based on our consideration of the relative merits of each piece of material and suitability for our regulatory task.</w:t>
            </w:r>
          </w:p>
          <w:p w:rsidR="007C54F1" w:rsidRPr="007C54F1" w:rsidRDefault="007C54F1" w:rsidP="007C54F1">
            <w:r>
              <w:t xml:space="preserve">We are aware that </w:t>
            </w:r>
            <w:r w:rsidRPr="007C54F1">
              <w:t>the difference between the equity and debt risk premia to be the same from decision to decision, but as the businesses are relatively shielded from systematic/demand risk due to regulation. As a result, we do not expect the equity risk premium to be a large margin above the debt risk premium.</w:t>
            </w:r>
          </w:p>
          <w:p w:rsidR="007C54F1" w:rsidRPr="007C54F1" w:rsidRDefault="007C54F1" w:rsidP="007C54F1">
            <w:r>
              <w:t>This is also considered further in the final CitiPower distribution determination from May 2016</w:t>
            </w:r>
            <w:r w:rsidRPr="007C54F1">
              <w:rPr>
                <w:rStyle w:val="FootnoteReference"/>
              </w:rPr>
              <w:footnoteReference w:id="454"/>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E61E8F">
            <w:r>
              <w:t>Frontier conclude that the required return on equity has declined only slightly in the past few years and certainly nothing like 25 per cent</w:t>
            </w:r>
            <w:r w:rsidRPr="007C54F1">
              <w:rPr>
                <w:rStyle w:val="FootnoteReference"/>
              </w:rPr>
              <w:footnoteReference w:id="455"/>
            </w:r>
          </w:p>
        </w:tc>
        <w:tc>
          <w:tcPr>
            <w:tcW w:w="6458" w:type="dxa"/>
          </w:tcPr>
          <w:p w:rsidR="007C54F1" w:rsidRDefault="007C54F1" w:rsidP="007C54F1">
            <w:r>
              <w:t>Frontier arrive at this conclusion from a variety of sources which we tackle individually in the sections below, namely:</w:t>
            </w:r>
          </w:p>
          <w:p w:rsidR="007C54F1" w:rsidRPr="007C54F1" w:rsidRDefault="007C54F1" w:rsidP="00013867">
            <w:pPr>
              <w:pStyle w:val="AERbulletlistfirststyle"/>
              <w:rPr>
                <w:rFonts w:eastAsiaTheme="minorHAnsi" w:cstheme="minorBidi"/>
                <w:sz w:val="22"/>
                <w:szCs w:val="22"/>
                <w:lang w:eastAsia="en-US"/>
              </w:rPr>
            </w:pPr>
            <w:r>
              <w:t>Use of the dividend growth model to estimate the overall return on equity</w:t>
            </w:r>
          </w:p>
          <w:p w:rsidR="007C54F1" w:rsidRPr="007C54F1" w:rsidRDefault="007C54F1" w:rsidP="00013867">
            <w:pPr>
              <w:pStyle w:val="AERbulletlistfirststyle"/>
              <w:rPr>
                <w:rFonts w:eastAsiaTheme="minorHAnsi" w:cstheme="minorBidi"/>
                <w:sz w:val="22"/>
                <w:szCs w:val="22"/>
                <w:lang w:eastAsia="en-US"/>
              </w:rPr>
            </w:pPr>
            <w:r>
              <w:t>Over reliance on the P/E ratios to infer a relationship for the overall return on equity</w:t>
            </w:r>
          </w:p>
          <w:p w:rsidR="007C54F1" w:rsidRPr="007C54F1" w:rsidRDefault="007C54F1" w:rsidP="00013867">
            <w:pPr>
              <w:pStyle w:val="AERbulletlistfirststyle"/>
              <w:rPr>
                <w:rFonts w:eastAsiaTheme="minorHAnsi" w:cstheme="minorBidi"/>
                <w:sz w:val="22"/>
                <w:szCs w:val="22"/>
                <w:lang w:eastAsia="en-US"/>
              </w:rPr>
            </w:pPr>
            <w:r>
              <w:t>The use of the Wright CAPM to arrive at an estimate of the market risk premium</w:t>
            </w:r>
          </w:p>
          <w:p w:rsidR="007C54F1" w:rsidRPr="007C54F1" w:rsidRDefault="007C54F1" w:rsidP="00013867">
            <w:pPr>
              <w:pStyle w:val="AERbulletlistfirststyle"/>
              <w:rPr>
                <w:rFonts w:eastAsiaTheme="minorHAnsi" w:cstheme="minorBidi"/>
                <w:sz w:val="22"/>
                <w:szCs w:val="22"/>
                <w:lang w:eastAsia="en-US"/>
              </w:rPr>
            </w:pPr>
            <w:r>
              <w:t>Other market evidence used in a limited manner and discussed further below</w:t>
            </w:r>
          </w:p>
        </w:tc>
      </w:tr>
      <w:tr w:rsidR="007C54F1" w:rsidTr="00E45414">
        <w:tc>
          <w:tcPr>
            <w:tcW w:w="2235" w:type="dxa"/>
          </w:tcPr>
          <w:p w:rsidR="007C54F1" w:rsidRPr="007C54F1" w:rsidRDefault="007C54F1" w:rsidP="007C54F1">
            <w:r>
              <w:t xml:space="preserve">Multinet propose that </w:t>
            </w:r>
            <w:r w:rsidRPr="007C54F1">
              <w:t>the overall return on equity is too low when compared with businesses of a similar risk</w:t>
            </w:r>
            <w:r w:rsidRPr="007C54F1">
              <w:rPr>
                <w:rStyle w:val="FootnoteReference"/>
              </w:rPr>
              <w:footnoteReference w:id="456"/>
            </w:r>
          </w:p>
        </w:tc>
        <w:tc>
          <w:tcPr>
            <w:tcW w:w="6458" w:type="dxa"/>
          </w:tcPr>
          <w:p w:rsidR="007C54F1" w:rsidRDefault="007C54F1" w:rsidP="007C54F1">
            <w:r>
              <w:t>Multinet propose</w:t>
            </w:r>
            <w:r w:rsidR="00F1059D">
              <w:t>d</w:t>
            </w:r>
            <w:r>
              <w:t xml:space="preserve"> the real difference between the equity risk premium and debt risk premium should be around 364 basis points rather than the AER’s allowed difference of around 200. However this is based on flawed assumption regarding an alpha adjustment and the low beta bias. We discuss this in more detail in section B. Multinet also ignores that the regulated businesses are largely shielded from systematic/demand risk and that cost pass-through reduces the risk associated to the business.</w:t>
            </w:r>
          </w:p>
          <w:p w:rsidR="007C54F1" w:rsidRPr="007C54F1" w:rsidRDefault="007C54F1" w:rsidP="00F1059D">
            <w:r>
              <w:t xml:space="preserve">Multinet appears to base this submission on Frontier’s analysis, which we respond to in various sections below (namely regarding reliability of </w:t>
            </w:r>
            <w:r w:rsidR="00F1059D">
              <w:t>dividend growth models</w:t>
            </w:r>
            <w:r>
              <w:t>, the P/E relationship with the return on equity, and the use of the Wright CAPM).</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The AER should not use other regulators as a check that their return on equity is satisfactory</w:t>
            </w:r>
            <w:r w:rsidRPr="007C54F1">
              <w:rPr>
                <w:rStyle w:val="FootnoteReference"/>
              </w:rPr>
              <w:footnoteReference w:id="457"/>
            </w:r>
          </w:p>
        </w:tc>
        <w:tc>
          <w:tcPr>
            <w:tcW w:w="6458" w:type="dxa"/>
          </w:tcPr>
          <w:p w:rsidR="007C54F1" w:rsidRDefault="007C54F1" w:rsidP="007C54F1">
            <w:r>
              <w:t xml:space="preserve">The AER considers other regulators as just part of informative material in their decision, both at the market risk premium and equity risk premium level. </w:t>
            </w:r>
          </w:p>
          <w:p w:rsidR="007C54F1" w:rsidRPr="007C54F1" w:rsidRDefault="007C54F1" w:rsidP="007C54F1">
            <w:r>
              <w:t>Our assessment of this material, as noted in the guideline</w:t>
            </w:r>
            <w:r w:rsidRPr="007C54F1">
              <w:rPr>
                <w:rStyle w:val="FootnoteReference"/>
              </w:rPr>
              <w:footnoteReference w:id="458"/>
            </w:r>
            <w:r w:rsidRPr="007C54F1">
              <w:t>, is that it is suitable for informing the market risk premium and equity risk premium in a small or complementary role.</w:t>
            </w:r>
          </w:p>
        </w:tc>
      </w:tr>
      <w:tr w:rsidR="007C54F1" w:rsidTr="00E45414">
        <w:tc>
          <w:tcPr>
            <w:tcW w:w="2235" w:type="dxa"/>
          </w:tcPr>
          <w:p w:rsidR="007C54F1" w:rsidRPr="007C54F1" w:rsidRDefault="007C54F1" w:rsidP="007C54F1">
            <w:r>
              <w:t>The AER’s own analysis shows Multinet’s equity risk Premium of 639 basis points would not be above the range of other Australian regulators</w:t>
            </w:r>
          </w:p>
        </w:tc>
        <w:tc>
          <w:tcPr>
            <w:tcW w:w="6458" w:type="dxa"/>
          </w:tcPr>
          <w:p w:rsidR="007C54F1" w:rsidRPr="007C54F1" w:rsidRDefault="007C54F1" w:rsidP="007D0613">
            <w:r>
              <w:t xml:space="preserve">We note Multinet’s statement does not include all of the relevant evidence. The chart referred to by Multinet also contains regulatory decisions for rail and transport related businesses. </w:t>
            </w:r>
            <w:r w:rsidRPr="007C54F1">
              <w:t xml:space="preserve">34 of 85 Australian regulatory decisions is for businesses in those two industries since the start of 2016. We note these businesses are unlikely to be comparable to </w:t>
            </w:r>
            <w:r w:rsidR="00534313">
              <w:t>a</w:t>
            </w:r>
            <w:r w:rsidRPr="007C54F1">
              <w:t xml:space="preserve"> benchmark efficient entity</w:t>
            </w:r>
            <w:r w:rsidR="00F1059D">
              <w:t xml:space="preserve"> with a similar degree of risk as Multinet for providing the </w:t>
            </w:r>
            <w:r w:rsidR="007D0613">
              <w:t xml:space="preserve">reference </w:t>
            </w:r>
            <w:r w:rsidR="00F1059D">
              <w:t>services</w:t>
            </w:r>
            <w:r w:rsidRPr="007C54F1">
              <w:t xml:space="preserve">.   </w:t>
            </w:r>
          </w:p>
        </w:tc>
      </w:tr>
    </w:tbl>
    <w:p w:rsidR="007C54F1" w:rsidRPr="007C54F1" w:rsidRDefault="007C54F1" w:rsidP="007C54F1"/>
    <w:p w:rsidR="006A3314" w:rsidRPr="00A42F74" w:rsidRDefault="006A3314" w:rsidP="008556CC">
      <w:pPr>
        <w:pStyle w:val="HeadingBoldItalic"/>
        <w:rPr>
          <w:rStyle w:val="AERtextorange"/>
          <w:rFonts w:eastAsia="Calibri" w:cs="Times New Roman"/>
          <w:b w:val="0"/>
          <w:bCs w:val="0"/>
          <w:color w:val="51626F"/>
          <w:sz w:val="16"/>
          <w:szCs w:val="20"/>
          <w:lang w:eastAsia="en-AU"/>
        </w:rPr>
      </w:pPr>
      <w:bookmarkStart w:id="84" w:name="_Toc443923182"/>
      <w:r w:rsidRPr="00A42F74">
        <w:rPr>
          <w:rStyle w:val="AERtextorange"/>
          <w:color w:val="51626F"/>
        </w:rPr>
        <w:t>Movements in the risk free rate and the return on equity</w:t>
      </w:r>
      <w:bookmarkEnd w:id="84"/>
    </w:p>
    <w:p w:rsidR="007C54F1" w:rsidRPr="0087746B" w:rsidRDefault="007C54F1" w:rsidP="007C54F1">
      <w:pPr>
        <w:numPr>
          <w:ilvl w:val="0"/>
          <w:numId w:val="24"/>
        </w:numPr>
      </w:pPr>
      <w:r w:rsidRPr="0087746B">
        <w:t>Applying our foundation model approach, we estimate a return on equity of</w:t>
      </w:r>
      <w:r>
        <w:t xml:space="preserve"> 7.</w:t>
      </w:r>
      <w:r w:rsidR="0072043B">
        <w:t>2</w:t>
      </w:r>
      <w:r>
        <w:t xml:space="preserve"> </w:t>
      </w:r>
      <w:r w:rsidRPr="0087746B">
        <w:t xml:space="preserve">per cent. </w:t>
      </w:r>
    </w:p>
    <w:p w:rsidR="007C54F1" w:rsidRPr="0087746B" w:rsidRDefault="007C54F1" w:rsidP="007C54F1">
      <w:pPr>
        <w:rPr>
          <w:rStyle w:val="AERbody"/>
        </w:rPr>
      </w:pPr>
      <w:r w:rsidRPr="0087746B">
        <w:rPr>
          <w:rStyle w:val="AERbody"/>
        </w:rPr>
        <w:t>We consider capital—</w:t>
      </w:r>
      <w:r>
        <w:rPr>
          <w:rStyle w:val="AERbody"/>
        </w:rPr>
        <w:t xml:space="preserve">both </w:t>
      </w:r>
      <w:r w:rsidRPr="0087746B">
        <w:rPr>
          <w:rStyle w:val="AERbody"/>
        </w:rPr>
        <w:t xml:space="preserve">equity and debt—should provide for a risk premium over a base (risk free) rate. </w:t>
      </w:r>
      <w:r>
        <w:rPr>
          <w:rStyle w:val="AERbody"/>
        </w:rPr>
        <w:t>When</w:t>
      </w:r>
      <w:r w:rsidRPr="0087746B">
        <w:rPr>
          <w:rStyle w:val="AERbody"/>
        </w:rPr>
        <w:t xml:space="preserve"> estimating the allowed rate of return for </w:t>
      </w:r>
      <w:r w:rsidR="00721978">
        <w:t>APTPPL</w:t>
      </w:r>
      <w:r w:rsidRPr="0087746B">
        <w:rPr>
          <w:rStyle w:val="AERbody"/>
        </w:rPr>
        <w:t xml:space="preserve">, we consider the additional riskiness of </w:t>
      </w:r>
      <w:r w:rsidR="00721978">
        <w:t>APTPPL</w:t>
      </w:r>
      <w:r w:rsidRPr="0087746B">
        <w:rPr>
          <w:rStyle w:val="FootnoteReference"/>
        </w:rPr>
        <w:footnoteReference w:id="459"/>
      </w:r>
      <w:r w:rsidRPr="0087746B">
        <w:rPr>
          <w:rStyle w:val="AERbody"/>
        </w:rPr>
        <w:t xml:space="preserve"> relative to the risk free asset, and the commensurate risk premium that investors require to take on this additional risk.</w:t>
      </w:r>
      <w:r w:rsidRPr="0087746B">
        <w:rPr>
          <w:rStyle w:val="FootnoteReference"/>
        </w:rPr>
        <w:footnoteReference w:id="460"/>
      </w:r>
      <w:r w:rsidRPr="0087746B">
        <w:rPr>
          <w:rStyle w:val="AERbody"/>
        </w:rPr>
        <w:t xml:space="preserve"> </w:t>
      </w:r>
    </w:p>
    <w:p w:rsidR="007C54F1" w:rsidRPr="0087746B" w:rsidRDefault="007C54F1" w:rsidP="007C54F1">
      <w:pPr>
        <w:rPr>
          <w:rStyle w:val="AERbody"/>
        </w:rPr>
      </w:pPr>
      <w:r w:rsidRPr="0087746B">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721978">
        <w:t>APTPPL</w:t>
      </w:r>
      <w:r w:rsidR="00721978" w:rsidRPr="0087746B">
        <w:rPr>
          <w:rStyle w:val="AERbody"/>
        </w:rPr>
        <w:t xml:space="preserve"> </w:t>
      </w:r>
      <w:r w:rsidRPr="0087746B">
        <w:rPr>
          <w:rStyle w:val="AERbody"/>
        </w:rPr>
        <w:t xml:space="preserve">relative to the risk free asset has increased as the risk free rate has decreased. Service providers have not sufficiently explained why, in the absence of an increase in the relative riskiness </w:t>
      </w:r>
      <w:r w:rsidRPr="008556CC">
        <w:t xml:space="preserve">of </w:t>
      </w:r>
      <w:r w:rsidR="00721978">
        <w:t>APTPPL</w:t>
      </w:r>
      <w:r w:rsidRPr="0087746B">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87746B">
        <w:rPr>
          <w:rStyle w:val="FootnoteReference"/>
        </w:rPr>
        <w:footnoteReference w:id="461"/>
      </w:r>
    </w:p>
    <w:p w:rsidR="007C54F1" w:rsidRPr="0087746B" w:rsidRDefault="007C54F1" w:rsidP="007C54F1">
      <w:pPr>
        <w:numPr>
          <w:ilvl w:val="0"/>
          <w:numId w:val="24"/>
        </w:numPr>
      </w:pPr>
      <w:r w:rsidRPr="0087746B">
        <w:t>We consider that this is consistent with the required return on equity for prevailing market conditions for equity funds for the following reasons:</w:t>
      </w:r>
    </w:p>
    <w:p w:rsidR="007C54F1" w:rsidRPr="0087746B" w:rsidRDefault="007C54F1" w:rsidP="007C54F1">
      <w:pPr>
        <w:pStyle w:val="AERbulletlistfirststyle"/>
      </w:pPr>
      <w:r w:rsidRPr="0087746B">
        <w:t xml:space="preserve">We apply the foundation model approach and estimate a return on equity having regard to a range of relevant materials and their relative merits. </w:t>
      </w:r>
    </w:p>
    <w:p w:rsidR="007C54F1" w:rsidRPr="0087746B" w:rsidRDefault="007C54F1" w:rsidP="007C54F1">
      <w:pPr>
        <w:pStyle w:val="AERbulletlistfirststyle"/>
      </w:pPr>
      <w:r w:rsidRPr="0087746B">
        <w:t xml:space="preserve">We </w:t>
      </w:r>
      <w:r>
        <w:t>take into account</w:t>
      </w:r>
      <w:r w:rsidRPr="0087746B">
        <w:t xml:space="preserve"> the prevailing market conditions for equity funds. We use</w:t>
      </w:r>
      <w:r>
        <w:t xml:space="preserve"> both</w:t>
      </w:r>
      <w:r w:rsidRPr="0087746B">
        <w:t xml:space="preserve"> the dividend growth model and conditioning variables to inform our estimate of the market risk premium. We </w:t>
      </w:r>
      <w:r>
        <w:t xml:space="preserve">also </w:t>
      </w:r>
      <w:r w:rsidRPr="0087746B">
        <w:t>use other relevant sources of information to cross-check the foundation model estimate. The triangulation of estimates from relevant market participants broadly supports our foundation model estimate of the return on equity.</w:t>
      </w:r>
    </w:p>
    <w:p w:rsidR="007C54F1" w:rsidRPr="0087746B" w:rsidRDefault="007C54F1" w:rsidP="007C54F1">
      <w:pPr>
        <w:pStyle w:val="AERbulletlistfirststyle"/>
      </w:pPr>
      <w:r w:rsidRPr="0087746B">
        <w:t xml:space="preserve">Our </w:t>
      </w:r>
      <w:r w:rsidRPr="0087746B">
        <w:rPr>
          <w:rStyle w:val="AERbody"/>
        </w:rPr>
        <w:t xml:space="preserve">comparison between the return on equity and return on debt supports the view that </w:t>
      </w:r>
      <w:r w:rsidRPr="0087746B">
        <w:t>our estimated return on equity is not below efficient financing costs</w:t>
      </w:r>
      <w:r w:rsidRPr="0087746B">
        <w:rPr>
          <w:rStyle w:val="FootnoteReference"/>
        </w:rPr>
        <w:footnoteReference w:id="462"/>
      </w:r>
      <w:r w:rsidRPr="0087746B">
        <w:t xml:space="preserve"> under </w:t>
      </w:r>
      <w:r w:rsidRPr="0087746B">
        <w:rPr>
          <w:rStyle w:val="AERbody"/>
        </w:rPr>
        <w:t xml:space="preserve">prevailing debt market conditions. </w:t>
      </w:r>
      <w:r w:rsidRPr="0087746B">
        <w:t xml:space="preserve">We do not consider that the current </w:t>
      </w:r>
      <w:r>
        <w:t>X</w:t>
      </w:r>
      <w:r w:rsidRPr="0087746B">
        <w:t xml:space="preserve"> basis points difference between the equity risk premium allowed in this decision and debt risk premiums</w:t>
      </w:r>
      <w:r w:rsidRPr="0087746B">
        <w:rPr>
          <w:rStyle w:val="FootnoteReference"/>
        </w:rPr>
        <w:footnoteReference w:id="463"/>
      </w:r>
      <w:r w:rsidRPr="0087746B">
        <w:t xml:space="preserve"> to be too low (see section </w:t>
      </w:r>
      <w:r w:rsidRPr="0087746B">
        <w:fldChar w:fldCharType="begin"/>
      </w:r>
      <w:r w:rsidRPr="0087746B">
        <w:instrText xml:space="preserve"> REF _Ref451685642 \r \h </w:instrText>
      </w:r>
      <w:r w:rsidRPr="0087746B">
        <w:fldChar w:fldCharType="separate"/>
      </w:r>
      <w:r w:rsidR="002C24D6">
        <w:t>E.3</w:t>
      </w:r>
      <w:r w:rsidRPr="0087746B">
        <w:fldChar w:fldCharType="end"/>
      </w:r>
      <w:r w:rsidRPr="0087746B">
        <w:t xml:space="preserve"> for more discussion).</w:t>
      </w:r>
    </w:p>
    <w:p w:rsidR="007C54F1" w:rsidRPr="0087746B" w:rsidRDefault="007C54F1" w:rsidP="007C54F1">
      <w:pPr>
        <w:pStyle w:val="AERbulletlistfirststyle"/>
      </w:pPr>
      <w:r w:rsidRPr="0087746B">
        <w:t>We do not find conclusive evidence of a relationship between the market risk premium and risk free rate in any direction or size. This is supported by our consideration in the Guideline, previous regulatory decisions and advice from Partington.</w:t>
      </w:r>
      <w:r w:rsidRPr="0087746B">
        <w:rPr>
          <w:rStyle w:val="FootnoteReference"/>
        </w:rPr>
        <w:footnoteReference w:id="464"/>
      </w:r>
    </w:p>
    <w:p w:rsidR="007C54F1" w:rsidRPr="0087746B" w:rsidRDefault="007C54F1" w:rsidP="007C54F1">
      <w:pPr>
        <w:pStyle w:val="AERbulletlistfirststyle"/>
      </w:pPr>
      <w:r w:rsidRPr="0087746B">
        <w:t xml:space="preserve">We </w:t>
      </w:r>
      <w:r>
        <w:t>continue to be unsatisfied</w:t>
      </w:r>
      <w:r w:rsidRPr="0087746B">
        <w:t xml:space="preserve"> that there is evidence of a widespread 'flight to quality'</w:t>
      </w:r>
      <w:r w:rsidRPr="0087746B">
        <w:rPr>
          <w:rStyle w:val="FootnoteReference"/>
        </w:rPr>
        <w:footnoteReference w:id="465"/>
      </w:r>
      <w:r w:rsidRPr="0087746B">
        <w:t xml:space="preserve"> among investors in current market conditions that would </w:t>
      </w:r>
      <w:r>
        <w:t xml:space="preserve">have any </w:t>
      </w:r>
      <w:r w:rsidRPr="0087746B">
        <w:t xml:space="preserve">impact </w:t>
      </w:r>
      <w:r>
        <w:t xml:space="preserve">on </w:t>
      </w:r>
      <w:r w:rsidRPr="0087746B">
        <w:t>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t xml:space="preserve"> whilst these conditions prevail</w:t>
      </w:r>
      <w:r w:rsidRPr="0087746B">
        <w:t>.</w:t>
      </w:r>
      <w:r w:rsidRPr="0087746B">
        <w:rPr>
          <w:rStyle w:val="FootnoteReference"/>
        </w:rPr>
        <w:footnoteReference w:id="466"/>
      </w:r>
      <w:r w:rsidRPr="0087746B">
        <w:t xml:space="preserve"> </w:t>
      </w:r>
    </w:p>
    <w:p w:rsidR="007C54F1" w:rsidRPr="0087746B" w:rsidRDefault="007C54F1" w:rsidP="007C54F1">
      <w:r w:rsidRPr="0087746B">
        <w:t>Partington has advised, '[t]he low bond rates tell us that the required return for low risk assets is low'.</w:t>
      </w:r>
      <w:r w:rsidRPr="0087746B">
        <w:rPr>
          <w:rStyle w:val="FootnoteReference"/>
        </w:rPr>
        <w:footnoteReference w:id="467"/>
      </w:r>
      <w:r w:rsidRPr="0087746B">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7746B">
        <w:rPr>
          <w:rStyle w:val="FootnoteReference"/>
        </w:rPr>
        <w:footnoteReference w:id="468"/>
      </w:r>
      <w:r w:rsidRPr="0087746B">
        <w:t xml:space="preserve"> </w:t>
      </w:r>
    </w:p>
    <w:p w:rsidR="007C54F1" w:rsidRPr="0087746B" w:rsidRDefault="007C54F1" w:rsidP="007C54F1">
      <w:pPr>
        <w:pStyle w:val="AERquote"/>
      </w:pPr>
      <w:r w:rsidRPr="0087746B">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7C54F1" w:rsidRPr="0087746B" w:rsidRDefault="007C54F1" w:rsidP="007C54F1">
      <w:r w:rsidRPr="0087746B">
        <w:t>Partington and Satchell considered the submissions put forward by service providers and stated:</w:t>
      </w:r>
      <w:r w:rsidRPr="0087746B">
        <w:rPr>
          <w:rStyle w:val="FootnoteReference"/>
        </w:rPr>
        <w:footnoteReference w:id="469"/>
      </w:r>
    </w:p>
    <w:p w:rsidR="007C54F1" w:rsidRPr="0087746B" w:rsidRDefault="007C54F1" w:rsidP="007C54F1">
      <w:pPr>
        <w:pStyle w:val="AERquote"/>
      </w:pPr>
      <w:r w:rsidRPr="0087746B">
        <w:t>There is a possibility that current low interest rates could result in higher equity risk premiums, but we do not think this is likely and more importantly we have seen no convincing evidence that this is the case.</w:t>
      </w:r>
    </w:p>
    <w:p w:rsidR="007C54F1" w:rsidRPr="008556CC" w:rsidRDefault="007C54F1" w:rsidP="007C54F1">
      <w:pPr>
        <w:pStyle w:val="AERbodytextnospaceleftalign"/>
        <w:rPr>
          <w:rStyle w:val="AERbody"/>
        </w:rPr>
      </w:pPr>
      <w:r>
        <w:rPr>
          <w:rStyle w:val="AERbody"/>
        </w:rPr>
        <w:t xml:space="preserve">More recently, </w:t>
      </w:r>
      <w:r w:rsidRPr="008556CC">
        <w:rPr>
          <w:rStyle w:val="AERbody"/>
        </w:rPr>
        <w:t xml:space="preserve">Partington and Satchell </w:t>
      </w:r>
      <w:r w:rsidRPr="00894A39">
        <w:rPr>
          <w:rStyle w:val="AERbody"/>
        </w:rPr>
        <w:t>advised</w:t>
      </w:r>
      <w:r w:rsidRPr="008556CC">
        <w:rPr>
          <w:rStyle w:val="AERbody"/>
        </w:rPr>
        <w:t xml:space="preserve"> that the AER </w:t>
      </w:r>
      <w:r w:rsidRPr="00894A39">
        <w:rPr>
          <w:rStyle w:val="AERbody"/>
        </w:rPr>
        <w:t>'needs to be</w:t>
      </w:r>
      <w:r w:rsidRPr="008556CC">
        <w:rPr>
          <w:rStyle w:val="AERbody"/>
        </w:rPr>
        <w:t xml:space="preserve"> convinced why investors should require more compensation for the risk of holding equity</w:t>
      </w:r>
      <w:r w:rsidRPr="00894A39">
        <w:rPr>
          <w:rStyle w:val="AERbody"/>
        </w:rPr>
        <w:t>' and why the expected market return on the market increases</w:t>
      </w:r>
      <w:r w:rsidRPr="008556CC">
        <w:rPr>
          <w:rStyle w:val="AERbody"/>
        </w:rPr>
        <w:t xml:space="preserve"> as interest rate falls</w:t>
      </w:r>
      <w:r w:rsidRPr="00894A39">
        <w:rPr>
          <w:rStyle w:val="AERbody"/>
        </w:rPr>
        <w:t>.</w:t>
      </w:r>
      <w:r w:rsidRPr="00894A39">
        <w:rPr>
          <w:rStyle w:val="FootnoteReference"/>
        </w:rPr>
        <w:footnoteReference w:id="470"/>
      </w:r>
      <w:r w:rsidRPr="008556CC">
        <w:rPr>
          <w:rStyle w:val="AERbody"/>
        </w:rPr>
        <w:t xml:space="preserve"> They </w:t>
      </w:r>
      <w:r w:rsidRPr="00894A39">
        <w:rPr>
          <w:rStyle w:val="AERbody"/>
        </w:rPr>
        <w:t>added</w:t>
      </w:r>
      <w:r w:rsidRPr="008556CC">
        <w:rPr>
          <w:rStyle w:val="AERbody"/>
        </w:rPr>
        <w:t xml:space="preserve"> that any change commensurate with the theory that the risk free rate and the market risk premium are inversely related would be inexplicably large:</w:t>
      </w:r>
      <w:r w:rsidRPr="00894A39">
        <w:rPr>
          <w:rStyle w:val="FootnoteReference"/>
        </w:rPr>
        <w:footnoteReference w:id="471"/>
      </w:r>
    </w:p>
    <w:p w:rsidR="007C54F1" w:rsidRPr="008556CC" w:rsidRDefault="007C54F1" w:rsidP="007C54F1">
      <w:pPr>
        <w:pStyle w:val="AERquote"/>
        <w:rPr>
          <w:rStyle w:val="AERtexthighlight"/>
        </w:rPr>
      </w:pPr>
      <w:r w:rsidRPr="009C000B">
        <w:t xml:space="preserve">We see that if there is no change in beta, the required value for </w:t>
      </w:r>
      <m:oMath>
        <m:r>
          <w:rPr>
            <w:rFonts w:ascii="Cambria Math" w:hAnsi="Cambria Math"/>
          </w:rPr>
          <m:t>∆MRP=3.14%</m:t>
        </m:r>
      </m:oMath>
      <w:r w:rsidRPr="00894A39">
        <w:t>, which seems an implausibly large change. Alternatively, suppose beta is allowed to increase by the maximum increase in the summary of CEG’s (2016, Table 14) analysis of beta increases, then</w:t>
      </w:r>
      <m:oMath>
        <m:r>
          <m:rPr>
            <m:sty m:val="p"/>
          </m:rPr>
          <w:rPr>
            <w:rFonts w:ascii="Cambria Math" w:hAnsi="Cambria Math"/>
          </w:rPr>
          <m:t xml:space="preserve"> </m:t>
        </m:r>
        <m:r>
          <w:rPr>
            <w:rFonts w:ascii="Cambria Math" w:hAnsi="Cambria Math"/>
          </w:rPr>
          <m:t xml:space="preserve"> ∆B=.17</m:t>
        </m:r>
      </m:oMath>
      <w:r w:rsidRPr="00894A39">
        <w:t xml:space="preserve">. The required change in the MRP is then 1.26%... This change in MRP is greater than the largest change for the Australian MRP listed in ATCO final gas decision, June 2015, Table2, page 32, which is </w:t>
      </w:r>
      <m:oMath>
        <m:r>
          <w:rPr>
            <w:rFonts w:ascii="Cambria Math" w:hAnsi="Cambria Math"/>
          </w:rPr>
          <m:t>∆MRP=1.1</m:t>
        </m:r>
      </m:oMath>
      <w:r w:rsidRPr="00894A39">
        <w:t>. It is not clear to us that either beta or the MRP have changed, but even if we allow for the maximum claimed for such changes the return on equity goes down.</w:t>
      </w:r>
    </w:p>
    <w:p w:rsidR="007C54F1" w:rsidRDefault="007C54F1" w:rsidP="007C54F1">
      <w:r>
        <w:t>Frontier submitted the following new material to argue that the return on equity has remained relatively stable:</w:t>
      </w:r>
      <w:r w:rsidRPr="007C70BB">
        <w:rPr>
          <w:rStyle w:val="FootnoteReference"/>
        </w:rPr>
        <w:footnoteReference w:id="472"/>
      </w:r>
    </w:p>
    <w:p w:rsidR="007C54F1" w:rsidRPr="00894A39" w:rsidRDefault="007C54F1" w:rsidP="007C54F1">
      <w:pPr>
        <w:pStyle w:val="AERbulletlistfirststyle"/>
      </w:pPr>
      <w:r>
        <w:t xml:space="preserve">a 2015 </w:t>
      </w:r>
      <w:r w:rsidRPr="00894A39">
        <w:t>paper by Duarte and Rosa</w:t>
      </w:r>
      <w:r w:rsidRPr="00894A39">
        <w:rPr>
          <w:rStyle w:val="FootnoteReference"/>
        </w:rPr>
        <w:footnoteReference w:id="473"/>
      </w:r>
      <w:r w:rsidRPr="00894A39">
        <w:t xml:space="preserve"> </w:t>
      </w:r>
    </w:p>
    <w:p w:rsidR="007C54F1" w:rsidRPr="00894A39" w:rsidRDefault="007C54F1" w:rsidP="007C54F1">
      <w:pPr>
        <w:pStyle w:val="AERbulletlistfirststyle"/>
      </w:pPr>
      <w:r>
        <w:t>a</w:t>
      </w:r>
      <w:r w:rsidRPr="00894A39">
        <w:t xml:space="preserve"> 2014 paper by Strunk</w:t>
      </w:r>
      <w:r w:rsidRPr="00894A39">
        <w:rPr>
          <w:rStyle w:val="FootnoteReference"/>
        </w:rPr>
        <w:footnoteReference w:id="474"/>
      </w:r>
      <w:r w:rsidRPr="00894A39">
        <w:t xml:space="preserve"> </w:t>
      </w:r>
    </w:p>
    <w:p w:rsidR="007C54F1" w:rsidRPr="00894A39" w:rsidRDefault="007C54F1" w:rsidP="007C54F1">
      <w:pPr>
        <w:pStyle w:val="AERbulletlistfirststyle"/>
      </w:pPr>
      <w:r>
        <w:t>Federal Energy Regulatory Commission (FERC) decisions for New England and New York</w:t>
      </w:r>
    </w:p>
    <w:p w:rsidR="007C54F1" w:rsidRPr="00894A39" w:rsidRDefault="007C54F1" w:rsidP="007C54F1">
      <w:r>
        <w:t xml:space="preserve">We </w:t>
      </w:r>
      <w:r w:rsidRPr="00894A39">
        <w:t xml:space="preserve">do not consider that the new material provides satisfactory evidence of a stable return on equity, particularly in the Australian context, for the following reasons: </w:t>
      </w:r>
    </w:p>
    <w:p w:rsidR="007C54F1" w:rsidRPr="00894A39" w:rsidRDefault="007C54F1" w:rsidP="007C54F1">
      <w:pPr>
        <w:pStyle w:val="AERbulletlistfirststyle"/>
      </w:pPr>
      <w:r>
        <w:t>The</w:t>
      </w:r>
      <w:r w:rsidRPr="00894A39">
        <w:t xml:space="preserve"> Duarte and Rosa paper uses US data and it is not clear that the Australian market would follow a similar experience. </w:t>
      </w:r>
      <w:r>
        <w:t>Partington &amp; Satchell</w:t>
      </w:r>
      <w:r w:rsidRPr="00894A39">
        <w:t xml:space="preserve"> also advised that 'overseas regulators decisions are not likely to be convincing unless one can show great similarities in the economies considered'.</w:t>
      </w:r>
      <w:r w:rsidRPr="00894A39">
        <w:rPr>
          <w:rStyle w:val="FootnoteReference"/>
        </w:rPr>
        <w:footnoteReference w:id="475"/>
      </w:r>
      <w:r w:rsidRPr="00894A39">
        <w:t xml:space="preserve"> Further, the paper seems to focus on a forward looking one-year market risk premium whereas we estimate a forward looking ten-year market risk premium.</w:t>
      </w:r>
    </w:p>
    <w:p w:rsidR="007C54F1" w:rsidRPr="00894A39" w:rsidRDefault="007C54F1" w:rsidP="007C54F1">
      <w:pPr>
        <w:pStyle w:val="AERbulletlistfirststyle"/>
      </w:pPr>
      <w:r>
        <w:t xml:space="preserve">The 2014 Strunk paper references </w:t>
      </w:r>
      <w:r w:rsidRPr="00894A39">
        <w:t>decisions by US-based regulators to support its conclusion. We know that certain US regulators</w:t>
      </w:r>
      <w:r w:rsidRPr="00894A39">
        <w:rPr>
          <w:rStyle w:val="FootnoteReference"/>
        </w:rPr>
        <w:footnoteReference w:id="476"/>
      </w:r>
      <w:r w:rsidRPr="00894A39">
        <w:t xml:space="preserve"> appear to use a dividend growth model to set the required return on equity. Service providers rely on dividend growth estimates in their proposals to argue a stable return on the market and an offsetting market risk premium. Therefore it is not surprising that the market risk premium display an inverse relationship to the risk free rate. We assessed the dividend growth model in detail in section </w:t>
      </w:r>
      <w:r w:rsidRPr="00894A39">
        <w:fldChar w:fldCharType="begin"/>
      </w:r>
      <w:r w:rsidRPr="00894A39">
        <w:instrText xml:space="preserve"> REF _Ref449007421 \r \h </w:instrText>
      </w:r>
      <w:r w:rsidRPr="00894A39">
        <w:fldChar w:fldCharType="separate"/>
      </w:r>
      <w:r w:rsidR="002C24D6">
        <w:t>B.4</w:t>
      </w:r>
      <w:r w:rsidRPr="00894A39">
        <w:fldChar w:fldCharType="end"/>
      </w:r>
      <w:r w:rsidRPr="00894A39">
        <w:t xml:space="preserve"> and consider that there are a range of limitations with the dividend growth model which makes its results unreliable and unsuitable for directly estimating the market risk premium. We still believe it is useful for indicating, directionally, where the market risk premium should lie in relation to the historical excess returns as indicated in the Guideline.</w:t>
      </w:r>
      <w:r w:rsidRPr="00894A39">
        <w:rPr>
          <w:rStyle w:val="FootnoteReference"/>
        </w:rPr>
        <w:footnoteReference w:id="477"/>
      </w:r>
      <w:r w:rsidRPr="00894A39">
        <w:t xml:space="preserve"> We do not consider that any new material has been submitted to us that address the limitations of dividend growth models or cause us to depart from our use of dividend growth models.</w:t>
      </w:r>
    </w:p>
    <w:p w:rsidR="007C54F1" w:rsidRDefault="007C54F1" w:rsidP="007C54F1">
      <w:pPr>
        <w:pStyle w:val="AERbulletlistfirststyle"/>
      </w:pPr>
      <w:r>
        <w:t>In recent papers FERC uses a dividend growth model to set the required return on equity when presented with such a model by service providers.</w:t>
      </w:r>
      <w:r>
        <w:rPr>
          <w:rStyle w:val="FootnoteReference"/>
        </w:rPr>
        <w:footnoteReference w:id="478"/>
      </w:r>
      <w:r>
        <w:t xml:space="preserve"> Our assessment of the dividend growth model shows a range of issues which means it is used to indicate</w:t>
      </w:r>
      <w:r w:rsidRPr="00BB055B">
        <w:t xml:space="preserve">, directionally, where the </w:t>
      </w:r>
      <w:r>
        <w:t>market risk premium should lie in relation to the h</w:t>
      </w:r>
      <w:r w:rsidRPr="00BB055B">
        <w:t xml:space="preserve">istorical </w:t>
      </w:r>
      <w:r>
        <w:t xml:space="preserve">excess </w:t>
      </w:r>
      <w:r w:rsidRPr="00BB055B">
        <w:t>returns</w:t>
      </w:r>
      <w:r>
        <w:t>. The FERC did not make conclusive statement on its approach for the required return on equity and its concern seems to be in using solely historic excess returns with a simple CAPM.</w:t>
      </w:r>
      <w:r w:rsidRPr="000E1B58">
        <w:rPr>
          <w:rStyle w:val="FootnoteReference"/>
        </w:rPr>
        <w:t xml:space="preserve"> </w:t>
      </w:r>
      <w:r>
        <w:rPr>
          <w:rStyle w:val="FootnoteReference"/>
        </w:rPr>
        <w:footnoteReference w:id="479"/>
      </w:r>
      <w:r>
        <w:t>However, we use information from a range of relevant material, including forward looking material, to determine the forward looking return on equity and ten-year market risk premium.</w:t>
      </w:r>
    </w:p>
    <w:p w:rsidR="007C54F1" w:rsidRPr="005E6E22" w:rsidRDefault="007C54F1" w:rsidP="007C54F1">
      <w:pPr>
        <w:pStyle w:val="AERbulletlistfirststyle"/>
      </w:pPr>
      <w:r w:rsidRPr="005E6E22">
        <w:t>Partington and Satchell ha</w:t>
      </w:r>
      <w:r w:rsidR="006E238F">
        <w:t>ve</w:t>
      </w:r>
      <w:r w:rsidRPr="005E6E22">
        <w:t xml:space="preserve"> advised that for the return on equity to remain stable requires implausibly large changes in the market risk premium and the return on market.</w:t>
      </w:r>
      <w:r w:rsidRPr="005E6E22">
        <w:rPr>
          <w:rStyle w:val="FootnoteReference"/>
        </w:rPr>
        <w:footnoteReference w:id="480"/>
      </w:r>
      <w:r w:rsidRPr="005E6E22">
        <w:t xml:space="preserve"> </w:t>
      </w:r>
    </w:p>
    <w:p w:rsidR="007C54F1" w:rsidRPr="0087746B" w:rsidRDefault="007C54F1" w:rsidP="007C54F1">
      <w:r w:rsidRPr="0087746B">
        <w:t xml:space="preserve">Service providers </w:t>
      </w:r>
      <w:r>
        <w:t xml:space="preserve">also </w:t>
      </w:r>
      <w:r w:rsidRPr="0087746B">
        <w:t>continue to submit that our estimate of the return on equity is too low as a result of our application of the Sharpe-Lintner CAPM moving in 'lock step' with the</w:t>
      </w:r>
      <w:r>
        <w:t xml:space="preserve"> falling</w:t>
      </w:r>
      <w:r w:rsidRPr="0087746B">
        <w:t xml:space="preserve"> risk free rate, based on the following material: </w:t>
      </w:r>
    </w:p>
    <w:p w:rsidR="007C54F1" w:rsidRPr="0087746B" w:rsidRDefault="007C54F1" w:rsidP="007C54F1">
      <w:pPr>
        <w:pStyle w:val="AERbulletlistfirststyle"/>
      </w:pPr>
      <w:r w:rsidRPr="0087746B">
        <w:t>Dividend growth model estimates</w:t>
      </w:r>
    </w:p>
    <w:p w:rsidR="007C54F1" w:rsidRPr="0087746B" w:rsidRDefault="007C54F1" w:rsidP="007C54F1">
      <w:pPr>
        <w:pStyle w:val="AERbulletlistfirststyle"/>
      </w:pPr>
      <w:r w:rsidRPr="0087746B">
        <w:t>Wright approach</w:t>
      </w:r>
    </w:p>
    <w:p w:rsidR="007C54F1" w:rsidRPr="0087746B" w:rsidRDefault="007C54F1" w:rsidP="007C54F1">
      <w:pPr>
        <w:pStyle w:val="AERbulletlistfirststyle"/>
      </w:pPr>
      <w:r w:rsidRPr="0087746B">
        <w:t>Hurdle rates</w:t>
      </w:r>
    </w:p>
    <w:p w:rsidR="007C54F1" w:rsidRPr="0087746B" w:rsidRDefault="007C54F1" w:rsidP="007C54F1">
      <w:pPr>
        <w:pStyle w:val="AERbulletlistfirststyle"/>
      </w:pPr>
      <w:r w:rsidRPr="0087746B">
        <w:t>Price-to-earnings ratios (PE ratios)</w:t>
      </w:r>
    </w:p>
    <w:p w:rsidR="007C54F1" w:rsidRDefault="007C54F1" w:rsidP="007C54F1">
      <w:pPr>
        <w:pStyle w:val="AERbulletlistfirststyle"/>
      </w:pPr>
      <w:r w:rsidRPr="0087746B">
        <w:t>Independent valuation report</w:t>
      </w:r>
    </w:p>
    <w:p w:rsidR="007C54F1" w:rsidRPr="0087746B" w:rsidRDefault="007C54F1" w:rsidP="007C54F1">
      <w:pPr>
        <w:pStyle w:val="AERbulletlistfirststyle"/>
      </w:pPr>
      <w:r>
        <w:t>Foreign Regulators</w:t>
      </w:r>
    </w:p>
    <w:p w:rsidR="007C54F1" w:rsidRPr="0087746B" w:rsidRDefault="007C54F1" w:rsidP="007C54F1">
      <w:r w:rsidRPr="0087746B">
        <w:t xml:space="preserve">We respond to these materials in the sections below. We note that we have considered much of this material in our </w:t>
      </w:r>
      <w:r>
        <w:t>October 2015</w:t>
      </w:r>
      <w:r w:rsidR="006E238F">
        <w:t>,</w:t>
      </w:r>
      <w:r w:rsidRPr="0087746B">
        <w:t xml:space="preserve"> </w:t>
      </w:r>
      <w:r>
        <w:t>May</w:t>
      </w:r>
      <w:r w:rsidRPr="0087746B">
        <w:t xml:space="preserve"> 201</w:t>
      </w:r>
      <w:r>
        <w:t>6</w:t>
      </w:r>
      <w:r w:rsidRPr="0087746B">
        <w:t xml:space="preserve"> </w:t>
      </w:r>
      <w:r w:rsidR="006E238F">
        <w:t xml:space="preserve">and April 2017 </w:t>
      </w:r>
      <w:r w:rsidRPr="0087746B">
        <w:t>decisions</w:t>
      </w:r>
      <w:r>
        <w:t>.</w:t>
      </w:r>
      <w:r w:rsidRPr="0087746B">
        <w:rPr>
          <w:rStyle w:val="FootnoteReference"/>
        </w:rPr>
        <w:footnoteReference w:id="481"/>
      </w:r>
      <w:r w:rsidRPr="0087746B">
        <w:t xml:space="preserve"> </w:t>
      </w:r>
      <w:r>
        <w:t>A</w:t>
      </w:r>
      <w:r w:rsidRPr="0087746B">
        <w:t>nd, after reviewing the new materials</w:t>
      </w:r>
      <w:r>
        <w:t xml:space="preserve"> which are substantively similar to previous submissions</w:t>
      </w:r>
      <w:r w:rsidRPr="0087746B">
        <w:t xml:space="preserve">, our previous considerations remain valid for this decision. </w:t>
      </w:r>
    </w:p>
    <w:p w:rsidR="007C54F1" w:rsidRPr="0087746B" w:rsidRDefault="007C54F1" w:rsidP="007C54F1">
      <w:r w:rsidRPr="0087746B">
        <w:t xml:space="preserve">For the reasons outlined, we consider that the foundation model estimate of the return on equity is consistent with the prevailing market conditions in the market for equity funds and the required return on equity for a firm facing similar risks as AusNet Services. </w:t>
      </w:r>
    </w:p>
    <w:p w:rsidR="007C54F1" w:rsidRPr="0087746B" w:rsidRDefault="007C54F1" w:rsidP="007C54F1">
      <w:r w:rsidRPr="0087746B">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w:t>
      </w:r>
      <w:r>
        <w:t xml:space="preserve">continue to </w:t>
      </w:r>
      <w:r w:rsidRPr="0087746B">
        <w:t xml:space="preserve">consider that the service providers have not </w:t>
      </w:r>
      <w:r>
        <w:t>held</w:t>
      </w:r>
      <w:r w:rsidRPr="0087746B">
        <w:t xml:space="preserve"> appropriate regard to all available evidence, nor a complete consideration of the relative merits of each piece of evidence.  </w:t>
      </w:r>
    </w:p>
    <w:p w:rsidR="007C54F1" w:rsidRPr="0087746B" w:rsidRDefault="007C54F1" w:rsidP="007C54F1">
      <w:pPr>
        <w:pStyle w:val="HeadingOrange"/>
      </w:pPr>
      <w:bookmarkStart w:id="85" w:name="_Toc478676195"/>
      <w:r w:rsidRPr="0087746B">
        <w:t>Dividend growth model estimates</w:t>
      </w:r>
      <w:bookmarkEnd w:id="85"/>
    </w:p>
    <w:p w:rsidR="007C54F1" w:rsidRDefault="007C54F1" w:rsidP="007C54F1">
      <w:r w:rsidRPr="0087746B">
        <w:t>Service providers</w:t>
      </w:r>
      <w:r>
        <w:t xml:space="preserve"> continue to</w:t>
      </w:r>
      <w:r w:rsidRPr="0087746B">
        <w:t xml:space="preserve"> submit that our estimate of the return on equity is below dividend growth model-based estimates.</w:t>
      </w:r>
      <w:r w:rsidRPr="0087746B">
        <w:rPr>
          <w:rStyle w:val="FootnoteReference"/>
        </w:rPr>
        <w:footnoteReference w:id="482"/>
      </w:r>
      <w:r w:rsidRPr="0087746B">
        <w:t xml:space="preserve"> </w:t>
      </w:r>
      <w:r w:rsidRPr="0087746B" w:rsidDel="00BB055B">
        <w:t xml:space="preserve">Frontier </w:t>
      </w:r>
      <w:r>
        <w:t>re</w:t>
      </w:r>
      <w:r w:rsidRPr="0087746B" w:rsidDel="00BB055B">
        <w:t xml:space="preserve">submitted </w:t>
      </w:r>
      <w:r>
        <w:t xml:space="preserve">material from previous reports to argue </w:t>
      </w:r>
      <w:r w:rsidRPr="0087746B" w:rsidDel="00BB055B">
        <w:t>that dividend growth model-based estimates support</w:t>
      </w:r>
      <w:r>
        <w:t>ed</w:t>
      </w:r>
      <w:r w:rsidRPr="0087746B" w:rsidDel="00BB055B">
        <w:t xml:space="preserve"> </w:t>
      </w:r>
      <w:r>
        <w:t>a stable return on equity and the resulting</w:t>
      </w:r>
      <w:r w:rsidRPr="0087746B" w:rsidDel="00BB055B">
        <w:t xml:space="preserve"> inverse relationship between the risk free rate and the market risk premium</w:t>
      </w:r>
      <w:r>
        <w:t>:</w:t>
      </w:r>
      <w:r w:rsidRPr="0087746B" w:rsidDel="00BB055B">
        <w:rPr>
          <w:rStyle w:val="FootnoteReference"/>
        </w:rPr>
        <w:footnoteReference w:id="483"/>
      </w:r>
    </w:p>
    <w:p w:rsidR="007C54F1" w:rsidRPr="00894A39" w:rsidRDefault="007C54F1" w:rsidP="007C54F1">
      <w:pPr>
        <w:pStyle w:val="AERbulletlistfirststyle"/>
      </w:pPr>
      <w:r>
        <w:t xml:space="preserve">Reports from </w:t>
      </w:r>
      <w:r w:rsidRPr="00894A39" w:rsidDel="00BB055B">
        <w:t>market practitioners</w:t>
      </w:r>
      <w:r w:rsidRPr="00894A39" w:rsidDel="00BB055B">
        <w:rPr>
          <w:rStyle w:val="FootnoteReference"/>
        </w:rPr>
        <w:footnoteReference w:id="484"/>
      </w:r>
      <w:r w:rsidRPr="00894A39" w:rsidDel="00BB055B">
        <w:t xml:space="preserve"> </w:t>
      </w:r>
    </w:p>
    <w:p w:rsidR="007C54F1" w:rsidRPr="00894A39" w:rsidDel="00BB055B" w:rsidRDefault="007C54F1" w:rsidP="007C54F1">
      <w:pPr>
        <w:pStyle w:val="AERbulletlistfirststyle"/>
      </w:pPr>
      <w:r>
        <w:t>O</w:t>
      </w:r>
      <w:r w:rsidRPr="00894A39" w:rsidDel="00BB055B">
        <w:t>ther regulators</w:t>
      </w:r>
      <w:r w:rsidRPr="00894A39">
        <w:t>' decisions</w:t>
      </w:r>
      <w:r w:rsidRPr="00894A39" w:rsidDel="00BB055B">
        <w:rPr>
          <w:rStyle w:val="FootnoteReference"/>
        </w:rPr>
        <w:footnoteReference w:id="485"/>
      </w:r>
    </w:p>
    <w:p w:rsidR="007C54F1" w:rsidRPr="0087746B" w:rsidDel="00BB055B" w:rsidRDefault="007C54F1" w:rsidP="007C54F1">
      <w:r w:rsidDel="00BB055B">
        <w:t xml:space="preserve">Frontier </w:t>
      </w:r>
      <w:r>
        <w:t>also repeated</w:t>
      </w:r>
      <w:r w:rsidDel="00BB055B">
        <w:t xml:space="preserve"> that we </w:t>
      </w:r>
      <w:r>
        <w:t>c</w:t>
      </w:r>
      <w:r w:rsidDel="00BB055B">
        <w:t xml:space="preserve">ontinue to place less weight on the </w:t>
      </w:r>
      <w:r>
        <w:t>dividend growth model when considering</w:t>
      </w:r>
      <w:r w:rsidDel="00BB055B">
        <w:t xml:space="preserve"> the </w:t>
      </w:r>
      <w:r>
        <w:t>market risk premium.</w:t>
      </w:r>
      <w:r w:rsidDel="00BB055B">
        <w:rPr>
          <w:rStyle w:val="FootnoteReference"/>
        </w:rPr>
        <w:footnoteReference w:id="486"/>
      </w:r>
      <w:r w:rsidDel="00BB055B">
        <w:t xml:space="preserve"> </w:t>
      </w:r>
      <w:r>
        <w:t>A</w:t>
      </w:r>
      <w:r w:rsidDel="00BB055B">
        <w:t xml:space="preserve">nd </w:t>
      </w:r>
      <w:r>
        <w:t>evidence (from the dividend growth model</w:t>
      </w:r>
      <w:r w:rsidDel="00BB055B">
        <w:t xml:space="preserve">) </w:t>
      </w:r>
      <w:r>
        <w:t>show th</w:t>
      </w:r>
      <w:r w:rsidDel="00BB055B">
        <w:t>at returns on equity have remained steady despite the fall in</w:t>
      </w:r>
      <w:r>
        <w:t xml:space="preserve"> the</w:t>
      </w:r>
      <w:r w:rsidDel="00BB055B">
        <w:t xml:space="preserve"> risk free rate.</w:t>
      </w:r>
      <w:r w:rsidDel="00BB055B">
        <w:rPr>
          <w:rStyle w:val="FootnoteReference"/>
        </w:rPr>
        <w:footnoteReference w:id="487"/>
      </w:r>
      <w:r w:rsidDel="00BB055B">
        <w:t xml:space="preserve"> </w:t>
      </w:r>
    </w:p>
    <w:p w:rsidR="007C54F1" w:rsidRDefault="007C54F1" w:rsidP="007C54F1">
      <w:r w:rsidRPr="0087746B" w:rsidDel="00BB055B">
        <w:t xml:space="preserve">We assess the dividend growth model in detail in section </w:t>
      </w:r>
      <w:r w:rsidRPr="0087746B" w:rsidDel="00BB055B">
        <w:fldChar w:fldCharType="begin"/>
      </w:r>
      <w:r w:rsidRPr="0087746B" w:rsidDel="00BB055B">
        <w:instrText xml:space="preserve"> REF _Ref449007421 \r \h </w:instrText>
      </w:r>
      <w:r w:rsidRPr="0087746B" w:rsidDel="00BB055B">
        <w:fldChar w:fldCharType="separate"/>
      </w:r>
      <w:r w:rsidR="002C24D6">
        <w:t>B.4</w:t>
      </w:r>
      <w:r w:rsidRPr="0087746B" w:rsidDel="00BB055B">
        <w:fldChar w:fldCharType="end"/>
      </w:r>
      <w:r w:rsidRPr="0087746B" w:rsidDel="00BB055B">
        <w:t xml:space="preserve"> and consider that there are a range of limitations with the dividend growth model which makes its results unreliable and unsuitable </w:t>
      </w:r>
      <w:r w:rsidDel="00BB055B">
        <w:t xml:space="preserve">when arriving at an estimation of the </w:t>
      </w:r>
      <w:r>
        <w:t>market risk premium</w:t>
      </w:r>
      <w:r w:rsidDel="00BB055B">
        <w:t xml:space="preserve">. We still believe it is useful for indicating, directionally, where the </w:t>
      </w:r>
      <w:r>
        <w:t>market risk premium</w:t>
      </w:r>
      <w:r w:rsidDel="00BB055B">
        <w:t xml:space="preserve"> should lie in relation to the Historical returns as indicated in the Guideline</w:t>
      </w:r>
      <w:r w:rsidDel="00BB055B">
        <w:rPr>
          <w:rStyle w:val="FootnoteReference"/>
        </w:rPr>
        <w:footnoteReference w:id="488"/>
      </w:r>
      <w:r w:rsidRPr="0087746B" w:rsidDel="00BB055B">
        <w:t>.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7C54F1" w:rsidRPr="008556CC" w:rsidRDefault="007C54F1" w:rsidP="007C54F1">
      <w:pPr>
        <w:rPr>
          <w:rStyle w:val="AERbody"/>
        </w:rPr>
      </w:pPr>
      <w:r w:rsidRPr="008556CC">
        <w:rPr>
          <w:rStyle w:val="AERbody"/>
        </w:rPr>
        <w:t>Frontier responded to our concerns</w:t>
      </w:r>
      <w:r>
        <w:rPr>
          <w:rStyle w:val="AERbody"/>
        </w:rPr>
        <w:t xml:space="preserve"> about the dividend growth model's use in estimating the market risk premium</w:t>
      </w:r>
      <w:r w:rsidRPr="008556CC">
        <w:rPr>
          <w:rStyle w:val="AERbody"/>
        </w:rPr>
        <w:t xml:space="preserve"> by noting that it is 'highly unlikely for analysts to forecast dividend growth based on strong earnings over the short term if they considered those dividends to be unsustainable in the longer term'.</w:t>
      </w:r>
      <w:r>
        <w:rPr>
          <w:rStyle w:val="FootnoteReference"/>
        </w:rPr>
        <w:footnoteReference w:id="489"/>
      </w:r>
    </w:p>
    <w:p w:rsidR="007C54F1" w:rsidRPr="00965F4A" w:rsidRDefault="007C54F1" w:rsidP="007C54F1">
      <w:pPr>
        <w:rPr>
          <w:rStyle w:val="AERbody"/>
        </w:rPr>
      </w:pPr>
      <w:r w:rsidRPr="00A164C0">
        <w:rPr>
          <w:rStyle w:val="AERbody"/>
        </w:rPr>
        <w:t>We note that dividends may be forecasted to increase for a number of reasons, including absence of satisfactory projects for reinvestment of earnings, and not necessarily related to strong earnings. And it is not apparent that there is or will be strong earnings growth. In the RBA chart, while forecast earnings per share in 2016–17 is above that of 2015</w:t>
      </w:r>
      <w:r w:rsidRPr="008556CC">
        <w:rPr>
          <w:rStyle w:val="AERbody"/>
        </w:rPr>
        <w:t>–16</w:t>
      </w:r>
      <w:r>
        <w:rPr>
          <w:rStyle w:val="AERbody"/>
        </w:rPr>
        <w:t xml:space="preserve"> as Frontier points out</w:t>
      </w:r>
      <w:r w:rsidRPr="008556CC">
        <w:rPr>
          <w:rStyle w:val="AERbody"/>
        </w:rPr>
        <w:t xml:space="preserve">, both slow over time which has been </w:t>
      </w:r>
      <w:r w:rsidRPr="00965F4A">
        <w:rPr>
          <w:rStyle w:val="AERbody"/>
        </w:rPr>
        <w:t>the pattern since 2011–12.</w:t>
      </w:r>
      <w:r>
        <w:rPr>
          <w:rStyle w:val="FootnoteReference"/>
        </w:rPr>
        <w:footnoteReference w:id="490"/>
      </w:r>
      <w:r w:rsidRPr="00965F4A">
        <w:rPr>
          <w:rStyle w:val="AERbody"/>
        </w:rPr>
        <w:t xml:space="preserve"> We do not consider that this is indicative or supportive of strong earnings growth. </w:t>
      </w:r>
    </w:p>
    <w:p w:rsidR="007C54F1" w:rsidRDefault="007C54F1" w:rsidP="007C54F1">
      <w:pPr>
        <w:rPr>
          <w:rStyle w:val="AERbody"/>
        </w:rPr>
      </w:pPr>
      <w:r w:rsidRPr="00965F4A">
        <w:rPr>
          <w:rStyle w:val="AERbody"/>
        </w:rPr>
        <w:t xml:space="preserve">Frontier </w:t>
      </w:r>
      <w:r>
        <w:rPr>
          <w:rStyle w:val="AERbody"/>
        </w:rPr>
        <w:t>added</w:t>
      </w:r>
      <w:r w:rsidRPr="00965F4A">
        <w:rPr>
          <w:rStyle w:val="AERbody"/>
        </w:rPr>
        <w:t xml:space="preserve"> that there is no evidence to indicate 'future dividends were likely to fall so materially as to make the current dividend unsustainable'.</w:t>
      </w:r>
      <w:r>
        <w:rPr>
          <w:rStyle w:val="FootnoteReference"/>
        </w:rPr>
        <w:footnoteReference w:id="491"/>
      </w:r>
      <w:r w:rsidRPr="00965F4A">
        <w:rPr>
          <w:rStyle w:val="AERbody"/>
        </w:rPr>
        <w:t xml:space="preserve"> </w:t>
      </w:r>
      <w:r>
        <w:rPr>
          <w:rStyle w:val="AERbody"/>
        </w:rPr>
        <w:t>.</w:t>
      </w:r>
      <w:r w:rsidRPr="00965F4A">
        <w:rPr>
          <w:rStyle w:val="AERbody"/>
        </w:rPr>
        <w:t xml:space="preserve"> </w:t>
      </w:r>
      <w:r w:rsidRPr="00DD6215">
        <w:t xml:space="preserve"> </w:t>
      </w:r>
      <w:r>
        <w:t xml:space="preserve">We note that the </w:t>
      </w:r>
      <w:r w:rsidRPr="00691150">
        <w:t xml:space="preserve">chartpack relates to one-year forecasts </w:t>
      </w:r>
      <w:r>
        <w:t>which would not provide conclusive evidence consistent with our 10-year time frame</w:t>
      </w:r>
      <w:r w:rsidRPr="00691150">
        <w:t>.</w:t>
      </w:r>
    </w:p>
    <w:p w:rsidR="007C54F1" w:rsidDel="00BB055B" w:rsidRDefault="007C54F1" w:rsidP="007C54F1">
      <w:r>
        <w:t xml:space="preserve">We are also </w:t>
      </w:r>
      <w:r w:rsidRPr="00AF101C">
        <w:t>not persuaded by Frontier's observation that ASX-20 firms have on average experienced actual earnings slightly above analyst forecast as evidence against analyst bias. This appears to be based solely on the 2016–17 financial year and does not appear indicative of a long term or sustained occurrence. Financial literature and our consultants have consistently observed and concluded that analysts over-forecast dividends.</w:t>
      </w:r>
      <w:r w:rsidRPr="00AF101C">
        <w:rPr>
          <w:rStyle w:val="FootnoteReference"/>
        </w:rPr>
        <w:footnoteReference w:id="492"/>
      </w:r>
      <w:r w:rsidRPr="00AF101C">
        <w:t xml:space="preserve"> </w:t>
      </w:r>
      <w:r>
        <w:t>Partington and Satchell has also advised that '</w:t>
      </w:r>
      <w:r w:rsidRPr="00DD6215">
        <w:t>little weight</w:t>
      </w:r>
      <w:r>
        <w:t xml:space="preserve">' should be placed </w:t>
      </w:r>
      <w:r w:rsidRPr="00DD6215">
        <w:t>on a no</w:t>
      </w:r>
      <w:r>
        <w:t xml:space="preserve">n-random sample of twenty firms, </w:t>
      </w:r>
      <w:r w:rsidRPr="00DD6215">
        <w:t>one year’s observations</w:t>
      </w:r>
      <w:r>
        <w:t xml:space="preserve"> and date of analyst forecasts</w:t>
      </w:r>
      <w:r w:rsidRPr="00DD6215">
        <w:t>.</w:t>
      </w:r>
      <w:r>
        <w:rPr>
          <w:rStyle w:val="FootnoteReference"/>
        </w:rPr>
        <w:footnoteReference w:id="493"/>
      </w:r>
      <w:r w:rsidRPr="00DD6215">
        <w:t xml:space="preserve"> </w:t>
      </w:r>
    </w:p>
    <w:p w:rsidR="007C54F1" w:rsidRPr="00B0543D" w:rsidRDefault="007C54F1" w:rsidP="007C54F1">
      <w:pPr>
        <w:pStyle w:val="HeadingOrange"/>
      </w:pPr>
      <w:bookmarkStart w:id="86" w:name="_Toc478676196"/>
      <w:r w:rsidRPr="00B0543D">
        <w:t>Wright approach</w:t>
      </w:r>
      <w:r>
        <w:t xml:space="preserve"> and historical CAPM</w:t>
      </w:r>
      <w:bookmarkEnd w:id="86"/>
    </w:p>
    <w:p w:rsidR="007C54F1" w:rsidRDefault="007C54F1" w:rsidP="007C54F1">
      <w:r w:rsidRPr="00B0543D">
        <w:t xml:space="preserve">Service providers </w:t>
      </w:r>
      <w:r>
        <w:t>have re</w:t>
      </w:r>
      <w:r w:rsidRPr="00B0543D">
        <w:t xml:space="preserve">submitted that </w:t>
      </w:r>
      <w:r>
        <w:t>we</w:t>
      </w:r>
      <w:r w:rsidRPr="00B0543D">
        <w:t xml:space="preserve"> place little weight on the Wright approach, specifically that the AER </w:t>
      </w:r>
      <w:r>
        <w:t>should use it for informing</w:t>
      </w:r>
      <w:r w:rsidRPr="00B0543D">
        <w:t xml:space="preserve"> the </w:t>
      </w:r>
      <w:r>
        <w:t>m</w:t>
      </w:r>
      <w:r w:rsidRPr="00B0543D">
        <w:t xml:space="preserve">arket </w:t>
      </w:r>
      <w:r>
        <w:t>r</w:t>
      </w:r>
      <w:r w:rsidRPr="00B0543D">
        <w:t xml:space="preserve">isk </w:t>
      </w:r>
      <w:r>
        <w:t>p</w:t>
      </w:r>
      <w:r w:rsidRPr="00B0543D">
        <w:t>remium.</w:t>
      </w:r>
      <w:r w:rsidRPr="00B0543D">
        <w:rPr>
          <w:rStyle w:val="FootnoteReference"/>
        </w:rPr>
        <w:footnoteReference w:id="494"/>
      </w:r>
      <w:r w:rsidRPr="00B0543D">
        <w:t xml:space="preserve"> </w:t>
      </w:r>
    </w:p>
    <w:p w:rsidR="007C54F1" w:rsidRDefault="007C54F1" w:rsidP="007C54F1">
      <w:r w:rsidRPr="00B0543D">
        <w:t>Frontier</w:t>
      </w:r>
      <w:r>
        <w:t>, for AusNet Services,</w:t>
      </w:r>
      <w:r w:rsidRPr="00B0543D">
        <w:t xml:space="preserve"> continued to </w:t>
      </w:r>
      <w:r>
        <w:t xml:space="preserve">argue for an </w:t>
      </w:r>
      <w:r w:rsidRPr="00B0543D">
        <w:t xml:space="preserve">inverse relationship between the risk free rate and market premium </w:t>
      </w:r>
      <w:r>
        <w:t xml:space="preserve">based on </w:t>
      </w:r>
      <w:r w:rsidRPr="00B0543D">
        <w:t>the stability of the Wright</w:t>
      </w:r>
      <w:r>
        <w:t xml:space="preserve"> CAPM</w:t>
      </w:r>
      <w:r w:rsidRPr="00B0543D">
        <w:rPr>
          <w:rStyle w:val="FootnoteReference"/>
        </w:rPr>
        <w:footnoteReference w:id="495"/>
      </w:r>
      <w:r>
        <w:t xml:space="preserve"> estimates</w:t>
      </w:r>
      <w:r w:rsidRPr="00B0543D">
        <w:t>.</w:t>
      </w:r>
      <w:r w:rsidRPr="00B0543D">
        <w:rPr>
          <w:rStyle w:val="FootnoteReference"/>
        </w:rPr>
        <w:footnoteReference w:id="496"/>
      </w:r>
      <w:r w:rsidRPr="00B0543D">
        <w:t xml:space="preserve"> Frontier also </w:t>
      </w:r>
      <w:r>
        <w:t>referenced the model's usage by other regulators' for estimating the market risk premium</w:t>
      </w:r>
      <w:r w:rsidRPr="00B0543D">
        <w:t>.</w:t>
      </w:r>
      <w:r w:rsidRPr="00B0543D">
        <w:rPr>
          <w:rStyle w:val="FootnoteReference"/>
        </w:rPr>
        <w:footnoteReference w:id="497"/>
      </w:r>
      <w:r>
        <w:t xml:space="preserve"> </w:t>
      </w:r>
    </w:p>
    <w:p w:rsidR="007C54F1" w:rsidRDefault="007C54F1" w:rsidP="007C54F1">
      <w:r>
        <w:t xml:space="preserve">APTPPL and APA VTS dispute that they </w:t>
      </w:r>
      <w:r w:rsidR="00781335">
        <w:t xml:space="preserve">use </w:t>
      </w:r>
      <w:r>
        <w:t>the Wright approach. However, it estimated the</w:t>
      </w:r>
      <w:r w:rsidRPr="00C04ABE">
        <w:t xml:space="preserve"> </w:t>
      </w:r>
      <w:r>
        <w:t>market risk premium as the difference between the long term average return on market and the risk free rate which is a historical/alternative specification of the Sharpe-Lintner CAPM.</w:t>
      </w:r>
      <w:r>
        <w:rPr>
          <w:rStyle w:val="FootnoteReference"/>
        </w:rPr>
        <w:footnoteReference w:id="498"/>
      </w:r>
    </w:p>
    <w:p w:rsidR="007C54F1" w:rsidRDefault="007C54F1" w:rsidP="007C54F1">
      <w:r w:rsidRPr="00B0543D">
        <w:t>We have reviewed again all material submitted on the Wright approach</w:t>
      </w:r>
      <w:r>
        <w:t>, historical/alternative CAPM</w:t>
      </w:r>
      <w:r w:rsidRPr="00B0543D">
        <w:t xml:space="preserve"> and</w:t>
      </w:r>
      <w:r>
        <w:t xml:space="preserve"> their</w:t>
      </w:r>
      <w:r w:rsidRPr="00B0543D">
        <w:t xml:space="preserve"> results</w:t>
      </w:r>
      <w:r>
        <w:t>.</w:t>
      </w:r>
      <w:r w:rsidRPr="00B0543D">
        <w:t xml:space="preserve"> </w:t>
      </w:r>
      <w:r>
        <w:t>A</w:t>
      </w:r>
      <w:r w:rsidRPr="00B0543D">
        <w:t xml:space="preserve">nd we consider that the new materials do not address the previous and on running concerns that we have detailed in decisions regarding the Wright approach </w:t>
      </w:r>
      <w:r>
        <w:t xml:space="preserve">and historical CAPM </w:t>
      </w:r>
      <w:r w:rsidRPr="00B0543D">
        <w:t xml:space="preserve">(see section </w:t>
      </w:r>
      <w:r w:rsidR="00CC4694">
        <w:rPr>
          <w:rStyle w:val="AERbody"/>
          <w:highlight w:val="yellow"/>
        </w:rPr>
        <w:fldChar w:fldCharType="begin"/>
      </w:r>
      <w:r w:rsidR="00CC4694">
        <w:instrText xml:space="preserve"> REF _Ref449018117 \r \h </w:instrText>
      </w:r>
      <w:r w:rsidR="00CC4694">
        <w:rPr>
          <w:rStyle w:val="AERbody"/>
          <w:highlight w:val="yellow"/>
        </w:rPr>
      </w:r>
      <w:r w:rsidR="00CC4694">
        <w:rPr>
          <w:rStyle w:val="AERbody"/>
          <w:highlight w:val="yellow"/>
        </w:rPr>
        <w:fldChar w:fldCharType="separate"/>
      </w:r>
      <w:r w:rsidR="002C24D6">
        <w:t>B.5</w:t>
      </w:r>
      <w:r w:rsidR="00CC4694">
        <w:rPr>
          <w:rStyle w:val="AERbody"/>
          <w:highlight w:val="yellow"/>
        </w:rPr>
        <w:fldChar w:fldCharType="end"/>
      </w:r>
      <w:r w:rsidRPr="00A164C0">
        <w:rPr>
          <w:rStyle w:val="AERbody"/>
          <w:highlight w:val="yellow"/>
        </w:rPr>
        <w:t>).</w:t>
      </w:r>
      <w:r w:rsidRPr="00A164C0">
        <w:rPr>
          <w:rStyle w:val="AERbody"/>
        </w:rPr>
        <w:t xml:space="preserve"> </w:t>
      </w:r>
      <w:r>
        <w:t>For example, we note that both non-standard specifications of Sharpe-Lintner CAPM</w:t>
      </w:r>
      <w:r w:rsidRPr="00B0543D">
        <w:t xml:space="preserve"> </w:t>
      </w:r>
      <w:r>
        <w:t xml:space="preserve">do not take into account changing market conditions and assumes a perfectly offsetting relationship between the risk free rate and the market risk premium. </w:t>
      </w:r>
    </w:p>
    <w:p w:rsidR="007C54F1" w:rsidRDefault="007C54F1" w:rsidP="007C54F1">
      <w:r>
        <w:t>Professor Martin</w:t>
      </w:r>
      <w:r w:rsidRPr="00B0543D">
        <w:t xml:space="preserve"> Lally f</w:t>
      </w:r>
      <w:r>
        <w:t>ound</w:t>
      </w:r>
      <w:r w:rsidRPr="00B0543D">
        <w:t xml:space="preserve"> that the estimated market risk premium series is more stable than the average real market return series when taking the Wright approach applied to Australian data</w:t>
      </w:r>
      <w:r>
        <w:t>.</w:t>
      </w:r>
      <w:r>
        <w:rPr>
          <w:rStyle w:val="FootnoteReference"/>
        </w:rPr>
        <w:footnoteReference w:id="499"/>
      </w:r>
      <w:r>
        <w:t xml:space="preserve"> Partington and Satchell, in their most recent report also advised that the 'Wright approach has no support based on any clear evidence in the Australian context'.</w:t>
      </w:r>
      <w:r>
        <w:rPr>
          <w:rStyle w:val="FootnoteReference"/>
        </w:rPr>
        <w:footnoteReference w:id="500"/>
      </w:r>
    </w:p>
    <w:p w:rsidR="007C54F1" w:rsidRPr="0087746B" w:rsidRDefault="007C54F1" w:rsidP="007C54F1">
      <w:pPr>
        <w:pStyle w:val="HeadingOrange"/>
      </w:pPr>
      <w:bookmarkStart w:id="87" w:name="_Toc478676197"/>
      <w:r w:rsidRPr="0087746B">
        <w:t>Hurdle rates</w:t>
      </w:r>
      <w:bookmarkEnd w:id="87"/>
    </w:p>
    <w:p w:rsidR="007C54F1" w:rsidRDefault="007C54F1" w:rsidP="007C54F1">
      <w:r w:rsidRPr="0087746B" w:rsidDel="001143FB">
        <w:t>A hurdle rate is a rate of return that firms and managers use when deciding whether or not to invest in capital projects.</w:t>
      </w:r>
      <w:r w:rsidRPr="000D2B7C" w:rsidDel="001143FB">
        <w:t xml:space="preserve"> </w:t>
      </w:r>
    </w:p>
    <w:p w:rsidR="007C54F1" w:rsidRDefault="007C54F1" w:rsidP="007C54F1">
      <w:r>
        <w:t>Frontier argued that there has not been a reduction in the expected return on equity and resubmitted the following material:</w:t>
      </w:r>
    </w:p>
    <w:p w:rsidR="007C54F1" w:rsidRPr="00894A39" w:rsidRDefault="007C54F1" w:rsidP="007C54F1">
      <w:pPr>
        <w:pStyle w:val="AERbulletlistfirststyle"/>
      </w:pPr>
      <w:r w:rsidRPr="0087746B" w:rsidDel="001143FB">
        <w:t>McKinsey Inc considered that the required return on equity appeared to be quite stable as government bond yields declined, based on observations of hurdle rates.</w:t>
      </w:r>
      <w:r w:rsidRPr="00894A39" w:rsidDel="001143FB">
        <w:rPr>
          <w:rStyle w:val="FootnoteReference"/>
        </w:rPr>
        <w:footnoteReference w:id="501"/>
      </w:r>
      <w:r w:rsidRPr="00894A39">
        <w:t xml:space="preserve"> </w:t>
      </w:r>
    </w:p>
    <w:p w:rsidR="007C54F1" w:rsidRPr="00894A39" w:rsidDel="001143FB" w:rsidRDefault="007C54F1" w:rsidP="007C54F1">
      <w:pPr>
        <w:pStyle w:val="AERbulletlistfirststyle"/>
      </w:pPr>
      <w:r>
        <w:t>T</w:t>
      </w:r>
      <w:r w:rsidRPr="00894A39">
        <w:t>he RBA's April 2015 speech which noted the return on equity has remained relatively stable with decreases in the risk free rate on the basis of 'sticky' hurdle rates and stable earnings.</w:t>
      </w:r>
      <w:r w:rsidRPr="00894A39">
        <w:rPr>
          <w:rStyle w:val="FootnoteReference"/>
        </w:rPr>
        <w:footnoteReference w:id="502"/>
      </w:r>
      <w:r w:rsidRPr="00894A39">
        <w:t xml:space="preserve"> </w:t>
      </w:r>
      <w:r>
        <w:t>Companies have not reduced their hurdle rates</w:t>
      </w:r>
      <w:r w:rsidRPr="00894A39">
        <w:rPr>
          <w:rStyle w:val="FootnoteReference"/>
        </w:rPr>
        <w:footnoteReference w:id="503"/>
      </w:r>
    </w:p>
    <w:p w:rsidR="007C54F1" w:rsidRPr="00894A39" w:rsidRDefault="007C54F1" w:rsidP="007C54F1">
      <w:r w:rsidRPr="00B34ECE">
        <w:t xml:space="preserve">We consider hurdle rates are unlikely to be commensurate with the efficient financing costs of the benchmark efficient entity or reflective of prevailing conditions in the market for equity funds. We are not satisfied this provides sufficient evidence of an inverse relationship between the 10 year forward looking risk free rate and market risk premium in the current market. </w:t>
      </w:r>
    </w:p>
    <w:p w:rsidR="007C54F1" w:rsidRDefault="007C54F1" w:rsidP="007C54F1">
      <w:r w:rsidRPr="0087746B" w:rsidDel="000236CD">
        <w:t>The RBA and Deloitte have noted that Australian firms tend to have high 'hurdle rates' of return that are often well above the cost of capital and do not change very often.</w:t>
      </w:r>
      <w:r w:rsidRPr="0087746B" w:rsidDel="000236CD">
        <w:rPr>
          <w:rStyle w:val="FootnoteReference"/>
        </w:rPr>
        <w:footnoteReference w:id="504"/>
      </w:r>
      <w:r w:rsidRPr="0087746B" w:rsidDel="000236CD">
        <w:t xml:space="preserve"> </w:t>
      </w:r>
      <w:r>
        <w:t xml:space="preserve"> </w:t>
      </w:r>
      <w:r w:rsidRPr="00B34ECE">
        <w:t>Moreover, these statements by the RBA may not be applicable to the required rate of return in financial markets.</w:t>
      </w:r>
      <w:r>
        <w:t xml:space="preserve"> </w:t>
      </w:r>
      <w:r w:rsidRPr="0087746B" w:rsidDel="000236CD">
        <w:t>Further, JP Morgan appears to indicate that hurdle rates may not be responsive to changes in market conditions. This could be because firms use hurdle rates as a capital rationing device,</w:t>
      </w:r>
      <w:r w:rsidRPr="0087746B" w:rsidDel="000236CD">
        <w:rPr>
          <w:rStyle w:val="FootnoteReference"/>
        </w:rPr>
        <w:footnoteReference w:id="505"/>
      </w:r>
      <w:r w:rsidRPr="0087746B" w:rsidDel="000236CD">
        <w:t xml:space="preserve"> to reflect uncertainty in cash flow forecasts,</w:t>
      </w:r>
      <w:r w:rsidRPr="0087746B" w:rsidDel="000236CD">
        <w:rPr>
          <w:rStyle w:val="FootnoteReference"/>
        </w:rPr>
        <w:footnoteReference w:id="506"/>
      </w:r>
      <w:r w:rsidRPr="0087746B" w:rsidDel="000236CD">
        <w:t xml:space="preserve"> to reflect strategic incentives,</w:t>
      </w:r>
      <w:r w:rsidRPr="0087746B" w:rsidDel="000236CD">
        <w:rPr>
          <w:rStyle w:val="FootnoteReference"/>
        </w:rPr>
        <w:footnoteReference w:id="507"/>
      </w:r>
      <w:r w:rsidRPr="0087746B" w:rsidDel="000236CD">
        <w:t xml:space="preserve"> because of an absence of competitive market pressures,</w:t>
      </w:r>
      <w:r w:rsidRPr="0087746B" w:rsidDel="000236CD">
        <w:rPr>
          <w:rStyle w:val="FootnoteReference"/>
        </w:rPr>
        <w:footnoteReference w:id="508"/>
      </w:r>
      <w:r w:rsidRPr="0087746B" w:rsidDel="000236CD">
        <w:t xml:space="preserve"> or due to immateriality of incremental changes if the firm has a high cost of capital.</w:t>
      </w:r>
      <w:r w:rsidRPr="0087746B" w:rsidDel="000236CD">
        <w:rPr>
          <w:rStyle w:val="FootnoteReference"/>
        </w:rPr>
        <w:footnoteReference w:id="509"/>
      </w:r>
    </w:p>
    <w:p w:rsidR="0072043B" w:rsidRDefault="007C54F1" w:rsidP="00013867">
      <w:pPr>
        <w:pStyle w:val="AERbulletlistfirststyle"/>
        <w:numPr>
          <w:ilvl w:val="0"/>
          <w:numId w:val="0"/>
        </w:numPr>
        <w:rPr>
          <w:rStyle w:val="AERbody"/>
        </w:rPr>
      </w:pPr>
      <w:r>
        <w:t>In response, Multinet submitted that the Deloitte material is not clear if firms have high hurdle rates relative to their cost of capital.</w:t>
      </w:r>
      <w:r w:rsidRPr="007C54F1">
        <w:rPr>
          <w:rStyle w:val="FootnoteReference"/>
        </w:rPr>
        <w:footnoteReference w:id="510"/>
      </w:r>
      <w:r w:rsidRPr="007C54F1">
        <w:t xml:space="preserve"> </w:t>
      </w:r>
      <w:r w:rsidRPr="00013867">
        <w:rPr>
          <w:rStyle w:val="AERbody"/>
        </w:rPr>
        <w:t>It noted graphs showing a third of firms use hurdle rates lower than their cost of capital and around two-thirds have a hurdle rate that is less than two percentage points above their WACC. However, these graphs may include both debt and equity, as acknowledged by Multinet, so they are unlikely to provide useful information on the return on equity.</w:t>
      </w:r>
      <w:r w:rsidR="0072043B">
        <w:rPr>
          <w:rStyle w:val="AERbody"/>
        </w:rPr>
        <w:t xml:space="preserve"> </w:t>
      </w:r>
    </w:p>
    <w:p w:rsidR="007C54F1" w:rsidRPr="007C54F1" w:rsidRDefault="007C54F1" w:rsidP="00013867">
      <w:pPr>
        <w:pStyle w:val="AERbulletlistfirststyle"/>
        <w:numPr>
          <w:ilvl w:val="0"/>
          <w:numId w:val="0"/>
        </w:numPr>
      </w:pPr>
      <w:r w:rsidRPr="00013867">
        <w:rPr>
          <w:rStyle w:val="AERbody"/>
        </w:rPr>
        <w:t>Further, it is not clear how the hurdle rates and WACC are used by the CFOs surveyed by Deloitte. Specifically, the extent they make any firm-specific adjustments in the discount rate and/or in the cashflows</w:t>
      </w:r>
      <w:r>
        <w:t xml:space="preserve">. </w:t>
      </w:r>
    </w:p>
    <w:p w:rsidR="007C54F1" w:rsidRPr="007C54F1" w:rsidRDefault="007C54F1" w:rsidP="00013867">
      <w:pPr>
        <w:pStyle w:val="AERbulletlistfirststyle"/>
        <w:numPr>
          <w:ilvl w:val="0"/>
          <w:numId w:val="0"/>
        </w:numPr>
      </w:pPr>
      <w:r w:rsidRPr="00013867">
        <w:rPr>
          <w:rStyle w:val="AERbody"/>
        </w:rPr>
        <w:t>We have considered companies</w:t>
      </w:r>
      <w:r w:rsidR="0072043B">
        <w:rPr>
          <w:rStyle w:val="AERbody"/>
        </w:rPr>
        <w:t>'</w:t>
      </w:r>
      <w:r w:rsidRPr="00013867">
        <w:rPr>
          <w:rStyle w:val="AERbody"/>
        </w:rPr>
        <w:t xml:space="preserve"> use of hurdle rates before</w:t>
      </w:r>
      <w:r w:rsidR="005302D0">
        <w:rPr>
          <w:rStyle w:val="AERbody"/>
        </w:rPr>
        <w:t>.</w:t>
      </w:r>
      <w:r w:rsidRPr="00013867">
        <w:rPr>
          <w:rStyle w:val="AERbody"/>
        </w:rPr>
        <w:t xml:space="preserve"> </w:t>
      </w:r>
      <w:r w:rsidR="005302D0">
        <w:rPr>
          <w:rStyle w:val="AERbody"/>
        </w:rPr>
        <w:t>We</w:t>
      </w:r>
      <w:r w:rsidRPr="00013867">
        <w:rPr>
          <w:rStyle w:val="AERbody"/>
        </w:rPr>
        <w:t xml:space="preserve"> </w:t>
      </w:r>
      <w:r w:rsidR="005302D0">
        <w:rPr>
          <w:rStyle w:val="AERbody"/>
        </w:rPr>
        <w:t>are</w:t>
      </w:r>
      <w:r w:rsidR="005302D0" w:rsidRPr="00013867">
        <w:rPr>
          <w:rStyle w:val="AERbody"/>
        </w:rPr>
        <w:t xml:space="preserve"> </w:t>
      </w:r>
      <w:r w:rsidRPr="00013867">
        <w:rPr>
          <w:rStyle w:val="AERbody"/>
        </w:rPr>
        <w:t>unpersuaded that hurdle rates provided by independent businesses provide reliable evidence of the expected cost of equity</w:t>
      </w:r>
      <w:r w:rsidR="005302D0">
        <w:rPr>
          <w:rStyle w:val="AERbody"/>
        </w:rPr>
        <w:t xml:space="preserve"> and our reasons from previous regulatory determinations remain applicable</w:t>
      </w:r>
      <w:r w:rsidRPr="007C54F1">
        <w:t>.</w:t>
      </w:r>
      <w:r w:rsidRPr="007C54F1">
        <w:rPr>
          <w:rStyle w:val="FootnoteReference"/>
        </w:rPr>
        <w:footnoteReference w:id="511"/>
      </w:r>
    </w:p>
    <w:p w:rsidR="007C54F1" w:rsidRDefault="007C54F1" w:rsidP="007C54F1">
      <w:r>
        <w:t>See also Appendix C in Attachment 3 to the</w:t>
      </w:r>
      <w:r w:rsidRPr="000D2B7C">
        <w:t xml:space="preserve"> October 2015 final decision for SAPN's </w:t>
      </w:r>
      <w:r>
        <w:t>2015–20</w:t>
      </w:r>
      <w:r w:rsidRPr="000D2B7C">
        <w:t xml:space="preserve"> determination for more discussion.</w:t>
      </w:r>
    </w:p>
    <w:p w:rsidR="007C54F1" w:rsidRPr="0087746B" w:rsidRDefault="007C54F1" w:rsidP="007C54F1">
      <w:pPr>
        <w:pStyle w:val="HeadingOrange"/>
      </w:pPr>
      <w:bookmarkStart w:id="88" w:name="_Toc478676198"/>
      <w:r w:rsidRPr="0087746B">
        <w:t>Price-to-earnings ratios</w:t>
      </w:r>
      <w:bookmarkEnd w:id="88"/>
    </w:p>
    <w:p w:rsidR="007C54F1" w:rsidRPr="0087746B" w:rsidDel="00A83FEA" w:rsidRDefault="007C54F1" w:rsidP="007C54F1">
      <w:r w:rsidRPr="0087746B" w:rsidDel="00A83FEA">
        <w:t xml:space="preserve">We are not satisfied that price-to-earnings ratios provide evidence of </w:t>
      </w:r>
      <w:r>
        <w:t xml:space="preserve">a stable return on equity or </w:t>
      </w:r>
      <w:r w:rsidRPr="0087746B" w:rsidDel="00A83FEA">
        <w:t xml:space="preserve">an inverse relationship between the risk free rate and the market risk premium in the current market. </w:t>
      </w:r>
    </w:p>
    <w:p w:rsidR="007C54F1" w:rsidRDefault="007C54F1" w:rsidP="007C54F1">
      <w:r w:rsidRPr="0087746B" w:rsidDel="00A83FEA">
        <w:t>If investors reduce their required rate of return, and earnings expectations are unchanged, then market prices and the price-to-earnings ratio should increase.</w:t>
      </w:r>
      <w:r w:rsidRPr="0087746B" w:rsidDel="00A83FEA">
        <w:rPr>
          <w:rStyle w:val="FootnoteReference"/>
        </w:rPr>
        <w:footnoteReference w:id="512"/>
      </w:r>
      <w:r w:rsidRPr="0087746B" w:rsidDel="00A83FEA">
        <w:t xml:space="preserve"> Frontier</w:t>
      </w:r>
      <w:r>
        <w:t xml:space="preserve"> again</w:t>
      </w:r>
      <w:r w:rsidRPr="0087746B" w:rsidDel="00A83FEA">
        <w:t xml:space="preserve"> </w:t>
      </w:r>
      <w:r>
        <w:t>referenced</w:t>
      </w:r>
      <w:r w:rsidRPr="0087746B" w:rsidDel="00A83FEA">
        <w:t xml:space="preserve"> </w:t>
      </w:r>
      <w:r w:rsidDel="00A83FEA">
        <w:t xml:space="preserve">RBA </w:t>
      </w:r>
      <w:r>
        <w:t>data</w:t>
      </w:r>
      <w:r w:rsidDel="00A83FEA">
        <w:t xml:space="preserve"> and a McKinsey</w:t>
      </w:r>
      <w:r>
        <w:t xml:space="preserve"> report</w:t>
      </w:r>
      <w:r w:rsidRPr="0087746B" w:rsidDel="00A83FEA">
        <w:rPr>
          <w:rStyle w:val="FootnoteReference"/>
        </w:rPr>
        <w:footnoteReference w:id="513"/>
      </w:r>
      <w:r w:rsidRPr="0087746B" w:rsidDel="00A83FEA">
        <w:t xml:space="preserve"> </w:t>
      </w:r>
      <w:r w:rsidRPr="0087746B">
        <w:t xml:space="preserve"> </w:t>
      </w:r>
      <w:r>
        <w:t>to argue that</w:t>
      </w:r>
      <w:r w:rsidRPr="0087746B" w:rsidDel="00A83FEA">
        <w:t xml:space="preserve"> investors have not decreased their required rates of return</w:t>
      </w:r>
      <w:r>
        <w:t>,</w:t>
      </w:r>
      <w:r w:rsidRPr="0087746B" w:rsidDel="00A83FEA">
        <w:t xml:space="preserve"> despite a decline in the risk free rate</w:t>
      </w:r>
      <w:r>
        <w:t>,</w:t>
      </w:r>
      <w:r w:rsidRPr="009E5830">
        <w:t xml:space="preserve"> </w:t>
      </w:r>
      <w:r>
        <w:t>because e</w:t>
      </w:r>
      <w:r w:rsidRPr="0087746B">
        <w:t>arnings ratios have remained 'within their long-term averages'</w:t>
      </w:r>
      <w:r w:rsidRPr="0087746B" w:rsidDel="00A83FEA">
        <w:t>.</w:t>
      </w:r>
    </w:p>
    <w:p w:rsidR="007C54F1" w:rsidRDefault="007C54F1" w:rsidP="007C54F1">
      <w:r>
        <w:t>However, the</w:t>
      </w:r>
      <w:r w:rsidRPr="0087746B" w:rsidDel="00A83FEA">
        <w:t xml:space="preserve"> M</w:t>
      </w:r>
      <w:r w:rsidDel="00A83FEA">
        <w:t xml:space="preserve">cKinsey </w:t>
      </w:r>
      <w:r>
        <w:t xml:space="preserve">report noted by Frontier </w:t>
      </w:r>
      <w:r w:rsidRPr="0087746B" w:rsidDel="00A83FEA">
        <w:t xml:space="preserve">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w:t>
      </w:r>
      <w:r>
        <w:t xml:space="preserve">Another market practitioner, </w:t>
      </w:r>
      <w:r w:rsidRPr="0087746B" w:rsidDel="00A83FEA">
        <w:t>JP Morgan</w:t>
      </w:r>
      <w:r>
        <w:t>, also</w:t>
      </w:r>
      <w:r w:rsidRPr="0087746B" w:rsidDel="00A83FEA">
        <w:t xml:space="preserve"> acknowledged that the price-to-earnings ratio can also reflect growth expectations.</w:t>
      </w:r>
      <w:r w:rsidRPr="0087746B" w:rsidDel="00A83FEA">
        <w:rPr>
          <w:rStyle w:val="FootnoteReference"/>
        </w:rPr>
        <w:footnoteReference w:id="514"/>
      </w:r>
      <w:r w:rsidRPr="0087746B" w:rsidDel="00A83FEA">
        <w:t xml:space="preserve">  </w:t>
      </w:r>
      <w:r>
        <w:t>Further, w</w:t>
      </w:r>
      <w:r w:rsidRPr="0087746B" w:rsidDel="00A83FEA">
        <w:t xml:space="preserve">e </w:t>
      </w:r>
      <w:r>
        <w:t>observe</w:t>
      </w:r>
      <w:r w:rsidRPr="0087746B" w:rsidDel="00A83FEA">
        <w:t xml:space="preserve"> that JP Morgan and McKinsey Inc</w:t>
      </w:r>
      <w:r>
        <w:t>.</w:t>
      </w:r>
      <w:r w:rsidRPr="0087746B" w:rsidDel="00A83FEA">
        <w:t xml:space="preserve"> drew different conclusions on the cost of equity due to using different data periods.</w:t>
      </w:r>
    </w:p>
    <w:p w:rsidR="007C54F1" w:rsidRDefault="007C54F1" w:rsidP="007C54F1">
      <w:r>
        <w:t>In their report, Partington and Satchell observed that Frontier makes 'continuing and unqualified reliance on earnings yield and PE based evidence'.</w:t>
      </w:r>
      <w:r>
        <w:rPr>
          <w:rStyle w:val="FootnoteReference"/>
        </w:rPr>
        <w:footnoteReference w:id="515"/>
      </w:r>
      <w:r>
        <w:t xml:space="preserve"> They note that:</w:t>
      </w:r>
      <w:r w:rsidRPr="00D15D6B">
        <w:rPr>
          <w:rStyle w:val="FootnoteReference"/>
        </w:rPr>
        <w:t xml:space="preserve"> </w:t>
      </w:r>
      <w:r>
        <w:rPr>
          <w:rStyle w:val="FootnoteReference"/>
        </w:rPr>
        <w:footnoteReference w:id="516"/>
      </w:r>
    </w:p>
    <w:p w:rsidR="007C54F1" w:rsidRPr="00894A39" w:rsidDel="00A83FEA" w:rsidRDefault="007C54F1" w:rsidP="007C54F1">
      <w:pPr>
        <w:pStyle w:val="AERquote"/>
      </w:pPr>
      <w:r>
        <w:t xml:space="preserve"> </w:t>
      </w:r>
      <w:r w:rsidRPr="00894A39">
        <w:t>'the behaviour of the required return on equity cannot be simply inferred from the behaviour of price earnings (PE) ratios, neither can it simply be inferred from the behaviour of the earnings yield (earnings price ratio)"</w:t>
      </w:r>
      <w:r w:rsidRPr="00894A39">
        <w:rPr>
          <w:rStyle w:val="FootnoteReference"/>
        </w:rPr>
        <w:footnoteReference w:id="517"/>
      </w:r>
      <w:r w:rsidRPr="00894A39">
        <w:t xml:space="preserve"> and " it is clear that inferences about the cost of equity based on plots of earnings yields or PE ratios are highly suspect."</w:t>
      </w:r>
    </w:p>
    <w:p w:rsidR="007C54F1" w:rsidRPr="0087746B" w:rsidRDefault="007C54F1" w:rsidP="007C54F1">
      <w:pPr>
        <w:pStyle w:val="HeadingOrange"/>
      </w:pPr>
      <w:bookmarkStart w:id="89" w:name="_Toc478676199"/>
      <w:r w:rsidRPr="0087746B">
        <w:t>Independent valuation report</w:t>
      </w:r>
      <w:bookmarkEnd w:id="89"/>
    </w:p>
    <w:p w:rsidR="007C54F1" w:rsidRDefault="007C54F1" w:rsidP="007C54F1">
      <w:r w:rsidRPr="0087746B">
        <w:rPr>
          <w:rStyle w:val="AERbody"/>
        </w:rPr>
        <w:t>Service providers</w:t>
      </w:r>
      <w:r w:rsidRPr="0087746B">
        <w:t xml:space="preserve"> submitted that independent valuation reports </w:t>
      </w:r>
      <w:r>
        <w:t>uplift the return on equity (at the parameter level or overall return level) to counter a historically low risk free rate</w:t>
      </w:r>
      <w:r w:rsidRPr="0087746B">
        <w:t>.</w:t>
      </w:r>
      <w:r w:rsidRPr="0087746B">
        <w:rPr>
          <w:rStyle w:val="FootnoteReference"/>
        </w:rPr>
        <w:footnoteReference w:id="518"/>
      </w:r>
      <w:r w:rsidRPr="0087746B">
        <w:t xml:space="preserve"> </w:t>
      </w:r>
    </w:p>
    <w:p w:rsidR="007C54F1" w:rsidRDefault="007C54F1" w:rsidP="007C54F1">
      <w:r>
        <w:t>For reasons outlined in table 3–8, we consider that u</w:t>
      </w:r>
      <w:r w:rsidRPr="0087746B">
        <w:t>plifts applied by brokers and valuers to initial estimates may be inconsistent with the ARORO.</w:t>
      </w:r>
      <w:r>
        <w:t xml:space="preserve"> Therefore, w</w:t>
      </w:r>
      <w:r w:rsidRPr="0087746B">
        <w:t>e have greater regard to estimates exclusive of these uplifts</w:t>
      </w:r>
      <w:r>
        <w:t>.</w:t>
      </w:r>
    </w:p>
    <w:p w:rsidR="007C54F1" w:rsidRPr="00013867" w:rsidRDefault="007C54F1" w:rsidP="007C54F1">
      <w:pPr>
        <w:pStyle w:val="HeadingOrange"/>
        <w:rPr>
          <w:rStyle w:val="AERbody"/>
        </w:rPr>
      </w:pPr>
      <w:r>
        <w:t>Foreign Regulators</w:t>
      </w:r>
    </w:p>
    <w:p w:rsidR="007C54F1" w:rsidRDefault="007C54F1" w:rsidP="007C54F1">
      <w:pPr>
        <w:rPr>
          <w:rStyle w:val="AERbody"/>
        </w:rPr>
      </w:pPr>
      <w:r w:rsidRPr="00013867">
        <w:rPr>
          <w:rStyle w:val="AERbody"/>
        </w:rPr>
        <w:t xml:space="preserve">Multinet also </w:t>
      </w:r>
      <w:r>
        <w:rPr>
          <w:rStyle w:val="AERbody"/>
        </w:rPr>
        <w:t xml:space="preserve">submitted </w:t>
      </w:r>
      <w:r w:rsidRPr="00013867">
        <w:rPr>
          <w:rStyle w:val="AERbody"/>
        </w:rPr>
        <w:t>that the return on equity in other countries has remained more stable that allowed by the AER</w:t>
      </w:r>
      <w:r w:rsidRPr="00013867">
        <w:rPr>
          <w:rStyle w:val="FootnoteReference"/>
        </w:rPr>
        <w:footnoteReference w:id="519"/>
      </w:r>
      <w:r w:rsidRPr="00013867">
        <w:rPr>
          <w:rStyle w:val="AERbody"/>
        </w:rPr>
        <w:t xml:space="preserve">. Multinet believes this shows the AER’s allowed return on equity has fallen too far from previous levels. </w:t>
      </w:r>
    </w:p>
    <w:p w:rsidR="007C54F1" w:rsidRDefault="007C54F1" w:rsidP="007C54F1">
      <w:pPr>
        <w:rPr>
          <w:rStyle w:val="AERbody"/>
        </w:rPr>
      </w:pPr>
      <w:r>
        <w:rPr>
          <w:rStyle w:val="AERbody"/>
        </w:rPr>
        <w:t>We do not take foreign regulators into account when instigating our cross checks because of differences such as:</w:t>
      </w:r>
    </w:p>
    <w:p w:rsidR="007C54F1" w:rsidRDefault="007C54F1" w:rsidP="007C54F1">
      <w:pPr>
        <w:pStyle w:val="AERbulletlistfirststyle"/>
      </w:pPr>
      <w:r>
        <w:t>Differences in regulatory objectives between regulators is only amplified when comparing different countries</w:t>
      </w:r>
    </w:p>
    <w:p w:rsidR="007C54F1" w:rsidRDefault="007C54F1" w:rsidP="007C54F1">
      <w:pPr>
        <w:pStyle w:val="AERbulletlistfirststyle"/>
      </w:pPr>
      <w:r>
        <w:t>Differences in economic conditions between foreign countries and Australia can have a heavy influence on regulatory decisions</w:t>
      </w:r>
    </w:p>
    <w:p w:rsidR="007C54F1" w:rsidRDefault="007C54F1" w:rsidP="007C54F1">
      <w:pPr>
        <w:pStyle w:val="AERbulletlistfirststyle"/>
        <w:rPr>
          <w:rStyle w:val="AERbody"/>
        </w:rPr>
      </w:pPr>
      <w:r>
        <w:t>Differences in approach to estimating the required rate of return between different regulators as well as different countries. For example the Ontario Energy Board looks at forecasts of government bonds as a placeholder for risk free rate which limits the impact of risk free rate movements. They also used a fixed Return on Equity figure in their calculations.</w:t>
      </w:r>
      <w:r>
        <w:rPr>
          <w:rStyle w:val="FootnoteReference"/>
        </w:rPr>
        <w:footnoteReference w:id="520"/>
      </w:r>
    </w:p>
    <w:p w:rsidR="007C54F1" w:rsidRDefault="007C54F1" w:rsidP="007C54F1">
      <w:pPr>
        <w:rPr>
          <w:rStyle w:val="AERbody"/>
        </w:rPr>
      </w:pPr>
      <w:r w:rsidRPr="005E5B01">
        <w:t>Our reluctance to accept evidence from foreign regulators is supported by Partington and Satchell as they noted that 'overseas regulators decisions are not likely to be convincing unless one can show great similarities in the economies considered'.</w:t>
      </w:r>
      <w:r w:rsidRPr="005E5B01">
        <w:rPr>
          <w:rStyle w:val="FootnoteReference"/>
        </w:rPr>
        <w:footnoteReference w:id="521"/>
      </w:r>
    </w:p>
    <w:p w:rsidR="007C54F1" w:rsidRDefault="007C54F1" w:rsidP="007C54F1">
      <w:pPr>
        <w:rPr>
          <w:rStyle w:val="AERbody"/>
        </w:rPr>
      </w:pPr>
      <w:r>
        <w:rPr>
          <w:rStyle w:val="AERbody"/>
        </w:rPr>
        <w:t>Multinet noted a graph in their submission, showing US and Canadian gas and electricity distributors’ authorised return on equity over the period of 2000-2015.</w:t>
      </w:r>
      <w:r>
        <w:rPr>
          <w:rStyle w:val="FootnoteReference"/>
        </w:rPr>
        <w:footnoteReference w:id="522"/>
      </w:r>
      <w:r>
        <w:rPr>
          <w:rStyle w:val="AERbody"/>
        </w:rPr>
        <w:t xml:space="preserve"> They claim this graph highlights </w:t>
      </w:r>
      <w:r w:rsidR="006C250D">
        <w:rPr>
          <w:rStyle w:val="AERbody"/>
        </w:rPr>
        <w:t>that</w:t>
      </w:r>
      <w:r>
        <w:rPr>
          <w:rStyle w:val="AERbody"/>
        </w:rPr>
        <w:t xml:space="preserve"> we are cutting the authorised ROE at a much faster rate than foreign regulators and as such we are not following our regulatory objectives.</w:t>
      </w:r>
    </w:p>
    <w:p w:rsidR="007C54F1" w:rsidRDefault="007C54F1" w:rsidP="007C54F1">
      <w:pPr>
        <w:rPr>
          <w:rStyle w:val="AERbody"/>
        </w:rPr>
      </w:pPr>
      <w:r w:rsidRPr="00013867">
        <w:rPr>
          <w:rStyle w:val="AERbody"/>
        </w:rPr>
        <w:t xml:space="preserve">However the graph </w:t>
      </w:r>
      <w:r>
        <w:rPr>
          <w:rStyle w:val="AERbody"/>
        </w:rPr>
        <w:t>only shows</w:t>
      </w:r>
      <w:r w:rsidRPr="00013867">
        <w:rPr>
          <w:rStyle w:val="AERbody"/>
        </w:rPr>
        <w:t xml:space="preserve"> the </w:t>
      </w:r>
      <w:r>
        <w:rPr>
          <w:rStyle w:val="AERbody"/>
        </w:rPr>
        <w:t xml:space="preserve">annual </w:t>
      </w:r>
      <w:r w:rsidRPr="00013867">
        <w:rPr>
          <w:rStyle w:val="AERbody"/>
        </w:rPr>
        <w:t>median return on equity</w:t>
      </w:r>
      <w:r>
        <w:rPr>
          <w:rStyle w:val="AERbody"/>
        </w:rPr>
        <w:t xml:space="preserve"> of US and Canadian regulated businesses</w:t>
      </w:r>
      <w:r w:rsidRPr="00013867">
        <w:rPr>
          <w:rStyle w:val="AERbody"/>
        </w:rPr>
        <w:t xml:space="preserve">. </w:t>
      </w:r>
      <w:r>
        <w:rPr>
          <w:rStyle w:val="AERbody"/>
        </w:rPr>
        <w:t>T</w:t>
      </w:r>
      <w:r w:rsidRPr="00013867">
        <w:rPr>
          <w:rStyle w:val="AERbody"/>
        </w:rPr>
        <w:t xml:space="preserve">his is likely to </w:t>
      </w:r>
      <w:r>
        <w:rPr>
          <w:rStyle w:val="AERbody"/>
        </w:rPr>
        <w:t>obscure</w:t>
      </w:r>
      <w:r w:rsidRPr="00013867">
        <w:rPr>
          <w:rStyle w:val="AERbody"/>
        </w:rPr>
        <w:t xml:space="preserve"> </w:t>
      </w:r>
      <w:r>
        <w:rPr>
          <w:rStyle w:val="AERbody"/>
        </w:rPr>
        <w:t xml:space="preserve">changes in the return on equity from movements in </w:t>
      </w:r>
      <w:r w:rsidRPr="00013867">
        <w:rPr>
          <w:rStyle w:val="AERbody"/>
        </w:rPr>
        <w:t xml:space="preserve">the risk free rate </w:t>
      </w:r>
      <w:r>
        <w:rPr>
          <w:rStyle w:val="AERbody"/>
        </w:rPr>
        <w:t>when the required return on equity is falling.</w:t>
      </w:r>
      <w:r w:rsidRPr="00013867">
        <w:rPr>
          <w:rStyle w:val="AERbody"/>
        </w:rPr>
        <w:t xml:space="preserve"> The graph shows average daily yield </w:t>
      </w:r>
      <w:r>
        <w:rPr>
          <w:rStyle w:val="AERbody"/>
        </w:rPr>
        <w:t>for Concentric Energy Advisors’ proxy for the risk free rate</w:t>
      </w:r>
      <w:r w:rsidRPr="00013867">
        <w:rPr>
          <w:rStyle w:val="AERbody"/>
        </w:rPr>
        <w:t xml:space="preserve">, rather than </w:t>
      </w:r>
      <w:r>
        <w:rPr>
          <w:rStyle w:val="AERbody"/>
        </w:rPr>
        <w:t>the risk free rate used in regulatory decisions. This may not accurately reflect actual risk free rate movements and can lead to misleading observations being drawn</w:t>
      </w:r>
      <w:r w:rsidRPr="00013867">
        <w:rPr>
          <w:rStyle w:val="AERbody"/>
        </w:rPr>
        <w:t xml:space="preserve">. </w:t>
      </w:r>
    </w:p>
    <w:p w:rsidR="00E13934" w:rsidRDefault="00E13934" w:rsidP="00E13934">
      <w:pPr>
        <w:pStyle w:val="HeadingBoldBlue"/>
        <w:rPr>
          <w:rStyle w:val="AERtextorange"/>
        </w:rPr>
      </w:pPr>
      <w:r>
        <w:rPr>
          <w:rStyle w:val="AERtextorange"/>
        </w:rPr>
        <w:t>Step six: distil point estimate</w:t>
      </w:r>
    </w:p>
    <w:p w:rsidR="00E13934" w:rsidRPr="00E5005D" w:rsidRDefault="00E13934" w:rsidP="00CC7A1C">
      <w:pPr>
        <w:numPr>
          <w:ilvl w:val="0"/>
          <w:numId w:val="24"/>
        </w:numPr>
      </w:pPr>
      <w:r w:rsidRPr="00E5005D">
        <w:t>We are satisfied that an expected return on equity derived from the S</w:t>
      </w:r>
      <w:r>
        <w:t>harpe-</w:t>
      </w:r>
      <w:r w:rsidRPr="00E5005D">
        <w:t>L</w:t>
      </w:r>
      <w:r>
        <w:t xml:space="preserve">intner </w:t>
      </w:r>
      <w:r w:rsidRPr="00E5005D">
        <w:t xml:space="preserve">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A933BB" w:rsidRDefault="00E13934" w:rsidP="00CC7A1C">
      <w:pPr>
        <w:numPr>
          <w:ilvl w:val="0"/>
          <w:numId w:val="24"/>
        </w:numPr>
      </w:pPr>
      <w:r w:rsidRPr="00E5005D">
        <w:t xml:space="preserve">Following our estimation approach and having considered and given the relevant material due weight on their merits, we are satisfied that an expected return on equity estimate of </w:t>
      </w:r>
      <w:r>
        <w:t>7</w:t>
      </w:r>
      <w:r w:rsidRPr="00E5005D">
        <w:t>.</w:t>
      </w:r>
      <w:r w:rsidR="005B1D7B">
        <w:t>2</w:t>
      </w:r>
      <w:r w:rsidRPr="00E5005D">
        <w:t xml:space="preserve"> per cent derived from our implementation of the S</w:t>
      </w:r>
      <w:r>
        <w:t>harpe-</w:t>
      </w:r>
      <w:r w:rsidRPr="00E5005D">
        <w:t>L</w:t>
      </w:r>
      <w:r>
        <w:t xml:space="preserve">intner </w:t>
      </w:r>
      <w:r w:rsidRPr="00E5005D">
        <w:t xml:space="preserve">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3E0A44" w:rsidRDefault="003E0A44">
      <w:pPr>
        <w:spacing w:line="240" w:lineRule="auto"/>
        <w:rPr>
          <w:rFonts w:eastAsiaTheme="majorEastAsia" w:cstheme="majorBidi"/>
          <w:b/>
          <w:bCs/>
          <w:color w:val="70635A" w:themeColor="text2"/>
          <w:sz w:val="28"/>
        </w:rPr>
      </w:pPr>
      <w:bookmarkStart w:id="90" w:name="_Ref451336564"/>
      <w:bookmarkStart w:id="91" w:name="_Ref451345996"/>
      <w:bookmarkStart w:id="92" w:name="_Ref451351247"/>
      <w:bookmarkStart w:id="93" w:name="_Toc451938957"/>
      <w:bookmarkStart w:id="94" w:name="_Toc456686705"/>
      <w:r>
        <w:br w:type="page"/>
      </w:r>
    </w:p>
    <w:p w:rsidR="00A933BB" w:rsidRDefault="00A933BB" w:rsidP="00A933BB">
      <w:pPr>
        <w:pStyle w:val="Heading3"/>
      </w:pPr>
      <w:bookmarkStart w:id="95" w:name="_Ref478718271"/>
      <w:bookmarkStart w:id="96" w:name="_Toc487037139"/>
      <w:r>
        <w:t>Return on debt</w:t>
      </w:r>
      <w:bookmarkEnd w:id="90"/>
      <w:bookmarkEnd w:id="91"/>
      <w:bookmarkEnd w:id="92"/>
      <w:bookmarkEnd w:id="93"/>
      <w:bookmarkEnd w:id="94"/>
      <w:bookmarkEnd w:id="95"/>
      <w:bookmarkEnd w:id="96"/>
      <w:r>
        <w:t xml:space="preserve"> </w:t>
      </w:r>
    </w:p>
    <w:p w:rsidR="003E0A44" w:rsidRPr="0039163B" w:rsidRDefault="003E0A44" w:rsidP="003E0A44">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3E0A44" w:rsidRDefault="003E0A44" w:rsidP="003E0A44">
      <w:r w:rsidRPr="0039163B">
        <w:t xml:space="preserve">Our decision is to adopt a return on debt </w:t>
      </w:r>
      <w:r>
        <w:t xml:space="preserve">of </w:t>
      </w:r>
      <w:r w:rsidR="00EC33C5">
        <w:t>4.79</w:t>
      </w:r>
      <w:r w:rsidR="007C695E">
        <w:t xml:space="preserve"> </w:t>
      </w:r>
      <w:r w:rsidRPr="0039163B">
        <w:t xml:space="preserve">per cent, rather than the </w:t>
      </w:r>
      <w:r w:rsidR="0028506E">
        <w:t>7.26</w:t>
      </w:r>
      <w:r w:rsidR="007C695E">
        <w:t xml:space="preserve"> </w:t>
      </w:r>
      <w:r w:rsidRPr="0039163B">
        <w:t>per cent proposed by</w:t>
      </w:r>
      <w:r w:rsidR="00A870F7">
        <w:t xml:space="preserve"> </w:t>
      </w:r>
      <w:r w:rsidR="0028506E">
        <w:t>APTPPL</w:t>
      </w:r>
      <w:r>
        <w:t>.</w:t>
      </w:r>
      <w:r>
        <w:rPr>
          <w:rStyle w:val="FootnoteReference"/>
        </w:rPr>
        <w:footnoteReference w:id="523"/>
      </w:r>
      <w:r w:rsidR="00AD6655">
        <w:t xml:space="preserve"> </w:t>
      </w:r>
    </w:p>
    <w:p w:rsidR="003E0A44" w:rsidRDefault="003E0A44" w:rsidP="003E0A44">
      <w:r w:rsidRPr="0039163B">
        <w:t>This decision sets out how we arrived at the rate for</w:t>
      </w:r>
      <w:r w:rsidR="007C695E">
        <w:t xml:space="preserve"> </w:t>
      </w:r>
      <w:r w:rsidR="0028506E">
        <w:t>APTPPL</w:t>
      </w:r>
      <w:r w:rsidRPr="0039163B">
        <w:t>, and how we plan to update the return on debt in future regulatory years.</w:t>
      </w:r>
      <w:r>
        <w:t xml:space="preserve"> That is, we set out:</w:t>
      </w:r>
    </w:p>
    <w:p w:rsidR="003E0A44" w:rsidRPr="00AD2616" w:rsidRDefault="003E0A44" w:rsidP="003E0A44">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3E0A44" w:rsidRPr="00D020D4" w:rsidRDefault="003E0A44" w:rsidP="003E0A44">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286CD1" w:rsidRDefault="00286CD1" w:rsidP="006E5878">
      <w:r>
        <w:t>We note the sections below r</w:t>
      </w:r>
      <w:r w:rsidR="00D13C51">
        <w:t>espond</w:t>
      </w:r>
      <w:r>
        <w:t xml:space="preserve"> extensively to material submitted by AusNet and other service providers (in earlier decisions) who have proposed departures from our current approach to estimating the cost of debt.</w:t>
      </w:r>
      <w:r w:rsidR="00D13C51">
        <w:t xml:space="preserve"> We consider</w:t>
      </w:r>
      <w:r>
        <w:t xml:space="preserve"> it is </w:t>
      </w:r>
      <w:r w:rsidR="00D13C51">
        <w:t>necessary to</w:t>
      </w:r>
      <w:r>
        <w:t xml:space="preserve"> </w:t>
      </w:r>
      <w:r w:rsidR="00D13C51">
        <w:t>include</w:t>
      </w:r>
      <w:r>
        <w:t xml:space="preserve"> this material given we have considered it in reaching our </w:t>
      </w:r>
      <w:r w:rsidR="007A1B84">
        <w:t>draft</w:t>
      </w:r>
      <w:r>
        <w:t xml:space="preserve"> decision for </w:t>
      </w:r>
      <w:r w:rsidR="0028506E">
        <w:t>APTPPL.</w:t>
      </w:r>
    </w:p>
    <w:p w:rsidR="00327D21" w:rsidRPr="00327D21" w:rsidRDefault="00327D21" w:rsidP="00327D21">
      <w:pPr>
        <w:pStyle w:val="HeadingBoldBlue"/>
      </w:pPr>
      <w:r w:rsidRPr="00327D21">
        <w:t>Return on debt approach</w:t>
      </w:r>
    </w:p>
    <w:p w:rsidR="00327D21" w:rsidRPr="00327D21" w:rsidRDefault="00327D21" w:rsidP="00327D21">
      <w:r w:rsidRPr="00327D21">
        <w:t>Our draft decision is to transition the entire return on debt</w:t>
      </w:r>
      <w:r w:rsidRPr="00327D21">
        <w:rPr>
          <w:rStyle w:val="FootnoteReference"/>
        </w:rPr>
        <w:footnoteReference w:id="524"/>
      </w:r>
      <w:r w:rsidRPr="00327D21">
        <w:t xml:space="preserve"> from an on-the-day approach in the first regulatory year to a trailing average by updating 10 per cent of the debt portfolio over 10 years (a full transition). This is consistent with</w:t>
      </w:r>
      <w:r w:rsidR="0028506E">
        <w:t xml:space="preserve"> the Guideline.</w:t>
      </w:r>
      <w:r w:rsidRPr="00327D21">
        <w:rPr>
          <w:rStyle w:val="FootnoteReference"/>
        </w:rPr>
        <w:footnoteReference w:id="525"/>
      </w:r>
      <w:r w:rsidRPr="00327D21">
        <w:t xml:space="preserve"> </w:t>
      </w:r>
      <w:r w:rsidR="0028506E" w:rsidRPr="001061C5">
        <w:t>APTPPL</w:t>
      </w:r>
      <w:r w:rsidR="0028506E">
        <w:t xml:space="preserve"> and APA VTS in their</w:t>
      </w:r>
      <w:r w:rsidR="0028506E" w:rsidRPr="001061C5">
        <w:t xml:space="preserve"> proposal submitted an immediate transition to the trailing average approach</w:t>
      </w:r>
      <w:r w:rsidR="0028506E">
        <w:t>.</w:t>
      </w:r>
      <w:r w:rsidR="0028506E">
        <w:rPr>
          <w:rStyle w:val="FootnoteReference"/>
        </w:rPr>
        <w:footnoteReference w:id="526"/>
      </w:r>
    </w:p>
    <w:p w:rsidR="00327D21" w:rsidRDefault="00327D21" w:rsidP="00327D21">
      <w:r w:rsidRPr="00327D21">
        <w:t xml:space="preserve">We have also considered </w:t>
      </w:r>
      <w:r w:rsidR="0028506E">
        <w:t>the material they proposed in their proposals and</w:t>
      </w:r>
      <w:r w:rsidR="0028506E" w:rsidRPr="00327D21">
        <w:t xml:space="preserve"> </w:t>
      </w:r>
      <w:r w:rsidRPr="00327D21">
        <w:t>a CEG report on the AER’s current interpretation of the ARORO</w:t>
      </w:r>
      <w:r w:rsidRPr="00327D21">
        <w:rPr>
          <w:rStyle w:val="FootnoteReference"/>
        </w:rPr>
        <w:footnoteReference w:id="527"/>
      </w:r>
      <w:r w:rsidRPr="00327D21">
        <w:t xml:space="preserve"> submitted by AusNet with its revised proposal in making th</w:t>
      </w:r>
      <w:r w:rsidR="00EC33C5">
        <w:t>is</w:t>
      </w:r>
      <w:r w:rsidRPr="00327D21">
        <w:t xml:space="preserve"> draft decision for </w:t>
      </w:r>
      <w:r w:rsidR="0028506E">
        <w:t>APTPPL</w:t>
      </w:r>
      <w:r w:rsidRPr="00327D21">
        <w:t>. We have decided to adop</w:t>
      </w:r>
      <w:r w:rsidR="007A1B84">
        <w:t>t</w:t>
      </w:r>
      <w:r w:rsidRPr="00327D21">
        <w:t xml:space="preserve"> the full transition approach after the consideration of th</w:t>
      </w:r>
      <w:r w:rsidR="00CB4AF3">
        <w:t>e material</w:t>
      </w:r>
      <w:r w:rsidRPr="00327D21">
        <w:t xml:space="preserve">. Our decision is </w:t>
      </w:r>
      <w:r w:rsidR="00EC33C5">
        <w:t xml:space="preserve">in </w:t>
      </w:r>
      <w:r w:rsidR="008E632F">
        <w:t>many aspects</w:t>
      </w:r>
      <w:r w:rsidRPr="00327D21">
        <w:t xml:space="preserve"> the same on transition as our decisions released in April 2017, although we have considered the material </w:t>
      </w:r>
      <w:r w:rsidR="00B97DEB">
        <w:t>submitted by</w:t>
      </w:r>
      <w:r w:rsidRPr="00327D21">
        <w:t xml:space="preserve"> the service providers for which we are currently releasing decisions in concluding this approach remains appropriate</w:t>
      </w:r>
      <w:r w:rsidR="008E632F">
        <w:t>, as well as the more recent Full Federal Court decision</w:t>
      </w:r>
      <w:r w:rsidRPr="00327D21">
        <w:t>. We note no new expert reports have been submitted by stakeholders, or completed for the AER, that were not considered in making our earlier April  2017 decisions.</w:t>
      </w:r>
    </w:p>
    <w:p w:rsidR="00F81377" w:rsidRPr="00742E4D" w:rsidRDefault="00F81377" w:rsidP="00F81377">
      <w:r w:rsidRPr="00742E4D">
        <w:t>We consider a full transition is required to meet the ARORO because we consider curren</w:t>
      </w:r>
      <w:r w:rsidR="00B97DEB">
        <w:t xml:space="preserve">t debt costs in the market </w:t>
      </w:r>
      <w:r w:rsidRPr="00742E4D">
        <w:t>reflect efficient</w:t>
      </w:r>
      <w:r w:rsidR="00B97DEB">
        <w:t xml:space="preserve"> financing</w:t>
      </w:r>
      <w:r w:rsidRPr="00742E4D">
        <w:t xml:space="preserve"> costs and we consider correct compensation in a present value sense (or an allowance </w:t>
      </w:r>
      <w:r w:rsidR="00B97DEB">
        <w:t>that meets the NPV = 0 condition</w:t>
      </w:r>
      <w:r w:rsidRPr="00742E4D">
        <w:t xml:space="preserve">) is required to meeting the ARORO and to achieve the </w:t>
      </w:r>
      <w:r w:rsidR="001B547E">
        <w:t>NGO</w:t>
      </w:r>
      <w:r w:rsidRPr="00742E4D">
        <w:t xml:space="preserve">.  In the absence of a full transition the only other approach we have examined that we consider will satisfy the ARORO </w:t>
      </w:r>
      <w:r w:rsidR="00B97DEB">
        <w:t xml:space="preserve">and achieve the NGO </w:t>
      </w:r>
      <w:r w:rsidRPr="00742E4D">
        <w:t xml:space="preserve">is the continuation of the on-the-day methodology. </w:t>
      </w:r>
    </w:p>
    <w:p w:rsidR="00327D21" w:rsidRPr="00327D21" w:rsidRDefault="00F81377" w:rsidP="008E632F">
      <w:r w:rsidRPr="00742E4D">
        <w:t xml:space="preserve">Along with </w:t>
      </w:r>
      <w:r>
        <w:t>this draft decision for APTPPL</w:t>
      </w:r>
      <w:r w:rsidRPr="00742E4D">
        <w:t xml:space="preserve">, we are making four other constituent rate of return decisions for other service providers </w:t>
      </w:r>
      <w:r>
        <w:t xml:space="preserve">as </w:t>
      </w:r>
      <w:r w:rsidRPr="00742E4D">
        <w:t>a part of their draft deteminations</w:t>
      </w:r>
      <w:r w:rsidR="00327D21" w:rsidRPr="00327D21">
        <w:rPr>
          <w:rStyle w:val="AERbody"/>
        </w:rPr>
        <w:t xml:space="preserve">. </w:t>
      </w:r>
      <w:r w:rsidR="00327D21" w:rsidRPr="00327D21">
        <w:rPr>
          <w:rStyle w:val="FootnoteReference"/>
        </w:rPr>
        <w:footnoteReference w:id="528"/>
      </w:r>
      <w:r w:rsidR="00327D21" w:rsidRPr="00327D21">
        <w:rPr>
          <w:rStyle w:val="AERbody"/>
        </w:rPr>
        <w:t xml:space="preserve"> We have considered these proposals together where they put substantially the same views and reasoning forward. While AusNet Services Gas Distribution, Multinet and AGN adopted our full transition approach, APTPPL and APA proposed an immediate transition to the trailing average approach.</w:t>
      </w:r>
      <w:r w:rsidR="00327D21" w:rsidRPr="00327D21">
        <w:rPr>
          <w:rStyle w:val="FootnoteReference"/>
        </w:rPr>
        <w:footnoteReference w:id="529"/>
      </w:r>
      <w:r w:rsidR="00327D21" w:rsidRPr="00327D21">
        <w:rPr>
          <w:rStyle w:val="AERbody"/>
        </w:rPr>
        <w:t xml:space="preserve"> We also note AusNet Services in its revised proposal proposed changing its preferred approach to dealing with the transition to a trailing average.</w:t>
      </w:r>
      <w:r w:rsidR="00327D21" w:rsidRPr="00327D21">
        <w:rPr>
          <w:rStyle w:val="FootnoteReference"/>
        </w:rPr>
        <w:footnoteReference w:id="530"/>
      </w:r>
      <w:r w:rsidR="00327D21" w:rsidRPr="00327D21">
        <w:rPr>
          <w:rStyle w:val="AERbody"/>
        </w:rPr>
        <w:t xml:space="preserve"> We have considered its revised proposal and a CEG report submitted by AusNet Services.</w:t>
      </w:r>
      <w:r w:rsidR="00327D21" w:rsidRPr="00327D21">
        <w:rPr>
          <w:rStyle w:val="FootnoteReference"/>
        </w:rPr>
        <w:footnoteReference w:id="531"/>
      </w:r>
      <w:r w:rsidR="00327D21" w:rsidRPr="00327D21">
        <w:rPr>
          <w:rStyle w:val="AERbody"/>
        </w:rPr>
        <w:t xml:space="preserve"> We remain convinced that a full transition is required if we use the trailing average approach</w:t>
      </w:r>
      <w:r w:rsidR="008E632F">
        <w:rPr>
          <w:rStyle w:val="AERbody"/>
        </w:rPr>
        <w:t xml:space="preserve"> if we are to meet the ARORO</w:t>
      </w:r>
      <w:r w:rsidR="00327D21" w:rsidRPr="00327D21">
        <w:rPr>
          <w:rStyle w:val="AERbody"/>
        </w:rPr>
        <w:t xml:space="preserve">. </w:t>
      </w:r>
      <w:r w:rsidR="008E632F">
        <w:rPr>
          <w:rStyle w:val="AERbody"/>
        </w:rPr>
        <w:t>W</w:t>
      </w:r>
      <w:r w:rsidR="00327D21" w:rsidRPr="00327D21">
        <w:t xml:space="preserve">e have </w:t>
      </w:r>
      <w:r w:rsidR="00EC33C5">
        <w:t>estimat</w:t>
      </w:r>
      <w:r w:rsidR="00327D21" w:rsidRPr="00327D21">
        <w:t xml:space="preserve">ed the proposed return on debt for the first regulatory year (% nominal) as </w:t>
      </w:r>
      <w:r w:rsidR="00EC33C5">
        <w:t>4.79% (noting this will be updated for the final agreed averaging period)</w:t>
      </w:r>
      <w:r w:rsidR="00327D21" w:rsidRPr="00327D21">
        <w:t>.</w:t>
      </w:r>
    </w:p>
    <w:p w:rsidR="00327D21" w:rsidRPr="00327D21" w:rsidRDefault="00327D21" w:rsidP="00327D21">
      <w:r w:rsidRPr="00327D21">
        <w:t>In this section, we:</w:t>
      </w:r>
    </w:p>
    <w:p w:rsidR="00327D21" w:rsidRPr="00327D21" w:rsidRDefault="00327D21" w:rsidP="00327D21">
      <w:pPr>
        <w:pStyle w:val="AERbulletlistfirststyle"/>
      </w:pPr>
      <w:r w:rsidRPr="00327D21">
        <w:t>set out our overall return on debt approach (that is, the transition to a trailing average)</w:t>
      </w:r>
    </w:p>
    <w:p w:rsidR="00327D21" w:rsidRPr="00327D21" w:rsidRDefault="00327D21" w:rsidP="00327D21">
      <w:pPr>
        <w:pStyle w:val="AERbulletlistfirststyle"/>
      </w:pPr>
      <w:r w:rsidRPr="00327D21">
        <w:t xml:space="preserve">set out </w:t>
      </w:r>
      <w:r w:rsidR="00803E93">
        <w:t>APTPPL</w:t>
      </w:r>
      <w:r w:rsidRPr="00327D21">
        <w:t xml:space="preserve">'s proposal </w:t>
      </w:r>
    </w:p>
    <w:p w:rsidR="00327D21" w:rsidRPr="00327D21" w:rsidRDefault="00327D21" w:rsidP="00327D21">
      <w:pPr>
        <w:pStyle w:val="AERbulletlistfirststyle"/>
      </w:pPr>
      <w:r w:rsidRPr="00327D21">
        <w:t>explain what approaches to estimating the return on debt can contribute to the ARORO</w:t>
      </w:r>
      <w:r w:rsidRPr="00327D21" w:rsidDel="00472C05">
        <w:t xml:space="preserve"> </w:t>
      </w:r>
      <w:r w:rsidRPr="00327D21">
        <w:t>and why (which includes our approach in this draft decision)</w:t>
      </w:r>
    </w:p>
    <w:p w:rsidR="00327D21" w:rsidRPr="00327D21" w:rsidRDefault="00327D21" w:rsidP="00327D21">
      <w:pPr>
        <w:pStyle w:val="AERbulletlistfirststyle"/>
      </w:pPr>
      <w:r w:rsidRPr="00327D21">
        <w:t>explain why other approaches that have been suggested would not meet the requirements of the ARORO and NEO/NGO</w:t>
      </w:r>
    </w:p>
    <w:p w:rsidR="00327D21" w:rsidRPr="00327D21" w:rsidRDefault="00327D21" w:rsidP="00327D21">
      <w:pPr>
        <w:pStyle w:val="AERbulletlistfirststyle"/>
      </w:pPr>
      <w:r w:rsidRPr="00327D21">
        <w:t>set out general problems with using historical data to estimate the allowed return on debt.</w:t>
      </w:r>
    </w:p>
    <w:p w:rsidR="00327D21" w:rsidRPr="00327D21" w:rsidRDefault="00327D21" w:rsidP="00327D21">
      <w:pPr>
        <w:pStyle w:val="HeadingBoldItalic"/>
      </w:pPr>
      <w:r w:rsidRPr="00327D21">
        <w:t>Our approach to estimating the return on debt</w:t>
      </w:r>
    </w:p>
    <w:p w:rsidR="00327D21" w:rsidRPr="00327D21" w:rsidRDefault="00327D21" w:rsidP="00327D21">
      <w:r w:rsidRPr="00327D21">
        <w:t>Our draft decision is to start with an on-the-day approach for the first regulatory year and gradually transition into a trailing average approach over 10 years (a full transition).</w:t>
      </w:r>
      <w:r w:rsidRPr="00327D21">
        <w:rPr>
          <w:rStyle w:val="FootnoteReference"/>
        </w:rPr>
        <w:footnoteReference w:id="532"/>
      </w:r>
      <w:r w:rsidRPr="00327D21">
        <w:t xml:space="preserve"> Applied to </w:t>
      </w:r>
      <w:r w:rsidR="00803E93">
        <w:t>APTPPL</w:t>
      </w:r>
      <w:r w:rsidRPr="00327D21">
        <w:t>, this means our return on debt approach is to:</w:t>
      </w:r>
    </w:p>
    <w:p w:rsidR="00327D21" w:rsidRPr="00327D21" w:rsidRDefault="00327D21" w:rsidP="00327D21">
      <w:pPr>
        <w:pStyle w:val="AERbulletlistfirststyle"/>
      </w:pPr>
      <w:r w:rsidRPr="00327D21">
        <w:t>estimate the return on debt using an on-the-day approach (that is, based on prevailing interest rates near the commencement of the access arrangement period) in the first regulatory year (201</w:t>
      </w:r>
      <w:r w:rsidR="00803E93">
        <w:t>7</w:t>
      </w:r>
      <w:r w:rsidRPr="00327D21">
        <w:t>) of the 201</w:t>
      </w:r>
      <w:r w:rsidR="00803E93">
        <w:t>7</w:t>
      </w:r>
      <w:r w:rsidRPr="00327D21">
        <w:t>–22 regulatory control period, and</w:t>
      </w:r>
    </w:p>
    <w:p w:rsidR="00327D21" w:rsidRPr="00327D21" w:rsidRDefault="00327D21" w:rsidP="00327D21">
      <w:pPr>
        <w:pStyle w:val="AERbulletlistfirststyle"/>
      </w:pPr>
      <w:r w:rsidRPr="00327D21">
        <w:t>gradually transition this approach into a trailing average (that is, a moving historical average) over 10 years by annually updating 10 per cent of the return on debt to reflect prevailing market conditions in that year.</w:t>
      </w:r>
      <w:r w:rsidRPr="00327D21">
        <w:rPr>
          <w:rStyle w:val="AERsuperscript"/>
        </w:rPr>
        <w:footnoteReference w:id="533"/>
      </w:r>
    </w:p>
    <w:p w:rsidR="00327D21" w:rsidRPr="00327D21" w:rsidRDefault="00327D21" w:rsidP="00327D21">
      <w:r w:rsidRPr="00327D21">
        <w:t>In practical terms, our return on debt approach means that an on-the-day approach around the start of the 201</w:t>
      </w:r>
      <w:r w:rsidR="00803E93">
        <w:t>7</w:t>
      </w:r>
      <w:r w:rsidRPr="00327D21">
        <w:t>–22 access arrangement period is applied to:</w:t>
      </w:r>
    </w:p>
    <w:p w:rsidR="00327D21" w:rsidRPr="00327D21" w:rsidRDefault="00327D21" w:rsidP="00327D21">
      <w:pPr>
        <w:pStyle w:val="AERbulletlistfirststyle"/>
      </w:pPr>
      <w:r w:rsidRPr="00327D21">
        <w:t>100 per cent of the debt portfolio in the calculation of the allowed return on debt for the 201</w:t>
      </w:r>
      <w:r w:rsidR="00803E93">
        <w:t>7</w:t>
      </w:r>
      <w:r w:rsidRPr="00327D21">
        <w:t xml:space="preserve"> regulatory year</w:t>
      </w:r>
    </w:p>
    <w:p w:rsidR="00327D21" w:rsidRPr="00327D21" w:rsidRDefault="00327D21" w:rsidP="00327D21">
      <w:pPr>
        <w:pStyle w:val="AERbulletlistfirststyle"/>
      </w:pPr>
      <w:r w:rsidRPr="00327D21">
        <w:t>90 per cent of the debt portfolio in the calculation of the allowed return on debt for the 201</w:t>
      </w:r>
      <w:r w:rsidR="00803E93">
        <w:t>8</w:t>
      </w:r>
      <w:r w:rsidRPr="00327D21">
        <w:t xml:space="preserve"> regulatory year, with the remaining 10 per cent updated to reflect prevailing interest rates during </w:t>
      </w:r>
      <w:r w:rsidR="00803E93">
        <w:t>APTPPL's</w:t>
      </w:r>
      <w:r w:rsidRPr="00327D21">
        <w:t xml:space="preserve"> averaging period for 201</w:t>
      </w:r>
      <w:r w:rsidR="00803E93">
        <w:t>8</w:t>
      </w:r>
      <w:r w:rsidRPr="00327D21">
        <w:t>.  Consistent with the rules requirements, this annual update (and all future annual updates) will be affected through the automatic application of the return on debt methodology we set out in this decision.</w:t>
      </w:r>
      <w:r w:rsidRPr="00327D21">
        <w:rPr>
          <w:rStyle w:val="AERsuperscript"/>
        </w:rPr>
        <w:footnoteReference w:id="534"/>
      </w:r>
    </w:p>
    <w:p w:rsidR="00327D21" w:rsidRPr="00327D21" w:rsidRDefault="00327D21" w:rsidP="00327D21">
      <w:pPr>
        <w:pStyle w:val="AERbulletlistfirststyle"/>
      </w:pPr>
      <w:r w:rsidRPr="00327D21">
        <w:t>80 per cent of the debt portfolio in the calculation of the allowed return on debt for the 20</w:t>
      </w:r>
      <w:r w:rsidR="00803E93">
        <w:t>19</w:t>
      </w:r>
      <w:r w:rsidRPr="00327D21">
        <w:t xml:space="preserve"> regulatory year, with 10 per cent based on prevailing interest rates during </w:t>
      </w:r>
      <w:r w:rsidR="00803E93">
        <w:t>APTPPL</w:t>
      </w:r>
      <w:r w:rsidRPr="00327D21">
        <w:t>'s averaging period for 201</w:t>
      </w:r>
      <w:r w:rsidR="00803E93">
        <w:t>8</w:t>
      </w:r>
      <w:r w:rsidRPr="00327D21">
        <w:t xml:space="preserve">, and 10 per cent updated to reflect prevailing interest rates during </w:t>
      </w:r>
      <w:r w:rsidR="008234C3">
        <w:t>Multinet's</w:t>
      </w:r>
      <w:r w:rsidRPr="00327D21">
        <w:t xml:space="preserve"> averaging period for 20</w:t>
      </w:r>
      <w:r w:rsidR="00803E93">
        <w:t>19</w:t>
      </w:r>
      <w:r w:rsidRPr="00327D21">
        <w:t>, and</w:t>
      </w:r>
    </w:p>
    <w:p w:rsidR="00327D21" w:rsidRPr="00327D21" w:rsidRDefault="00327D21" w:rsidP="00327D21">
      <w:pPr>
        <w:pStyle w:val="AERbulletlistfirststyle"/>
      </w:pPr>
      <w:r w:rsidRPr="00327D21">
        <w:t>so on for the subsequent regulatory years.</w:t>
      </w:r>
    </w:p>
    <w:p w:rsidR="00327D21" w:rsidRPr="00327D21" w:rsidRDefault="00327D21" w:rsidP="00327D21">
      <w:r w:rsidRPr="00327D21">
        <w:t xml:space="preserve">After the 10 year transition period is complete, the return on debt is a simple average of prevailing interest rates during </w:t>
      </w:r>
      <w:r w:rsidR="00803E93">
        <w:t>APTPPL</w:t>
      </w:r>
      <w:r w:rsidRPr="00327D21">
        <w:t xml:space="preserve">'s averaging periods over the previous 10 years (a trailing average). </w:t>
      </w:r>
    </w:p>
    <w:p w:rsidR="00327D21" w:rsidRPr="00327D21" w:rsidRDefault="00803E93" w:rsidP="00327D21">
      <w:pPr>
        <w:pStyle w:val="HeadingBoldItalic"/>
      </w:pPr>
      <w:r>
        <w:t>APTPPL's</w:t>
      </w:r>
      <w:r w:rsidR="00327D21" w:rsidRPr="00327D21">
        <w:t xml:space="preserve"> proposal </w:t>
      </w:r>
    </w:p>
    <w:p w:rsidR="00327D21" w:rsidRPr="00327D21" w:rsidRDefault="00803E93">
      <w:r>
        <w:t>APTPPL</w:t>
      </w:r>
      <w:r w:rsidR="00327D21" w:rsidRPr="00327D21">
        <w:t xml:space="preserve"> in its proposal </w:t>
      </w:r>
      <w:r>
        <w:t xml:space="preserve">proposed to depart from </w:t>
      </w:r>
      <w:r w:rsidR="00327D21" w:rsidRPr="00327D21">
        <w:t xml:space="preserve"> the AER's Guideline transition in estimating the required return on debt</w:t>
      </w:r>
      <w:r>
        <w:t xml:space="preserve"> and adopted an immediate transition to the trailing average approach</w:t>
      </w:r>
      <w:r w:rsidR="00327D21" w:rsidRPr="00327D21">
        <w:t>.</w:t>
      </w:r>
      <w:r w:rsidR="00327D21" w:rsidRPr="00327D21">
        <w:rPr>
          <w:rStyle w:val="FootnoteReference"/>
        </w:rPr>
        <w:footnoteReference w:id="535"/>
      </w:r>
      <w:r w:rsidR="00327D21" w:rsidRPr="00327D21">
        <w:t xml:space="preserve"> In making the draft decision for </w:t>
      </w:r>
      <w:r w:rsidR="001429E3">
        <w:t>APTPPL</w:t>
      </w:r>
      <w:r w:rsidR="00327D21" w:rsidRPr="00327D21">
        <w:t xml:space="preserve">, we have taken </w:t>
      </w:r>
      <w:r w:rsidR="007B4ABA">
        <w:t>the in</w:t>
      </w:r>
      <w:r w:rsidR="007A1B84">
        <w:t>i</w:t>
      </w:r>
      <w:r w:rsidR="007B4ABA">
        <w:t xml:space="preserve">tial proposals of </w:t>
      </w:r>
      <w:r w:rsidR="001429E3">
        <w:t>Multinet</w:t>
      </w:r>
      <w:r w:rsidR="00EC33C5">
        <w:t>,</w:t>
      </w:r>
      <w:r w:rsidR="00327D21" w:rsidRPr="00327D21">
        <w:t xml:space="preserve"> APA VTS</w:t>
      </w:r>
      <w:r w:rsidR="007B4ABA">
        <w:t>, AGN and AusNet gas</w:t>
      </w:r>
      <w:r w:rsidR="00327D21" w:rsidRPr="00327D21">
        <w:t xml:space="preserve"> and AusNet's revised </w:t>
      </w:r>
      <w:r w:rsidR="007B4ABA">
        <w:t xml:space="preserve">electricity transmission </w:t>
      </w:r>
      <w:r w:rsidR="00327D21" w:rsidRPr="00327D21">
        <w:t>proposal into consideration.</w:t>
      </w:r>
      <w:r w:rsidR="00D4286F">
        <w:t xml:space="preserve"> </w:t>
      </w:r>
      <w:r w:rsidR="001429E3" w:rsidRPr="001429E3">
        <w:t xml:space="preserve"> </w:t>
      </w:r>
      <w:r w:rsidR="001429E3" w:rsidRPr="001E06E5">
        <w:t>We note that there is no substantial new material submitted by APA and APTPPL in support of their immediate trailing average approach.</w:t>
      </w:r>
    </w:p>
    <w:p w:rsidR="00327D21" w:rsidRPr="00327D21" w:rsidRDefault="00327D21" w:rsidP="00327D21">
      <w:pPr>
        <w:pStyle w:val="HeadingBoldItalic"/>
      </w:pPr>
      <w:r w:rsidRPr="00327D21">
        <w:t xml:space="preserve">Submissions on </w:t>
      </w:r>
      <w:r w:rsidR="007B4ABA">
        <w:t>the</w:t>
      </w:r>
      <w:r w:rsidR="007A1B84">
        <w:t xml:space="preserve"> </w:t>
      </w:r>
      <w:r w:rsidRPr="00327D21">
        <w:t xml:space="preserve">cost of debt transition approach </w:t>
      </w:r>
    </w:p>
    <w:p w:rsidR="00327D21" w:rsidRPr="00327D21" w:rsidRDefault="00327D21" w:rsidP="00327D21">
      <w:r w:rsidRPr="00327D21">
        <w:t>We have received few submissions on cost of debt transition from consumer representatives. These are summarised below:</w:t>
      </w:r>
    </w:p>
    <w:p w:rsidR="00327D21" w:rsidRPr="00327D21" w:rsidRDefault="00327D21" w:rsidP="00327D21">
      <w:r w:rsidRPr="00327D21">
        <w:t>In October 2016, CCP5 (consumer challenge panel five) expressed its view on AusNet Services’ Revised revenue proposal to use an immediate trailing average, prior to AusNet Services withdrawing that aspect of its proposal.  We note the submission here for completeness.  CCP5 expressed the view that the proposed cost of debt of 7.56% (under an immediate transition approach) was an opportunistic grab, given its initial proposal was much lower and the interest rates disclosed in its parents consolidated accounts were much lower.</w:t>
      </w:r>
      <w:r w:rsidRPr="00327D21">
        <w:rPr>
          <w:rStyle w:val="FootnoteReference"/>
        </w:rPr>
        <w:footnoteReference w:id="536"/>
      </w:r>
      <w:r w:rsidRPr="00327D21">
        <w:t xml:space="preserve"> CCP5 considered its genuine cost of debt is without doubt closer to 5.22% than 7.56%</w:t>
      </w:r>
      <w:r w:rsidRPr="00327D21">
        <w:rPr>
          <w:rStyle w:val="FootnoteReference"/>
        </w:rPr>
        <w:footnoteReference w:id="537"/>
      </w:r>
      <w:r w:rsidRPr="00327D21">
        <w:t>and stated:</w:t>
      </w:r>
      <w:r w:rsidRPr="00327D21">
        <w:rPr>
          <w:rStyle w:val="FootnoteReference"/>
        </w:rPr>
        <w:t xml:space="preserve"> </w:t>
      </w:r>
      <w:r w:rsidRPr="00327D21">
        <w:rPr>
          <w:rStyle w:val="FootnoteReference"/>
        </w:rPr>
        <w:footnoteReference w:id="538"/>
      </w:r>
    </w:p>
    <w:p w:rsidR="00327D21" w:rsidRPr="00327D21" w:rsidRDefault="00327D21" w:rsidP="00327D21">
      <w:pPr>
        <w:pStyle w:val="AERquote"/>
      </w:pPr>
      <w:r w:rsidRPr="00327D21">
        <w:t>“Regulated networks must face an incentive to keep all costs as low as possible, including cost of debt, and it is incomprehensible to us that between AusNet Services’ original proposal in October 2015 and this proposal in September 2016, their efficient cost of debt has risen by 200 basis points.  It is in consumers’ long term interests that the cost of debt included in the rate of return reflects current market conditions and motivates businesses to borrow in the most efficient and prudent way.”</w:t>
      </w:r>
    </w:p>
    <w:p w:rsidR="00327D21" w:rsidRPr="00327D21" w:rsidRDefault="00327D21" w:rsidP="00327D21">
      <w:r w:rsidRPr="00327D21">
        <w:t>However, on 9 December 2016, AusNet Services wrote to the AER advising of its intent to propose a cost of debt transition consistent with the AER’s Guideline and to withdraw the immediate transition cost of debt approach from its Transmission Revised Revenue Proposal for the 2017-22 regulatory control period.</w:t>
      </w:r>
      <w:r w:rsidRPr="00327D21">
        <w:rPr>
          <w:rStyle w:val="FootnoteReference"/>
        </w:rPr>
        <w:footnoteReference w:id="539"/>
      </w:r>
      <w:r w:rsidRPr="00327D21">
        <w:t xml:space="preserve"> Consistent with this intent, on 20 Dec 2016 AusNet Services provided a further letter indicating it was now proposing a full transition for its transmission determination and provided revised modelling consistent with the AER’s full transition approach on 20 December 2016.</w:t>
      </w:r>
      <w:r w:rsidRPr="00327D21">
        <w:rPr>
          <w:rStyle w:val="FootnoteReference"/>
        </w:rPr>
        <w:footnoteReference w:id="540"/>
      </w:r>
      <w:r w:rsidRPr="00327D21" w:rsidDel="00F56912">
        <w:t xml:space="preserve"> </w:t>
      </w:r>
    </w:p>
    <w:p w:rsidR="00327D21" w:rsidRPr="00327D21" w:rsidRDefault="00327D21" w:rsidP="00327D21">
      <w:r w:rsidRPr="00327D21">
        <w:t>In March 2017, CCP11 (consumer challenge panel eleven) for APA VTS considered the evidence provided to date supports the AER's full transition approach.</w:t>
      </w:r>
      <w:r w:rsidRPr="00327D21">
        <w:rPr>
          <w:rStyle w:val="FootnoteReference"/>
        </w:rPr>
        <w:footnoteReference w:id="541"/>
      </w:r>
      <w:r w:rsidRPr="00327D21">
        <w:t xml:space="preserve"> It agreed with the AER that the trailing average without transition provides a significant increase to the allowed return on debt. They considered the allowed return on debt will not reflect the reasonable efficient cost of debt and is not in the long run interests of consumers. CCP11 suggested the AER to reject APA VTS's proposal on directly moving to a 10-year trailing average. </w:t>
      </w:r>
      <w:r w:rsidRPr="00327D21">
        <w:rPr>
          <w:rStyle w:val="FootnoteReference"/>
        </w:rPr>
        <w:footnoteReference w:id="542"/>
      </w:r>
    </w:p>
    <w:p w:rsidR="00327D21" w:rsidRPr="00327D21" w:rsidRDefault="00327D21" w:rsidP="00327D21">
      <w:pPr>
        <w:pStyle w:val="HeadingBoldItalic"/>
      </w:pPr>
      <w:r w:rsidRPr="00327D21">
        <w:t>Approaches that contribute to the achievement of the ARORO</w:t>
      </w:r>
    </w:p>
    <w:p w:rsidR="00327D21" w:rsidRPr="00327D21" w:rsidRDefault="00327D21" w:rsidP="00327D21">
      <w:r w:rsidRPr="00327D21">
        <w:t>We consider the ARORO requires that the allowed rate of return appropriately compensates investors for capital investments (in an ex-ante sense) and aims to minimise the long run cost of capital (all else being equal).</w:t>
      </w:r>
      <w:r w:rsidRPr="00327D21">
        <w:rPr>
          <w:rStyle w:val="FootnoteReference"/>
        </w:rPr>
        <w:footnoteReference w:id="543"/>
      </w:r>
      <w:r w:rsidRPr="00327D21">
        <w:t xml:space="preserve"> 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w:t>
      </w:r>
      <w:r w:rsidR="008E632F">
        <w:t xml:space="preserve">which underlies the regulatory framework, </w:t>
      </w:r>
      <w:r w:rsidRPr="00327D21">
        <w:t xml:space="preserve">as discussed in section </w:t>
      </w:r>
      <w:r w:rsidRPr="00327D21">
        <w:fldChar w:fldCharType="begin"/>
      </w:r>
      <w:r w:rsidRPr="00327D21">
        <w:instrText xml:space="preserve"> REF _Ref479168317 \r \h </w:instrText>
      </w:r>
      <w:r w:rsidRPr="00327D21">
        <w:fldChar w:fldCharType="separate"/>
      </w:r>
      <w:r w:rsidR="002C24D6">
        <w:t>3.3.3</w:t>
      </w:r>
      <w:r w:rsidRPr="00327D21">
        <w:fldChar w:fldCharType="end"/>
      </w:r>
      <w:r w:rsidRPr="00327D21">
        <w:t>.</w:t>
      </w:r>
      <w:r w:rsidRPr="00327D21">
        <w:rPr>
          <w:rStyle w:val="FootnoteReference"/>
        </w:rPr>
        <w:footnoteReference w:id="544"/>
      </w:r>
    </w:p>
    <w:p w:rsidR="00327D21" w:rsidRPr="00327D21" w:rsidRDefault="00327D21" w:rsidP="00327D21">
      <w:r w:rsidRPr="00327D21">
        <w:t xml:space="preserve">A rate of return that achieves the ARORO should be consistent with the RPPs in the NEL/NGL, which indicate a service provider should be provided with a reasonable opportunity to recover at least efficient costs. These also require that we should provide </w:t>
      </w:r>
      <w:r w:rsidR="00D4286F">
        <w:t>service providers</w:t>
      </w:r>
      <w:r w:rsidRPr="00327D21">
        <w:t xml:space="preserve"> with effective incentives to promote economic efficiency and have regard to the economic costs and risk of the potential for service providers to under- or over-invest.</w:t>
      </w:r>
      <w:r w:rsidRPr="00327D21">
        <w:rPr>
          <w:rStyle w:val="FootnoteReference"/>
        </w:rPr>
        <w:footnoteReference w:id="545"/>
      </w:r>
    </w:p>
    <w:p w:rsidR="0075658F" w:rsidRDefault="00327D21" w:rsidP="00327D21">
      <w:r w:rsidRPr="00327D21">
        <w:t xml:space="preserve">We have formed our view that our decision to estimate the allowed return on debt by starting with an on-the-day approach for the first regulatory year and gradually transitioning into a trailing average approach over 10 years will result in an allowed return on debt that contributes to the achievement of the ARORO. The other option that we consider would achieve the ARORO is maintaining the on-the-day approach. </w:t>
      </w:r>
    </w:p>
    <w:p w:rsidR="0075658F" w:rsidRDefault="008E632F" w:rsidP="00327D21">
      <w:r>
        <w:t xml:space="preserve">We have had regard to the requirement in the NGR that we consider the desirability of minimising </w:t>
      </w:r>
      <w:r w:rsidRPr="008E632F">
        <w:t>any difference between the return on debt and the return on debt of a benchmark efficient entity</w:t>
      </w:r>
      <w:r w:rsidR="0075658F">
        <w:t xml:space="preserve"> in choosing between these two methods</w:t>
      </w:r>
      <w:r>
        <w:t xml:space="preserve">.  </w:t>
      </w:r>
      <w:r w:rsidR="0075658F">
        <w:t>W</w:t>
      </w:r>
      <w:r>
        <w:t xml:space="preserve">e consider </w:t>
      </w:r>
      <w:r w:rsidR="0075658F">
        <w:t>a full transition</w:t>
      </w:r>
      <w:r>
        <w:t xml:space="preserve"> may better meet </w:t>
      </w:r>
      <w:r w:rsidR="0075658F">
        <w:t>this requirement than the on the day approach although there are some relative advantages and disadvantages in both approaches.</w:t>
      </w:r>
    </w:p>
    <w:p w:rsidR="00327D21" w:rsidRPr="00327D21" w:rsidRDefault="00327D21" w:rsidP="00327D21">
      <w:r w:rsidRPr="00327D21">
        <w:t xml:space="preserve">Related to this, all else being equal, a trailing average (with transition) and on-the-day approach provide equivalent ex-ante compensation over the term of the RAB (see Appendix </w:t>
      </w:r>
      <w:r w:rsidRPr="00327D21">
        <w:fldChar w:fldCharType="begin"/>
      </w:r>
      <w:r w:rsidRPr="00327D21">
        <w:instrText xml:space="preserve"> REF _Ref447886226 \r \h </w:instrText>
      </w:r>
      <w:r w:rsidRPr="00327D21">
        <w:fldChar w:fldCharType="separate"/>
      </w:r>
      <w:r w:rsidR="002C24D6">
        <w:t>J.5.2</w:t>
      </w:r>
      <w:r w:rsidRPr="00327D21">
        <w:fldChar w:fldCharType="end"/>
      </w:r>
      <w:r w:rsidRPr="00327D21">
        <w:t xml:space="preserve"> for a detailed discussion). We consider this position is consistent with the AEMC's observations about SFG's view:</w:t>
      </w:r>
      <w:r w:rsidRPr="00327D21">
        <w:rPr>
          <w:rStyle w:val="FootnoteReference"/>
        </w:rPr>
        <w:footnoteReference w:id="546"/>
      </w:r>
    </w:p>
    <w:p w:rsidR="00327D21" w:rsidRPr="00327D21" w:rsidRDefault="00327D21" w:rsidP="00327D21">
      <w:pPr>
        <w:pStyle w:val="AERquote"/>
      </w:pPr>
      <w:r w:rsidRPr="00327D21">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327D21" w:rsidRPr="00327D21" w:rsidRDefault="00327D21" w:rsidP="00327D21">
      <w:r w:rsidRPr="00327D21">
        <w:t xml:space="preserve">As noted above, we reconsidered our view on what will achieve the ARORO in light of </w:t>
      </w:r>
      <w:r w:rsidR="007B4ABA">
        <w:t xml:space="preserve">the initial proposals of </w:t>
      </w:r>
      <w:r w:rsidRPr="00327D21">
        <w:t>APTPPL</w:t>
      </w:r>
      <w:r w:rsidR="007B4ABA">
        <w:t>,</w:t>
      </w:r>
      <w:r w:rsidRPr="00327D21">
        <w:t xml:space="preserve"> APA VTS</w:t>
      </w:r>
      <w:r w:rsidR="007B4ABA">
        <w:t>, AGN and Aus</w:t>
      </w:r>
      <w:r w:rsidR="00A65A7E">
        <w:t>N</w:t>
      </w:r>
      <w:r w:rsidR="007B4ABA">
        <w:t xml:space="preserve">et Gas and </w:t>
      </w:r>
      <w:r w:rsidRPr="00327D21">
        <w:t xml:space="preserve">AusNet Services revised </w:t>
      </w:r>
      <w:r w:rsidR="007B4ABA">
        <w:t xml:space="preserve">electricity transmission </w:t>
      </w:r>
      <w:r w:rsidRPr="00327D21">
        <w:t xml:space="preserve">proposal and CEG’s report on the ARORO submitted with AusNet Services' revised </w:t>
      </w:r>
      <w:r w:rsidR="007B4ABA">
        <w:t xml:space="preserve">electricity transmission </w:t>
      </w:r>
      <w:r w:rsidRPr="00327D21">
        <w:t>proposal. We also had our consultants consider this point.</w:t>
      </w:r>
      <w:r w:rsidRPr="00327D21">
        <w:rPr>
          <w:rStyle w:val="FootnoteReference"/>
        </w:rPr>
        <w:footnoteReference w:id="547"/>
      </w:r>
      <w:r w:rsidRPr="00327D21">
        <w:t xml:space="preserve"> Following a full review,</w:t>
      </w:r>
      <w:r w:rsidR="0075658F">
        <w:t xml:space="preserve"> and taking into account the Full Federal Court decision,</w:t>
      </w:r>
      <w:r w:rsidRPr="00327D21">
        <w:t xml:space="preserve"> we </w:t>
      </w:r>
      <w:r w:rsidR="0075658F">
        <w:t>are</w:t>
      </w:r>
      <w:r w:rsidR="0075658F" w:rsidRPr="00327D21">
        <w:t xml:space="preserve"> </w:t>
      </w:r>
      <w:r w:rsidRPr="00327D21">
        <w:t xml:space="preserve">of the view our approach taken in the draft decision (of using a trailing average with full transition) is appropriate and will contribute to an allowed rate of return that will achieve the ARORO for the reasons discussed </w:t>
      </w:r>
      <w:r w:rsidR="00077027">
        <w:t>throughout this decision</w:t>
      </w:r>
      <w:r w:rsidRPr="00327D21">
        <w:t xml:space="preserve">. Responses to </w:t>
      </w:r>
      <w:r w:rsidR="0075658F">
        <w:t xml:space="preserve">some </w:t>
      </w:r>
      <w:r w:rsidRPr="00327D21">
        <w:t xml:space="preserve">specific criticisms </w:t>
      </w:r>
      <w:r w:rsidR="0075658F">
        <w:t xml:space="preserve">that have been made </w:t>
      </w:r>
      <w:r w:rsidRPr="00327D21">
        <w:t xml:space="preserve">of our approach are discussed in Appendix </w:t>
      </w:r>
      <w:r w:rsidRPr="00327D21">
        <w:fldChar w:fldCharType="begin"/>
      </w:r>
      <w:r w:rsidRPr="00327D21">
        <w:instrText xml:space="preserve"> REF _Ref447886226 \r \h </w:instrText>
      </w:r>
      <w:r w:rsidRPr="00327D21">
        <w:fldChar w:fldCharType="separate"/>
      </w:r>
      <w:r w:rsidR="002C24D6">
        <w:t>J.5.2</w:t>
      </w:r>
      <w:r w:rsidRPr="00327D21">
        <w:fldChar w:fldCharType="end"/>
      </w:r>
      <w:r w:rsidRPr="00327D21">
        <w:t>.</w:t>
      </w:r>
    </w:p>
    <w:p w:rsidR="00327D21" w:rsidRPr="00327D21" w:rsidRDefault="00327D21" w:rsidP="00327D21">
      <w:pPr>
        <w:pStyle w:val="HeadingItalic"/>
      </w:pPr>
      <w:r w:rsidRPr="00327D21">
        <w:t>Trailing average (with full transition) meets the ARORO</w:t>
      </w:r>
    </w:p>
    <w:p w:rsidR="00327D21" w:rsidRPr="00327D21" w:rsidRDefault="00327D21" w:rsidP="00327D21">
      <w:r w:rsidRPr="00327D21">
        <w:t xml:space="preserve">With a full transition, a trailing average approach would provide a benchmark efficient entity with a reasonable opportunity to recover at least efficient costs over the term of the RAB. It could therefore result in an allowed return on debt (and overall rate of return) that </w:t>
      </w:r>
      <w:r w:rsidR="0075658F">
        <w:t>is</w:t>
      </w:r>
      <w:r w:rsidRPr="00327D21">
        <w:t xml:space="preserve"> consistent with the rules and NGL. Appendix </w:t>
      </w:r>
      <w:r w:rsidR="008E2AF1">
        <w:fldChar w:fldCharType="begin"/>
      </w:r>
      <w:r w:rsidR="008E2AF1">
        <w:instrText xml:space="preserve"> REF _Ref485118920 \r \h </w:instrText>
      </w:r>
      <w:r w:rsidR="008E2AF1">
        <w:fldChar w:fldCharType="separate"/>
      </w:r>
      <w:r w:rsidR="002C24D6">
        <w:t>J</w:t>
      </w:r>
      <w:r w:rsidR="008E2AF1">
        <w:fldChar w:fldCharType="end"/>
      </w:r>
      <w:r w:rsidR="008E2AF1">
        <w:t xml:space="preserve"> </w:t>
      </w:r>
      <w:r w:rsidRPr="00327D21">
        <w:t>provides detailed reasons, including a mathematic description, for why this holds. Further, regarding adopting a trailing average approach more broadly:</w:t>
      </w:r>
    </w:p>
    <w:p w:rsidR="00327D21" w:rsidRPr="00327D21" w:rsidRDefault="00327D21" w:rsidP="00327D21">
      <w:pPr>
        <w:pStyle w:val="AERbulletlistfirststyle"/>
      </w:pPr>
      <w:r w:rsidRPr="00327D21">
        <w:t>Compared to an on-the-day approach, a trailing average approach will lead to less volatile cash flows.</w:t>
      </w:r>
      <w:r w:rsidRPr="00327D21">
        <w:rPr>
          <w:rStyle w:val="FootnoteReference"/>
        </w:rPr>
        <w:footnoteReference w:id="548"/>
      </w:r>
    </w:p>
    <w:p w:rsidR="00327D21" w:rsidRPr="00327D21" w:rsidRDefault="00327D21" w:rsidP="00327D21">
      <w:pPr>
        <w:pStyle w:val="AERbulletlistfirststyle"/>
      </w:pPr>
      <w:r w:rsidRPr="00327D21">
        <w:t>Some stakeholders submitted that a trailing average would reduce some of the risks faced by service providers, which would eventually flow to lower betas than what we have historically seen.</w:t>
      </w:r>
      <w:r w:rsidRPr="00327D21">
        <w:rPr>
          <w:rStyle w:val="FootnoteReference"/>
        </w:rPr>
        <w:footnoteReference w:id="549"/>
      </w:r>
      <w:r w:rsidRPr="00327D21">
        <w:t xml:space="preserve"> Frontier also advised that a trailing average approach would result in a smooth profile for the allowed return on debt.</w:t>
      </w:r>
      <w:r w:rsidRPr="00327D21">
        <w:rPr>
          <w:rStyle w:val="FootnoteReference"/>
        </w:rPr>
        <w:footnoteReference w:id="550"/>
      </w:r>
    </w:p>
    <w:p w:rsidR="00327D21" w:rsidRPr="00327D21" w:rsidRDefault="00327D21" w:rsidP="00327D21">
      <w:pPr>
        <w:pStyle w:val="AERbulletlistfirststyle"/>
      </w:pPr>
      <w:r w:rsidRPr="00327D21">
        <w:t>A trailing average approach received broad stakeholder support.</w:t>
      </w:r>
      <w:r w:rsidRPr="00327D21">
        <w:rPr>
          <w:rStyle w:val="FootnoteReference"/>
        </w:rPr>
        <w:footnoteReference w:id="551"/>
      </w:r>
      <w:r w:rsidRPr="00327D21">
        <w:t xml:space="preserve"> </w:t>
      </w:r>
    </w:p>
    <w:p w:rsidR="00327D21" w:rsidRPr="00327D21" w:rsidRDefault="00327D21" w:rsidP="00327D21">
      <w:r w:rsidRPr="00327D21">
        <w:t xml:space="preserve">We consider the on-the-day approach </w:t>
      </w:r>
      <w:r w:rsidR="007B4ABA">
        <w:t>w</w:t>
      </w:r>
      <w:r w:rsidRPr="00327D21">
        <w:t>ould contribute to the achievement of the ARORO and is therefore open to us (see the following section). On this basis, the present value of a benchmark efficient entity's allowed revenues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327D21" w:rsidRPr="00327D21" w:rsidRDefault="00327D21" w:rsidP="00327D21">
      <w:r w:rsidRPr="00327D21">
        <w:t xml:space="preserve">If this holds, then changing the present value of </w:t>
      </w:r>
      <w:r w:rsidR="00371758">
        <w:t xml:space="preserve">capital </w:t>
      </w:r>
      <w:r w:rsidR="0075658F">
        <w:t xml:space="preserve">investments </w:t>
      </w:r>
      <w:r w:rsidR="007B4ABA">
        <w:t xml:space="preserve">of </w:t>
      </w:r>
      <w:r w:rsidR="0075658F">
        <w:t>the service provider</w:t>
      </w:r>
      <w:r w:rsidRPr="00327D21">
        <w:t xml:space="preserve"> would result in overcompensation (if we increase its value) or undercompensation (if we decrease its value). This would </w:t>
      </w:r>
      <w:r w:rsidR="00077027">
        <w:t>violate the NPV=0 c</w:t>
      </w:r>
      <w:r w:rsidR="00B97DEB">
        <w:t xml:space="preserve">ondition </w:t>
      </w:r>
      <w:r w:rsidR="00077027">
        <w:t xml:space="preserve">and </w:t>
      </w:r>
      <w:r w:rsidRPr="00327D21">
        <w:t>not meet the ARORO or be consistent with achieving the NGO</w:t>
      </w:r>
      <w:r w:rsidR="0075658F">
        <w:t xml:space="preserve"> having regard to the RPPs</w:t>
      </w:r>
      <w:r w:rsidRPr="00327D21">
        <w:t>. As such, changing debt estimation methodologies must be revenue-neutral (in a present value sense) to avoid incorrectly compensating a benchmark efficient entity relative to its efficient financing costs.</w:t>
      </w:r>
    </w:p>
    <w:p w:rsidR="00327D21" w:rsidRPr="00327D21" w:rsidRDefault="00327D21" w:rsidP="00327D21">
      <w:r w:rsidRPr="00327D21">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w:t>
      </w:r>
      <w:r w:rsidR="0075658F">
        <w:t xml:space="preserve"> inappropriately</w:t>
      </w:r>
      <w:r w:rsidRPr="00327D21">
        <w:t xml:space="preserve"> increase (decrease) the present value </w:t>
      </w:r>
      <w:r w:rsidR="0075658F">
        <w:t>of</w:t>
      </w:r>
      <w:r w:rsidR="00371758">
        <w:t xml:space="preserve"> </w:t>
      </w:r>
      <w:r w:rsidR="007B4ABA">
        <w:t xml:space="preserve">the </w:t>
      </w:r>
      <w:r w:rsidR="00371758">
        <w:t>capital</w:t>
      </w:r>
      <w:r w:rsidR="0075658F">
        <w:t xml:space="preserve"> investments made by the service provider</w:t>
      </w:r>
      <w:r w:rsidR="007B4ABA">
        <w:t xml:space="preserve"> to provide its reference services</w:t>
      </w:r>
      <w:r w:rsidRPr="00327D21">
        <w:t>. This arises because the allowed return on debt is estimated using prevailing market data under the on-the-day approach and historical market data under the trailing average approach. As such, by construction, these two approaches will typically produce different estimates at given points in time.</w:t>
      </w:r>
    </w:p>
    <w:p w:rsidR="00327D21" w:rsidRPr="00327D21" w:rsidRDefault="00327D21" w:rsidP="00327D21">
      <w:r w:rsidRPr="00327D21">
        <w:t>For this reason, we have used our transition approach because it is approximately revenue neutral (in a present value sense).</w:t>
      </w:r>
      <w:r w:rsidRPr="00327D21">
        <w:rPr>
          <w:rStyle w:val="FootnoteReference"/>
        </w:rPr>
        <w:footnoteReference w:id="552"/>
      </w:r>
      <w:r w:rsidRPr="00327D21">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327D21">
        <w:rPr>
          <w:rStyle w:val="FootnoteReference"/>
        </w:rPr>
        <w:footnoteReference w:id="553"/>
      </w:r>
      <w:r w:rsidRPr="00327D21">
        <w:t xml:space="preserve"> We also note that SFG advised the AEMC that the type of transition mechanism we apply in this draft decision would be </w:t>
      </w:r>
      <w:r w:rsidR="007B4ABA">
        <w:t xml:space="preserve">an </w:t>
      </w:r>
      <w:r w:rsidRPr="00327D21">
        <w:t>effective</w:t>
      </w:r>
      <w:r w:rsidR="007B4ABA">
        <w:t xml:space="preserve"> means of transitioning between me</w:t>
      </w:r>
      <w:r w:rsidR="00274BC8">
        <w:t>thodologies</w:t>
      </w:r>
      <w:r w:rsidRPr="00327D21">
        <w:t>:</w:t>
      </w:r>
      <w:r w:rsidRPr="00327D21">
        <w:rPr>
          <w:rStyle w:val="FootnoteReference"/>
        </w:rPr>
        <w:footnoteReference w:id="554"/>
      </w:r>
    </w:p>
    <w:p w:rsidR="00327D21" w:rsidRPr="00327D21" w:rsidRDefault="00327D21" w:rsidP="00327D21">
      <w:pPr>
        <w:pStyle w:val="AERquote"/>
      </w:pPr>
      <w:r w:rsidRPr="00327D21">
        <w:t xml:space="preserve">The type of “rolling in” arrangement [transition] that has been proposed by QTC [the full transition we adopted] would be an effective means of transitioning from the current Rules to the use of an historical average cost of debt approach </w:t>
      </w:r>
    </w:p>
    <w:p w:rsidR="00327D21" w:rsidRPr="00327D21" w:rsidRDefault="00327D21" w:rsidP="00327D21">
      <w:r w:rsidRPr="00327D21">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 any impacts on a benchmark efficient entity referred to in the ARORO that could arise from a change of methodology</w:t>
      </w:r>
      <w:r w:rsidR="00371758">
        <w:t>, in the context of this particular approach</w:t>
      </w:r>
      <w:r w:rsidRPr="00327D21">
        <w:t>.</w:t>
      </w:r>
      <w:r w:rsidRPr="00327D21">
        <w:rPr>
          <w:rStyle w:val="FootnoteReference"/>
        </w:rPr>
        <w:footnoteReference w:id="555"/>
      </w:r>
      <w:r w:rsidRPr="00327D21">
        <w:t xml:space="preserve"> The AEMC explained that the purpose of this aspect of the rules was:</w:t>
      </w:r>
      <w:r w:rsidRPr="00327D21">
        <w:rPr>
          <w:rStyle w:val="FootnoteReference"/>
        </w:rPr>
        <w:footnoteReference w:id="556"/>
      </w:r>
    </w:p>
    <w:p w:rsidR="00327D21" w:rsidRPr="00327D21" w:rsidRDefault="00327D21" w:rsidP="00327D21">
      <w:pPr>
        <w:pStyle w:val="AERquote"/>
      </w:pPr>
      <w:r w:rsidRPr="00327D21">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27D21" w:rsidRPr="00327D21" w:rsidRDefault="005B5DA6" w:rsidP="00327D21">
      <w:r w:rsidRPr="00327D21">
        <w:t>AusNet Services</w:t>
      </w:r>
      <w:r>
        <w:t xml:space="preserve"> Electricity Transmission</w:t>
      </w:r>
      <w:r w:rsidR="00327D21" w:rsidRPr="00327D21">
        <w:t>, APTPPL and APA VTS criticised our (full transition) approach arguing it will not contribute to a rate of return that will contribute to the ARORO.</w:t>
      </w:r>
      <w:r w:rsidR="00327D21" w:rsidRPr="00327D21">
        <w:rPr>
          <w:rStyle w:val="FootnoteReference"/>
        </w:rPr>
        <w:footnoteReference w:id="557"/>
      </w:r>
      <w:r w:rsidR="00327D21" w:rsidRPr="00327D21">
        <w:t xml:space="preserve"> This was supported by an experts report from CEG.</w:t>
      </w:r>
      <w:r w:rsidR="00327D21" w:rsidRPr="00327D21">
        <w:rPr>
          <w:rStyle w:val="FootnoteReference"/>
        </w:rPr>
        <w:footnoteReference w:id="558"/>
      </w:r>
      <w:r w:rsidR="00327D21" w:rsidRPr="00327D21">
        <w:t xml:space="preserve"> We and our consultants have considered the new material. Nothing in the new material submitted changes our views expressed above on why the continuation of the on the day regime will meet the ARORO. We maintain our decision of adopting a full transition if the trailing average approach is applied, otherwise, we would continue to use the on the day regime in the cost of debt calculation for </w:t>
      </w:r>
      <w:r w:rsidR="00FF2E81">
        <w:t>APTPPL</w:t>
      </w:r>
      <w:r w:rsidR="00327D21" w:rsidRPr="00327D21">
        <w:t xml:space="preserve"> and also the other service providers. Our responses to the specific criticisms of our approach are covered in Appendix </w:t>
      </w:r>
      <w:r w:rsidR="00327D21" w:rsidRPr="00327D21">
        <w:fldChar w:fldCharType="begin"/>
      </w:r>
      <w:r w:rsidR="00327D21" w:rsidRPr="00327D21">
        <w:instrText xml:space="preserve"> REF _Ref447886226 \r \h </w:instrText>
      </w:r>
      <w:r w:rsidR="00327D21" w:rsidRPr="00327D21">
        <w:fldChar w:fldCharType="separate"/>
      </w:r>
      <w:r w:rsidR="002C24D6">
        <w:t>J.5.2</w:t>
      </w:r>
      <w:r w:rsidR="00327D21" w:rsidRPr="00327D21">
        <w:fldChar w:fldCharType="end"/>
      </w:r>
      <w:r w:rsidR="00327D21" w:rsidRPr="00327D21">
        <w:t>.</w:t>
      </w:r>
    </w:p>
    <w:p w:rsidR="00327D21" w:rsidRPr="00327D21" w:rsidRDefault="00327D21" w:rsidP="00327D21">
      <w:pPr>
        <w:pStyle w:val="HeadingItalic"/>
      </w:pPr>
      <w:r w:rsidRPr="00327D21">
        <w:t>Continuing the on-the-day approach meets the ARORO</w:t>
      </w:r>
    </w:p>
    <w:p w:rsidR="00327D21" w:rsidRPr="00327D21" w:rsidRDefault="00327D21" w:rsidP="00327D21">
      <w:r w:rsidRPr="00327D21">
        <w:t xml:space="preserve">An on-the-day approach provides service providers with a reasonable opportunity to recover at least efficient costs over the term of the RAB </w:t>
      </w:r>
      <w:r w:rsidRPr="00327D21">
        <w:rPr>
          <w:rStyle w:val="AERtextunderline"/>
        </w:rPr>
        <w:t>and</w:t>
      </w:r>
      <w:r w:rsidRPr="00327D21">
        <w:t xml:space="preserve"> over each access arrangement period. Appendix </w:t>
      </w:r>
      <w:r w:rsidRPr="00327D21">
        <w:fldChar w:fldCharType="begin"/>
      </w:r>
      <w:r w:rsidRPr="00327D21">
        <w:instrText xml:space="preserve"> REF _Ref444767739 \r \h </w:instrText>
      </w:r>
      <w:r w:rsidRPr="00327D21">
        <w:fldChar w:fldCharType="separate"/>
      </w:r>
      <w:r w:rsidR="002C24D6">
        <w:t>J.3</w:t>
      </w:r>
      <w:r w:rsidRPr="00327D21">
        <w:fldChar w:fldCharType="end"/>
      </w:r>
      <w:r w:rsidRPr="00327D21">
        <w:t xml:space="preserve">  provides detailed reasons, including a mathematic description, for why this holds. On this basis, we consider continuing the on-the-day approach for estimating the allowed return on debt will achieve the ARORO and the NGO.</w:t>
      </w:r>
      <w:r w:rsidRPr="00327D21">
        <w:rPr>
          <w:rStyle w:val="FootnoteReference"/>
        </w:rPr>
        <w:footnoteReference w:id="559"/>
      </w:r>
      <w:r w:rsidRPr="00327D21">
        <w:t xml:space="preserve"> Further, as </w:t>
      </w:r>
      <w:r w:rsidRPr="00327D21">
        <w:fldChar w:fldCharType="begin"/>
      </w:r>
      <w:r w:rsidRPr="00327D21">
        <w:instrText xml:space="preserve"> REF  _Ref451174194 \* Lower \h  \* MERGEFORMAT </w:instrText>
      </w:r>
      <w:r w:rsidRPr="00327D21">
        <w:fldChar w:fldCharType="separate"/>
      </w:r>
      <w:r w:rsidR="002C24D6" w:rsidRPr="00327D21">
        <w:t xml:space="preserve">table </w:t>
      </w:r>
      <w:r w:rsidR="002C24D6">
        <w:t>3</w:t>
      </w:r>
      <w:r w:rsidR="002C24D6" w:rsidRPr="00327D21">
        <w:noBreakHyphen/>
      </w:r>
      <w:r w:rsidR="002C24D6">
        <w:t>7</w:t>
      </w:r>
      <w:r w:rsidRPr="00327D21">
        <w:fldChar w:fldCharType="end"/>
      </w:r>
      <w:r w:rsidRPr="00327D21">
        <w:t xml:space="preserve"> shows, we consider that neither an on-the-day nor trailing average approach would be clearly superior to the other. Rather, each of these approaches has its own benefits and limitations.</w:t>
      </w:r>
    </w:p>
    <w:p w:rsidR="00327D21" w:rsidRPr="00327D21" w:rsidRDefault="00327D21" w:rsidP="00327D21">
      <w:r w:rsidRPr="00327D21">
        <w:t>Some service providers and CEG have implicitly criticised our view that continuing the on the day approach will contribute to a rate of return that will meet the ARORO.</w:t>
      </w:r>
      <w:r w:rsidRPr="00327D21">
        <w:rPr>
          <w:rStyle w:val="FootnoteReference"/>
        </w:rPr>
        <w:footnoteReference w:id="560"/>
      </w:r>
      <w:r w:rsidRPr="00327D21">
        <w:t xml:space="preserve"> CEG submit that that our valuation analysis we use to show the on the day approach provides an appropriate return assumes a firm has no debt.</w:t>
      </w:r>
      <w:r w:rsidRPr="00327D21">
        <w:rPr>
          <w:rStyle w:val="FootnoteReference"/>
        </w:rPr>
        <w:footnoteReference w:id="561"/>
      </w:r>
      <w:r w:rsidRPr="00327D21">
        <w:t xml:space="preserve"> We and our consultants considered the new material. Nothing in the new material submitted changes our views expressed above on why the continuation of the on the day regime will meet the ARORO. Our responses to the specific criticisms of our approach are covered in Appendix </w:t>
      </w:r>
      <w:r w:rsidRPr="00327D21">
        <w:fldChar w:fldCharType="begin"/>
      </w:r>
      <w:r w:rsidRPr="00327D21">
        <w:instrText xml:space="preserve"> REF _Ref447886226 \r \h </w:instrText>
      </w:r>
      <w:r w:rsidRPr="00327D21">
        <w:fldChar w:fldCharType="separate"/>
      </w:r>
      <w:r w:rsidR="002C24D6">
        <w:t>J.5.2</w:t>
      </w:r>
      <w:r w:rsidRPr="00327D21">
        <w:fldChar w:fldCharType="end"/>
      </w:r>
      <w:r w:rsidRPr="00327D21">
        <w:t>.</w:t>
      </w:r>
    </w:p>
    <w:p w:rsidR="00327D21" w:rsidRPr="00327D21" w:rsidRDefault="00327D21" w:rsidP="00327D21">
      <w:r w:rsidRPr="00327D21">
        <w:t>Given this, while we adopt a trailing average for this determination, we do not consider this change in methodology would be justified in the absence of a transition. Without a transition, the change to the trailing average would not be revenue neutral, but would rather increase the present value of a benchmark efficient entity's allowed revenues purely due to changing the debt estimation methodology (see the subsequent section). Consequently, in the absence of a transition, we would not consider a trailing approach will achieve the ARORO and we would instead maintain the on-the-day approach to estimating the return on debt. Our view is supported by our consultants who note that "[a]n immediate switch to the trailing average immediately gives risk to a regulated allowed return that exceeds the current requir</w:t>
      </w:r>
      <w:r w:rsidR="00371758">
        <w:t>e</w:t>
      </w:r>
      <w:r w:rsidRPr="00327D21">
        <w:t>d return. Consequently, it immediately gives rise to economic rents and an incentive to overinvest."</w:t>
      </w:r>
      <w:r w:rsidR="004B4659">
        <w:rPr>
          <w:rStyle w:val="FootnoteReference"/>
        </w:rPr>
        <w:footnoteReference w:id="562"/>
      </w:r>
      <w:r w:rsidRPr="00327D21">
        <w:t xml:space="preserve"> We agree with our consultants and consider such as outcome would be</w:t>
      </w:r>
      <w:r w:rsidR="00371758">
        <w:t xml:space="preserve"> </w:t>
      </w:r>
      <w:r w:rsidR="001B041A">
        <w:t>inconsistent</w:t>
      </w:r>
      <w:r w:rsidRPr="00327D21">
        <w:t xml:space="preserve"> with both achieving the ARORO and achieving the National </w:t>
      </w:r>
      <w:r w:rsidR="00371758">
        <w:t>Gas</w:t>
      </w:r>
      <w:r w:rsidRPr="00327D21">
        <w:t xml:space="preserve"> Objective.</w:t>
      </w:r>
    </w:p>
    <w:p w:rsidR="00327D21" w:rsidRPr="00327D21" w:rsidRDefault="00327D21" w:rsidP="00327D21"/>
    <w:p w:rsidR="00327D21" w:rsidRPr="00327D21" w:rsidRDefault="00327D21" w:rsidP="00327D21">
      <w:pPr>
        <w:pStyle w:val="Caption"/>
      </w:pPr>
      <w:bookmarkStart w:id="97" w:name="_Ref451174194"/>
      <w:r w:rsidRPr="00327D21">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327D21">
        <w:noBreakHyphen/>
      </w:r>
      <w:r w:rsidR="002C24D6">
        <w:fldChar w:fldCharType="begin"/>
      </w:r>
      <w:r w:rsidR="002C24D6">
        <w:instrText xml:space="preserve"> SEQ Table \* ARABIC \s 1 </w:instrText>
      </w:r>
      <w:r w:rsidR="002C24D6">
        <w:fldChar w:fldCharType="separate"/>
      </w:r>
      <w:r w:rsidR="002C24D6">
        <w:rPr>
          <w:noProof/>
        </w:rPr>
        <w:t>7</w:t>
      </w:r>
      <w:r w:rsidR="002C24D6">
        <w:rPr>
          <w:noProof/>
        </w:rPr>
        <w:fldChar w:fldCharType="end"/>
      </w:r>
      <w:bookmarkEnd w:id="97"/>
      <w:r w:rsidRPr="00327D21">
        <w:t>: Benefits of different debt approaches</w:t>
      </w:r>
    </w:p>
    <w:tbl>
      <w:tblPr>
        <w:tblStyle w:val="AERtable-text0"/>
        <w:tblW w:w="0" w:type="auto"/>
        <w:tblLook w:val="04A0" w:firstRow="1" w:lastRow="0" w:firstColumn="1" w:lastColumn="0" w:noHBand="0" w:noVBand="1"/>
      </w:tblPr>
      <w:tblGrid>
        <w:gridCol w:w="4346"/>
        <w:gridCol w:w="4347"/>
      </w:tblGrid>
      <w:tr w:rsidR="00327D21" w:rsidRPr="00485023" w:rsidTr="00984AF6">
        <w:trPr>
          <w:cnfStyle w:val="100000000000" w:firstRow="1" w:lastRow="0" w:firstColumn="0" w:lastColumn="0" w:oddVBand="0" w:evenVBand="0" w:oddHBand="0" w:evenHBand="0" w:firstRowFirstColumn="0" w:firstRowLastColumn="0" w:lastRowFirstColumn="0" w:lastRowLastColumn="0"/>
        </w:trPr>
        <w:tc>
          <w:tcPr>
            <w:tcW w:w="4346" w:type="dxa"/>
          </w:tcPr>
          <w:p w:rsidR="00327D21" w:rsidRPr="00327D21" w:rsidRDefault="00327D21" w:rsidP="00327D21">
            <w:r w:rsidRPr="00327D21">
              <w:t>Benefits of a trailing average approach</w:t>
            </w:r>
          </w:p>
        </w:tc>
        <w:tc>
          <w:tcPr>
            <w:tcW w:w="4347" w:type="dxa"/>
          </w:tcPr>
          <w:p w:rsidR="00327D21" w:rsidRPr="00327D21" w:rsidRDefault="00327D21" w:rsidP="00327D21">
            <w:r w:rsidRPr="00327D21">
              <w:t>Benefits of an on-the-day approach</w:t>
            </w:r>
          </w:p>
        </w:tc>
      </w:tr>
      <w:tr w:rsidR="00327D21" w:rsidRPr="00485023" w:rsidTr="00984AF6">
        <w:tc>
          <w:tcPr>
            <w:tcW w:w="4346" w:type="dxa"/>
          </w:tcPr>
          <w:p w:rsidR="00327D21" w:rsidRPr="00327D21" w:rsidRDefault="00327D21" w:rsidP="00327D21">
            <w:r w:rsidRPr="00327D21">
              <w:t xml:space="preserve"> </w:t>
            </w:r>
          </w:p>
          <w:p w:rsidR="00327D21" w:rsidRPr="00327D21" w:rsidRDefault="00327D21" w:rsidP="00327D21">
            <w:r w:rsidRPr="00327D21">
              <w:t>A trailing average approach provides service providers with a regulatory benchmark that they can more readily match each access arrangement period.</w:t>
            </w:r>
            <w:r w:rsidRPr="00327D21">
              <w:rPr>
                <w:rStyle w:val="FootnoteReference"/>
              </w:rPr>
              <w:footnoteReference w:id="563"/>
            </w:r>
            <w:r w:rsidRPr="00327D21">
              <w:t xml:space="preserve"> As such, this provides a benchmark efficient entity with an enhanced opportunity to minimise any mismatch between actual costs and </w:t>
            </w:r>
            <w:r w:rsidR="00D4286F">
              <w:t xml:space="preserve">allowed </w:t>
            </w:r>
            <w:r w:rsidRPr="00327D21">
              <w:t>revenues.</w:t>
            </w:r>
            <w:r w:rsidRPr="00327D21">
              <w:rPr>
                <w:rStyle w:val="FootnoteReference"/>
              </w:rPr>
              <w:footnoteReference w:id="564"/>
            </w:r>
            <w:r w:rsidRPr="00327D21">
              <w:t xml:space="preserve"> Nevertheless, it is important to note that this mismatch risk would not result in a benchmark efficient entity being ex-ante over- or under-compensated for its efficient debt financing costs for a access arrangement period or over the life of its assets.</w:t>
            </w:r>
          </w:p>
          <w:p w:rsidR="00327D21" w:rsidRPr="00327D21" w:rsidRDefault="00327D21" w:rsidP="00327D21">
            <w:r w:rsidRPr="00327D21">
              <w:t xml:space="preserve">All else being equal, this reduced risk and the reduced need to enter hedging arrangements might lower the efficient cost of financing for a benchmark efficient entity and increase productive efficiency. </w:t>
            </w:r>
          </w:p>
          <w:p w:rsidR="00327D21" w:rsidRPr="00327D21" w:rsidRDefault="00327D21" w:rsidP="00327D21">
            <w:r w:rsidRPr="00327D21">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 moved since the last reset.</w:t>
            </w:r>
          </w:p>
        </w:tc>
        <w:tc>
          <w:tcPr>
            <w:tcW w:w="4347" w:type="dxa"/>
          </w:tcPr>
          <w:p w:rsidR="00327D21" w:rsidRPr="00327D21" w:rsidRDefault="00327D21" w:rsidP="00327D21">
            <w:r w:rsidRPr="00327D21">
              <w:t>An on-the-day approach better reflects the prevailing cost of debt in the capital market near the commencement of the access arrangement period. Due to this, it:</w:t>
            </w:r>
          </w:p>
          <w:p w:rsidR="00327D21" w:rsidRPr="00327D21" w:rsidRDefault="00327D21" w:rsidP="00327D21">
            <w:pPr>
              <w:pStyle w:val="AERbulletlistfirststyle"/>
            </w:pPr>
            <w:r w:rsidRPr="00327D21">
              <w:t>Better reflects investors' opportunity cost of debt and expectations of future returns near the commencement of the access arrangement period.</w:t>
            </w:r>
            <w:r w:rsidRPr="00327D21">
              <w:rPr>
                <w:rStyle w:val="FootnoteReference"/>
              </w:rPr>
              <w:footnoteReference w:id="565"/>
            </w:r>
            <w:r w:rsidRPr="00327D21">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327D21">
              <w:rPr>
                <w:rStyle w:val="FootnoteReference"/>
              </w:rPr>
              <w:footnoteReference w:id="566"/>
            </w:r>
          </w:p>
          <w:p w:rsidR="00327D21" w:rsidRPr="00327D21" w:rsidRDefault="00327D21" w:rsidP="00327D21">
            <w:pPr>
              <w:pStyle w:val="AERbulletlistfirststyle"/>
            </w:pPr>
            <w:r w:rsidRPr="00327D21">
              <w:t xml:space="preserve">Is more internally consistent with how we estimate other components of the allowed rate of return and the building block model more generally. </w:t>
            </w:r>
          </w:p>
          <w:p w:rsidR="00327D21" w:rsidRPr="00327D21" w:rsidRDefault="00327D21" w:rsidP="00327D21">
            <w:pPr>
              <w:pStyle w:val="AERbulletlistfirststyle"/>
            </w:pPr>
            <w:r w:rsidRPr="00327D21">
              <w:t>Leads to an estimate that is commensurate with efficient financing costs and competitive market outcomes near the commencement of the access arrangement period. We expect prevailing market rates for capital finance to be competitive.</w:t>
            </w:r>
            <w:r w:rsidRPr="00327D21">
              <w:rPr>
                <w:rStyle w:val="FootnoteReference"/>
              </w:rPr>
              <w:footnoteReference w:id="567"/>
            </w:r>
            <w:r w:rsidRPr="00327D21">
              <w:t xml:space="preserve"> Moreover, a return on debt that reflects the current market rate more closely imitates the outcomes of a competitive market by representing the costs that other service providers will face to enter the market.</w:t>
            </w:r>
            <w:r w:rsidRPr="00327D21">
              <w:rPr>
                <w:rStyle w:val="FootnoteReference"/>
              </w:rPr>
              <w:footnoteReference w:id="568"/>
            </w:r>
          </w:p>
        </w:tc>
      </w:tr>
    </w:tbl>
    <w:p w:rsidR="00327D21" w:rsidRPr="00327D21" w:rsidRDefault="00327D21" w:rsidP="00327D21">
      <w:pPr>
        <w:pStyle w:val="AERtablesource"/>
      </w:pPr>
      <w:r w:rsidRPr="00327D21">
        <w:t xml:space="preserve">Source: </w:t>
      </w:r>
      <w:r w:rsidRPr="00327D21">
        <w:tab/>
        <w:t>AER analysis.</w:t>
      </w:r>
    </w:p>
    <w:p w:rsidR="00327D21" w:rsidRPr="00327D21" w:rsidRDefault="00327D21" w:rsidP="00327D21">
      <w:pPr>
        <w:pStyle w:val="HeadingBoldItalic"/>
      </w:pPr>
      <w:r w:rsidRPr="00327D21">
        <w:t>An immediate adoption of a trailing average will not contribute to the achievement of the ARORO</w:t>
      </w:r>
    </w:p>
    <w:p w:rsidR="00327D21" w:rsidRPr="00327D21" w:rsidRDefault="00327D21" w:rsidP="00327D21">
      <w:r w:rsidRPr="00327D21">
        <w:t xml:space="preserve">We have carefully considered the no transition path immediate move to the trailing average put forward in APA VTS and APTPPL's initial proposal and AusNet’s revised proposal. </w:t>
      </w:r>
    </w:p>
    <w:p w:rsidR="00327D21" w:rsidRPr="00327D21" w:rsidRDefault="00327D21" w:rsidP="00327D21">
      <w:r w:rsidRPr="00327D21">
        <w:t xml:space="preserve">The following sections set out why an immediate (historical) trailing average approach to estimating the cost of debt will not contribute to the achievement of the ARORO. </w:t>
      </w:r>
    </w:p>
    <w:p w:rsidR="00327D21" w:rsidRPr="00327D21" w:rsidRDefault="00327D21" w:rsidP="00327D21">
      <w:r w:rsidRPr="00327D21">
        <w:rPr>
          <w:rStyle w:val="AERbody"/>
        </w:rPr>
        <w:t>For the reasons discussed above in the section headed 'trailing average (with full transition) meets the ARORO', i</w:t>
      </w:r>
      <w:r w:rsidRPr="00327D21">
        <w:t>mmediately moving to a trailing average by immediately adopting a historical cost of debt is likely to change the present value of a benchmark efficient entity's allowed revenues relative to a continuation of the on-the-day approach.</w:t>
      </w:r>
    </w:p>
    <w:p w:rsidR="00327D21" w:rsidRPr="00327D21" w:rsidRDefault="00327D21" w:rsidP="00327D21">
      <w:r w:rsidRPr="00327D21">
        <w:t>The current market cost of debt is considerably below the average market cost of debt over the past nine years. As such, in current circumstances, an immediate transition would lead to an excess positive return relative to the efficient return in the market. That is, it will set an allowed return that is above the efficient financing costs of a benchmark efficient entity given current market conditions. All else being equal, this will result in a material increase in the present value of a benchmark efficient entity's allowed revenues relative to its expected efficient costs to a value well above its RAB, thereby overcompensating it. We consider that setting a transition that leads to excessive positive returns (above current returns in the market) will set a return above efficient financing costs and that this will neither achieve the ARORO or the N</w:t>
      </w:r>
      <w:r w:rsidR="00371758">
        <w:t>G</w:t>
      </w:r>
      <w:r w:rsidRPr="00327D21">
        <w:t>O.</w:t>
      </w:r>
      <w:r w:rsidR="00371758">
        <w:t xml:space="preserve">  It is likely to promote inefficient investment, inconsistent with the NGO and the RPPs, will constitute a return that does not appropriately have regard to the regulatory and commercial risks, and which is likely to lead to overinvestment. </w:t>
      </w:r>
    </w:p>
    <w:p w:rsidR="00327D21" w:rsidRPr="00327D21" w:rsidRDefault="00327D21" w:rsidP="00327D21">
      <w:r w:rsidRPr="00327D21">
        <w:t>APA VTS, APTPPL and AusNet Services have not submitted material that satisfies us that materially increasing the present value of its allowed revenues from the change in methodology would contribute to the achievement of the ARORO or be consistent with the NEL/NGL.</w:t>
      </w:r>
    </w:p>
    <w:p w:rsidR="00327D21" w:rsidRPr="00327D21" w:rsidRDefault="00327D21" w:rsidP="00327D21">
      <w:r w:rsidRPr="00327D21">
        <w:t>It is worth noting that equally, the trend in interest rates could have been reversed</w:t>
      </w:r>
      <w:r w:rsidRPr="00327D21">
        <w:rPr>
          <w:rStyle w:val="AERbody"/>
        </w:rPr>
        <w:t xml:space="preserve"> (that is, if we had moved from a low to high interest rate environment)</w:t>
      </w:r>
      <w:r w:rsidRPr="00327D21">
        <w:t xml:space="preserve">. If this occurred, an immediate transition would have led to a material decrease in the present value of a benchmark efficient entity's allowed revenues relative to its expected efficient costs, thereby undercompensating it. That is, </w:t>
      </w:r>
      <w:r w:rsidRPr="00327D21">
        <w:rPr>
          <w:rStyle w:val="AERbody"/>
        </w:rPr>
        <w:t>the allowed return would have been below the efficient financing costs of a benchmark efficient entity.</w:t>
      </w:r>
      <w:r w:rsidRPr="00327D21">
        <w:t xml:space="preserve"> Neither outcome would achieve the ARORO and would not lead to efficient investment and use of infrastructure, </w:t>
      </w:r>
      <w:r w:rsidRPr="00327D21">
        <w:rPr>
          <w:rStyle w:val="AERbody"/>
        </w:rPr>
        <w:t>in the long term interest of consumers</w:t>
      </w:r>
      <w:r w:rsidRPr="00327D21">
        <w:t>.</w:t>
      </w:r>
      <w:r w:rsidRPr="00327D21">
        <w:rPr>
          <w:rStyle w:val="AERbody"/>
        </w:rPr>
        <w:t xml:space="preserve"> We explain this and show this mathematically in detail in </w:t>
      </w:r>
      <w:r w:rsidRPr="00327D21">
        <w:t>Appendix</w:t>
      </w:r>
      <w:r w:rsidR="00B95B29">
        <w:t xml:space="preserve"> </w:t>
      </w:r>
      <w:r w:rsidR="00B95B29">
        <w:fldChar w:fldCharType="begin"/>
      </w:r>
      <w:r w:rsidR="00B95B29">
        <w:instrText xml:space="preserve"> REF _Ref485118920 \r \h </w:instrText>
      </w:r>
      <w:r w:rsidR="00B95B29">
        <w:fldChar w:fldCharType="separate"/>
      </w:r>
      <w:r w:rsidR="002C24D6">
        <w:t>J</w:t>
      </w:r>
      <w:r w:rsidR="00B95B29">
        <w:fldChar w:fldCharType="end"/>
      </w:r>
      <w:r w:rsidRPr="00327D21">
        <w:rPr>
          <w:rStyle w:val="AERbody"/>
        </w:rPr>
        <w:t>.</w:t>
      </w:r>
    </w:p>
    <w:p w:rsidR="00327D21" w:rsidRPr="00327D21" w:rsidRDefault="00327D21" w:rsidP="00327D21">
      <w:r w:rsidRPr="00327D21">
        <w:t>Further, we consider that failing to implement a revenue neutral transition would undermine the ARORO and the NEL/NGL for the following reasons:</w:t>
      </w:r>
    </w:p>
    <w:p w:rsidR="00327D21" w:rsidRPr="00327D21" w:rsidRDefault="00327D21" w:rsidP="00327D21">
      <w:pPr>
        <w:pStyle w:val="AERbulletlistfirststyle"/>
      </w:pPr>
      <w:r w:rsidRPr="00327D21">
        <w:t>The future return on debt allowance would have a different present value if we switched methodologies to estimating the allowed return on debt without a transition. In Appendix</w:t>
      </w:r>
      <w:r w:rsidR="00B95B29">
        <w:t xml:space="preserve"> </w:t>
      </w:r>
      <w:r w:rsidR="00B95B29">
        <w:fldChar w:fldCharType="begin"/>
      </w:r>
      <w:r w:rsidR="00B95B29">
        <w:instrText xml:space="preserve"> REF _Ref485118920 \r \h </w:instrText>
      </w:r>
      <w:r w:rsidR="00B95B29">
        <w:fldChar w:fldCharType="separate"/>
      </w:r>
      <w:r w:rsidR="002C24D6">
        <w:t>J</w:t>
      </w:r>
      <w:r w:rsidR="00B95B29">
        <w:fldChar w:fldCharType="end"/>
      </w:r>
      <w:r w:rsidRPr="00327D21">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327D21" w:rsidRPr="00327D21" w:rsidRDefault="00327D21" w:rsidP="00327D21">
      <w:pPr>
        <w:pStyle w:val="AERbulletlistfirststyle"/>
      </w:pPr>
      <w:r w:rsidRPr="00327D21">
        <w:t>If switching to a trailing average approach is not revenue neutral, this would change the present value of a benchmark efficient entity's expected cash flows compared to the value of the expected cash flows that would be consistent with the investor expectations when they invested (under the on-the-day approach). This may increase expected regulatory uncertainty. This may undermine confidence in the predictability of the regulatory arrangements and lead to an inefficient increase in financing costs (all else being equal).</w:t>
      </w:r>
      <w:r w:rsidRPr="00327D21">
        <w:rPr>
          <w:rStyle w:val="FootnoteReference"/>
        </w:rPr>
        <w:footnoteReference w:id="569"/>
      </w:r>
      <w:r w:rsidRPr="00327D21">
        <w:t xml:space="preserve"> This is consistent with SFG's advice to the AEMC that:</w:t>
      </w:r>
      <w:r w:rsidRPr="00327D21">
        <w:rPr>
          <w:rStyle w:val="FootnoteReference"/>
        </w:rPr>
        <w:footnoteReference w:id="570"/>
      </w:r>
    </w:p>
    <w:p w:rsidR="00327D21" w:rsidRPr="00327D21" w:rsidRDefault="00327D21" w:rsidP="00327D21">
      <w:pPr>
        <w:pStyle w:val="AERquote"/>
      </w:pPr>
      <w:r w:rsidRPr="00327D21">
        <w:t>The lack of any transition arrangements in a setting whether the rule change exposes regulated businesses to risks that they did not previously face is likely to be viewed by the market for funds as a signal that a higher degree of regulatory risk should be priced into their provision of funds. Such an outcome is unlikely to be consistent with the NEO and RPP.</w:t>
      </w:r>
    </w:p>
    <w:p w:rsidR="00327D21" w:rsidRPr="00327D21" w:rsidRDefault="00327D21" w:rsidP="00327D21">
      <w:pPr>
        <w:pStyle w:val="AERbulletlistfirststyle"/>
      </w:pPr>
      <w:r w:rsidRPr="00327D21">
        <w:t xml:space="preserve">Incentives on service providers to adopt efficient </w:t>
      </w:r>
      <w:r w:rsidR="00FC63F9">
        <w:t xml:space="preserve">debt </w:t>
      </w:r>
      <w:r w:rsidR="00077027">
        <w:t>finance practices</w:t>
      </w:r>
      <w:r w:rsidRPr="00327D21">
        <w:t xml:space="preserve"> (and thereby minimise their long run cost of capital all else being equal) under the regulatory regime may be undermined.</w:t>
      </w:r>
      <w:r w:rsidRPr="00327D21">
        <w:rPr>
          <w:rStyle w:val="FootnoteReference"/>
        </w:rPr>
        <w:footnoteReference w:id="571"/>
      </w:r>
      <w:r w:rsidRPr="00327D21">
        <w:t xml:space="preserve"> For instance, </w:t>
      </w:r>
      <w:r w:rsidR="00FC63F9">
        <w:t>we</w:t>
      </w:r>
      <w:r w:rsidR="00FC63F9" w:rsidRPr="00327D21">
        <w:t xml:space="preserve"> </w:t>
      </w:r>
      <w:r w:rsidR="00FC63F9">
        <w:t>recognise</w:t>
      </w:r>
      <w:r w:rsidR="00FC63F9" w:rsidRPr="00327D21">
        <w:t xml:space="preserve"> </w:t>
      </w:r>
      <w:r w:rsidRPr="00327D21">
        <w:t xml:space="preserve">service providers </w:t>
      </w:r>
      <w:r w:rsidR="00FC63F9">
        <w:t xml:space="preserve">have made </w:t>
      </w:r>
      <w:r w:rsidR="00274BC8">
        <w:t xml:space="preserve">past </w:t>
      </w:r>
      <w:r w:rsidR="00FC63F9">
        <w:t xml:space="preserve">decisions and </w:t>
      </w:r>
      <w:r w:rsidR="00274BC8">
        <w:t xml:space="preserve">would have </w:t>
      </w:r>
      <w:r w:rsidR="00FC63F9">
        <w:t>expect</w:t>
      </w:r>
      <w:r w:rsidR="00274BC8">
        <w:t>ed</w:t>
      </w:r>
      <w:r w:rsidR="00FC63F9">
        <w:t xml:space="preserve"> particular </w:t>
      </w:r>
      <w:r w:rsidRPr="00327D21">
        <w:t xml:space="preserve">consequences </w:t>
      </w:r>
      <w:r w:rsidR="00274BC8">
        <w:t>and to bear certain risk</w:t>
      </w:r>
      <w:r w:rsidR="00207719">
        <w:t xml:space="preserve"> </w:t>
      </w:r>
      <w:r w:rsidR="00FC63F9">
        <w:t>from their decisions in</w:t>
      </w:r>
      <w:r w:rsidRPr="00327D21">
        <w:t xml:space="preserve"> prior access arrangement  periods</w:t>
      </w:r>
      <w:r w:rsidR="00FC63F9">
        <w:t>.  The basis on which past decisions were made should be acknow</w:t>
      </w:r>
      <w:r w:rsidR="001B041A">
        <w:t>le</w:t>
      </w:r>
      <w:r w:rsidR="00FC63F9">
        <w:t>dged with our attention focused on</w:t>
      </w:r>
      <w:r w:rsidRPr="00327D21">
        <w:t xml:space="preserve"> </w:t>
      </w:r>
      <w:r w:rsidR="00B95B29">
        <w:t xml:space="preserve"> </w:t>
      </w:r>
      <w:r w:rsidR="00FC63F9">
        <w:t>future incentives to</w:t>
      </w:r>
      <w:r w:rsidRPr="00327D21">
        <w:t xml:space="preserve"> efficiently manage financial risk.</w:t>
      </w:r>
    </w:p>
    <w:p w:rsidR="00327D21" w:rsidRPr="00327D21" w:rsidRDefault="00327D21" w:rsidP="00327D21">
      <w:pPr>
        <w:pStyle w:val="HeadingItalic"/>
      </w:pPr>
      <w:r w:rsidRPr="00327D21">
        <w:t>Hybrid transitions will not contribute to the achievement of the ARORO</w:t>
      </w:r>
    </w:p>
    <w:p w:rsidR="00327D21" w:rsidRPr="00327D21" w:rsidRDefault="00327D21" w:rsidP="00327D21">
      <w:pPr>
        <w:rPr>
          <w:rStyle w:val="AERbody"/>
        </w:rPr>
      </w:pPr>
      <w:r w:rsidRPr="00327D21">
        <w:rPr>
          <w:rStyle w:val="AERbody"/>
        </w:rPr>
        <w:t>Two alternative forms of hybrid transition have been proposed previously:</w:t>
      </w:r>
    </w:p>
    <w:p w:rsidR="00327D21" w:rsidRPr="00327D21" w:rsidRDefault="00327D21" w:rsidP="00327D21">
      <w:pPr>
        <w:pStyle w:val="AERbulletlistfirststyle"/>
      </w:pPr>
      <w:r w:rsidRPr="00327D21">
        <w:t>Hybrid transition</w:t>
      </w:r>
      <w:r w:rsidRPr="00327D21">
        <w:rPr>
          <w:rStyle w:val="FootnoteReference"/>
        </w:rPr>
        <w:footnoteReference w:id="572"/>
      </w:r>
      <w:r w:rsidRPr="00327D21">
        <w:t>—Start with an on-the-day approach for the base rate component and gradually transition into a trailing average approach over 10 years. This would be combined with a backwards looking trailing average DRP (that is, a base rate transition only).</w:t>
      </w:r>
    </w:p>
    <w:p w:rsidR="00327D21" w:rsidRPr="00327D21" w:rsidRDefault="00327D21" w:rsidP="00327D21">
      <w:pPr>
        <w:pStyle w:val="AERbulletlistfirststyle"/>
      </w:pPr>
      <w:r w:rsidRPr="00327D21">
        <w:t>Hybrid transition under partial hedging</w:t>
      </w:r>
      <w:r w:rsidRPr="00327D21">
        <w:rPr>
          <w:rStyle w:val="FootnoteReference"/>
        </w:rPr>
        <w:footnoteReference w:id="573"/>
      </w:r>
      <w:r w:rsidRPr="00327D21">
        <w:t>—Assume a benchmark efficient entity hedged only one third of the base rate under the on-the-day regime on the basis that this would have been ex-post optimal.</w:t>
      </w:r>
      <w:r w:rsidRPr="00327D21">
        <w:rPr>
          <w:rStyle w:val="FootnoteReference"/>
        </w:rPr>
        <w:footnoteReference w:id="574"/>
      </w:r>
      <w:r w:rsidRPr="00327D21">
        <w:t xml:space="preserve"> Gradually transition this portion of the base rate and apply an immediate trailing average to the other two thirds of the base rate and the entire DRP component.</w:t>
      </w:r>
      <w:r w:rsidRPr="00327D21">
        <w:rPr>
          <w:rStyle w:val="FootnoteReference"/>
        </w:rPr>
        <w:footnoteReference w:id="575"/>
      </w:r>
    </w:p>
    <w:p w:rsidR="00327D21" w:rsidRPr="00327D21" w:rsidRDefault="00327D21" w:rsidP="00327D21">
      <w:pPr>
        <w:rPr>
          <w:rStyle w:val="AERbody"/>
        </w:rPr>
      </w:pPr>
      <w:r w:rsidRPr="00327D21">
        <w:rPr>
          <w:rStyle w:val="AERbody"/>
        </w:rPr>
        <w:t>For completeness this section sets out our view on both of these hybrid transitions. We remain of the view a hybrid transition is not appropriate, will not meet the ARORO and will not meet the NEO. These views, and our reasoning, have not changed since the final AER decisions that covered these issues released in May 2016.</w:t>
      </w:r>
      <w:r w:rsidRPr="00327D21">
        <w:rPr>
          <w:rStyle w:val="FootnoteReference"/>
        </w:rPr>
        <w:footnoteReference w:id="576"/>
      </w:r>
      <w:r w:rsidRPr="00327D21">
        <w:rPr>
          <w:rStyle w:val="AERbody"/>
        </w:rPr>
        <w:t xml:space="preserve">  </w:t>
      </w:r>
    </w:p>
    <w:p w:rsidR="00327D21" w:rsidRPr="00327D21" w:rsidRDefault="00327D21" w:rsidP="00327D21">
      <w:pPr>
        <w:rPr>
          <w:rStyle w:val="AERbody"/>
        </w:rPr>
      </w:pPr>
      <w:r w:rsidRPr="00327D21">
        <w:rPr>
          <w:rStyle w:val="AERbody"/>
        </w:rPr>
        <w:t xml:space="preserve">As </w:t>
      </w:r>
      <w:r w:rsidRPr="00327D21">
        <w:rPr>
          <w:rStyle w:val="AERbody"/>
        </w:rPr>
        <w:fldChar w:fldCharType="begin"/>
      </w:r>
      <w:r w:rsidRPr="00327D21">
        <w:rPr>
          <w:rStyle w:val="AERbody"/>
        </w:rPr>
        <w:instrText xml:space="preserve"> REF  _Ref451174220 \* Lower \h  \* MERGEFORMAT </w:instrText>
      </w:r>
      <w:r w:rsidRPr="00327D21">
        <w:rPr>
          <w:rStyle w:val="AERbody"/>
        </w:rPr>
      </w:r>
      <w:r w:rsidRPr="00327D21">
        <w:rPr>
          <w:rStyle w:val="AERbody"/>
        </w:rPr>
        <w:fldChar w:fldCharType="separate"/>
      </w:r>
      <w:r w:rsidR="002C24D6" w:rsidRPr="00327D21">
        <w:t xml:space="preserve">table </w:t>
      </w:r>
      <w:r w:rsidR="002C24D6">
        <w:t>3</w:t>
      </w:r>
      <w:r w:rsidR="002C24D6" w:rsidRPr="00327D21">
        <w:noBreakHyphen/>
      </w:r>
      <w:r w:rsidR="002C24D6">
        <w:t>8</w:t>
      </w:r>
      <w:r w:rsidRPr="00327D21">
        <w:rPr>
          <w:rStyle w:val="AERbody"/>
        </w:rPr>
        <w:fldChar w:fldCharType="end"/>
      </w:r>
      <w:r w:rsidRPr="00327D21">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achieve the ARORO. For this reason, our analysis above on why immediately moving to a trailing average approach will not contribute to the achievement of the ARORO also applies to the hybrid transitions that some service providers have previously proposed. </w:t>
      </w:r>
    </w:p>
    <w:p w:rsidR="00327D21" w:rsidRPr="00327D21" w:rsidRDefault="00327D21" w:rsidP="00327D21">
      <w:pPr>
        <w:pStyle w:val="Caption"/>
        <w:rPr>
          <w:rStyle w:val="AERbody"/>
        </w:rPr>
      </w:pPr>
      <w:bookmarkStart w:id="98" w:name="_Ref451174220"/>
      <w:r w:rsidRPr="00327D21">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327D21">
        <w:noBreakHyphen/>
      </w:r>
      <w:r w:rsidR="002C24D6">
        <w:fldChar w:fldCharType="begin"/>
      </w:r>
      <w:r w:rsidR="002C24D6">
        <w:instrText xml:space="preserve"> SEQ Table \* ARABIC \s 1 </w:instrText>
      </w:r>
      <w:r w:rsidR="002C24D6">
        <w:fldChar w:fldCharType="separate"/>
      </w:r>
      <w:r w:rsidR="002C24D6">
        <w:rPr>
          <w:noProof/>
        </w:rPr>
        <w:t>8</w:t>
      </w:r>
      <w:r w:rsidR="002C24D6">
        <w:rPr>
          <w:noProof/>
        </w:rPr>
        <w:fldChar w:fldCharType="end"/>
      </w:r>
      <w:bookmarkEnd w:id="98"/>
      <w:r w:rsidRPr="00327D21">
        <w:tab/>
        <w:t>Different transitions to a trailing average proposed by various service providers</w:t>
      </w:r>
    </w:p>
    <w:tbl>
      <w:tblPr>
        <w:tblStyle w:val="AERtable-text0"/>
        <w:tblW w:w="0" w:type="auto"/>
        <w:tblLook w:val="04A0" w:firstRow="1" w:lastRow="0" w:firstColumn="1" w:lastColumn="0" w:noHBand="0" w:noVBand="1"/>
      </w:tblPr>
      <w:tblGrid>
        <w:gridCol w:w="2556"/>
        <w:gridCol w:w="3089"/>
        <w:gridCol w:w="3048"/>
      </w:tblGrid>
      <w:tr w:rsidR="00327D21" w:rsidRPr="00485023" w:rsidTr="00984AF6">
        <w:trPr>
          <w:cnfStyle w:val="100000000000" w:firstRow="1" w:lastRow="0" w:firstColumn="0" w:lastColumn="0" w:oddVBand="0" w:evenVBand="0" w:oddHBand="0" w:evenHBand="0" w:firstRowFirstColumn="0" w:firstRowLastColumn="0" w:lastRowFirstColumn="0" w:lastRowLastColumn="0"/>
        </w:trPr>
        <w:tc>
          <w:tcPr>
            <w:tcW w:w="2556" w:type="dxa"/>
          </w:tcPr>
          <w:p w:rsidR="00327D21" w:rsidRPr="00327D21" w:rsidRDefault="00327D21" w:rsidP="00327D21">
            <w:r w:rsidRPr="00327D21">
              <w:t>Form of transition</w:t>
            </w:r>
          </w:p>
        </w:tc>
        <w:tc>
          <w:tcPr>
            <w:tcW w:w="3089" w:type="dxa"/>
          </w:tcPr>
          <w:p w:rsidR="00327D21" w:rsidRPr="00327D21" w:rsidRDefault="00327D21" w:rsidP="00327D21">
            <w:r w:rsidRPr="00327D21">
              <w:t>Revenue-neutral transition by updating 10% per year over 10 years</w:t>
            </w:r>
          </w:p>
        </w:tc>
        <w:tc>
          <w:tcPr>
            <w:tcW w:w="3048" w:type="dxa"/>
          </w:tcPr>
          <w:p w:rsidR="00327D21" w:rsidRPr="00327D21" w:rsidRDefault="00327D21" w:rsidP="00327D21">
            <w:r w:rsidRPr="00327D21">
              <w:t>Immediately move to a trailing average approach</w:t>
            </w:r>
          </w:p>
        </w:tc>
      </w:tr>
      <w:tr w:rsidR="00327D21" w:rsidRPr="00485023" w:rsidTr="00984AF6">
        <w:tc>
          <w:tcPr>
            <w:tcW w:w="2556" w:type="dxa"/>
          </w:tcPr>
          <w:p w:rsidR="00327D21" w:rsidRPr="00327D21" w:rsidRDefault="00327D21" w:rsidP="00327D21">
            <w:r w:rsidRPr="00327D21">
              <w:t>Full transition</w:t>
            </w:r>
          </w:p>
        </w:tc>
        <w:tc>
          <w:tcPr>
            <w:tcW w:w="3089" w:type="dxa"/>
          </w:tcPr>
          <w:p w:rsidR="00327D21" w:rsidRPr="00327D21" w:rsidRDefault="00327D21" w:rsidP="00327D21">
            <w:r w:rsidRPr="00327D21">
              <w:t>100% of base rate + DRP</w:t>
            </w:r>
          </w:p>
        </w:tc>
        <w:tc>
          <w:tcPr>
            <w:tcW w:w="3048" w:type="dxa"/>
          </w:tcPr>
          <w:p w:rsidR="00327D21" w:rsidRPr="00327D21" w:rsidRDefault="00327D21" w:rsidP="00327D21">
            <w:r w:rsidRPr="00327D21">
              <w:t>-</w:t>
            </w:r>
          </w:p>
        </w:tc>
      </w:tr>
      <w:tr w:rsidR="00327D21" w:rsidRPr="00485023" w:rsidTr="00984AF6">
        <w:trPr>
          <w:cnfStyle w:val="000000010000" w:firstRow="0" w:lastRow="0" w:firstColumn="0" w:lastColumn="0" w:oddVBand="0" w:evenVBand="0" w:oddHBand="0" w:evenHBand="1" w:firstRowFirstColumn="0" w:firstRowLastColumn="0" w:lastRowFirstColumn="0" w:lastRowLastColumn="0"/>
        </w:trPr>
        <w:tc>
          <w:tcPr>
            <w:tcW w:w="2556" w:type="dxa"/>
          </w:tcPr>
          <w:p w:rsidR="00327D21" w:rsidRPr="00327D21" w:rsidRDefault="00327D21" w:rsidP="00327D21">
            <w:r w:rsidRPr="00327D21">
              <w:t>Hybrid transition</w:t>
            </w:r>
          </w:p>
        </w:tc>
        <w:tc>
          <w:tcPr>
            <w:tcW w:w="3089" w:type="dxa"/>
          </w:tcPr>
          <w:p w:rsidR="00327D21" w:rsidRPr="00327D21" w:rsidRDefault="00327D21" w:rsidP="00327D21">
            <w:r w:rsidRPr="00327D21">
              <w:t xml:space="preserve">100% of base rate </w:t>
            </w:r>
          </w:p>
        </w:tc>
        <w:tc>
          <w:tcPr>
            <w:tcW w:w="3048" w:type="dxa"/>
          </w:tcPr>
          <w:p w:rsidR="00327D21" w:rsidRPr="00327D21" w:rsidRDefault="00327D21" w:rsidP="00327D21">
            <w:r w:rsidRPr="00327D21">
              <w:t>DRP</w:t>
            </w:r>
          </w:p>
        </w:tc>
      </w:tr>
      <w:tr w:rsidR="00327D21" w:rsidRPr="00485023" w:rsidTr="00984AF6">
        <w:tc>
          <w:tcPr>
            <w:tcW w:w="2556" w:type="dxa"/>
          </w:tcPr>
          <w:p w:rsidR="00327D21" w:rsidRPr="00327D21" w:rsidRDefault="00327D21" w:rsidP="00327D21">
            <w:r w:rsidRPr="00327D21">
              <w:t>Hybrid transition under partial hedging</w:t>
            </w:r>
          </w:p>
        </w:tc>
        <w:tc>
          <w:tcPr>
            <w:tcW w:w="3089" w:type="dxa"/>
          </w:tcPr>
          <w:p w:rsidR="00327D21" w:rsidRPr="00327D21" w:rsidRDefault="00327D21" w:rsidP="00327D21">
            <w:r w:rsidRPr="00327D21">
              <w:t xml:space="preserve">1/3 of base rate </w:t>
            </w:r>
          </w:p>
        </w:tc>
        <w:tc>
          <w:tcPr>
            <w:tcW w:w="3048" w:type="dxa"/>
          </w:tcPr>
          <w:p w:rsidR="00327D21" w:rsidRPr="00327D21" w:rsidRDefault="00327D21" w:rsidP="00327D21">
            <w:r w:rsidRPr="00327D21">
              <w:t>2/3 of base rate + DRP</w:t>
            </w:r>
          </w:p>
        </w:tc>
      </w:tr>
      <w:tr w:rsidR="00327D21" w:rsidRPr="00485023" w:rsidTr="00984AF6">
        <w:trPr>
          <w:cnfStyle w:val="000000010000" w:firstRow="0" w:lastRow="0" w:firstColumn="0" w:lastColumn="0" w:oddVBand="0" w:evenVBand="0" w:oddHBand="0" w:evenHBand="1" w:firstRowFirstColumn="0" w:firstRowLastColumn="0" w:lastRowFirstColumn="0" w:lastRowLastColumn="0"/>
        </w:trPr>
        <w:tc>
          <w:tcPr>
            <w:tcW w:w="2556" w:type="dxa"/>
          </w:tcPr>
          <w:p w:rsidR="00327D21" w:rsidRPr="00327D21" w:rsidRDefault="00327D21" w:rsidP="00327D21">
            <w:r w:rsidRPr="00327D21">
              <w:t>No transition</w:t>
            </w:r>
          </w:p>
        </w:tc>
        <w:tc>
          <w:tcPr>
            <w:tcW w:w="3089" w:type="dxa"/>
          </w:tcPr>
          <w:p w:rsidR="00327D21" w:rsidRPr="00327D21" w:rsidRDefault="00327D21" w:rsidP="00327D21">
            <w:r w:rsidRPr="00327D21">
              <w:t>-</w:t>
            </w:r>
          </w:p>
        </w:tc>
        <w:tc>
          <w:tcPr>
            <w:tcW w:w="3048" w:type="dxa"/>
          </w:tcPr>
          <w:p w:rsidR="00327D21" w:rsidRPr="00327D21" w:rsidRDefault="00327D21" w:rsidP="00327D21">
            <w:r w:rsidRPr="00327D21">
              <w:t>100% of base rate + DRP</w:t>
            </w:r>
          </w:p>
        </w:tc>
      </w:tr>
    </w:tbl>
    <w:p w:rsidR="00327D21" w:rsidRPr="00327D21" w:rsidRDefault="00327D21" w:rsidP="00327D21">
      <w:pPr>
        <w:pStyle w:val="AERtablesource"/>
      </w:pPr>
      <w:r w:rsidRPr="00327D21">
        <w:t xml:space="preserve">Source: </w:t>
      </w:r>
      <w:r w:rsidRPr="00327D21">
        <w:tab/>
        <w:t>AER analysis.</w:t>
      </w:r>
    </w:p>
    <w:p w:rsidR="00327D21" w:rsidRPr="00327D21" w:rsidRDefault="00327D21" w:rsidP="00327D21">
      <w:r w:rsidRPr="00327D21">
        <w:t xml:space="preserve">For clarity, we also emphasise why the logic underpinning the use of a hybrid transition is problematic. By basing </w:t>
      </w:r>
      <w:r w:rsidR="00FF2E81">
        <w:t>APTPPL</w:t>
      </w:r>
      <w:r w:rsidRPr="00327D21">
        <w:t>'s debt allowance on a 10 year historical DRP, a hybrid transition would effectively remove realised losses or gains from interest rate risk that it had previously borne. This reasoning also applies to an immediate transition.</w:t>
      </w:r>
    </w:p>
    <w:p w:rsidR="00327D21" w:rsidRPr="00327D21" w:rsidRDefault="00327D21" w:rsidP="00327D21">
      <w:r w:rsidRPr="00327D21">
        <w:t xml:space="preserve">As </w:t>
      </w:r>
      <w:r w:rsidR="00FF2E81">
        <w:t>APTPPL</w:t>
      </w:r>
      <w:r w:rsidRPr="00327D21">
        <w:t xml:space="preserve"> operates under an ex-ante regulatory regime, we consider the ARORO requires us to provide ex-ante efficient compensation. This does not entail compensating for historically incurred costs. That would be cost of service, not incentive regulation. Investors have invested accepting the interest rate risk from the on-the-day approach, and we have already appropriately compensated </w:t>
      </w:r>
      <w:r w:rsidR="00FF2E81">
        <w:t>APTPPL</w:t>
      </w:r>
      <w:r w:rsidRPr="00327D21">
        <w:t xml:space="preserve"> for bearing this risk. For both reasons, removing the outcomes of this risk ex-post would not contribute to the achievement of the ARORO.</w:t>
      </w:r>
      <w:r w:rsidRPr="00327D21">
        <w:rPr>
          <w:rStyle w:val="FootnoteReference"/>
        </w:rPr>
        <w:footnoteReference w:id="577"/>
      </w:r>
      <w:r w:rsidRPr="00327D21">
        <w:t xml:space="preserve">  </w:t>
      </w:r>
    </w:p>
    <w:p w:rsidR="00327D21" w:rsidRPr="00327D21" w:rsidRDefault="00327D21" w:rsidP="00327D21">
      <w:r w:rsidRPr="00327D21">
        <w:t>Further, we consider that we have appropriately compensated investors for the risks they faced when we set the allowed return on debt using the on-the-day approach. This is because:</w:t>
      </w:r>
    </w:p>
    <w:p w:rsidR="00327D21" w:rsidRPr="00327D21" w:rsidRDefault="00327D21" w:rsidP="00327D21">
      <w:pPr>
        <w:pStyle w:val="AERbulletlistfirststyle"/>
      </w:pPr>
      <w:r w:rsidRPr="00327D21">
        <w:t>We have set the allowed return on debt using the on-the-day approach for many years.</w:t>
      </w:r>
      <w:r w:rsidRPr="00327D21">
        <w:rPr>
          <w:rStyle w:val="FootnoteReference"/>
        </w:rPr>
        <w:footnoteReference w:id="578"/>
      </w:r>
      <w:r w:rsidRPr="00327D21">
        <w:t xml:space="preserve"> As such, when we applied the on-the-day approach, investors in a benchmark efficient entity would have expected us to reset the return on debt at the start of each access arrangement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327D21" w:rsidRPr="00327D21" w:rsidRDefault="00327D21" w:rsidP="00327D21">
      <w:pPr>
        <w:pStyle w:val="AERbulletlistfirststyle"/>
      </w:pPr>
      <w:r w:rsidRPr="00327D21">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service provider</w:t>
      </w:r>
      <w:r w:rsidR="00742A53">
        <w:t xml:space="preserve"> in providing its reference services</w:t>
      </w:r>
      <w:r w:rsidRPr="00327D21">
        <w:t xml:space="preserve"> operating under this approach.</w:t>
      </w:r>
      <w:r w:rsidRPr="00327D21">
        <w:rPr>
          <w:rStyle w:val="FootnoteReference"/>
        </w:rPr>
        <w:footnoteReference w:id="579"/>
      </w:r>
    </w:p>
    <w:p w:rsidR="00327D21" w:rsidRPr="00327D21" w:rsidRDefault="00327D21" w:rsidP="00327D21">
      <w:r w:rsidRPr="00327D21">
        <w:rPr>
          <w:rStyle w:val="AERbody"/>
        </w:rPr>
        <w:t>Further, regarding the reasoning put forward for a hybrid transition under</w:t>
      </w:r>
      <w:r w:rsidRPr="00327D21">
        <w:t xml:space="preserve"> partial hedging, we consider a full transition is necessary to satisfy the ARORO and NEO/NGO even if firms partially hedged. </w:t>
      </w:r>
    </w:p>
    <w:p w:rsidR="00327D21" w:rsidRPr="00327D21" w:rsidRDefault="00327D21" w:rsidP="00327D21">
      <w:pPr>
        <w:pStyle w:val="HeadingBoldItalic"/>
      </w:pPr>
      <w:r w:rsidRPr="00327D21">
        <w:t>General problems with using approaches based on historical data</w:t>
      </w:r>
    </w:p>
    <w:p w:rsidR="00327D21" w:rsidRPr="00327D21" w:rsidRDefault="00327D21" w:rsidP="00327D21">
      <w:r w:rsidRPr="00327D21">
        <w:t>Both the immediate and hybrid forms of transition to the trailing average rely on using historical data to estimate the allowed return on debt. We consider this has the following problems:</w:t>
      </w:r>
    </w:p>
    <w:p w:rsidR="00D11A05" w:rsidRDefault="00327D21" w:rsidP="00D11A05">
      <w:pPr>
        <w:pStyle w:val="AERbulletlistfirststyle"/>
      </w:pPr>
      <w:r w:rsidRPr="00327D21">
        <w:t xml:space="preserve">All of these transition paths would produce a return on debt allowance that effectively removes interest rate risk (to at least some extent) incurred in prior access arrangement periods. A benchmark efficient entity was required to bear and manage this risk under the on-the-day approach. As such, these transition paths would alter </w:t>
      </w:r>
      <w:r w:rsidR="00FF2E81">
        <w:t>APTPPL</w:t>
      </w:r>
      <w:r w:rsidRPr="00327D21">
        <w:t xml:space="preserve">'s historic risk profiles </w:t>
      </w:r>
      <w:r w:rsidRPr="00327D21">
        <w:rPr>
          <w:rStyle w:val="AERtextunderline"/>
        </w:rPr>
        <w:t>after</w:t>
      </w:r>
      <w:r w:rsidRPr="00327D21">
        <w:t xml:space="preserve"> it had made decisions on how to manage its financial risk.</w:t>
      </w:r>
    </w:p>
    <w:p w:rsidR="00C04C58" w:rsidRPr="00C04C58" w:rsidRDefault="00327D21" w:rsidP="00272584">
      <w:pPr>
        <w:pStyle w:val="AERbulletlistfirststyle"/>
        <w:numPr>
          <w:ilvl w:val="0"/>
          <w:numId w:val="0"/>
        </w:numPr>
      </w:pPr>
      <w:r w:rsidRPr="00327D21">
        <w:t>In our decisions for the Victorian Distribution Network Service Providers (DNSPs)</w:t>
      </w:r>
      <w:r w:rsidRPr="00327D21">
        <w:rPr>
          <w:rStyle w:val="FootnoteReference"/>
        </w:rPr>
        <w:footnoteReference w:id="580"/>
      </w:r>
      <w:r w:rsidRPr="00327D21">
        <w:t>, we observed there are practical problems with using historical data dating back nine years</w:t>
      </w:r>
      <w:r w:rsidRPr="00327D21">
        <w:rPr>
          <w:rStyle w:val="FootnoteReference"/>
        </w:rPr>
        <w:footnoteReference w:id="581"/>
      </w:r>
      <w:r w:rsidR="00274BC8">
        <w:t xml:space="preserve">, </w:t>
      </w:r>
      <w:r w:rsidR="00FD36B1">
        <w:t xml:space="preserve">and we maintain this is the case. </w:t>
      </w:r>
      <w:r w:rsidRPr="00327D21">
        <w:t xml:space="preserve"> </w:t>
      </w:r>
    </w:p>
    <w:p w:rsidR="00C04C58" w:rsidRPr="00C04C58" w:rsidRDefault="00C04C58" w:rsidP="00C04C58">
      <w:r w:rsidRPr="00C04C58">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FF2E81">
        <w:t>APTPPL's</w:t>
      </w:r>
      <w:r w:rsidR="00265DD1">
        <w:t xml:space="preserve"> </w:t>
      </w:r>
      <w:r w:rsidRPr="00C04C58">
        <w:t>averaging period for that year.</w:t>
      </w:r>
    </w:p>
    <w:p w:rsidR="00C04C58" w:rsidRPr="00C04C58" w:rsidRDefault="00C04C58" w:rsidP="00C04C58">
      <w:r w:rsidRPr="00C04C58">
        <w:t>In this section, we set out our considerations on the implementation issues associated with estimating the allowed return on debt approach. These issues are:</w:t>
      </w:r>
    </w:p>
    <w:p w:rsidR="00C04C58" w:rsidRPr="00C04C58" w:rsidRDefault="00C04C58" w:rsidP="00C04C58">
      <w:pPr>
        <w:pStyle w:val="AERbulletlistfirststyle"/>
      </w:pPr>
      <w:r w:rsidRPr="00C04C58">
        <w:t>the term of debt issued by a benchmark efficient entity</w:t>
      </w:r>
    </w:p>
    <w:p w:rsidR="00C04C58" w:rsidRPr="00C04C58" w:rsidRDefault="00C04C58" w:rsidP="00C04C58">
      <w:pPr>
        <w:pStyle w:val="AERbulletlistfirststyle"/>
      </w:pPr>
      <w:r w:rsidRPr="00C04C58">
        <w:t>the credit rating of a benchmark efficient entity</w:t>
      </w:r>
    </w:p>
    <w:p w:rsidR="00C04C58" w:rsidRPr="00C04C58" w:rsidRDefault="00C04C58" w:rsidP="00C04C58">
      <w:pPr>
        <w:pStyle w:val="AERbulletlistfirststyle"/>
      </w:pPr>
      <w:r w:rsidRPr="00C04C58">
        <w:t>whether to use an independent third party data series or to construct our own data series (for example, based on an index of actual industry borrowing costs)</w:t>
      </w:r>
    </w:p>
    <w:p w:rsidR="00C04C58" w:rsidRPr="00C04C58" w:rsidRDefault="00C04C58" w:rsidP="00C04C58">
      <w:pPr>
        <w:pStyle w:val="AERbulletlistfirststyle"/>
      </w:pPr>
      <w:r w:rsidRPr="00C04C58">
        <w:t>the choice of third party data series (or combination of data series) to estimate the efficient debt financing costs of a benchmark efficient entity, based on the benchmark debt term and benchmark credit rating</w:t>
      </w:r>
    </w:p>
    <w:p w:rsidR="00C04C58" w:rsidRPr="00C04C58" w:rsidRDefault="00C04C58" w:rsidP="00C04C58">
      <w:pPr>
        <w:pStyle w:val="AERbulletlistfirststyle"/>
      </w:pPr>
      <w:r w:rsidRPr="00C04C58">
        <w:t>extrapolation and interpolation issues with adjusting our choice of data series</w:t>
      </w:r>
    </w:p>
    <w:p w:rsidR="00C04C58" w:rsidRPr="00C04C58" w:rsidRDefault="00C04C58" w:rsidP="00C04C58">
      <w:pPr>
        <w:pStyle w:val="AERbulletlistfirststyle"/>
      </w:pPr>
      <w:r w:rsidRPr="00C04C58">
        <w:t>contingencies associated with implementing our choice of data series, if the data series we have chosen to estimate the return on debt are unavailable or change in future regulatory years during the regulatory control period</w:t>
      </w:r>
    </w:p>
    <w:p w:rsidR="00C04C58" w:rsidRPr="00C04C58" w:rsidRDefault="00C04C58" w:rsidP="00C04C58">
      <w:pPr>
        <w:pStyle w:val="AERbulletlistfirststyle"/>
      </w:pPr>
      <w:r w:rsidRPr="00C04C58">
        <w:t>the new issue premium</w:t>
      </w:r>
    </w:p>
    <w:p w:rsidR="00C04C58" w:rsidRPr="00C04C58" w:rsidRDefault="00C04C58" w:rsidP="00C04C58">
      <w:pPr>
        <w:pStyle w:val="AERbulletlistfirststyle"/>
      </w:pPr>
      <w:r w:rsidRPr="00C04C58">
        <w:t>the averaging period used to estimate the return on debt for each regulatory year</w:t>
      </w:r>
    </w:p>
    <w:p w:rsidR="00C04C58" w:rsidRPr="00C04C58" w:rsidRDefault="00C04C58" w:rsidP="00C04C58">
      <w:pPr>
        <w:pStyle w:val="AERbulletlistfirststyle"/>
      </w:pPr>
      <w:r w:rsidRPr="00C04C58">
        <w:t xml:space="preserve">the annual process to update the return on debt. </w:t>
      </w:r>
    </w:p>
    <w:p w:rsidR="00C04C58" w:rsidRPr="00C04C58" w:rsidRDefault="00C04C58" w:rsidP="00C04C58">
      <w:r w:rsidRPr="00C04C58">
        <w:t xml:space="preserve">Consistent with the </w:t>
      </w:r>
      <w:r w:rsidR="00FC63F9">
        <w:t xml:space="preserve">analysis that supported the </w:t>
      </w:r>
      <w:r w:rsidRPr="00C04C58">
        <w:t>Guideline, we are satisfied that a return on debt estimated based on a 10 year benchmark debt term, BBB+ benchmark credit rating, and using an independent third party data series is commensurate with the efficient financing costs of a benchmark efficient entity</w:t>
      </w:r>
      <w:r w:rsidR="00FC63F9">
        <w:t xml:space="preserve"> for </w:t>
      </w:r>
      <w:r w:rsidR="00FF2E81">
        <w:t>APTPPL</w:t>
      </w:r>
      <w:r w:rsidRPr="00C04C58">
        <w:t>.</w:t>
      </w:r>
    </w:p>
    <w:p w:rsidR="00C04C58" w:rsidRPr="00C04C58" w:rsidRDefault="00C04C58" w:rsidP="00C04C58">
      <w:r w:rsidRPr="00C04C58">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C04C58" w:rsidRPr="00C04C58" w:rsidRDefault="00C04C58" w:rsidP="00C04C58">
      <w:pPr>
        <w:pStyle w:val="HeadingBoldItalic"/>
      </w:pPr>
      <w:r w:rsidRPr="00C04C58">
        <w:t>Term</w:t>
      </w:r>
    </w:p>
    <w:p w:rsidR="00C04C58" w:rsidRPr="00C04C58" w:rsidRDefault="00C04C58" w:rsidP="00C04C58">
      <w:r w:rsidRPr="00C04C58">
        <w:t xml:space="preserve">Our </w:t>
      </w:r>
      <w:r w:rsidR="00207719">
        <w:t>draft</w:t>
      </w:r>
      <w:r w:rsidRPr="00C04C58">
        <w:t xml:space="preserve"> decision is to adopt a ten year term for the return on debt.  This is consistent with the Guideline;.</w:t>
      </w:r>
      <w:r w:rsidRPr="00C04C58">
        <w:rPr>
          <w:rStyle w:val="AERsuperscript"/>
        </w:rPr>
        <w:footnoteReference w:id="582"/>
      </w:r>
      <w:r w:rsidRPr="00C04C58">
        <w:t xml:space="preserve">  This is also consistent with our April, October and November 2015 decisions, May 2016 decisions and our </w:t>
      </w:r>
      <w:r w:rsidR="00FC63F9">
        <w:t>April 2017 decision</w:t>
      </w:r>
      <w:r w:rsidRPr="00C04C58">
        <w:t>.</w:t>
      </w:r>
      <w:r w:rsidRPr="00C04C58">
        <w:rPr>
          <w:rStyle w:val="AERsuperscript"/>
        </w:rPr>
        <w:footnoteReference w:id="583"/>
      </w:r>
    </w:p>
    <w:p w:rsidR="00C04C58" w:rsidRPr="00C04C58" w:rsidRDefault="00C04C58" w:rsidP="00C04C58">
      <w:r w:rsidRPr="00C04C58">
        <w:t>We are satisfied that measuring the allowed return on debt by reference to a 10 year benchmark term is commensurate with the efficient financing costs of a benchmark efficient entity. Our reasons for adopting a 10 year benchmark debt term are:</w:t>
      </w:r>
    </w:p>
    <w:p w:rsidR="00C04C58" w:rsidRPr="00C04C58" w:rsidRDefault="00C04C58" w:rsidP="00C04C58">
      <w:pPr>
        <w:pStyle w:val="AERbulletlistfirststyle"/>
      </w:pPr>
      <w:r w:rsidRPr="00C04C58">
        <w:t>A long debt tenor is consistent with the long lived assets of a benchmark efficient entity and reduces refinancing risk.</w:t>
      </w:r>
    </w:p>
    <w:p w:rsidR="00C04C58" w:rsidRPr="00C04C58" w:rsidRDefault="00C04C58" w:rsidP="00C04C58">
      <w:pPr>
        <w:pStyle w:val="AERbulletlistfirststyle"/>
      </w:pPr>
      <w:r w:rsidRPr="00C04C58">
        <w:t>A 10 year term is similar to (though somewhat longer than) the industry average term at issuance of a sample of firms that are comparable to the benchmark efficient entity.</w:t>
      </w:r>
    </w:p>
    <w:p w:rsidR="00C04C58" w:rsidRPr="00C04C58" w:rsidRDefault="00D4286F" w:rsidP="00C04C58">
      <w:pPr>
        <w:pStyle w:val="AERbulletlistfirststyle"/>
      </w:pPr>
      <w:r>
        <w:t>Service providers'</w:t>
      </w:r>
      <w:r w:rsidR="00C04C58" w:rsidRPr="00C04C58">
        <w:t xml:space="preserve"> assets are long lived, and have asset lives that are longer than the terms commonly available for debt. Refinancing risk is the risk that a firm would not be able to refinance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a benchmark efficient entity would be long term, but they do not provide clear guidance on what exactly that term should be.</w:t>
      </w:r>
    </w:p>
    <w:p w:rsidR="00C04C58" w:rsidRPr="00C04C58" w:rsidRDefault="00C04C58" w:rsidP="00C04C58">
      <w:r w:rsidRPr="00C04C58">
        <w:t>For that reason, in our Guideline, we requested information from a range of privately owned service providers on the amount, type, term and credit rating of their debt issuances.</w:t>
      </w:r>
      <w:r w:rsidRPr="00C04C58">
        <w:rPr>
          <w:rStyle w:val="AERsuperscript"/>
        </w:rPr>
        <w:footnoteReference w:id="584"/>
      </w:r>
      <w:r w:rsidRPr="00C04C58">
        <w:t xml:space="preserve"> These service providers are comparable to </w:t>
      </w:r>
      <w:r w:rsidR="00B05AAC">
        <w:t>a</w:t>
      </w:r>
      <w:r w:rsidRPr="00C04C58">
        <w:t xml:space="preserve"> benchmark efficient entity </w:t>
      </w:r>
      <w:r w:rsidR="00B05AAC">
        <w:t xml:space="preserve">for </w:t>
      </w:r>
      <w:r w:rsidR="00584311">
        <w:t>APTPPL</w:t>
      </w:r>
      <w:r w:rsidRPr="00C04C58">
        <w:t>.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sidRPr="00C04C58">
        <w:rPr>
          <w:rStyle w:val="AERsuperscript"/>
        </w:rPr>
        <w:footnoteReference w:id="585"/>
      </w:r>
      <w:r w:rsidRPr="00C04C58">
        <w:t xml:space="preserve"> In circumstances where the yield curve for debt is upward sloping, our 10 year benchmark will be conservative compared against the 8.7 year observed average.</w:t>
      </w:r>
    </w:p>
    <w:p w:rsidR="00C04C58" w:rsidRPr="00C04C58" w:rsidRDefault="00C04C58" w:rsidP="00C04C58">
      <w:pPr>
        <w:pStyle w:val="HeadingBoldItalic"/>
      </w:pPr>
      <w:r w:rsidRPr="00C04C58">
        <w:t>Credit rating</w:t>
      </w:r>
    </w:p>
    <w:p w:rsidR="00AA374F" w:rsidRPr="00C04C58" w:rsidRDefault="00AA374F" w:rsidP="00AA374F">
      <w:r>
        <w:t>Our draft</w:t>
      </w:r>
      <w:r w:rsidRPr="00C04C58">
        <w:t xml:space="preserve"> decision is to adopt a BBB+ benchmark credit rating to estimate the return on debt. This benchmark credit rating is the same rating we proposed in the Guideline and applied in our most recent decisions.</w:t>
      </w:r>
      <w:r w:rsidRPr="00C04C58">
        <w:rPr>
          <w:rStyle w:val="FootnoteReference"/>
        </w:rPr>
        <w:footnoteReference w:id="586"/>
      </w:r>
      <w:r w:rsidRPr="00C04C58">
        <w:t xml:space="preserve"> We also applied this credit rating to decisions that were upheld before the Tribunal.</w:t>
      </w:r>
      <w:r w:rsidRPr="00C04C58">
        <w:rPr>
          <w:rStyle w:val="FootnoteReference"/>
        </w:rPr>
        <w:footnoteReference w:id="587"/>
      </w:r>
      <w:r w:rsidRPr="00C04C58">
        <w:t xml:space="preserve"> </w:t>
      </w:r>
      <w:r>
        <w:t xml:space="preserve"> </w:t>
      </w:r>
      <w:r w:rsidRPr="00C04C58">
        <w:t>We consider that a BBB+ benchmark credit rating to be appropriate given the information we have available and that is included in this decision.</w:t>
      </w:r>
    </w:p>
    <w:p w:rsidR="00AA374F" w:rsidRDefault="00AA374F" w:rsidP="00AA374F">
      <w:r w:rsidRPr="00C04C58">
        <w:t xml:space="preserve">In current regulatory processes, </w:t>
      </w:r>
      <w:r>
        <w:t>service providers have proposed implementation of the AER Guideline credit rating</w:t>
      </w:r>
      <w:r w:rsidR="00CB2CF7">
        <w:t xml:space="preserve">. However, </w:t>
      </w:r>
      <w:r w:rsidR="00CB2CF7" w:rsidRPr="00CB2CF7">
        <w:t>AGN proposed that explicit consideration should be given to whether building block revenue provides sufficient cash flow to maintain the credit rating assumed by the AER</w:t>
      </w:r>
      <w:r w:rsidR="00CB2CF7">
        <w:t>.</w:t>
      </w:r>
      <w:r w:rsidR="00CB2CF7" w:rsidRPr="00CB2CF7">
        <w:rPr>
          <w:rStyle w:val="FootnoteReference"/>
        </w:rPr>
        <w:footnoteReference w:id="588"/>
      </w:r>
    </w:p>
    <w:p w:rsidR="00AA374F" w:rsidRPr="00C04C58" w:rsidRDefault="00AA374F" w:rsidP="00AA374F">
      <w:r>
        <w:t xml:space="preserve">In previous decisions, </w:t>
      </w:r>
      <w:r w:rsidRPr="00C04C58">
        <w:t>different service providers, consultants and other stakeholders proposed different credit ratings for the benchmark efficient entity. In particular:</w:t>
      </w:r>
    </w:p>
    <w:p w:rsidR="00AA374F" w:rsidRPr="00C04C58" w:rsidRDefault="00AA374F" w:rsidP="00AA374F">
      <w:pPr>
        <w:pStyle w:val="AERbulletlistfirststyle"/>
      </w:pPr>
      <w:r w:rsidRPr="00C04C58">
        <w:t>AusNet Services proposed a credit rating of BBB to BBB+.</w:t>
      </w:r>
      <w:r w:rsidRPr="00C04C58">
        <w:rPr>
          <w:rStyle w:val="FootnoteReference"/>
        </w:rPr>
        <w:footnoteReference w:id="589"/>
      </w:r>
    </w:p>
    <w:p w:rsidR="00AA374F" w:rsidRPr="00C04C58" w:rsidRDefault="00AA374F" w:rsidP="00AA374F">
      <w:pPr>
        <w:pStyle w:val="AERbulletlistfirststyle"/>
      </w:pPr>
      <w:r w:rsidRPr="00C04C58">
        <w:t>Powerlink and TasNetworks proposed to adopt a benchmark credit rating of BBB+</w:t>
      </w:r>
      <w:r w:rsidRPr="00C04C58">
        <w:rPr>
          <w:rStyle w:val="FootnoteReference"/>
        </w:rPr>
        <w:footnoteReference w:id="590"/>
      </w:r>
    </w:p>
    <w:p w:rsidR="00AA374F" w:rsidRPr="00C04C58" w:rsidRDefault="00AA374F" w:rsidP="00AA374F">
      <w:r w:rsidRPr="00C04C58">
        <w:t xml:space="preserve">These service providers did not submit any consultant reports on the benchmark credit rating. However, previous consultant reports we received were mixed. For instance: </w:t>
      </w:r>
    </w:p>
    <w:p w:rsidR="00AA374F" w:rsidRPr="00C04C58" w:rsidRDefault="00AA374F" w:rsidP="00AA374F">
      <w:pPr>
        <w:pStyle w:val="AERbulletlistfirststyle"/>
      </w:pPr>
      <w:r w:rsidRPr="00C04C58">
        <w:t>NERA and Houston Kemp (commissioned by TransGrid in a recent regulatory process) recommended a BBB+ credit rating.</w:t>
      </w:r>
      <w:r w:rsidRPr="00C04C58">
        <w:rPr>
          <w:rStyle w:val="FootnoteReference"/>
        </w:rPr>
        <w:footnoteReference w:id="591"/>
      </w:r>
    </w:p>
    <w:p w:rsidR="00AA374F" w:rsidRPr="00C04C58" w:rsidRDefault="00AA374F" w:rsidP="00AA374F">
      <w:pPr>
        <w:pStyle w:val="AERbulletlistfirststyle"/>
      </w:pPr>
      <w:r w:rsidRPr="00C04C58">
        <w:t>Several service providers and CEG (commissioned by several service providers) recommended a BBB credit rating.</w:t>
      </w:r>
      <w:r w:rsidRPr="00C04C58">
        <w:rPr>
          <w:rStyle w:val="FootnoteReference"/>
        </w:rPr>
        <w:footnoteReference w:id="592"/>
      </w:r>
    </w:p>
    <w:p w:rsidR="00AA374F" w:rsidRPr="00C04C58" w:rsidRDefault="00AA374F" w:rsidP="00AA374F">
      <w:pPr>
        <w:pStyle w:val="AERbulletlistfirststyle"/>
      </w:pPr>
      <w:r w:rsidRPr="00C04C58">
        <w:t>Lally (commissioned by us) and the South Australian Centre for Economic Studies (SACES) recommended a credit rating for energy networks of BBB to BBB+.</w:t>
      </w:r>
      <w:r w:rsidRPr="00C04C58">
        <w:rPr>
          <w:rStyle w:val="FootnoteReference"/>
        </w:rPr>
        <w:footnoteReference w:id="593"/>
      </w:r>
    </w:p>
    <w:p w:rsidR="00AA374F" w:rsidRPr="00C04C58" w:rsidRDefault="00AA374F" w:rsidP="00AA374F">
      <w:r w:rsidRPr="00C04C58">
        <w:t xml:space="preserve">In contrast, consumer groups </w:t>
      </w:r>
      <w:r>
        <w:t>previously</w:t>
      </w:r>
      <w:r w:rsidRPr="00C04C58">
        <w:t xml:space="preserve"> submitted the benchmark credit rating of BBB+ was too low. For instance:</w:t>
      </w:r>
    </w:p>
    <w:p w:rsidR="00AA374F" w:rsidRPr="00C04C58" w:rsidRDefault="00AA374F" w:rsidP="00AA374F">
      <w:pPr>
        <w:pStyle w:val="AERbulletlistfirststyle"/>
      </w:pPr>
      <w:r w:rsidRPr="00C04C58">
        <w:t>The CCP4 (DH) viewed the AER Guideline as conservative when setting point estimates for the rate of return model, expressing concern that a lower credit rating than BBB+ would inappropriately increase the return on debt allowance.</w:t>
      </w:r>
      <w:r w:rsidRPr="00C04C58">
        <w:rPr>
          <w:rStyle w:val="FootnoteReference"/>
        </w:rPr>
        <w:footnoteReference w:id="594"/>
      </w:r>
      <w:r w:rsidRPr="00C04C58">
        <w:t xml:space="preserve"> </w:t>
      </w:r>
      <w:r w:rsidRPr="00C04C58">
        <w:rPr>
          <w:rStyle w:val="FootnoteReference"/>
        </w:rPr>
        <w:footnoteReference w:id="595"/>
      </w:r>
    </w:p>
    <w:p w:rsidR="00AA374F" w:rsidRPr="00C04C58" w:rsidRDefault="00AA374F" w:rsidP="00AA374F">
      <w:pPr>
        <w:pStyle w:val="AERbulletlistfirststyle"/>
      </w:pPr>
      <w:r w:rsidRPr="00C04C58">
        <w:t>The Chamber of Commerce and Industry Queensland (CCIQ) and Energy Consumers Coalition of South Australia (ECCSA) submitted that credit ratings of BBB and BBB+ are too low.</w:t>
      </w:r>
      <w:r w:rsidRPr="00C04C58">
        <w:rPr>
          <w:rStyle w:val="FootnoteReference"/>
        </w:rPr>
        <w:footnoteReference w:id="596"/>
      </w:r>
      <w:r w:rsidRPr="00C04C58">
        <w:t xml:space="preserve"> ECCSA specifically noted this was the case given benchmark firms' gearing levels.</w:t>
      </w:r>
      <w:r w:rsidRPr="00C04C58">
        <w:rPr>
          <w:rStyle w:val="FootnoteReference"/>
        </w:rPr>
        <w:footnoteReference w:id="597"/>
      </w:r>
    </w:p>
    <w:p w:rsidR="00AA374F" w:rsidRPr="00C04C58" w:rsidRDefault="00AA374F" w:rsidP="00AA374F">
      <w:pPr>
        <w:pStyle w:val="AERbulletlistfirststyle"/>
      </w:pPr>
      <w:r w:rsidRPr="00C04C58">
        <w:t>The Victorian Energy Consumer and User Alliance (VECUA) referred to an analysis by the Energy Users Rule Change Committee (EURCC) in 2011 to support their view that we should recognise or have regard to service providers' actual credit ratings.</w:t>
      </w:r>
      <w:r w:rsidRPr="00C04C58">
        <w:rPr>
          <w:rStyle w:val="FootnoteReference"/>
        </w:rPr>
        <w:footnoteReference w:id="598"/>
      </w:r>
      <w:r w:rsidRPr="00C04C58">
        <w:t xml:space="preserve"> VECUA submitted that we provide higher debt allowances than appropriate by basing these on credit ratings that are lower than service providers' actual credit ratings.</w:t>
      </w:r>
      <w:r w:rsidRPr="00C04C58">
        <w:rPr>
          <w:rStyle w:val="FootnoteReference"/>
        </w:rPr>
        <w:footnoteReference w:id="599"/>
      </w:r>
      <w:r w:rsidRPr="00C04C58">
        <w:t xml:space="preserve">  Further, VECUA also submitted that by using debt in a broad BBB band to estimate the allowed return on debt, the debt allowance we provide is predominantly based on more expensive debt ratings.</w:t>
      </w:r>
      <w:r w:rsidRPr="00C04C58">
        <w:rPr>
          <w:rStyle w:val="FootnoteReference"/>
        </w:rPr>
        <w:footnoteReference w:id="600"/>
      </w:r>
      <w:r w:rsidRPr="00C04C58">
        <w:t xml:space="preserve"> We note that several service providers disagreed with this submission.</w:t>
      </w:r>
      <w:r w:rsidRPr="00C04C58">
        <w:rPr>
          <w:rStyle w:val="FootnoteReference"/>
        </w:rPr>
        <w:footnoteReference w:id="601"/>
      </w:r>
    </w:p>
    <w:p w:rsidR="00AA374F" w:rsidRPr="00C04C58" w:rsidRDefault="00AA374F" w:rsidP="00AA374F">
      <w:pPr>
        <w:pStyle w:val="AERbulletlistfirststyle"/>
      </w:pPr>
      <w:r w:rsidRPr="00C04C58">
        <w:t>The CCP submitted that we should account for the difference between service providers actual cost of debt and the BBB benchmark so the allowance better reflects service providers' actual debt costs.</w:t>
      </w:r>
      <w:r w:rsidRPr="00C04C58">
        <w:rPr>
          <w:rStyle w:val="FootnoteReference"/>
        </w:rPr>
        <w:footnoteReference w:id="602"/>
      </w:r>
      <w:r w:rsidRPr="00C04C58">
        <w:t xml:space="preserve"> </w:t>
      </w:r>
    </w:p>
    <w:p w:rsidR="00AA374F" w:rsidRPr="00C04C58" w:rsidRDefault="00AA374F" w:rsidP="00AA374F">
      <w:r w:rsidRPr="00C04C58">
        <w:t xml:space="preserve">We are satisfied that a benchmark efficient entity </w:t>
      </w:r>
      <w:r>
        <w:t xml:space="preserve">for </w:t>
      </w:r>
      <w:r w:rsidR="00DA57A4">
        <w:t>APTPPL</w:t>
      </w:r>
      <w:r>
        <w:t xml:space="preserve"> </w:t>
      </w:r>
      <w:r w:rsidRPr="00C04C58">
        <w:t>would have a BBB+ credit rating. We formed this view, as well as our view on the benchmark term of issuance, from considering a set of firms that we consider comparable to a benchmark efficient entity</w:t>
      </w:r>
      <w:r>
        <w:t xml:space="preserve"> with a similar degree of risk to </w:t>
      </w:r>
      <w:r w:rsidR="00DA57A4">
        <w:t>APTPPL</w:t>
      </w:r>
      <w:r>
        <w:t xml:space="preserve"> in the provision of its reference services</w:t>
      </w:r>
      <w:r w:rsidRPr="00C04C58">
        <w:t>.</w:t>
      </w:r>
      <w:r w:rsidRPr="00C04C58">
        <w:rPr>
          <w:rStyle w:val="FootnoteReference"/>
        </w:rPr>
        <w:footnoteReference w:id="603"/>
      </w:r>
      <w:r w:rsidRPr="00C04C58">
        <w:t xml:space="preserve"> We consider this is more consistent with incentive regulation than basing our allowance for individual service providers on their actual credit ratings or actual historical costs of debt.</w:t>
      </w:r>
    </w:p>
    <w:p w:rsidR="00AA374F" w:rsidRPr="00C04C58" w:rsidRDefault="00DA57A4" w:rsidP="00AA374F">
      <w:r>
        <w:t xml:space="preserve">APTPPL has </w:t>
      </w:r>
      <w:r w:rsidR="009925EE">
        <w:t xml:space="preserve">adopted the Guideline approach and </w:t>
      </w:r>
      <w:r>
        <w:t xml:space="preserve">accepted </w:t>
      </w:r>
      <w:r w:rsidR="009925EE">
        <w:t>a credit rating of BBB+.</w:t>
      </w:r>
      <w:r w:rsidR="009925EE">
        <w:rPr>
          <w:rStyle w:val="FootnoteReference"/>
        </w:rPr>
        <w:footnoteReference w:id="604"/>
      </w:r>
      <w:r w:rsidR="009925EE">
        <w:t xml:space="preserve"> Where financial data to be used in estimating the rate of return are not available for entities with that credit rating, APTPPL proposed ro use data for BBB rated entities.</w:t>
      </w:r>
      <w:r w:rsidR="009925EE">
        <w:rPr>
          <w:rStyle w:val="FootnoteReference"/>
        </w:rPr>
        <w:footnoteReference w:id="605"/>
      </w:r>
      <w:r w:rsidR="00AA374F">
        <w:t>W</w:t>
      </w:r>
      <w:r w:rsidR="00AA374F" w:rsidRPr="00C04C58">
        <w:t>e are satisfied that a benchmark efficient entity facing a similar d</w:t>
      </w:r>
      <w:r w:rsidR="00AA374F">
        <w:t xml:space="preserve">egree of risk as </w:t>
      </w:r>
      <w:r w:rsidR="009925EE">
        <w:t>APTPPL</w:t>
      </w:r>
      <w:r w:rsidR="00AA374F" w:rsidRPr="00C04C58">
        <w:t xml:space="preserve"> in providing </w:t>
      </w:r>
      <w:r w:rsidR="00CB2CF7">
        <w:t xml:space="preserve">reference </w:t>
      </w:r>
      <w:r w:rsidR="00AA374F" w:rsidRPr="00C04C58">
        <w:t>services would face a BBB+ credit rating. In section</w:t>
      </w:r>
      <w:r w:rsidR="00887AF3">
        <w:t xml:space="preserve"> </w:t>
      </w:r>
      <w:r w:rsidR="009925EE">
        <w:fldChar w:fldCharType="begin"/>
      </w:r>
      <w:r w:rsidR="009925EE">
        <w:instrText xml:space="preserve"> REF _Ref486947378 \r \h </w:instrText>
      </w:r>
      <w:r w:rsidR="009925EE">
        <w:fldChar w:fldCharType="separate"/>
      </w:r>
      <w:r w:rsidR="002C24D6">
        <w:t>K.4</w:t>
      </w:r>
      <w:r w:rsidR="009925EE">
        <w:fldChar w:fldCharType="end"/>
      </w:r>
      <w:r w:rsidR="00AA374F" w:rsidRPr="00C04C58">
        <w:t xml:space="preserve">, we </w:t>
      </w:r>
      <w:r w:rsidR="00887AF3">
        <w:t xml:space="preserve">also </w:t>
      </w:r>
      <w:r w:rsidR="00AA374F" w:rsidRPr="00C04C58">
        <w:t xml:space="preserve">address </w:t>
      </w:r>
      <w:r w:rsidR="00887AF3">
        <w:t>AusNet Services Electricity Transmission's</w:t>
      </w:r>
      <w:r w:rsidR="00AA374F">
        <w:t xml:space="preserve"> s</w:t>
      </w:r>
      <w:r w:rsidR="00AA374F" w:rsidRPr="00C04C58">
        <w:t>ubmission</w:t>
      </w:r>
      <w:r w:rsidR="00887AF3">
        <w:t xml:space="preserve"> given we have considered it in reaching our draft decision for APTPPL</w:t>
      </w:r>
      <w:r w:rsidR="00AA374F" w:rsidRPr="00C04C58">
        <w:t xml:space="preserve">. In particular, we: </w:t>
      </w:r>
    </w:p>
    <w:p w:rsidR="00AA374F" w:rsidRPr="00C04C58" w:rsidRDefault="00AA374F" w:rsidP="00AA374F">
      <w:pPr>
        <w:pStyle w:val="AERbulletlistfirststyle"/>
      </w:pPr>
      <w:r w:rsidRPr="00C04C58">
        <w:t xml:space="preserve">Set out the comparator set we use to estimate the industry median and </w:t>
      </w:r>
    </w:p>
    <w:p w:rsidR="00AA374F" w:rsidRPr="00AA374F" w:rsidRDefault="00AA374F" w:rsidP="00013867">
      <w:r w:rsidRPr="00C04C58">
        <w:t xml:space="preserve">Explain why we consider market data supports an industry median credit rating of BBB+, rather than BBB. </w:t>
      </w:r>
    </w:p>
    <w:p w:rsidR="00AA374F" w:rsidRPr="00AA374F" w:rsidRDefault="00AA374F" w:rsidP="00013867">
      <w:r>
        <w:t xml:space="preserve">In </w:t>
      </w:r>
      <w:r w:rsidRPr="00AA374F">
        <w:t>a previous decision AusNet Services</w:t>
      </w:r>
      <w:r w:rsidR="00887AF3">
        <w:t xml:space="preserve"> Electricity Transmission</w:t>
      </w:r>
      <w:r w:rsidRPr="00AA374F">
        <w:t xml:space="preserve"> proposed to exclude itself and SGSP Australia Assets Pty Ltd (SGSP) from the comparator set.  We addressed this issue in the previous decision.</w:t>
      </w:r>
      <w:r w:rsidR="00584311">
        <w:rPr>
          <w:rStyle w:val="FootnoteReference"/>
        </w:rPr>
        <w:footnoteReference w:id="606"/>
      </w:r>
      <w:r w:rsidRPr="00AA374F">
        <w:t xml:space="preserve">  This is not a current issue.  We have included this argument in the current decision although it has not been expanded on in this decision.</w:t>
      </w:r>
    </w:p>
    <w:p w:rsidR="00AA374F" w:rsidRPr="00C04C58" w:rsidRDefault="00AA374F" w:rsidP="00AA374F">
      <w:pPr>
        <w:pStyle w:val="HeadingItalic"/>
      </w:pPr>
      <w:r w:rsidRPr="00C04C58">
        <w:t>Update of empirical evidence</w:t>
      </w:r>
    </w:p>
    <w:p w:rsidR="00AA374F" w:rsidRPr="00C04C58" w:rsidRDefault="00AA374F" w:rsidP="00AA374F">
      <w:r w:rsidRPr="00C04C58">
        <w:t>Consistent with our estimate in the Guideline and preliminary decision, we have had regard to empirical evidence in applying a benchmark credit rating of BBB+.</w:t>
      </w:r>
      <w:r w:rsidRPr="00C04C58">
        <w:rPr>
          <w:rStyle w:val="FootnoteReference"/>
        </w:rPr>
        <w:footnoteReference w:id="607"/>
      </w:r>
      <w:r w:rsidRPr="00C04C58">
        <w:t xml:space="preserve"> </w:t>
      </w:r>
    </w:p>
    <w:p w:rsidR="00AA374F" w:rsidRPr="00C04C58" w:rsidRDefault="00AA374F" w:rsidP="00AA374F">
      <w:r w:rsidRPr="00C04C58">
        <w:fldChar w:fldCharType="begin"/>
      </w:r>
      <w:r w:rsidRPr="00C04C58">
        <w:instrText xml:space="preserve"> REF _Ref450564730 \h </w:instrText>
      </w:r>
      <w:r w:rsidRPr="00C04C58">
        <w:fldChar w:fldCharType="separate"/>
      </w:r>
      <w:r w:rsidR="002C24D6" w:rsidRPr="00C04C58">
        <w:t xml:space="preserve">Table </w:t>
      </w:r>
      <w:r w:rsidR="002C24D6">
        <w:rPr>
          <w:noProof/>
        </w:rPr>
        <w:t>3</w:t>
      </w:r>
      <w:r w:rsidR="002C24D6">
        <w:noBreakHyphen/>
      </w:r>
      <w:r w:rsidR="002C24D6">
        <w:rPr>
          <w:noProof/>
        </w:rPr>
        <w:t>9</w:t>
      </w:r>
      <w:r w:rsidRPr="00C04C58">
        <w:fldChar w:fldCharType="end"/>
      </w:r>
      <w:r w:rsidRPr="00C04C58">
        <w:t xml:space="preserve"> sets out the median credit rating over historical periods of progressively longer length. For this</w:t>
      </w:r>
      <w:r>
        <w:t xml:space="preserve"> draft </w:t>
      </w:r>
      <w:r w:rsidRPr="00C04C58">
        <w:t xml:space="preserve">decision, we </w:t>
      </w:r>
      <w:r>
        <w:t>present analysis up to 2016.</w:t>
      </w:r>
      <w:r w:rsidRPr="00C04C58">
        <w:t xml:space="preserve"> As in our </w:t>
      </w:r>
      <w:r>
        <w:t>recent</w:t>
      </w:r>
      <w:r w:rsidRPr="00C04C58">
        <w:t xml:space="preserve"> decision</w:t>
      </w:r>
      <w:r>
        <w:t>s for TasNetworks, Powerlink and AusNet electricity transmission</w:t>
      </w:r>
      <w:r w:rsidRPr="00C04C58">
        <w:t xml:space="preserve">, </w:t>
      </w:r>
      <w:r w:rsidRPr="00C04C58">
        <w:fldChar w:fldCharType="begin"/>
      </w:r>
      <w:r w:rsidRPr="00C04C58">
        <w:instrText xml:space="preserve"> REF  _Ref450564730 \* Lower \h </w:instrText>
      </w:r>
      <w:r w:rsidRPr="00C04C58">
        <w:fldChar w:fldCharType="separate"/>
      </w:r>
      <w:r w:rsidR="002C24D6" w:rsidRPr="00C04C58">
        <w:t xml:space="preserve">table </w:t>
      </w:r>
      <w:r w:rsidR="002C24D6">
        <w:rPr>
          <w:noProof/>
        </w:rPr>
        <w:t>3</w:t>
      </w:r>
      <w:r w:rsidR="002C24D6">
        <w:noBreakHyphen/>
      </w:r>
      <w:r w:rsidR="002C24D6">
        <w:rPr>
          <w:noProof/>
        </w:rPr>
        <w:t>9</w:t>
      </w:r>
      <w:r w:rsidRPr="00C04C58">
        <w:fldChar w:fldCharType="end"/>
      </w:r>
      <w:r w:rsidRPr="00C04C58">
        <w:t xml:space="preserve"> shows some support for a credit rating of BBB, however we consider it shows stronger support for a credit rating of BBB+. We note that the median credit rating for 2016 specifically is BBB+.</w:t>
      </w:r>
    </w:p>
    <w:p w:rsidR="00AA374F" w:rsidRPr="00C04C58" w:rsidRDefault="00AA374F" w:rsidP="00AA374F">
      <w:r w:rsidRPr="00C04C58">
        <w:t>We also note that this estimate entails taking the median from the yearly medians. We could also take the median of all credit rating observations over these time periods. This gives BBB+ for the six most recent periods, BBB/BBB+ for the period 2010–2016 and BBB for the longer averaging periods (2006–2016 to 2009–16).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sidRPr="00C04C58">
        <w:rPr>
          <w:rStyle w:val="FootnoteReference"/>
        </w:rPr>
        <w:footnoteReference w:id="608"/>
      </w:r>
    </w:p>
    <w:p w:rsidR="00AA374F" w:rsidRPr="00C04C58" w:rsidRDefault="00AA374F" w:rsidP="00AA374F">
      <w:pPr>
        <w:pStyle w:val="Caption"/>
      </w:pPr>
      <w:bookmarkStart w:id="99" w:name="_Ref450564730"/>
      <w:r w:rsidRPr="00C04C58">
        <w:t xml:space="preserve">Table </w:t>
      </w:r>
      <w:r w:rsidRPr="00AA374F">
        <w:fldChar w:fldCharType="begin"/>
      </w:r>
      <w:r>
        <w:instrText xml:space="preserve"> STYLEREF 1 \s </w:instrText>
      </w:r>
      <w:r w:rsidRPr="00AA374F">
        <w:fldChar w:fldCharType="separate"/>
      </w:r>
      <w:r w:rsidR="002C24D6">
        <w:rPr>
          <w:noProof/>
        </w:rPr>
        <w:t>3</w:t>
      </w:r>
      <w:r w:rsidRPr="00AA374F">
        <w:fldChar w:fldCharType="end"/>
      </w:r>
      <w:r>
        <w:noBreakHyphen/>
      </w:r>
      <w:r w:rsidRPr="00AA374F">
        <w:fldChar w:fldCharType="begin"/>
      </w:r>
      <w:r>
        <w:instrText xml:space="preserve"> SEQ Table \* ARABIC \s 1 </w:instrText>
      </w:r>
      <w:r w:rsidRPr="00AA374F">
        <w:fldChar w:fldCharType="separate"/>
      </w:r>
      <w:r w:rsidR="002C24D6">
        <w:rPr>
          <w:noProof/>
        </w:rPr>
        <w:t>9</w:t>
      </w:r>
      <w:r w:rsidRPr="00AA374F">
        <w:fldChar w:fldCharType="end"/>
      </w:r>
      <w:bookmarkEnd w:id="99"/>
      <w:r w:rsidRPr="00C04C58">
        <w:t xml:space="preserve"> 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AA374F" w:rsidRPr="00073F41" w:rsidTr="005139FA">
        <w:trPr>
          <w:cnfStyle w:val="100000000000" w:firstRow="1" w:lastRow="0" w:firstColumn="0" w:lastColumn="0" w:oddVBand="0" w:evenVBand="0" w:oddHBand="0" w:evenHBand="0" w:firstRowFirstColumn="0" w:firstRowLastColumn="0" w:lastRowFirstColumn="0" w:lastRowLastColumn="0"/>
        </w:trPr>
        <w:tc>
          <w:tcPr>
            <w:tcW w:w="2153" w:type="dxa"/>
          </w:tcPr>
          <w:p w:rsidR="00AA374F" w:rsidRPr="00AA374F" w:rsidRDefault="00AA374F" w:rsidP="00AA374F">
            <w:r w:rsidRPr="00C04C58">
              <w:t xml:space="preserve">Time period </w:t>
            </w:r>
          </w:p>
        </w:tc>
        <w:tc>
          <w:tcPr>
            <w:tcW w:w="2192" w:type="dxa"/>
          </w:tcPr>
          <w:p w:rsidR="00AA374F" w:rsidRPr="00AA374F" w:rsidRDefault="00AA374F" w:rsidP="00AA374F">
            <w:r w:rsidRPr="00C04C58">
              <w:t>Median credit rating</w:t>
            </w:r>
          </w:p>
        </w:tc>
        <w:tc>
          <w:tcPr>
            <w:tcW w:w="2155" w:type="dxa"/>
          </w:tcPr>
          <w:p w:rsidR="00AA374F" w:rsidRPr="00AA374F" w:rsidRDefault="00AA374F" w:rsidP="00AA374F">
            <w:r w:rsidRPr="00C04C58">
              <w:t>Time period</w:t>
            </w:r>
          </w:p>
        </w:tc>
        <w:tc>
          <w:tcPr>
            <w:tcW w:w="2193" w:type="dxa"/>
          </w:tcPr>
          <w:p w:rsidR="00AA374F" w:rsidRPr="00AA374F" w:rsidRDefault="00AA374F" w:rsidP="00AA374F">
            <w:r w:rsidRPr="00C04C58">
              <w:t>Median credit rating</w:t>
            </w:r>
          </w:p>
        </w:tc>
      </w:tr>
      <w:tr w:rsidR="00AA374F" w:rsidRPr="00073F41" w:rsidTr="005139FA">
        <w:trPr>
          <w:trHeight w:val="622"/>
        </w:trPr>
        <w:tc>
          <w:tcPr>
            <w:tcW w:w="2153" w:type="dxa"/>
          </w:tcPr>
          <w:p w:rsidR="00AA374F" w:rsidRPr="00AA374F" w:rsidRDefault="00AA374F" w:rsidP="00AA374F">
            <w:r w:rsidRPr="00C04C58">
              <w:t>2016</w:t>
            </w:r>
          </w:p>
        </w:tc>
        <w:tc>
          <w:tcPr>
            <w:tcW w:w="2192" w:type="dxa"/>
          </w:tcPr>
          <w:p w:rsidR="00AA374F" w:rsidRPr="00AA374F" w:rsidRDefault="00AA374F" w:rsidP="00AA374F">
            <w:r w:rsidRPr="00C04C58">
              <w:t>BBB+</w:t>
            </w:r>
          </w:p>
        </w:tc>
        <w:tc>
          <w:tcPr>
            <w:tcW w:w="2155" w:type="dxa"/>
          </w:tcPr>
          <w:p w:rsidR="00AA374F" w:rsidRPr="00C04C58" w:rsidRDefault="00AA374F" w:rsidP="00AA374F"/>
        </w:tc>
        <w:tc>
          <w:tcPr>
            <w:tcW w:w="2193" w:type="dxa"/>
          </w:tcPr>
          <w:p w:rsidR="00AA374F" w:rsidRPr="00C04C58" w:rsidRDefault="00AA374F" w:rsidP="00AA374F"/>
        </w:tc>
      </w:tr>
      <w:tr w:rsidR="00AA374F" w:rsidRPr="00073F41" w:rsidTr="005139FA">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A374F" w:rsidRPr="00AA374F" w:rsidRDefault="00AA374F" w:rsidP="00AA374F">
            <w:r w:rsidRPr="00C04C58">
              <w:t xml:space="preserve">2015–2016 </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2010–2016</w:t>
            </w:r>
          </w:p>
        </w:tc>
        <w:tc>
          <w:tcPr>
            <w:tcW w:w="2193" w:type="dxa"/>
          </w:tcPr>
          <w:p w:rsidR="00AA374F" w:rsidRPr="00AA374F" w:rsidRDefault="00AA374F" w:rsidP="00AA374F">
            <w:r w:rsidRPr="00C04C58">
              <w:t>BBB/BBB+</w:t>
            </w:r>
          </w:p>
        </w:tc>
      </w:tr>
      <w:tr w:rsidR="00AA374F" w:rsidRPr="00073F41" w:rsidTr="005139FA">
        <w:tc>
          <w:tcPr>
            <w:tcW w:w="2153" w:type="dxa"/>
          </w:tcPr>
          <w:p w:rsidR="00AA374F" w:rsidRPr="00AA374F" w:rsidRDefault="00AA374F" w:rsidP="00AA374F">
            <w:r w:rsidRPr="00C04C58">
              <w:t>2014–2016</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2009–2016</w:t>
            </w:r>
          </w:p>
        </w:tc>
        <w:tc>
          <w:tcPr>
            <w:tcW w:w="2193" w:type="dxa"/>
          </w:tcPr>
          <w:p w:rsidR="00AA374F" w:rsidRPr="00AA374F" w:rsidRDefault="00AA374F" w:rsidP="00AA374F">
            <w:r w:rsidRPr="00C04C58">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rsidRPr="00C04C58">
              <w:t>2013–2016</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2008–2016</w:t>
            </w:r>
          </w:p>
        </w:tc>
        <w:tc>
          <w:tcPr>
            <w:tcW w:w="2193" w:type="dxa"/>
          </w:tcPr>
          <w:p w:rsidR="00AA374F" w:rsidRPr="00AA374F" w:rsidRDefault="00AA374F" w:rsidP="00AA374F">
            <w:r w:rsidRPr="00C04C58">
              <w:t>BBB/BBB+</w:t>
            </w:r>
          </w:p>
        </w:tc>
      </w:tr>
      <w:tr w:rsidR="00AA374F" w:rsidRPr="00073F41" w:rsidTr="005139FA">
        <w:tc>
          <w:tcPr>
            <w:tcW w:w="2153" w:type="dxa"/>
          </w:tcPr>
          <w:p w:rsidR="00AA374F" w:rsidRPr="00AA374F" w:rsidRDefault="00AA374F" w:rsidP="00AA374F">
            <w:r w:rsidRPr="00C04C58">
              <w:t>2012–2016</w:t>
            </w:r>
          </w:p>
        </w:tc>
        <w:tc>
          <w:tcPr>
            <w:tcW w:w="2192" w:type="dxa"/>
          </w:tcPr>
          <w:p w:rsidR="00AA374F" w:rsidRPr="00AA374F" w:rsidRDefault="00AA374F" w:rsidP="00AA374F">
            <w:r w:rsidRPr="00C04C58">
              <w:t>BBB/BBB+</w:t>
            </w:r>
          </w:p>
        </w:tc>
        <w:tc>
          <w:tcPr>
            <w:tcW w:w="2155" w:type="dxa"/>
          </w:tcPr>
          <w:p w:rsidR="00AA374F" w:rsidRPr="00AA374F" w:rsidRDefault="00AA374F" w:rsidP="00AA374F">
            <w:r w:rsidRPr="00C04C58">
              <w:t>2007–2016</w:t>
            </w:r>
          </w:p>
        </w:tc>
        <w:tc>
          <w:tcPr>
            <w:tcW w:w="2193" w:type="dxa"/>
          </w:tcPr>
          <w:p w:rsidR="00AA374F" w:rsidRPr="00AA374F" w:rsidRDefault="00AA374F" w:rsidP="00AA374F">
            <w:r w:rsidRPr="00C04C58">
              <w:t>BBB/BBB+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rsidRPr="00C04C58">
              <w:t>2011–2016</w:t>
            </w:r>
          </w:p>
        </w:tc>
        <w:tc>
          <w:tcPr>
            <w:tcW w:w="2192" w:type="dxa"/>
          </w:tcPr>
          <w:p w:rsidR="00AA374F" w:rsidRPr="00AA374F" w:rsidRDefault="00AA374F" w:rsidP="00AA374F">
            <w:r w:rsidRPr="00C04C58">
              <w:t>BBB/BBB+</w:t>
            </w:r>
          </w:p>
        </w:tc>
        <w:tc>
          <w:tcPr>
            <w:tcW w:w="2155" w:type="dxa"/>
          </w:tcPr>
          <w:p w:rsidR="00AA374F" w:rsidRPr="00AA374F" w:rsidRDefault="00AA374F" w:rsidP="00AA374F">
            <w:r w:rsidRPr="00C04C58">
              <w:t>2006–2016</w:t>
            </w:r>
          </w:p>
        </w:tc>
        <w:tc>
          <w:tcPr>
            <w:tcW w:w="2193" w:type="dxa"/>
          </w:tcPr>
          <w:p w:rsidR="00AA374F" w:rsidRPr="00AA374F" w:rsidRDefault="00AA374F" w:rsidP="00AA374F">
            <w:r w:rsidRPr="00C04C58">
              <w:t>BBB/BBB+</w:t>
            </w:r>
          </w:p>
        </w:tc>
      </w:tr>
    </w:tbl>
    <w:p w:rsidR="00AA374F" w:rsidRPr="00C04C58" w:rsidRDefault="00AA374F" w:rsidP="00AA374F">
      <w:pPr>
        <w:pStyle w:val="AERtablesource"/>
      </w:pPr>
      <w:r w:rsidRPr="00C04C58">
        <w:t xml:space="preserve">Source: </w:t>
      </w:r>
      <w:r w:rsidRPr="00C04C58">
        <w:tab/>
        <w:t xml:space="preserve">Bloomberg (S&amp;P), AER analysis. </w:t>
      </w:r>
    </w:p>
    <w:p w:rsidR="00A933BB" w:rsidRDefault="00C04C58" w:rsidP="00A164C0">
      <w:r w:rsidRPr="00C04C58">
        <w:t xml:space="preserve">As noted by </w:t>
      </w:r>
      <w:r w:rsidR="00AA374F">
        <w:t>Multinet</w:t>
      </w:r>
      <w:r w:rsidRPr="00C04C58">
        <w:t>, the return on debt is estimated using a broad BBB rated curve, including BBB-, BBB and BBB+ rated debt. As we remain satisfied that the appropriate benchmark credit rating is BBB+, use of a  BBB rated yield curve is likely, holding other things constant, to overestimate the return on debt required by a BBB+ rated issuer.</w:t>
      </w:r>
    </w:p>
    <w:p w:rsidR="004C4A72" w:rsidRDefault="004C4A72" w:rsidP="004C4A72">
      <w:pPr>
        <w:pStyle w:val="HeadingBoldItalic"/>
      </w:pPr>
      <w:bookmarkStart w:id="100" w:name="_Toc480460532"/>
      <w:bookmarkStart w:id="101" w:name="_Toc480460822"/>
      <w:r w:rsidRPr="00484372">
        <w:t>Choice of third party data series (including adjustments)</w:t>
      </w:r>
      <w:bookmarkEnd w:id="100"/>
      <w:bookmarkEnd w:id="101"/>
    </w:p>
    <w:p w:rsidR="004C4A72" w:rsidRPr="00484372" w:rsidRDefault="004C4A72" w:rsidP="004C4A72">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4C4A72" w:rsidRPr="00484372" w:rsidRDefault="004C4A72" w:rsidP="004C4A72">
      <w:pPr>
        <w:numPr>
          <w:ilvl w:val="0"/>
          <w:numId w:val="24"/>
        </w:numPr>
      </w:pPr>
      <w:r w:rsidRPr="00484372">
        <w:t xml:space="preserve">Our decision is to adopt a simple average of the debt data series published by the </w:t>
      </w:r>
      <w:r>
        <w:t>RBA</w:t>
      </w:r>
      <w:r w:rsidRPr="00484372">
        <w:t xml:space="preserve"> and Bloomberg that match, as close as available, our benchmarks of a BBB+ credit rating and a 10 year debt term. Specifically, our decision is to adopt a simple average of:</w:t>
      </w:r>
    </w:p>
    <w:p w:rsidR="004C4A72" w:rsidRPr="00BF2F91" w:rsidRDefault="004C4A72" w:rsidP="004C4A72">
      <w:pPr>
        <w:pStyle w:val="AERbulletlistfirststyle"/>
      </w:pPr>
      <w:r>
        <w:t>t</w:t>
      </w:r>
      <w:r w:rsidRPr="00BF2F91">
        <w:t>he 10 year estimate from the non-financial corporate BBB rated data series published by the RBA (the RBA curve),</w:t>
      </w:r>
      <w:r w:rsidRPr="00BF2F91">
        <w:rPr>
          <w:rStyle w:val="AERsuperscript"/>
        </w:rPr>
        <w:footnoteReference w:id="609"/>
      </w:r>
      <w:r w:rsidRPr="00BF2F91">
        <w:rPr>
          <w:rStyle w:val="AERsuperscript"/>
        </w:rPr>
        <w:t xml:space="preserve"> </w:t>
      </w:r>
      <w:r w:rsidRPr="00BF2F91">
        <w:t>and</w:t>
      </w:r>
    </w:p>
    <w:p w:rsidR="004C4A72" w:rsidRPr="00BF2F91" w:rsidRDefault="004C4A72" w:rsidP="004C4A72">
      <w:pPr>
        <w:pStyle w:val="AERbulletlistfirststyle"/>
      </w:pPr>
      <w:r w:rsidRPr="00484372">
        <w:t>the 10 year yield estimate from the Australian corporate BBB rated Bloomberg Valuation Service (BVAL) data series published by Bloomberg (the BVAL curve).</w:t>
      </w:r>
      <w:r w:rsidRPr="00BF2F91">
        <w:rPr>
          <w:rStyle w:val="AERsuperscript"/>
        </w:rPr>
        <w:footnoteReference w:id="610"/>
      </w:r>
    </w:p>
    <w:p w:rsidR="004C4A72" w:rsidRPr="00484372" w:rsidRDefault="004C4A72" w:rsidP="004C4A72">
      <w:pPr>
        <w:numPr>
          <w:ilvl w:val="0"/>
          <w:numId w:val="24"/>
        </w:numPr>
      </w:pPr>
      <w:r w:rsidRPr="00484372">
        <w:t>The RBA and BVAL curves are both 'broad BBB' rated data series in that they reflect bond pricing generally across the BBB+, BBB and BBB- rated spectrum of bonds.</w:t>
      </w:r>
    </w:p>
    <w:p w:rsidR="004C4A72" w:rsidRPr="00484372" w:rsidRDefault="004C4A72" w:rsidP="004C4A72">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4C4A72" w:rsidRPr="00484372" w:rsidRDefault="004C4A72" w:rsidP="004C4A72">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611"/>
      </w:r>
      <w:r w:rsidRPr="00484372">
        <w:t xml:space="preserve"> to interpolate the monthly data points to produce daily estimates, and to convert the estimates from a semi-annual to an effective annual rate.</w:t>
      </w:r>
    </w:p>
    <w:p w:rsidR="004C4A72" w:rsidRPr="00BF2F91" w:rsidRDefault="004C4A72" w:rsidP="004C4A72">
      <w:pPr>
        <w:pStyle w:val="AERbulletlistfirststyle"/>
      </w:pPr>
      <w:r w:rsidRPr="00484372">
        <w:t>For the BVAL curve, to convert the estimates from a semi-annual to an effective annual rate.</w:t>
      </w:r>
      <w:r w:rsidRPr="00BF2F91">
        <w:rPr>
          <w:rStyle w:val="AERsuperscript"/>
        </w:rPr>
        <w:footnoteReference w:id="612"/>
      </w:r>
    </w:p>
    <w:p w:rsidR="004C4A72" w:rsidRPr="00BF2F91" w:rsidRDefault="004C4A72" w:rsidP="004C4A72">
      <w:pPr>
        <w:pStyle w:val="AERbulletlistfirststyle"/>
      </w:pPr>
      <w:r w:rsidRPr="00484372">
        <w:t>The above positions are consistent with the approach we adopted in the first round of decisions since t</w:t>
      </w:r>
      <w:r w:rsidRPr="00BF2F91">
        <w:t>he publication of the Guideline.</w:t>
      </w:r>
      <w:r w:rsidRPr="00BF2F91">
        <w:rPr>
          <w:rStyle w:val="AERsuperscript"/>
        </w:rPr>
        <w:footnoteReference w:id="613"/>
      </w:r>
    </w:p>
    <w:p w:rsidR="004C4A72" w:rsidRPr="0044315E" w:rsidRDefault="004C4A72" w:rsidP="004C4A72">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4C4A72" w:rsidRPr="00BF2F91" w:rsidRDefault="004C4A72" w:rsidP="004C4A72">
      <w:pPr>
        <w:pStyle w:val="AERbulletlistfirststyle"/>
      </w:pPr>
      <w:r w:rsidRPr="0044315E">
        <w:t>Based on analysis of the bond selection criteria</w:t>
      </w:r>
      <w:r w:rsidRPr="00BF2F91">
        <w:t xml:space="preserve"> (including approach for identifying outliers), we consider that both approaches employed by the RBA and Bloomberg have their unique strengths and weaknesses, but we are not satisfied that either is clearly superior.</w:t>
      </w:r>
    </w:p>
    <w:p w:rsidR="004C4A72" w:rsidRPr="00BF2F91" w:rsidRDefault="004C4A72" w:rsidP="004C4A72">
      <w:pPr>
        <w:pStyle w:val="AERbulletlistfirststyle"/>
      </w:pPr>
      <w:r w:rsidRPr="0044315E">
        <w:t xml:space="preserve">Based on analysis of the curve fitting (or averaging) methodologies, we consider that both approaches have </w:t>
      </w:r>
      <w:r w:rsidRPr="00BF2F91">
        <w:t>their unique strengths and weaknesses, but we are not satisfied that either is clearly superior.</w:t>
      </w:r>
    </w:p>
    <w:p w:rsidR="004C4A72" w:rsidRPr="00BF2F91" w:rsidRDefault="004C4A72" w:rsidP="004C4A72">
      <w:pPr>
        <w:pStyle w:val="AERbulletlistfirststyle"/>
      </w:pPr>
      <w:r w:rsidRPr="0044315E">
        <w:t xml:space="preserve">Both curves require adjustments from their published form to make them </w:t>
      </w:r>
      <w:r w:rsidRPr="00BF2F91">
        <w:t>fit-for-purpose, and we are not satisfied that either can be more simply or reliably adjusted to estimate the annual return on debt.</w:t>
      </w:r>
      <w:r w:rsidRPr="00BF2F91">
        <w:rPr>
          <w:rStyle w:val="FootnoteReference"/>
        </w:rPr>
        <w:footnoteReference w:id="614"/>
      </w:r>
    </w:p>
    <w:p w:rsidR="004C4A72" w:rsidRPr="00BF2F91" w:rsidRDefault="004C4A72" w:rsidP="004C4A72">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BF2F91">
        <w:rPr>
          <w:rStyle w:val="AERsuperscript"/>
        </w:rPr>
        <w:footnoteReference w:id="615"/>
      </w:r>
      <w:r w:rsidRPr="00BF2F91">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4C4A72" w:rsidRPr="0044315E" w:rsidRDefault="004C4A72" w:rsidP="004C4A72">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616"/>
      </w:r>
    </w:p>
    <w:p w:rsidR="004C4A72" w:rsidRPr="00BF2F91" w:rsidRDefault="004C4A72" w:rsidP="004C4A72">
      <w:pPr>
        <w:pStyle w:val="AERbulletlistfirststyle"/>
      </w:pPr>
      <w:r w:rsidRPr="0044315E">
        <w:t>The two curves have regularly produced materially different results at particular points in time. Both curves have their strengths</w:t>
      </w:r>
      <w:r w:rsidRPr="00BF2F91">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4C4A72" w:rsidRPr="00BF2F91" w:rsidRDefault="004C4A72" w:rsidP="004C4A72">
      <w:pPr>
        <w:pStyle w:val="AERbulletlistfirststyle"/>
      </w:pPr>
      <w:r w:rsidRPr="0044315E">
        <w:t>A simple average of two curves, in these circumstances, is consistent with the Tribunal's decision in the ActewAGL matter where the Tribunal concluded that:</w:t>
      </w:r>
    </w:p>
    <w:p w:rsidR="004C4A72" w:rsidRPr="0044315E" w:rsidRDefault="004C4A72" w:rsidP="004C4A72">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617"/>
      </w:r>
    </w:p>
    <w:p w:rsidR="004C4A72" w:rsidRPr="00BF2F91" w:rsidRDefault="004C4A72" w:rsidP="004C4A72">
      <w:pPr>
        <w:pStyle w:val="AERbulletlistfirststyle"/>
      </w:pPr>
      <w:r w:rsidRPr="0044315E">
        <w:t>A simple average of the two curves will reduce the likely price shock if either curve becomes unavailable or produces erroneous estimates during the period.</w:t>
      </w:r>
    </w:p>
    <w:p w:rsidR="004C4A72" w:rsidRDefault="004C4A72" w:rsidP="004C4A72">
      <w:r>
        <w:t>In our previous decisions, we have explained each of these reasons in more detail.</w:t>
      </w:r>
      <w:r>
        <w:rPr>
          <w:rStyle w:val="FootnoteReference"/>
        </w:rPr>
        <w:footnoteReference w:id="618"/>
      </w:r>
      <w:r>
        <w:t xml:space="preserve"> This analysis included the following evidence.</w:t>
      </w:r>
    </w:p>
    <w:p w:rsidR="004C4A72" w:rsidRDefault="004C4A72" w:rsidP="004C4A72">
      <w:pPr>
        <w:numPr>
          <w:ilvl w:val="0"/>
          <w:numId w:val="24"/>
        </w:numPr>
      </w:pPr>
      <w:r>
        <w:t>Dr Lally used the report of the Regulatory Economic Unit to identify 11 points of distinction between the RBA and BVAL curves. Lally analysed each of those differences and concluded:</w:t>
      </w:r>
    </w:p>
    <w:p w:rsidR="004C4A72" w:rsidRDefault="004C4A72" w:rsidP="004C4A72">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619"/>
      </w:r>
    </w:p>
    <w:p w:rsidR="004C4A72" w:rsidRDefault="004C4A72" w:rsidP="004C4A72">
      <w:pPr>
        <w:numPr>
          <w:ilvl w:val="0"/>
          <w:numId w:val="24"/>
        </w:numPr>
      </w:pPr>
      <w:r>
        <w:t>Based on this analysis, Lally recommended using a simple average of the two curves. Lally advised:</w:t>
      </w:r>
    </w:p>
    <w:p w:rsidR="004C4A72" w:rsidRPr="00305172" w:rsidRDefault="004C4A72" w:rsidP="004C4A72">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620"/>
      </w:r>
    </w:p>
    <w:p w:rsidR="004C4A72" w:rsidRDefault="004C4A72" w:rsidP="004C4A72">
      <w:r>
        <w:t>Those 11 points of distinction, and Lally's assessment of those differences between the RBA and BVAL curves, are summarised in the following table.</w:t>
      </w:r>
    </w:p>
    <w:p w:rsidR="004C4A72" w:rsidRPr="00420956" w:rsidRDefault="004C4A72" w:rsidP="004C4A72">
      <w:pPr>
        <w:pStyle w:val="Caption"/>
      </w:pPr>
      <w:r>
        <w:t xml:space="preserve">Table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Table \* ARABIC \s 1 </w:instrText>
      </w:r>
      <w:r w:rsidRPr="004C4A72">
        <w:fldChar w:fldCharType="separate"/>
      </w:r>
      <w:r w:rsidR="002C24D6">
        <w:rPr>
          <w:noProof/>
        </w:rPr>
        <w:t>10</w:t>
      </w:r>
      <w:r w:rsidRPr="004C4A72">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4C4A72" w:rsidTr="005139FA">
        <w:trPr>
          <w:cnfStyle w:val="100000000000" w:firstRow="1" w:lastRow="0" w:firstColumn="0" w:lastColumn="0" w:oddVBand="0" w:evenVBand="0" w:oddHBand="0" w:evenHBand="0" w:firstRowFirstColumn="0" w:firstRowLastColumn="0" w:lastRowFirstColumn="0" w:lastRowLastColumn="0"/>
          <w:tblHeader/>
        </w:trPr>
        <w:tc>
          <w:tcPr>
            <w:tcW w:w="959" w:type="dxa"/>
          </w:tcPr>
          <w:p w:rsidR="004C4A72" w:rsidRDefault="004C4A72" w:rsidP="004C4A72">
            <w:pPr>
              <w:numPr>
                <w:ilvl w:val="0"/>
                <w:numId w:val="24"/>
              </w:numPr>
            </w:pPr>
            <w:r>
              <w:t>No.</w:t>
            </w:r>
          </w:p>
        </w:tc>
        <w:tc>
          <w:tcPr>
            <w:tcW w:w="4394" w:type="dxa"/>
          </w:tcPr>
          <w:p w:rsidR="004C4A72" w:rsidRDefault="004C4A72" w:rsidP="004C4A72">
            <w:pPr>
              <w:numPr>
                <w:ilvl w:val="0"/>
                <w:numId w:val="24"/>
              </w:numPr>
            </w:pPr>
            <w:r>
              <w:t>Points of distinction identified by REU</w:t>
            </w:r>
            <w:r>
              <w:rPr>
                <w:rStyle w:val="FootnoteReference"/>
              </w:rPr>
              <w:footnoteReference w:id="621"/>
            </w:r>
          </w:p>
        </w:tc>
        <w:tc>
          <w:tcPr>
            <w:tcW w:w="3340" w:type="dxa"/>
          </w:tcPr>
          <w:p w:rsidR="004C4A72" w:rsidRDefault="004C4A72" w:rsidP="004C4A72">
            <w:pPr>
              <w:numPr>
                <w:ilvl w:val="0"/>
                <w:numId w:val="24"/>
              </w:numPr>
            </w:pPr>
            <w:r>
              <w:t>Advice from Dr Lally</w:t>
            </w:r>
            <w:r>
              <w:rPr>
                <w:rStyle w:val="FootnoteReference"/>
              </w:rPr>
              <w:footnoteReference w:id="622"/>
            </w:r>
          </w:p>
        </w:tc>
      </w:tr>
      <w:tr w:rsidR="004C4A72" w:rsidTr="005139FA">
        <w:tc>
          <w:tcPr>
            <w:tcW w:w="959" w:type="dxa"/>
          </w:tcPr>
          <w:p w:rsidR="004C4A72" w:rsidRDefault="004C4A72" w:rsidP="004C4A72">
            <w:pPr>
              <w:numPr>
                <w:ilvl w:val="0"/>
                <w:numId w:val="24"/>
              </w:numPr>
            </w:pPr>
            <w:r>
              <w:t>1</w:t>
            </w:r>
          </w:p>
        </w:tc>
        <w:tc>
          <w:tcPr>
            <w:tcW w:w="4394" w:type="dxa"/>
          </w:tcPr>
          <w:p w:rsidR="004C4A72" w:rsidRDefault="004C4A72" w:rsidP="004C4A72">
            <w:pPr>
              <w:numPr>
                <w:ilvl w:val="0"/>
                <w:numId w:val="24"/>
              </w:numPr>
            </w:pPr>
            <w:r w:rsidRPr="009F0E67">
              <w:t>The BVAL is available daily whilst the RBA is only available monthly.</w:t>
            </w:r>
          </w:p>
        </w:tc>
        <w:tc>
          <w:tcPr>
            <w:tcW w:w="3340" w:type="dxa"/>
          </w:tcPr>
          <w:p w:rsidR="004C4A72" w:rsidRDefault="004C4A72" w:rsidP="004C4A72">
            <w:pPr>
              <w:numPr>
                <w:ilvl w:val="0"/>
                <w:numId w:val="24"/>
              </w:numPr>
            </w:pPr>
            <w:r w:rsidRPr="009F0E67">
              <w:t>BVAL favoured.</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2</w:t>
            </w:r>
          </w:p>
        </w:tc>
        <w:tc>
          <w:tcPr>
            <w:tcW w:w="4394" w:type="dxa"/>
          </w:tcPr>
          <w:p w:rsidR="004C4A72" w:rsidRDefault="004C4A72" w:rsidP="004C4A72">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4C4A72" w:rsidRPr="009F0E67" w:rsidRDefault="004C4A72" w:rsidP="004C4A72">
            <w:pPr>
              <w:numPr>
                <w:ilvl w:val="0"/>
                <w:numId w:val="24"/>
              </w:numPr>
            </w:pPr>
            <w:r w:rsidRPr="009F0E67">
              <w:t>RBA favoured.</w:t>
            </w:r>
          </w:p>
          <w:p w:rsidR="004C4A72" w:rsidRPr="005C054F" w:rsidRDefault="004C4A72" w:rsidP="004C4A72">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4C4A72" w:rsidTr="005139FA">
        <w:tc>
          <w:tcPr>
            <w:tcW w:w="959" w:type="dxa"/>
          </w:tcPr>
          <w:p w:rsidR="004C4A72" w:rsidRDefault="004C4A72" w:rsidP="004C4A72">
            <w:pPr>
              <w:numPr>
                <w:ilvl w:val="0"/>
                <w:numId w:val="24"/>
              </w:numPr>
            </w:pPr>
            <w:r>
              <w:t>3</w:t>
            </w:r>
          </w:p>
        </w:tc>
        <w:tc>
          <w:tcPr>
            <w:tcW w:w="4394" w:type="dxa"/>
          </w:tcPr>
          <w:p w:rsidR="004C4A72" w:rsidRDefault="004C4A72" w:rsidP="004C4A72">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4</w:t>
            </w:r>
          </w:p>
        </w:tc>
        <w:tc>
          <w:tcPr>
            <w:tcW w:w="4394" w:type="dxa"/>
          </w:tcPr>
          <w:p w:rsidR="004C4A72" w:rsidRDefault="004C4A72" w:rsidP="004C4A72">
            <w:pPr>
              <w:numPr>
                <w:ilvl w:val="0"/>
                <w:numId w:val="24"/>
              </w:numPr>
            </w:pPr>
            <w:r w:rsidRPr="009F0E67">
              <w:t>The BVAL sample does not exclude financial corporations whilst the RBA’s does.</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5</w:t>
            </w:r>
          </w:p>
        </w:tc>
        <w:tc>
          <w:tcPr>
            <w:tcW w:w="4394" w:type="dxa"/>
          </w:tcPr>
          <w:p w:rsidR="004C4A72" w:rsidRDefault="004C4A72" w:rsidP="004C4A72">
            <w:pPr>
              <w:numPr>
                <w:ilvl w:val="0"/>
                <w:numId w:val="24"/>
              </w:numPr>
            </w:pPr>
            <w:r w:rsidRPr="009F0E67">
              <w:t>The BVAL sample is limited to unsecured bonds whilst the RBA’s sample includes both secured and unsecured bonds.</w:t>
            </w:r>
          </w:p>
        </w:tc>
        <w:tc>
          <w:tcPr>
            <w:tcW w:w="3340" w:type="dxa"/>
          </w:tcPr>
          <w:p w:rsidR="004C4A72" w:rsidRDefault="004C4A72" w:rsidP="004C4A72">
            <w:pPr>
              <w:numPr>
                <w:ilvl w:val="0"/>
                <w:numId w:val="24"/>
              </w:numPr>
            </w:pPr>
            <w:r w:rsidRPr="009F0E67">
              <w:t>RBA favoured, but advantage is small.</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6</w:t>
            </w:r>
          </w:p>
        </w:tc>
        <w:tc>
          <w:tcPr>
            <w:tcW w:w="4394" w:type="dxa"/>
          </w:tcPr>
          <w:p w:rsidR="004C4A72" w:rsidRDefault="004C4A72" w:rsidP="004C4A72">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7</w:t>
            </w:r>
          </w:p>
        </w:tc>
        <w:tc>
          <w:tcPr>
            <w:tcW w:w="4394" w:type="dxa"/>
          </w:tcPr>
          <w:p w:rsidR="004C4A72" w:rsidRDefault="004C4A72" w:rsidP="004C4A72">
            <w:pPr>
              <w:numPr>
                <w:ilvl w:val="0"/>
                <w:numId w:val="24"/>
              </w:numPr>
            </w:pPr>
            <w:r w:rsidRPr="009F0E67">
              <w:t>The BVAL sample is limited to AUD denominated bonds whilst the RBA sample also includes USD and Euro denominated bonds.</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8</w:t>
            </w:r>
          </w:p>
        </w:tc>
        <w:tc>
          <w:tcPr>
            <w:tcW w:w="4394" w:type="dxa"/>
          </w:tcPr>
          <w:p w:rsidR="004C4A72" w:rsidRDefault="004C4A72" w:rsidP="004C4A72">
            <w:pPr>
              <w:numPr>
                <w:ilvl w:val="0"/>
                <w:numId w:val="24"/>
              </w:numPr>
            </w:pPr>
            <w:r w:rsidRPr="009F0E67">
              <w:t>The BVAL sample excludes bonds with call, put and conversion options, whilst the RBA sample does not exclude them.</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9</w:t>
            </w:r>
          </w:p>
        </w:tc>
        <w:tc>
          <w:tcPr>
            <w:tcW w:w="4394" w:type="dxa"/>
          </w:tcPr>
          <w:p w:rsidR="004C4A72" w:rsidRDefault="004C4A72" w:rsidP="004C4A72">
            <w:pPr>
              <w:numPr>
                <w:ilvl w:val="0"/>
                <w:numId w:val="24"/>
              </w:numPr>
            </w:pPr>
            <w:r w:rsidRPr="009F0E67">
              <w:t>The BVAL methodology involves a par yield curve whilst the RBA’s does not.</w:t>
            </w:r>
          </w:p>
        </w:tc>
        <w:tc>
          <w:tcPr>
            <w:tcW w:w="3340" w:type="dxa"/>
          </w:tcPr>
          <w:p w:rsidR="004C4A72" w:rsidRDefault="004C4A72" w:rsidP="004C4A72">
            <w:pPr>
              <w:numPr>
                <w:ilvl w:val="0"/>
                <w:numId w:val="24"/>
              </w:numPr>
            </w:pPr>
            <w:r w:rsidRPr="009F0E67">
              <w:t>BVAL favoured, but advantage is small.</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10</w:t>
            </w:r>
          </w:p>
        </w:tc>
        <w:tc>
          <w:tcPr>
            <w:tcW w:w="4394" w:type="dxa"/>
          </w:tcPr>
          <w:p w:rsidR="004C4A72" w:rsidRDefault="004C4A72" w:rsidP="004C4A72">
            <w:pPr>
              <w:numPr>
                <w:ilvl w:val="0"/>
                <w:numId w:val="24"/>
              </w:numPr>
            </w:pPr>
            <w:r w:rsidRPr="009F0E67">
              <w:t>The BVAL methodology for curve fitting is (in large part) not disclosed whilst the RBA’s methodology is disclosed.</w:t>
            </w:r>
          </w:p>
        </w:tc>
        <w:tc>
          <w:tcPr>
            <w:tcW w:w="3340" w:type="dxa"/>
          </w:tcPr>
          <w:p w:rsidR="004C4A72" w:rsidRDefault="004C4A72" w:rsidP="004C4A72">
            <w:pPr>
              <w:numPr>
                <w:ilvl w:val="0"/>
                <w:numId w:val="24"/>
              </w:numPr>
            </w:pPr>
            <w:r w:rsidRPr="009F0E67">
              <w:t>RBA favoured.</w:t>
            </w:r>
          </w:p>
          <w:p w:rsidR="004C4A72" w:rsidRDefault="004C4A72" w:rsidP="004C4A72">
            <w:pPr>
              <w:numPr>
                <w:ilvl w:val="0"/>
                <w:numId w:val="24"/>
              </w:numPr>
            </w:pPr>
            <w:r w:rsidRPr="005C054F">
              <w:rPr>
                <w:rStyle w:val="AERtextitalic"/>
              </w:rPr>
              <w:t xml:space="preserve">Note: </w:t>
            </w:r>
            <w:r w:rsidRPr="00BF2F91">
              <w:rPr>
                <w:rStyle w:val="AERtextitalic"/>
              </w:rPr>
              <w:t>Bloomberg have now become more transparent and now</w:t>
            </w:r>
            <w:r>
              <w:rPr>
                <w:rStyle w:val="AERtextitalic"/>
              </w:rPr>
              <w:t xml:space="preserve"> </w:t>
            </w:r>
            <w:r>
              <w:t>provide more detail in their Pricing Data: BVAL Issuer &amp; Sector Curves sheet</w:t>
            </w:r>
          </w:p>
        </w:tc>
      </w:tr>
      <w:tr w:rsidR="004C4A72" w:rsidTr="005139FA">
        <w:tc>
          <w:tcPr>
            <w:tcW w:w="959" w:type="dxa"/>
          </w:tcPr>
          <w:p w:rsidR="004C4A72" w:rsidRDefault="004C4A72" w:rsidP="004C4A72">
            <w:pPr>
              <w:numPr>
                <w:ilvl w:val="0"/>
                <w:numId w:val="24"/>
              </w:numPr>
            </w:pPr>
            <w:r>
              <w:t>11</w:t>
            </w:r>
          </w:p>
        </w:tc>
        <w:tc>
          <w:tcPr>
            <w:tcW w:w="4394" w:type="dxa"/>
          </w:tcPr>
          <w:p w:rsidR="004C4A72" w:rsidRDefault="004C4A72" w:rsidP="004C4A72">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4C4A72" w:rsidRDefault="004C4A72" w:rsidP="004C4A72">
            <w:pPr>
              <w:numPr>
                <w:ilvl w:val="0"/>
                <w:numId w:val="24"/>
              </w:numPr>
            </w:pPr>
            <w:r w:rsidRPr="009F0E67">
              <w:t>Not relevant, as AER does not require historical data.</w:t>
            </w:r>
          </w:p>
        </w:tc>
      </w:tr>
    </w:tbl>
    <w:p w:rsidR="004C4A72" w:rsidRDefault="004C4A72" w:rsidP="004C4A72">
      <w:pPr>
        <w:pStyle w:val="AERtablesource"/>
      </w:pPr>
      <w:r>
        <w:t xml:space="preserve">Source: </w:t>
      </w:r>
      <w:r>
        <w:tab/>
        <w:t>Advice from Dr Lally.</w:t>
      </w:r>
      <w:r>
        <w:rPr>
          <w:rStyle w:val="FootnoteReference"/>
        </w:rPr>
        <w:footnoteReference w:id="623"/>
      </w:r>
    </w:p>
    <w:p w:rsidR="004C4A72" w:rsidRDefault="004C4A72" w:rsidP="004C4A72">
      <w:r>
        <w:t>In our previous decisions, we explained each of these reasons in more detail.</w:t>
      </w:r>
      <w:r>
        <w:rPr>
          <w:rStyle w:val="FootnoteReference"/>
        </w:rPr>
        <w:footnoteReference w:id="624"/>
      </w:r>
      <w:r>
        <w:t xml:space="preserve"> </w:t>
      </w:r>
    </w:p>
    <w:p w:rsidR="004C4A72" w:rsidRDefault="004C4A72" w:rsidP="004C4A72">
      <w:r>
        <w:t xml:space="preserve">Recently, the Tribunal also upheld this approach, in relation to the NSW/ACT electricity distribution determinations and JGN gas access arrangement. </w:t>
      </w:r>
    </w:p>
    <w:p w:rsidR="004C4A72" w:rsidRDefault="004C4A72" w:rsidP="004C4A72">
      <w:r>
        <w:t>The Tribunal was satisfied that our approach of adopting a simple average of the information from both the RBA and Bloomberg data services in those reviews was legally open and appropriate, stating:</w:t>
      </w:r>
      <w:r>
        <w:rPr>
          <w:rStyle w:val="FootnoteReference"/>
        </w:rPr>
        <w:footnoteReference w:id="625"/>
      </w:r>
    </w:p>
    <w:p w:rsidR="004C4A72" w:rsidRDefault="004C4A72" w:rsidP="004C4A72">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4C4A72" w:rsidRDefault="004C4A72" w:rsidP="004C4A72">
      <w:r>
        <w:t>Similarly, in relation to the choice of a BBB+ credit rating, the Tribunal noted:</w:t>
      </w:r>
      <w:r>
        <w:rPr>
          <w:rStyle w:val="FootnoteReference"/>
        </w:rPr>
        <w:footnoteReference w:id="626"/>
      </w:r>
    </w:p>
    <w:p w:rsidR="004C4A72" w:rsidRDefault="004C4A72" w:rsidP="004C4A72">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4C4A72" w:rsidRDefault="004C4A72" w:rsidP="004C4A72">
      <w:r>
        <w:t>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627"/>
      </w:r>
    </w:p>
    <w:p w:rsidR="004C4A72" w:rsidRDefault="004C4A72" w:rsidP="004C4A72">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w:t>
      </w:r>
      <w:r>
        <w:t> </w:t>
      </w:r>
      <w:r w:rsidRPr="00C32DF3">
        <w:t>71P(2a)(c)</w:t>
      </w:r>
      <w:r>
        <w:t>. While some aspects of the Tribunal's decision have been challenged in the Full Federal Court, this aspect of the Tribunal's decision has not been challenged by any party.</w:t>
      </w:r>
    </w:p>
    <w:p w:rsidR="004C4A72" w:rsidRDefault="004C4A72" w:rsidP="004C4A72">
      <w:r>
        <w:t xml:space="preserve">We have assessed the new information received from AusNet Services, RBP and Multinet recommending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 </w:t>
      </w:r>
      <w:r w:rsidR="00EC52AD">
        <w:fldChar w:fldCharType="begin"/>
      </w:r>
      <w:r w:rsidR="00EC52AD">
        <w:instrText xml:space="preserve"> REF _Ref484514175 \r \h </w:instrText>
      </w:r>
      <w:r w:rsidR="00EC52AD">
        <w:fldChar w:fldCharType="separate"/>
      </w:r>
      <w:r w:rsidR="002C24D6">
        <w:t>K</w:t>
      </w:r>
      <w:r w:rsidR="00EC52AD">
        <w:fldChar w:fldCharType="end"/>
      </w:r>
      <w:r>
        <w:t>.</w:t>
      </w:r>
    </w:p>
    <w:p w:rsidR="004C4A72" w:rsidRDefault="004C4A72" w:rsidP="004C4A72">
      <w:r>
        <w:t>We also requested Dr Lally review the recommendations from his previous report in light of the material submitted by service providers with recent proposals. As part of that analysis, we requested Dr Lally review both the AER's approach and the various alternative approaches proposed against a set of criteria drawn from the requirements of the law and the rules, including the ARORO. After reviewing that material, Dr Lally concluded:</w:t>
      </w:r>
    </w:p>
    <w:p w:rsidR="004C4A72" w:rsidRPr="002C49C4" w:rsidRDefault="004C4A72" w:rsidP="004C4A72">
      <w:pPr>
        <w:pStyle w:val="AERquote"/>
      </w:pPr>
      <w:r>
        <w:t>…</w:t>
      </w:r>
      <w:r w:rsidRPr="002C49C4">
        <w:t>the AER’s proposed approach satisfies the criteria and these criteria are not satisfied by any other proposed approach.</w:t>
      </w:r>
    </w:p>
    <w:p w:rsidR="004C4A72" w:rsidRDefault="004C4A72" w:rsidP="004C4A72">
      <w:pPr>
        <w:pStyle w:val="AERquote"/>
      </w:pPr>
      <w:r w:rsidRPr="002C49C4">
        <w:t>Finally, I have previously provided advice on these implementation issues to the AER and nothing in these submissions warrants any change in that advice.</w:t>
      </w:r>
      <w:r>
        <w:rPr>
          <w:rStyle w:val="FootnoteReference"/>
        </w:rPr>
        <w:footnoteReference w:id="628"/>
      </w:r>
    </w:p>
    <w:p w:rsidR="004C4A72" w:rsidRPr="00CE6157" w:rsidRDefault="004C4A72" w:rsidP="004C4A72">
      <w:r>
        <w:t xml:space="preserve">Further we note that a number of Service Providers have accepted our approach of adopting a simple average of the RBA and Bloomberg curves. AusNet, Multinet and RBP have not presented evidence that there is merit in adopting a unique approach compared to other Service Providers in similar positions. </w:t>
      </w:r>
    </w:p>
    <w:p w:rsidR="004C4A72" w:rsidRDefault="004C4A72" w:rsidP="004C4A72">
      <w:pPr>
        <w:pStyle w:val="HeadingBoldBlue"/>
      </w:pPr>
      <w:r>
        <w:t>Response to key issues raised by stakeholders</w:t>
      </w:r>
    </w:p>
    <w:p w:rsidR="004C4A72" w:rsidRDefault="004C4A72" w:rsidP="004C4A72">
      <w:r>
        <w:fldChar w:fldCharType="begin"/>
      </w:r>
      <w:r>
        <w:instrText xml:space="preserve"> REF _Ref431241994 \h </w:instrText>
      </w:r>
      <w:r>
        <w:fldChar w:fldCharType="separate"/>
      </w:r>
      <w:r w:rsidR="002C24D6" w:rsidRPr="00986ABB">
        <w:t xml:space="preserve">Table </w:t>
      </w:r>
      <w:r w:rsidR="002C24D6">
        <w:rPr>
          <w:noProof/>
        </w:rPr>
        <w:t>3</w:t>
      </w:r>
      <w:r w:rsidR="002C24D6">
        <w:noBreakHyphen/>
      </w:r>
      <w:r w:rsidR="002C24D6">
        <w:rPr>
          <w:noProof/>
        </w:rPr>
        <w:t>11</w:t>
      </w:r>
      <w:r>
        <w:fldChar w:fldCharType="end"/>
      </w:r>
      <w:r>
        <w:t xml:space="preserve"> sets out the service providers' proposals.</w:t>
      </w:r>
    </w:p>
    <w:p w:rsidR="004C4A72" w:rsidRPr="00986ABB" w:rsidRDefault="004C4A72" w:rsidP="004C4A72">
      <w:pPr>
        <w:pStyle w:val="Caption"/>
      </w:pPr>
      <w:bookmarkStart w:id="102" w:name="_Ref431241994"/>
      <w:r w:rsidRPr="00986ABB">
        <w:t xml:space="preserve">Table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Table \* ARABIC \s 1 </w:instrText>
      </w:r>
      <w:r w:rsidRPr="004C4A72">
        <w:fldChar w:fldCharType="separate"/>
      </w:r>
      <w:r w:rsidR="002C24D6">
        <w:rPr>
          <w:noProof/>
        </w:rPr>
        <w:t>11</w:t>
      </w:r>
      <w:r w:rsidRPr="004C4A72">
        <w:fldChar w:fldCharType="end"/>
      </w:r>
      <w:bookmarkEnd w:id="102"/>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369"/>
        <w:gridCol w:w="4961"/>
      </w:tblGrid>
      <w:tr w:rsidR="004C4A72" w:rsidRPr="00986ABB" w:rsidTr="005139FA">
        <w:trPr>
          <w:cnfStyle w:val="100000000000" w:firstRow="1" w:lastRow="0" w:firstColumn="0" w:lastColumn="0" w:oddVBand="0" w:evenVBand="0" w:oddHBand="0" w:evenHBand="0" w:firstRowFirstColumn="0" w:firstRowLastColumn="0" w:lastRowFirstColumn="0" w:lastRowLastColumn="0"/>
          <w:tblHeader/>
        </w:trPr>
        <w:tc>
          <w:tcPr>
            <w:tcW w:w="3369" w:type="dxa"/>
          </w:tcPr>
          <w:p w:rsidR="004C4A72" w:rsidRPr="00986ABB" w:rsidRDefault="004C4A72" w:rsidP="004C4A72">
            <w:pPr>
              <w:numPr>
                <w:ilvl w:val="0"/>
                <w:numId w:val="24"/>
              </w:numPr>
            </w:pPr>
            <w:r w:rsidRPr="00986ABB">
              <w:t>Service provider</w:t>
            </w:r>
          </w:p>
        </w:tc>
        <w:tc>
          <w:tcPr>
            <w:tcW w:w="4961" w:type="dxa"/>
          </w:tcPr>
          <w:p w:rsidR="004C4A72" w:rsidRPr="00986ABB" w:rsidRDefault="004C4A72" w:rsidP="004C4A72">
            <w:pPr>
              <w:numPr>
                <w:ilvl w:val="0"/>
                <w:numId w:val="24"/>
              </w:numPr>
            </w:pPr>
            <w:r w:rsidRPr="00986ABB">
              <w:t>Choice of data series</w:t>
            </w:r>
          </w:p>
        </w:tc>
      </w:tr>
      <w:tr w:rsidR="004C4A72" w:rsidRPr="00986ABB" w:rsidTr="005139FA">
        <w:tc>
          <w:tcPr>
            <w:tcW w:w="3369" w:type="dxa"/>
          </w:tcPr>
          <w:p w:rsidR="004C4A72" w:rsidRPr="00986ABB" w:rsidRDefault="004C4A72" w:rsidP="004C4A72">
            <w:pPr>
              <w:numPr>
                <w:ilvl w:val="0"/>
                <w:numId w:val="24"/>
              </w:numPr>
            </w:pPr>
            <w:r>
              <w:t>Draft gas</w:t>
            </w:r>
            <w:r w:rsidRPr="00986ABB">
              <w:t xml:space="preserve"> proposals</w:t>
            </w:r>
          </w:p>
        </w:tc>
        <w:tc>
          <w:tcPr>
            <w:tcW w:w="4961" w:type="dxa"/>
          </w:tcPr>
          <w:p w:rsidR="004C4A72" w:rsidRPr="00986ABB" w:rsidRDefault="004C4A72" w:rsidP="004C4A72">
            <w:pPr>
              <w:numPr>
                <w:ilvl w:val="0"/>
                <w:numId w:val="24"/>
              </w:numPr>
            </w:pP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Pr="00986ABB" w:rsidRDefault="004C4A72" w:rsidP="004C4A72">
            <w:pPr>
              <w:numPr>
                <w:ilvl w:val="0"/>
                <w:numId w:val="24"/>
              </w:numPr>
            </w:pPr>
            <w:r w:rsidRPr="00986ABB">
              <w:t>AusNet Services</w:t>
            </w:r>
          </w:p>
        </w:tc>
        <w:tc>
          <w:tcPr>
            <w:tcW w:w="4961" w:type="dxa"/>
          </w:tcPr>
          <w:p w:rsidR="004C4A72" w:rsidRPr="00986ABB" w:rsidRDefault="004C4A72" w:rsidP="004C4A72">
            <w:pPr>
              <w:numPr>
                <w:ilvl w:val="0"/>
                <w:numId w:val="24"/>
              </w:numPr>
            </w:pPr>
            <w:r>
              <w:t>Use the RBA curve in exclusion of all other third party curves. If decide to continue using Bloomberg, then AER should use Thomson Reuters as well.</w:t>
            </w:r>
          </w:p>
        </w:tc>
      </w:tr>
      <w:tr w:rsidR="004C4A72" w:rsidRPr="00986ABB" w:rsidTr="005139FA">
        <w:tc>
          <w:tcPr>
            <w:tcW w:w="3369" w:type="dxa"/>
          </w:tcPr>
          <w:p w:rsidR="004C4A72" w:rsidRPr="00986ABB" w:rsidRDefault="004C4A72" w:rsidP="004C4A72">
            <w:pPr>
              <w:numPr>
                <w:ilvl w:val="0"/>
                <w:numId w:val="24"/>
              </w:numPr>
            </w:pPr>
            <w:r>
              <w:t>Multinet Gas</w:t>
            </w:r>
          </w:p>
        </w:tc>
        <w:tc>
          <w:tcPr>
            <w:tcW w:w="4961" w:type="dxa"/>
          </w:tcPr>
          <w:p w:rsidR="004C4A72" w:rsidRPr="00986ABB" w:rsidRDefault="004C4A72" w:rsidP="004C4A72">
            <w:pPr>
              <w:numPr>
                <w:ilvl w:val="0"/>
                <w:numId w:val="24"/>
              </w:numPr>
            </w:pPr>
            <w:r>
              <w:t>Simple average of the RBA, Bloomberg and Thomson Reuters curves.</w:t>
            </w: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Pr="00986ABB" w:rsidRDefault="004C4A72" w:rsidP="004C4A72">
            <w:pPr>
              <w:numPr>
                <w:ilvl w:val="0"/>
                <w:numId w:val="24"/>
              </w:numPr>
            </w:pPr>
            <w:r>
              <w:t>Roma to Brisbane Pipeline</w:t>
            </w:r>
          </w:p>
        </w:tc>
        <w:tc>
          <w:tcPr>
            <w:tcW w:w="4961" w:type="dxa"/>
          </w:tcPr>
          <w:p w:rsidR="004C4A72" w:rsidRPr="00986ABB" w:rsidRDefault="004C4A72" w:rsidP="004C4A72">
            <w:pPr>
              <w:numPr>
                <w:ilvl w:val="0"/>
                <w:numId w:val="24"/>
              </w:numPr>
            </w:pPr>
            <w:r>
              <w:t>Use the RBA curve in exclusion of all other third party curves..</w:t>
            </w:r>
          </w:p>
        </w:tc>
      </w:tr>
      <w:tr w:rsidR="004C4A72" w:rsidRPr="00986ABB" w:rsidTr="005139FA">
        <w:tc>
          <w:tcPr>
            <w:tcW w:w="3369" w:type="dxa"/>
          </w:tcPr>
          <w:p w:rsidR="004C4A72" w:rsidDel="0030419B" w:rsidRDefault="004C4A72" w:rsidP="004C4A72">
            <w:pPr>
              <w:numPr>
                <w:ilvl w:val="0"/>
                <w:numId w:val="24"/>
              </w:numPr>
            </w:pPr>
            <w:r>
              <w:t>APA VTS</w:t>
            </w:r>
          </w:p>
        </w:tc>
        <w:tc>
          <w:tcPr>
            <w:tcW w:w="4961" w:type="dxa"/>
          </w:tcPr>
          <w:p w:rsidR="004C4A72" w:rsidRDefault="004C4A72" w:rsidP="004C4A72">
            <w:pPr>
              <w:numPr>
                <w:ilvl w:val="0"/>
                <w:numId w:val="24"/>
              </w:numPr>
            </w:pPr>
            <w:r>
              <w:t>Simple average of the RBA and Bloomberg curves.</w:t>
            </w: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Default="004C4A72" w:rsidP="004C4A72">
            <w:pPr>
              <w:numPr>
                <w:ilvl w:val="0"/>
                <w:numId w:val="24"/>
              </w:numPr>
            </w:pPr>
            <w:r>
              <w:t>Australian Gas Networks (Victoria and Albury)</w:t>
            </w:r>
          </w:p>
        </w:tc>
        <w:tc>
          <w:tcPr>
            <w:tcW w:w="4961" w:type="dxa"/>
          </w:tcPr>
          <w:p w:rsidR="004C4A72" w:rsidRDefault="004C4A72" w:rsidP="004C4A72">
            <w:pPr>
              <w:numPr>
                <w:ilvl w:val="0"/>
                <w:numId w:val="24"/>
              </w:numPr>
            </w:pPr>
            <w:r>
              <w:t>Simple average of the RBA and Bloomberg curves.</w:t>
            </w:r>
          </w:p>
        </w:tc>
      </w:tr>
    </w:tbl>
    <w:p w:rsidR="004C4A72" w:rsidRDefault="004C4A72" w:rsidP="004C4A72">
      <w:pPr>
        <w:pStyle w:val="AERtablesource"/>
      </w:pPr>
      <w:r w:rsidRPr="00986ABB">
        <w:t xml:space="preserve">Source: </w:t>
      </w:r>
      <w:r>
        <w:tab/>
      </w:r>
      <w:r w:rsidRPr="00986ABB">
        <w:t>Regulatory proposals.</w:t>
      </w:r>
      <w:r w:rsidRPr="00FF6215">
        <w:rPr>
          <w:rStyle w:val="AERsuperscript"/>
        </w:rPr>
        <w:footnoteReference w:id="629"/>
      </w:r>
    </w:p>
    <w:p w:rsidR="004C4A72" w:rsidRDefault="004C4A72" w:rsidP="004C4A72">
      <w:r>
        <w:t xml:space="preserve">Having considered these proposals, our </w:t>
      </w:r>
      <w:r w:rsidR="00EB7679">
        <w:t xml:space="preserve">draft </w:t>
      </w:r>
      <w:r>
        <w:t>decision is to maintain our approach as adopted in previous decisions and upheld by the Tribunal.</w:t>
      </w:r>
      <w:r>
        <w:rPr>
          <w:rStyle w:val="FootnoteReference"/>
        </w:rPr>
        <w:footnoteReference w:id="630"/>
      </w:r>
      <w:r>
        <w:t xml:space="preserve"> </w:t>
      </w:r>
    </w:p>
    <w:p w:rsidR="004C4A72" w:rsidRDefault="004C4A72" w:rsidP="004C4A72">
      <w:r>
        <w:t>We have completed some initial work reviewing the Thomson Reuters curve.</w:t>
      </w:r>
      <w:r>
        <w:rPr>
          <w:rStyle w:val="FootnoteReference"/>
        </w:rPr>
        <w:footnoteReference w:id="631"/>
      </w:r>
      <w:r>
        <w:t xml:space="preserve"> However, in future we will commence a more comprehensive review. In particular, we have not been able to complete a comparative assessment of the curves or consider a range of practical issues with introducing a third curve. </w:t>
      </w:r>
    </w:p>
    <w:p w:rsidR="004C4A72" w:rsidRDefault="004C4A72" w:rsidP="004C4A72">
      <w:r>
        <w:t xml:space="preserve">For the reasons in this section and in Appendix </w:t>
      </w:r>
      <w:r w:rsidR="00821CEB">
        <w:t>K</w:t>
      </w:r>
      <w:r>
        <w:t xml:space="preserve">. we remain satisfied that a simple average of the BVAL and RBA curves will contribute to an estimate that will achieve the ARORO. We have not yet formed a definitive view on the suitability of the Reuters curve, and are open to further consideration of this curve in the future. However, </w:t>
      </w:r>
      <w:r w:rsidRPr="00A933BB">
        <w:t xml:space="preserve">there </w:t>
      </w:r>
      <w:r>
        <w:t>is currently insufficient evidence before us that the use of Reuters curve would contribute to an estimate that will achieve the ARORO.</w:t>
      </w:r>
    </w:p>
    <w:p w:rsidR="004C4A72" w:rsidRPr="00BF2F91" w:rsidRDefault="004C4A72" w:rsidP="004C4A72">
      <w:pPr>
        <w:pStyle w:val="AERbulletlistfirststyle"/>
      </w:pPr>
      <w:r>
        <w:t>more specifically, we remain satisfied that the BVAL curve is fit-for-purpose, and combined with the RBA curve, are satisfied that it will contribute to an estimate which achieves the ARORO.</w:t>
      </w:r>
    </w:p>
    <w:p w:rsidR="004C4A72" w:rsidRPr="00BF2F91" w:rsidRDefault="004C4A72" w:rsidP="004C4A72">
      <w:pPr>
        <w:pStyle w:val="AERbulletlistfirststyle"/>
      </w:pPr>
      <w:r w:rsidRPr="00DE353C">
        <w:t>We consider that our implementation of the return on debt estimate includes several conservative features:</w:t>
      </w:r>
      <w:r w:rsidRPr="00BF2F91">
        <w:t xml:space="preserve"> Specifically:</w:t>
      </w:r>
    </w:p>
    <w:p w:rsidR="004C4A72" w:rsidRDefault="004C4A72" w:rsidP="004C4A72">
      <w:pPr>
        <w:pStyle w:val="AERbulletlistsecondstyle"/>
      </w:pPr>
      <w:r>
        <w:t>in the Guideline, we adopted a 10 year benchmark term based on a weighted average term at issuance of 8.7 years observed amongst service providers.</w:t>
      </w:r>
      <w:r>
        <w:rPr>
          <w:rStyle w:val="FootnoteReference"/>
        </w:rPr>
        <w:footnoteReference w:id="632"/>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633"/>
      </w:r>
      <w:r>
        <w:t xml:space="preserve"> </w:t>
      </w:r>
    </w:p>
    <w:p w:rsidR="004C4A72" w:rsidRDefault="004C4A72" w:rsidP="004C4A72">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4C4A72" w:rsidRDefault="004C4A72" w:rsidP="004C4A72">
      <w:r>
        <w:t xml:space="preserve">In Appendix </w:t>
      </w:r>
      <w:r w:rsidR="00BD1E51">
        <w:t>K</w:t>
      </w:r>
      <w:r>
        <w:t xml:space="preserve">, we have set out more detailed analysis on our responses to issues raised by key stakeholders, including: </w:t>
      </w:r>
    </w:p>
    <w:p w:rsidR="004C4A72" w:rsidRPr="00BF2F91" w:rsidRDefault="004C4A72" w:rsidP="004C4A72">
      <w:pPr>
        <w:pStyle w:val="AERbulletlistfirststyle"/>
      </w:pPr>
      <w:r>
        <w:t>criticisms of our current approach</w:t>
      </w:r>
    </w:p>
    <w:p w:rsidR="004C4A72" w:rsidRDefault="004C4A72" w:rsidP="004C4A72">
      <w:pPr>
        <w:pStyle w:val="AERbulletlistfirststyle"/>
      </w:pPr>
      <w:r>
        <w:t>the Thomson Reuters curve</w:t>
      </w:r>
    </w:p>
    <w:p w:rsidR="004C4A72" w:rsidRDefault="004C4A72" w:rsidP="004C4A72">
      <w:pPr>
        <w:pStyle w:val="AERbulletlistfirststyle"/>
      </w:pPr>
      <w:r>
        <w:t>other issues</w:t>
      </w:r>
      <w:r w:rsidRPr="00BF2F91">
        <w:t>.</w:t>
      </w:r>
    </w:p>
    <w:p w:rsidR="0082114E" w:rsidRPr="00FB18DC" w:rsidRDefault="0082114E" w:rsidP="0082114E">
      <w:pPr>
        <w:pStyle w:val="HeadingBoldItalic"/>
      </w:pPr>
      <w:r w:rsidRPr="00FB18DC">
        <w:t>Choice of data series—Extrapolation and interpolation issues</w:t>
      </w:r>
    </w:p>
    <w:p w:rsidR="0082114E" w:rsidRPr="00FB18DC" w:rsidRDefault="0082114E" w:rsidP="0082114E">
      <w:r w:rsidRPr="00FB18DC">
        <w:t>Our</w:t>
      </w:r>
      <w:r>
        <w:t xml:space="preserve"> </w:t>
      </w:r>
      <w:r w:rsidR="00506FAE">
        <w:t>draft</w:t>
      </w:r>
      <w:r w:rsidRPr="00FB18DC">
        <w:t xml:space="preserve"> decision on extrapolation and interpolation issues is:</w:t>
      </w:r>
    </w:p>
    <w:p w:rsidR="0082114E" w:rsidRPr="00FB18DC" w:rsidRDefault="0082114E" w:rsidP="0082114E">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82114E" w:rsidRPr="00FB18DC" w:rsidRDefault="0082114E" w:rsidP="0082114E">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82114E" w:rsidRPr="00FB18DC" w:rsidRDefault="0082114E" w:rsidP="0082114E">
      <w:r w:rsidRPr="00FB18DC">
        <w:t>Specifically, we will make the following adjustments as set out in</w:t>
      </w:r>
      <w:r>
        <w:t xml:space="preserve"> </w:t>
      </w:r>
      <w:r w:rsidR="009B02F6">
        <w:fldChar w:fldCharType="begin"/>
      </w:r>
      <w:r w:rsidR="009B02F6">
        <w:instrText xml:space="preserve"> REF _Ref479863597 \h </w:instrText>
      </w:r>
      <w:r w:rsidR="009B02F6">
        <w:fldChar w:fldCharType="separate"/>
      </w:r>
      <w:r w:rsidR="002C24D6" w:rsidRPr="00FB18DC">
        <w:t xml:space="preserve">Table </w:t>
      </w:r>
      <w:r w:rsidR="002C24D6">
        <w:rPr>
          <w:noProof/>
        </w:rPr>
        <w:t>3</w:t>
      </w:r>
      <w:r w:rsidR="002C24D6">
        <w:noBreakHyphen/>
      </w:r>
      <w:r w:rsidR="002C24D6">
        <w:rPr>
          <w:noProof/>
        </w:rPr>
        <w:t>12</w:t>
      </w:r>
      <w:r w:rsidR="009B02F6">
        <w:fldChar w:fldCharType="end"/>
      </w:r>
      <w:r>
        <w:t xml:space="preserve"> and </w:t>
      </w:r>
      <w:r w:rsidR="009B02F6">
        <w:fldChar w:fldCharType="begin"/>
      </w:r>
      <w:r w:rsidR="009B02F6">
        <w:instrText xml:space="preserve"> REF _Ref479863605 \h </w:instrText>
      </w:r>
      <w:r w:rsidR="009B02F6">
        <w:fldChar w:fldCharType="separate"/>
      </w:r>
      <w:r w:rsidR="002C24D6" w:rsidRPr="00FB18DC">
        <w:t xml:space="preserve">Table </w:t>
      </w:r>
      <w:r w:rsidR="002C24D6">
        <w:rPr>
          <w:noProof/>
        </w:rPr>
        <w:t>3</w:t>
      </w:r>
      <w:r w:rsidR="002C24D6">
        <w:noBreakHyphen/>
      </w:r>
      <w:r w:rsidR="002C24D6">
        <w:rPr>
          <w:noProof/>
        </w:rPr>
        <w:t>13</w:t>
      </w:r>
      <w:r w:rsidR="009B02F6">
        <w:fldChar w:fldCharType="end"/>
      </w:r>
      <w:r w:rsidRPr="00FB18DC">
        <w:t>.</w:t>
      </w:r>
    </w:p>
    <w:p w:rsidR="0082114E" w:rsidRPr="00FB18DC" w:rsidRDefault="0082114E" w:rsidP="0082114E">
      <w:pPr>
        <w:pStyle w:val="Caption"/>
      </w:pPr>
      <w:bookmarkStart w:id="103" w:name="_Ref479863597"/>
      <w:r w:rsidRPr="00FB18DC">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12</w:t>
      </w:r>
      <w:r w:rsidR="002C24D6">
        <w:rPr>
          <w:noProof/>
        </w:rPr>
        <w:fldChar w:fldCharType="end"/>
      </w:r>
      <w:bookmarkEnd w:id="103"/>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763" w:type="dxa"/>
          </w:tcPr>
          <w:p w:rsidR="0082114E" w:rsidRPr="0082114E" w:rsidRDefault="0082114E" w:rsidP="0082114E">
            <w:r w:rsidRPr="00FB18DC">
              <w:t xml:space="preserve">Adjustment </w:t>
            </w:r>
            <w:r w:rsidRPr="0082114E">
              <w:t>type</w:t>
            </w:r>
          </w:p>
        </w:tc>
        <w:tc>
          <w:tcPr>
            <w:tcW w:w="1262" w:type="dxa"/>
          </w:tcPr>
          <w:p w:rsidR="0082114E" w:rsidRPr="0082114E" w:rsidRDefault="0082114E" w:rsidP="0082114E">
            <w:r w:rsidRPr="00FB18DC">
              <w:t>Amendment made?</w:t>
            </w:r>
          </w:p>
        </w:tc>
        <w:tc>
          <w:tcPr>
            <w:tcW w:w="5668" w:type="dxa"/>
          </w:tcPr>
          <w:p w:rsidR="0082114E" w:rsidRPr="0082114E" w:rsidRDefault="0082114E" w:rsidP="0082114E">
            <w:r w:rsidRPr="00FB18DC">
              <w:t>Comments</w:t>
            </w:r>
          </w:p>
        </w:tc>
      </w:tr>
      <w:tr w:rsidR="0082114E" w:rsidRPr="00BB7AB1" w:rsidTr="00E85C2D">
        <w:tc>
          <w:tcPr>
            <w:tcW w:w="1763" w:type="dxa"/>
          </w:tcPr>
          <w:p w:rsidR="0082114E" w:rsidRPr="0082114E" w:rsidRDefault="0082114E" w:rsidP="0082114E">
            <w:r w:rsidRPr="00FB18DC">
              <w:t xml:space="preserve">Interpolation </w:t>
            </w:r>
            <w:r w:rsidRPr="0082114E">
              <w:t>to construct daily estimates</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RBA curve only provides an estimate for one business day at the end of each month. In our experience, averaging periods commonly start and/or end on dates during the month.  </w:t>
            </w:r>
          </w:p>
          <w:p w:rsidR="0082114E" w:rsidRPr="0082114E" w:rsidRDefault="0082114E" w:rsidP="0082114E">
            <w:r w:rsidRPr="00FB18DC">
              <w:t>We will address this issue by linearly interpolating between month end values where possible. While we are satisfied that interpolation over business days is also reasonable, we will interpolate over all days because:</w:t>
            </w:r>
          </w:p>
          <w:p w:rsidR="0082114E" w:rsidRPr="0082114E" w:rsidRDefault="0082114E" w:rsidP="0082114E">
            <w:pPr>
              <w:pStyle w:val="AERbulletlistfirststyle"/>
            </w:pPr>
            <w:r w:rsidRPr="00FB18DC">
              <w:t>this is consistent with our widely accepted approach to interpolate estimates of the risk free rate using CGS</w:t>
            </w:r>
          </w:p>
          <w:p w:rsidR="0082114E" w:rsidRPr="0082114E" w:rsidRDefault="0082114E" w:rsidP="0082114E">
            <w:pPr>
              <w:pStyle w:val="AERbulletlistfirststyle"/>
            </w:pPr>
            <w:r w:rsidRPr="00FB18DC">
              <w:t>interpolating over all days is simpler to implement</w:t>
            </w:r>
          </w:p>
          <w:p w:rsidR="0082114E" w:rsidRPr="0082114E" w:rsidRDefault="0082114E" w:rsidP="0082114E">
            <w:pPr>
              <w:pStyle w:val="AERbulletlistfirststyle"/>
            </w:pPr>
            <w:r w:rsidRPr="00FB18DC">
              <w:t>it is impractical to interpolate over business days for estimating the risk free rate, as this would require calculations relative to specific trading days 10 years in advance</w:t>
            </w:r>
          </w:p>
          <w:p w:rsidR="0082114E" w:rsidRPr="0082114E" w:rsidRDefault="0082114E" w:rsidP="0082114E">
            <w:pPr>
              <w:pStyle w:val="AERbulletlistfirststyle"/>
            </w:pPr>
            <w:r w:rsidRPr="00FB18DC">
              <w:t>the difference to the estimates between interpolating over business days or interpolating over all days is immaterial.</w:t>
            </w:r>
            <w:r w:rsidRPr="0082114E">
              <w:rPr>
                <w:rStyle w:val="AERsuperscript"/>
              </w:rPr>
              <w:footnoteReference w:id="634"/>
            </w:r>
          </w:p>
          <w:p w:rsidR="0082114E" w:rsidRPr="0082114E" w:rsidRDefault="0082114E" w:rsidP="00B53FEC">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B53FEC">
              <w:t xml:space="preserve">draft </w:t>
            </w:r>
            <w:r w:rsidRPr="0082114E">
              <w:t xml:space="preserve"> decision on the annual debt update process is set out in this appendix. </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1763" w:type="dxa"/>
          </w:tcPr>
          <w:p w:rsidR="0082114E" w:rsidRPr="0082114E" w:rsidRDefault="0082114E" w:rsidP="0082114E">
            <w:r w:rsidRPr="00FB18DC">
              <w:t>Extrapolation to target term</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'effective term' of the RBA bond sample is commonly less than 10 years. For this reason, Lally </w:t>
            </w:r>
            <w:r w:rsidRPr="0082114E">
              <w:t>recommended that the spread component of the yield should be extrapolated from its effective term at publication to the benchmark term (10 years).</w:t>
            </w:r>
            <w:r w:rsidRPr="0082114E">
              <w:rPr>
                <w:rStyle w:val="AERsuperscript"/>
              </w:rPr>
              <w:footnoteReference w:id="635"/>
            </w:r>
            <w:r w:rsidRPr="0082114E">
              <w:rPr>
                <w:rStyle w:val="AERsuperscript"/>
              </w:rPr>
              <w:t xml:space="preserve"> </w:t>
            </w:r>
          </w:p>
          <w:p w:rsidR="0082114E" w:rsidRPr="0082114E" w:rsidRDefault="0082114E" w:rsidP="0082114E">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82114E">
              <w:rPr>
                <w:rStyle w:val="AERsuperscript"/>
              </w:rPr>
              <w:footnoteReference w:id="636"/>
            </w:r>
            <w:r w:rsidRPr="0082114E">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2114E" w:rsidRPr="00BB7AB1" w:rsidTr="00E85C2D">
        <w:tc>
          <w:tcPr>
            <w:tcW w:w="1763" w:type="dxa"/>
          </w:tcPr>
          <w:p w:rsidR="0082114E" w:rsidRPr="0082114E" w:rsidRDefault="0082114E" w:rsidP="0082114E">
            <w:r w:rsidRPr="00FB18DC">
              <w:t>Conversion to effective annual rate</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2114E">
              <w:rPr>
                <w:rStyle w:val="AERsuperscript"/>
              </w:rPr>
              <w:footnoteReference w:id="637"/>
            </w:r>
            <w:r w:rsidRPr="0082114E">
              <w:t xml:space="preserve"> Therefore, this would require conversion into an effective annual rate, using the same approach as is applied to the BVAL yield estimate. </w:t>
            </w:r>
          </w:p>
        </w:tc>
      </w:tr>
    </w:tbl>
    <w:p w:rsidR="0082114E" w:rsidRPr="00FB18DC" w:rsidRDefault="0082114E" w:rsidP="0082114E">
      <w:pPr>
        <w:pStyle w:val="AERtablesource"/>
      </w:pPr>
      <w:r w:rsidRPr="00FB18DC">
        <w:t xml:space="preserve">Source: </w:t>
      </w:r>
      <w:r>
        <w:tab/>
      </w:r>
      <w:r w:rsidRPr="00FB18DC">
        <w:t>AER analysis</w:t>
      </w:r>
      <w:r>
        <w:t>.</w:t>
      </w:r>
    </w:p>
    <w:p w:rsidR="0082114E" w:rsidRPr="00FB18DC" w:rsidRDefault="0082114E" w:rsidP="0082114E">
      <w:pPr>
        <w:pStyle w:val="Caption"/>
      </w:pPr>
      <w:bookmarkStart w:id="104" w:name="_Ref479863605"/>
      <w:r w:rsidRPr="00FB18DC">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13</w:t>
      </w:r>
      <w:r w:rsidR="002C24D6">
        <w:rPr>
          <w:noProof/>
        </w:rPr>
        <w:fldChar w:fldCharType="end"/>
      </w:r>
      <w:bookmarkEnd w:id="104"/>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3080" w:type="dxa"/>
          </w:tcPr>
          <w:p w:rsidR="0082114E" w:rsidRPr="0082114E" w:rsidRDefault="0082114E" w:rsidP="0082114E">
            <w:r w:rsidRPr="00FB18DC">
              <w:t xml:space="preserve">Adjustment </w:t>
            </w:r>
            <w:r w:rsidRPr="0082114E">
              <w:t>type</w:t>
            </w:r>
          </w:p>
        </w:tc>
        <w:tc>
          <w:tcPr>
            <w:tcW w:w="1446" w:type="dxa"/>
          </w:tcPr>
          <w:p w:rsidR="0082114E" w:rsidRPr="0082114E" w:rsidRDefault="0082114E" w:rsidP="0082114E">
            <w:r w:rsidRPr="00FB18DC">
              <w:t>Amendment made?</w:t>
            </w:r>
          </w:p>
        </w:tc>
        <w:tc>
          <w:tcPr>
            <w:tcW w:w="4716" w:type="dxa"/>
          </w:tcPr>
          <w:p w:rsidR="0082114E" w:rsidRPr="00FB18DC" w:rsidRDefault="0082114E" w:rsidP="00CC7A1C">
            <w:pPr>
              <w:numPr>
                <w:ilvl w:val="0"/>
                <w:numId w:val="24"/>
              </w:numPr>
            </w:pPr>
            <w:r w:rsidRPr="00FB18DC">
              <w:t>Comments</w:t>
            </w:r>
          </w:p>
        </w:tc>
      </w:tr>
      <w:tr w:rsidR="0082114E" w:rsidRPr="00BB7AB1" w:rsidTr="00E85C2D">
        <w:tc>
          <w:tcPr>
            <w:tcW w:w="3080" w:type="dxa"/>
          </w:tcPr>
          <w:p w:rsidR="0082114E" w:rsidRPr="0082114E" w:rsidRDefault="0082114E" w:rsidP="0082114E">
            <w:r w:rsidRPr="00FB18DC">
              <w:t>Interpolation to construct daily estimates</w:t>
            </w:r>
          </w:p>
        </w:tc>
        <w:tc>
          <w:tcPr>
            <w:tcW w:w="1446" w:type="dxa"/>
          </w:tcPr>
          <w:p w:rsidR="0082114E" w:rsidRPr="0082114E" w:rsidRDefault="0082114E" w:rsidP="0082114E">
            <w:r w:rsidRPr="00FB18DC">
              <w:t>No</w:t>
            </w:r>
          </w:p>
        </w:tc>
        <w:tc>
          <w:tcPr>
            <w:tcW w:w="4716" w:type="dxa"/>
          </w:tcPr>
          <w:p w:rsidR="0082114E" w:rsidRPr="00FB18DC" w:rsidRDefault="0082114E" w:rsidP="00CC7A1C">
            <w:pPr>
              <w:numPr>
                <w:ilvl w:val="0"/>
                <w:numId w:val="24"/>
              </w:numPr>
            </w:pPr>
            <w:r w:rsidRPr="00FB18DC">
              <w:t>Bloomberg publishes daily estimates.</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3080" w:type="dxa"/>
          </w:tcPr>
          <w:p w:rsidR="0082114E" w:rsidRPr="0082114E" w:rsidRDefault="0082114E" w:rsidP="0082114E">
            <w:r w:rsidRPr="00FB18DC">
              <w:t>Extrapolation to target term</w:t>
            </w:r>
          </w:p>
        </w:tc>
        <w:tc>
          <w:tcPr>
            <w:tcW w:w="1446" w:type="dxa"/>
          </w:tcPr>
          <w:p w:rsidR="0082114E" w:rsidRPr="0082114E" w:rsidRDefault="0082114E" w:rsidP="0082114E">
            <w:r w:rsidRPr="00FB18DC">
              <w:t xml:space="preserve">Depends on </w:t>
            </w:r>
            <w:r w:rsidRPr="0082114E">
              <w:t>maximum term published by Bloomberg</w:t>
            </w:r>
          </w:p>
        </w:tc>
        <w:tc>
          <w:tcPr>
            <w:tcW w:w="4716" w:type="dxa"/>
          </w:tcPr>
          <w:p w:rsidR="0082114E" w:rsidRPr="00FB18DC" w:rsidRDefault="0082114E"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638"/>
            </w:r>
            <w:r w:rsidRPr="00FB18DC">
              <w:t xml:space="preserve"> In April 2015, Bloomberg revised its methodology for the BVAL curve (BVCSAB10) and it now publishes a 10 year estimate.</w:t>
            </w:r>
            <w:r w:rsidRPr="00FB18DC">
              <w:rPr>
                <w:rStyle w:val="FootnoteReference"/>
              </w:rPr>
              <w:footnoteReference w:id="639"/>
            </w:r>
            <w:r w:rsidRPr="00FB18DC">
              <w:t xml:space="preserve"> </w:t>
            </w:r>
          </w:p>
          <w:p w:rsidR="0082114E" w:rsidRPr="00FB18DC" w:rsidRDefault="0082114E"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2114E" w:rsidRPr="00FB18DC" w:rsidRDefault="0082114E" w:rsidP="00CC7A1C">
            <w:pPr>
              <w:numPr>
                <w:ilvl w:val="0"/>
                <w:numId w:val="24"/>
              </w:numPr>
            </w:pPr>
            <w:r w:rsidRPr="00FB18DC">
              <w:t>BVAL yield 10 years = BVAL yield 7 years + difference in CGS from 7 to 10 years + difference in RBA extrapolated spread to CGS from 7 to 10 years</w:t>
            </w:r>
          </w:p>
          <w:p w:rsidR="0082114E" w:rsidRPr="00FB18DC" w:rsidRDefault="0082114E" w:rsidP="00CC7A1C">
            <w:pPr>
              <w:numPr>
                <w:ilvl w:val="0"/>
                <w:numId w:val="24"/>
              </w:numPr>
            </w:pPr>
            <w:r w:rsidRPr="00FB18DC">
              <w:t>As recommended by Lally,</w:t>
            </w:r>
            <w:r w:rsidRPr="00FB18DC">
              <w:rPr>
                <w:rStyle w:val="AERsuperscript"/>
              </w:rPr>
              <w:footnoteReference w:id="640"/>
            </w:r>
            <w:r w:rsidRPr="00FB18DC">
              <w:t xml:space="preserve"> we are satisfied this approach is comparably reliable to the more complex approaches submitted by other stakeholders,</w:t>
            </w:r>
            <w:r w:rsidRPr="00FB18DC">
              <w:rPr>
                <w:rStyle w:val="AERsuperscript"/>
              </w:rPr>
              <w:footnoteReference w:id="641"/>
            </w:r>
            <w:r w:rsidRPr="00FB18DC">
              <w:rPr>
                <w:rStyle w:val="AERsuperscript"/>
              </w:rPr>
              <w:t xml:space="preserve"> </w:t>
            </w:r>
            <w:r w:rsidRPr="00FB18DC">
              <w:t>but is simpler to implement and based on publicly available data.</w:t>
            </w:r>
          </w:p>
          <w:p w:rsidR="0082114E" w:rsidRPr="00FB18DC" w:rsidRDefault="0082114E"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82114E" w:rsidRPr="00FB18DC" w:rsidRDefault="0082114E" w:rsidP="00CC7A1C">
            <w:pPr>
              <w:numPr>
                <w:ilvl w:val="0"/>
                <w:numId w:val="24"/>
              </w:numPr>
            </w:pPr>
            <w:r w:rsidRPr="00FB18DC">
              <w:t>For the period where 10 years is the maximum term, we do not extrapolate the estimate.</w:t>
            </w:r>
          </w:p>
        </w:tc>
      </w:tr>
      <w:tr w:rsidR="0082114E" w:rsidRPr="00BB7AB1" w:rsidTr="00E85C2D">
        <w:tc>
          <w:tcPr>
            <w:tcW w:w="3080" w:type="dxa"/>
          </w:tcPr>
          <w:p w:rsidR="0082114E" w:rsidRPr="0082114E" w:rsidRDefault="0082114E" w:rsidP="0082114E">
            <w:r w:rsidRPr="00FB18DC">
              <w:t>Conversion to effective annual rate</w:t>
            </w:r>
          </w:p>
        </w:tc>
        <w:tc>
          <w:tcPr>
            <w:tcW w:w="1446" w:type="dxa"/>
          </w:tcPr>
          <w:p w:rsidR="0082114E" w:rsidRPr="0082114E" w:rsidRDefault="0082114E" w:rsidP="0082114E">
            <w:r w:rsidRPr="00FB18DC">
              <w:t>Yes</w:t>
            </w:r>
          </w:p>
        </w:tc>
        <w:tc>
          <w:tcPr>
            <w:tcW w:w="4716" w:type="dxa"/>
          </w:tcPr>
          <w:p w:rsidR="0082114E" w:rsidRPr="00FB18DC" w:rsidRDefault="0082114E" w:rsidP="00CC7A1C">
            <w:pPr>
              <w:numPr>
                <w:ilvl w:val="0"/>
                <w:numId w:val="24"/>
              </w:numPr>
            </w:pPr>
            <w:r w:rsidRPr="00FB18DC">
              <w:t>Bloomberg publishes its yield as annual rates with semi-annual compounding. This needs to be converted into an effective annual rate.</w:t>
            </w:r>
          </w:p>
        </w:tc>
      </w:tr>
    </w:tbl>
    <w:p w:rsidR="00245D0E" w:rsidRDefault="00245D0E" w:rsidP="00245D0E">
      <w:pPr>
        <w:pStyle w:val="HeadingBoldItalic"/>
      </w:pPr>
      <w:r>
        <w:t>Choice of data series—Contingencies</w:t>
      </w:r>
    </w:p>
    <w:p w:rsidR="00245D0E" w:rsidRDefault="00245D0E" w:rsidP="00245D0E">
      <w:r>
        <w:t xml:space="preserve">Our </w:t>
      </w:r>
      <w:r w:rsidR="00506FAE">
        <w:t>draft</w:t>
      </w:r>
      <w:r>
        <w:t xml:space="preserve"> decision is to largely maintain the set of contingencies as set out in our recent decisions.</w:t>
      </w:r>
      <w:r>
        <w:rPr>
          <w:rStyle w:val="FootnoteReference"/>
        </w:rPr>
        <w:footnoteReference w:id="642"/>
      </w:r>
      <w:r>
        <w:t xml:space="preserve"> W</w:t>
      </w:r>
      <w:r w:rsidRPr="00A86E9A">
        <w:t xml:space="preserve">e have made our </w:t>
      </w:r>
      <w:r w:rsidR="00506FAE">
        <w:t>draft</w:t>
      </w:r>
      <w:r>
        <w:t xml:space="preserve"> </w:t>
      </w:r>
      <w:r w:rsidRPr="00A86E9A">
        <w:t>decision based on the information and third party data that is currently available.</w:t>
      </w:r>
      <w:r>
        <w:rPr>
          <w:rStyle w:val="FootnoteReference"/>
        </w:rPr>
        <w:footnoteReference w:id="643"/>
      </w:r>
      <w:r w:rsidRPr="00A86E9A">
        <w:t xml:space="preserve"> Nonetheless, in our experience it is common that the availability of third party data changes. </w:t>
      </w:r>
    </w:p>
    <w:p w:rsidR="00245D0E" w:rsidRDefault="00245D0E" w:rsidP="00245D0E">
      <w:r w:rsidRPr="00A86E9A">
        <w:t xml:space="preserve">Our </w:t>
      </w:r>
      <w:r w:rsidR="00506FAE">
        <w:t>draft</w:t>
      </w:r>
      <w:r>
        <w:t xml:space="preserve">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644"/>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245D0E" w:rsidRDefault="00245D0E" w:rsidP="00245D0E">
      <w:r w:rsidRPr="00A86E9A">
        <w:t>For this reason, we have set out a series of contingencies in</w:t>
      </w:r>
      <w:r>
        <w:t xml:space="preserve"> </w:t>
      </w:r>
      <w:r w:rsidR="009B02F6">
        <w:fldChar w:fldCharType="begin"/>
      </w:r>
      <w:r w:rsidR="009B02F6">
        <w:instrText xml:space="preserve"> REF _Ref479863617 \h </w:instrText>
      </w:r>
      <w:r w:rsidR="009B02F6">
        <w:fldChar w:fldCharType="separate"/>
      </w:r>
      <w:r w:rsidR="002C24D6">
        <w:t xml:space="preserve">Table </w:t>
      </w:r>
      <w:r w:rsidR="002C24D6">
        <w:rPr>
          <w:noProof/>
        </w:rPr>
        <w:t>3</w:t>
      </w:r>
      <w:r w:rsidR="002C24D6">
        <w:noBreakHyphen/>
      </w:r>
      <w:r w:rsidR="002C24D6">
        <w:rPr>
          <w:noProof/>
        </w:rPr>
        <w:t>14</w:t>
      </w:r>
      <w:r w:rsidR="009B02F6">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245D0E" w:rsidRDefault="00245D0E" w:rsidP="00245D0E">
      <w:pPr>
        <w:pStyle w:val="Caption"/>
      </w:pPr>
      <w:bookmarkStart w:id="105" w:name="_Ref479863617"/>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14</w:t>
      </w:r>
      <w:r w:rsidR="002C24D6">
        <w:rPr>
          <w:noProof/>
        </w:rPr>
        <w:fldChar w:fldCharType="end"/>
      </w:r>
      <w:bookmarkEnd w:id="105"/>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245D0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461" w:type="pct"/>
          </w:tcPr>
          <w:p w:rsidR="00245D0E" w:rsidRPr="00BB7AB1" w:rsidRDefault="00245D0E" w:rsidP="00CC7A1C">
            <w:pPr>
              <w:numPr>
                <w:ilvl w:val="0"/>
                <w:numId w:val="24"/>
              </w:numPr>
            </w:pPr>
            <w:r w:rsidRPr="00BB7AB1">
              <w:t>Event</w:t>
            </w:r>
          </w:p>
        </w:tc>
        <w:tc>
          <w:tcPr>
            <w:tcW w:w="3539" w:type="pct"/>
          </w:tcPr>
          <w:p w:rsidR="00245D0E" w:rsidRPr="00BB7AB1" w:rsidRDefault="00245D0E" w:rsidP="00CC7A1C">
            <w:pPr>
              <w:numPr>
                <w:ilvl w:val="0"/>
                <w:numId w:val="24"/>
              </w:numPr>
            </w:pPr>
            <w:r w:rsidRPr="00BB7AB1">
              <w:t>Changes to approach</w:t>
            </w:r>
          </w:p>
        </w:tc>
      </w:tr>
      <w:tr w:rsidR="00245D0E" w:rsidRPr="00BB7AB1" w:rsidTr="00E85C2D">
        <w:tc>
          <w:tcPr>
            <w:tcW w:w="1461" w:type="pct"/>
          </w:tcPr>
          <w:p w:rsidR="00245D0E" w:rsidRPr="00BB7AB1" w:rsidRDefault="00245D0E" w:rsidP="00CC7A1C">
            <w:pPr>
              <w:numPr>
                <w:ilvl w:val="0"/>
                <w:numId w:val="24"/>
              </w:numPr>
            </w:pPr>
            <w:r w:rsidRPr="00BB7AB1">
              <w:t>Either the RBA or Bloomberg ceases publication</w:t>
            </w:r>
            <w:r>
              <w:t>, temporarily or permanently,</w:t>
            </w:r>
            <w:r w:rsidRPr="00BB7AB1">
              <w:t xml:space="preserve"> of Australian yield curves that reflect a broad BBB rating.</w:t>
            </w:r>
          </w:p>
        </w:tc>
        <w:tc>
          <w:tcPr>
            <w:tcW w:w="3539" w:type="pct"/>
          </w:tcPr>
          <w:p w:rsidR="00245D0E" w:rsidRPr="00BB7AB1" w:rsidRDefault="00245D0E" w:rsidP="00CC7A1C">
            <w:pPr>
              <w:numPr>
                <w:ilvl w:val="0"/>
                <w:numId w:val="24"/>
              </w:numPr>
            </w:pPr>
            <w:r w:rsidRPr="00BB7AB1">
              <w:t>We will estimate the annual return on debt using the remaining curve.</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645"/>
            </w:r>
            <w:r w:rsidRPr="00BB7AB1">
              <w:t>.</w:t>
            </w:r>
          </w:p>
        </w:tc>
        <w:tc>
          <w:tcPr>
            <w:tcW w:w="3539" w:type="pct"/>
          </w:tcPr>
          <w:p w:rsidR="00245D0E" w:rsidRPr="00BB7AB1" w:rsidRDefault="00245D0E" w:rsidP="00CC7A1C">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245D0E" w:rsidRPr="00BB7AB1" w:rsidTr="00E85C2D">
        <w:tc>
          <w:tcPr>
            <w:tcW w:w="1461" w:type="pct"/>
          </w:tcPr>
          <w:p w:rsidR="00245D0E" w:rsidRPr="00BB7AB1" w:rsidRDefault="00245D0E" w:rsidP="00CC7A1C">
            <w:pPr>
              <w:numPr>
                <w:ilvl w:val="0"/>
                <w:numId w:val="24"/>
              </w:numPr>
            </w:pPr>
            <w:r w:rsidRPr="00BB7AB1">
              <w:t>Either Bloomberg or RBA substitutes its current methodology for a revised or updated methodology.</w:t>
            </w:r>
          </w:p>
        </w:tc>
        <w:tc>
          <w:tcPr>
            <w:tcW w:w="3539" w:type="pct"/>
          </w:tcPr>
          <w:p w:rsidR="00245D0E" w:rsidRDefault="00245D0E" w:rsidP="00CC7A1C">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245D0E" w:rsidRPr="00BB7AB1" w:rsidRDefault="00245D0E" w:rsidP="00CC7A1C">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646"/>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Bloomberg </w:t>
            </w:r>
            <w:r>
              <w:t>reduces the maximum published BVAL term from 10 years</w:t>
            </w:r>
          </w:p>
        </w:tc>
        <w:tc>
          <w:tcPr>
            <w:tcW w:w="3539" w:type="pct"/>
          </w:tcPr>
          <w:p w:rsidR="00245D0E" w:rsidRDefault="00245D0E" w:rsidP="00CC7A1C">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 to 10</w:t>
            </w:r>
            <w:r w:rsidRPr="00BB7AB1">
              <w:t xml:space="preserve"> </w:t>
            </w:r>
            <w:r>
              <w:t xml:space="preserve">years </w:t>
            </w:r>
            <w:r w:rsidRPr="00BB7AB1">
              <w:t xml:space="preserve">using the </w:t>
            </w:r>
            <w:r>
              <w:t>corresponding</w:t>
            </w:r>
            <w:r w:rsidRPr="00BB7AB1">
              <w:t xml:space="preserve"> yield margin from the RBA curve.</w:t>
            </w:r>
            <w:r>
              <w:t xml:space="preserve"> </w:t>
            </w:r>
            <w:r>
              <w:rPr>
                <w:rStyle w:val="FootnoteReference"/>
              </w:rPr>
              <w:footnoteReference w:id="647"/>
            </w:r>
          </w:p>
          <w:p w:rsidR="00245D0E" w:rsidRPr="00BB7AB1" w:rsidRDefault="00245D0E" w:rsidP="00CC7A1C">
            <w:pPr>
              <w:numPr>
                <w:ilvl w:val="0"/>
                <w:numId w:val="24"/>
              </w:numPr>
            </w:pPr>
            <w:r w:rsidRPr="00BB7AB1">
              <w:t>If Bloomberg no longer publishes the BVAL curve to 5 years, we will rely entirely on the RBA curve.</w:t>
            </w:r>
          </w:p>
        </w:tc>
      </w:tr>
      <w:tr w:rsidR="00245D0E" w:rsidRPr="00BB7AB1" w:rsidTr="00E85C2D">
        <w:tc>
          <w:tcPr>
            <w:tcW w:w="1461" w:type="pct"/>
          </w:tcPr>
          <w:p w:rsidR="00245D0E" w:rsidRPr="00BB7AB1" w:rsidRDefault="00245D0E" w:rsidP="00CC7A1C">
            <w:pPr>
              <w:numPr>
                <w:ilvl w:val="0"/>
                <w:numId w:val="24"/>
              </w:numPr>
            </w:pPr>
            <w:r w:rsidRPr="00BB7AB1">
              <w:t>The RBA ceases publication of a 10 year yield estimate.</w:t>
            </w:r>
            <w:r w:rsidRPr="00BB7AB1">
              <w:tab/>
            </w:r>
          </w:p>
        </w:tc>
        <w:tc>
          <w:tcPr>
            <w:tcW w:w="3539" w:type="pct"/>
          </w:tcPr>
          <w:p w:rsidR="00245D0E" w:rsidRPr="00BB7AB1" w:rsidRDefault="00245D0E" w:rsidP="00CC7A1C">
            <w:pPr>
              <w:numPr>
                <w:ilvl w:val="0"/>
                <w:numId w:val="24"/>
              </w:numPr>
            </w:pPr>
            <w:r w:rsidRPr="00BB7AB1">
              <w:t>If the RBA ceases publication of a 10 year yield estimate, we will extrapolate the RBA estimate to 10 years using:</w:t>
            </w:r>
          </w:p>
          <w:p w:rsidR="00245D0E" w:rsidRPr="00245D0E" w:rsidRDefault="00245D0E" w:rsidP="00245D0E">
            <w:pPr>
              <w:pStyle w:val="AERbulletlistfirststyle"/>
            </w:pPr>
            <w:r w:rsidRPr="00A86E9A">
              <w:t>if available, the margin between spreads in the Bloomberg curve,</w:t>
            </w:r>
            <w:r w:rsidRPr="00245D0E">
              <w:rPr>
                <w:rStyle w:val="FootnoteReference"/>
              </w:rPr>
              <w:footnoteReference w:id="648"/>
            </w:r>
            <w:r w:rsidRPr="00245D0E">
              <w:t xml:space="preserve"> from the RBA's longest published target term to 10 years</w:t>
            </w:r>
          </w:p>
          <w:p w:rsidR="00245D0E" w:rsidRPr="00245D0E" w:rsidRDefault="00245D0E" w:rsidP="00245D0E">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The RBA commences publication of daily estimates.</w:t>
            </w:r>
          </w:p>
        </w:tc>
        <w:tc>
          <w:tcPr>
            <w:tcW w:w="3539" w:type="pct"/>
          </w:tcPr>
          <w:p w:rsidR="00245D0E" w:rsidRPr="00BB7AB1" w:rsidRDefault="00245D0E" w:rsidP="00CC7A1C">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245D0E" w:rsidRPr="00BB7AB1" w:rsidTr="00E85C2D">
        <w:tc>
          <w:tcPr>
            <w:tcW w:w="1461" w:type="pct"/>
          </w:tcPr>
          <w:p w:rsidR="00245D0E" w:rsidRPr="00BB7AB1" w:rsidRDefault="00245D0E" w:rsidP="00CC7A1C">
            <w:pPr>
              <w:numPr>
                <w:ilvl w:val="0"/>
                <w:numId w:val="24"/>
              </w:numPr>
            </w:pPr>
            <w:r w:rsidRPr="00BB7AB1">
              <w:t>Either Bloomberg or the RBA publishes a BBB+ or utilities specific yield curve.</w:t>
            </w:r>
          </w:p>
        </w:tc>
        <w:tc>
          <w:tcPr>
            <w:tcW w:w="3539" w:type="pct"/>
          </w:tcPr>
          <w:p w:rsidR="00245D0E" w:rsidRPr="00BB7AB1" w:rsidRDefault="00245D0E" w:rsidP="00534313">
            <w:pPr>
              <w:numPr>
                <w:ilvl w:val="0"/>
                <w:numId w:val="24"/>
              </w:numPr>
            </w:pPr>
            <w:r w:rsidRPr="00BB7AB1">
              <w:t xml:space="preserve">We will adopt the BBB+ or utilities curve in place of the provider's existing curve, on the basis that it is a closer fit to </w:t>
            </w:r>
            <w:r w:rsidR="00534313">
              <w:t>a</w:t>
            </w:r>
            <w:r w:rsidR="00534313" w:rsidRPr="00BB7AB1">
              <w:t xml:space="preserve"> </w:t>
            </w:r>
            <w:r w:rsidRPr="00BB7AB1">
              <w:t>benchmark efficient entity</w:t>
            </w:r>
            <w:r w:rsidR="00534313">
              <w:t xml:space="preserve"> for the service provider</w:t>
            </w:r>
            <w:r w:rsidRPr="00BB7AB1">
              <w:t>.</w:t>
            </w:r>
          </w:p>
        </w:tc>
      </w:tr>
    </w:tbl>
    <w:p w:rsidR="00245D0E" w:rsidRPr="00BB7AB1" w:rsidRDefault="00245D0E" w:rsidP="00245D0E">
      <w:pPr>
        <w:pStyle w:val="AERtablesource"/>
      </w:pPr>
      <w:r w:rsidRPr="00BB7AB1">
        <w:t>Source:</w:t>
      </w:r>
      <w:r w:rsidRPr="00BB7AB1">
        <w:tab/>
        <w:t>AER analysis</w:t>
      </w:r>
      <w:r>
        <w:t>.</w:t>
      </w:r>
    </w:p>
    <w:p w:rsidR="00245D0E" w:rsidRDefault="00245D0E" w:rsidP="00245D0E">
      <w:r>
        <w:t xml:space="preserve">For this </w:t>
      </w:r>
      <w:r w:rsidR="00506FAE">
        <w:t>draft</w:t>
      </w:r>
      <w:r>
        <w:t xml:space="preserve"> decision, we have re-worded the contingency for the scenario where e</w:t>
      </w:r>
      <w:r w:rsidRPr="00C4326E">
        <w:t>ither the RBA or Bloomberg ceases publication</w:t>
      </w:r>
      <w:r>
        <w:t xml:space="preserve"> </w:t>
      </w:r>
      <w:r w:rsidRPr="00C4326E">
        <w:t xml:space="preserve">of Australian yield curves </w:t>
      </w:r>
      <w:r>
        <w:t>that reflect a broad BBB rating. Specifically, we have clarified that this contingency will apply whether the cessation of publication is temporary (</w:t>
      </w:r>
      <w:r w:rsidR="00E01319">
        <w:t>i.e.</w:t>
      </w:r>
      <w:r>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245D0E" w:rsidRPr="00C56839" w:rsidRDefault="00245D0E" w:rsidP="00245D0E">
      <w:r w:rsidRPr="00C56839">
        <w:t>In general, we have decided on these contingencies based on a series of guiding principles. These are that the contingency must:</w:t>
      </w:r>
    </w:p>
    <w:p w:rsidR="00245D0E" w:rsidRPr="00C56839" w:rsidRDefault="00245D0E" w:rsidP="00245D0E">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245D0E" w:rsidRPr="00762C27" w:rsidRDefault="00245D0E" w:rsidP="00245D0E">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245D0E" w:rsidRDefault="00245D0E" w:rsidP="00245D0E">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49"/>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45D0E" w:rsidRPr="00E6234D" w:rsidRDefault="00245D0E" w:rsidP="00245D0E">
      <w:pPr>
        <w:pStyle w:val="HeadingBoldItalic"/>
      </w:pPr>
      <w:r>
        <w:t>New issue premium</w:t>
      </w:r>
    </w:p>
    <w:p w:rsidR="00245D0E" w:rsidRDefault="00674A3E" w:rsidP="00245D0E">
      <w:r>
        <w:t xml:space="preserve">While we note the </w:t>
      </w:r>
      <w:r w:rsidR="00D27F97">
        <w:t xml:space="preserve">APTPPL </w:t>
      </w:r>
      <w:r>
        <w:t xml:space="preserve">did not propose a new issue premium, </w:t>
      </w:r>
      <w:r w:rsidRPr="00A870A6">
        <w:t xml:space="preserve">we </w:t>
      </w:r>
      <w:r>
        <w:t xml:space="preserve">note we </w:t>
      </w:r>
      <w:r w:rsidRPr="00A870A6">
        <w:t xml:space="preserve">do not agree with </w:t>
      </w:r>
      <w:r>
        <w:t>AusNet</w:t>
      </w:r>
      <w:r w:rsidR="00D27F97">
        <w:t>'s</w:t>
      </w:r>
      <w:r w:rsidRPr="00A870A6">
        <w:t xml:space="preserve">commentary </w:t>
      </w:r>
      <w:r>
        <w:t xml:space="preserve">in its </w:t>
      </w:r>
      <w:r w:rsidR="00DF0600">
        <w:t>transmission</w:t>
      </w:r>
      <w:r>
        <w:t xml:space="preserve"> proposal </w:t>
      </w:r>
      <w:r w:rsidRPr="00A870A6">
        <w:t>that excluding a new issue premium makes its proposed return on debt 'conservative'</w:t>
      </w:r>
      <w:r w:rsidR="00245D0E" w:rsidRPr="0018148E">
        <w:t>.</w:t>
      </w:r>
      <w:r w:rsidR="00245D0E">
        <w:rPr>
          <w:rStyle w:val="FootnoteReference"/>
        </w:rPr>
        <w:footnoteReference w:id="650"/>
      </w:r>
    </w:p>
    <w:p w:rsidR="00245D0E" w:rsidRDefault="00245D0E" w:rsidP="00245D0E">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651"/>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652"/>
      </w:r>
      <w:r>
        <w:t xml:space="preserve"> The </w:t>
      </w:r>
      <w:r w:rsidRPr="006D5821">
        <w:t>main reasons for our position are:</w:t>
      </w:r>
    </w:p>
    <w:p w:rsidR="00245D0E" w:rsidRPr="00784F6B" w:rsidRDefault="00245D0E" w:rsidP="00245D0E">
      <w:pPr>
        <w:pStyle w:val="AERbulletlistfirststyle"/>
      </w:pPr>
      <w:r w:rsidRPr="001426E4">
        <w:t xml:space="preserve">Conceptually, we </w:t>
      </w:r>
      <w:r w:rsidRPr="00784F6B">
        <w:t>consider that a benchmark efficient entity would not face a new issue premium as part of its efficient financing costs.</w:t>
      </w:r>
    </w:p>
    <w:p w:rsidR="00245D0E" w:rsidRPr="00784F6B" w:rsidRDefault="00245D0E" w:rsidP="00245D0E">
      <w:pPr>
        <w:pStyle w:val="AERbulletlistfirststyle"/>
      </w:pPr>
      <w:r>
        <w:t>T</w:t>
      </w:r>
      <w:r w:rsidRPr="00784F6B">
        <w:t>he evidence before us indicates that our return on debt allowance already appropriately compensates a benchmark efficient entity overall for its efficient financing costs.</w:t>
      </w:r>
    </w:p>
    <w:p w:rsidR="00245D0E" w:rsidRPr="00784F6B" w:rsidRDefault="00245D0E" w:rsidP="00245D0E">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t>premium</w:t>
      </w:r>
      <w:r w:rsidRPr="00784F6B">
        <w:t>.</w:t>
      </w:r>
    </w:p>
    <w:p w:rsidR="00245D0E" w:rsidRPr="00784F6B" w:rsidRDefault="00245D0E" w:rsidP="00245D0E">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653"/>
      </w:r>
      <w:r w:rsidRPr="00784F6B">
        <w:t xml:space="preserve"> However, we have concerns with CEG's methodology, which we do not consider CEG has satisfactorily addressed.</w:t>
      </w:r>
      <w:r w:rsidRPr="00784F6B">
        <w:rPr>
          <w:rStyle w:val="FootnoteReference"/>
        </w:rPr>
        <w:footnoteReference w:id="654"/>
      </w:r>
    </w:p>
    <w:p w:rsidR="00245D0E" w:rsidRDefault="00245D0E" w:rsidP="00245D0E">
      <w:r>
        <w:t>For a more detailed explanation of our reasons, see Appendix I of our final decision for United Energy.</w:t>
      </w:r>
      <w:r>
        <w:rPr>
          <w:rStyle w:val="FootnoteReference"/>
        </w:rPr>
        <w:footnoteReference w:id="655"/>
      </w:r>
    </w:p>
    <w:p w:rsidR="00245D0E" w:rsidRDefault="00245D0E" w:rsidP="00245D0E">
      <w:pPr>
        <w:pStyle w:val="HeadingBoldItalic"/>
      </w:pPr>
      <w:r w:rsidRPr="00E761F9">
        <w:t xml:space="preserve">Averaging periods </w:t>
      </w:r>
    </w:p>
    <w:p w:rsidR="00245D0E" w:rsidRDefault="00245D0E" w:rsidP="00245D0E">
      <w:r>
        <w:t>O</w:t>
      </w:r>
      <w:r w:rsidRPr="00F62E1D">
        <w:t xml:space="preserve">ur </w:t>
      </w:r>
      <w:r w:rsidR="00F1730F">
        <w:t xml:space="preserve">draft </w:t>
      </w:r>
      <w:r>
        <w:t>decision</w:t>
      </w:r>
      <w:r w:rsidRPr="00F62E1D">
        <w:t xml:space="preserve"> is to accept</w:t>
      </w:r>
      <w:r w:rsidR="00B3302E">
        <w:t xml:space="preserve"> </w:t>
      </w:r>
      <w:r w:rsidR="00FF3CED">
        <w:t xml:space="preserve">APTPPL's </w:t>
      </w:r>
      <w:r w:rsidRPr="00F62E1D">
        <w:t xml:space="preserve">proposed debt </w:t>
      </w:r>
      <w:r>
        <w:t>averaging periods for 201</w:t>
      </w:r>
      <w:r w:rsidR="001E3638">
        <w:t>8</w:t>
      </w:r>
      <w:r>
        <w:t xml:space="preserve"> to 20</w:t>
      </w:r>
      <w:r w:rsidR="00BF42CA">
        <w:t>2</w:t>
      </w:r>
      <w:r w:rsidR="001E3638">
        <w:t>2</w:t>
      </w:r>
      <w:r>
        <w:t>.</w:t>
      </w:r>
      <w:r>
        <w:rPr>
          <w:rStyle w:val="FootnoteReference"/>
        </w:rPr>
        <w:footnoteReference w:id="656"/>
      </w:r>
      <w:r>
        <w:t xml:space="preserve"> </w:t>
      </w:r>
    </w:p>
    <w:p w:rsidR="00245D0E" w:rsidRPr="00E761F9" w:rsidRDefault="00245D0E" w:rsidP="00245D0E">
      <w:r w:rsidRPr="00E761F9">
        <w:t>We specify thes</w:t>
      </w:r>
      <w:r w:rsidR="00BF42CA">
        <w:t>e averaging periods for the 2018</w:t>
      </w:r>
      <w:r w:rsidRPr="00E761F9">
        <w:t xml:space="preserve"> to 20</w:t>
      </w:r>
      <w:r w:rsidR="00BF42CA">
        <w:t>22</w:t>
      </w:r>
      <w:r w:rsidRPr="00E761F9">
        <w:t xml:space="preserve"> regulatory years in c</w:t>
      </w:r>
      <w:r>
        <w:t>onfidential Appendix</w:t>
      </w:r>
      <w:r w:rsidR="00A65A7E">
        <w:t xml:space="preserve"> </w:t>
      </w:r>
      <w:r w:rsidR="00F1730F">
        <w:fldChar w:fldCharType="begin"/>
      </w:r>
      <w:r w:rsidR="00F1730F">
        <w:instrText xml:space="preserve"> REF _Ref484680127 \r \h </w:instrText>
      </w:r>
      <w:r w:rsidR="00F1730F">
        <w:fldChar w:fldCharType="separate"/>
      </w:r>
      <w:r w:rsidR="002C24D6">
        <w:t>0</w:t>
      </w:r>
      <w:r w:rsidR="00F1730F">
        <w:fldChar w:fldCharType="end"/>
      </w:r>
      <w:r w:rsidRPr="00E761F9">
        <w:t>. This is because our practice is to keep the dates of averaging periods confidential until they have expired.</w:t>
      </w:r>
    </w:p>
    <w:p w:rsidR="00245D0E" w:rsidRPr="00E761F9" w:rsidRDefault="00245D0E" w:rsidP="00245D0E">
      <w:r w:rsidRPr="00E761F9">
        <w:t>In the Guideline, we proposed that service providers could nominate averaging periods of 10 or more consecutive business days up to a maximum of 12 months.</w:t>
      </w:r>
      <w:r w:rsidRPr="00E761F9">
        <w:rPr>
          <w:rStyle w:val="FootnoteReference"/>
        </w:rPr>
        <w:footnoteReference w:id="657"/>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658"/>
      </w:r>
    </w:p>
    <w:p w:rsidR="00245D0E" w:rsidRPr="00E761F9" w:rsidRDefault="00245D0E" w:rsidP="00245D0E">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45D0E" w:rsidRPr="00E761F9" w:rsidRDefault="009B02F6" w:rsidP="00FF3CED">
      <w:pPr>
        <w:numPr>
          <w:ilvl w:val="0"/>
          <w:numId w:val="24"/>
        </w:numPr>
      </w:pPr>
      <w:r>
        <w:fldChar w:fldCharType="begin"/>
      </w:r>
      <w:r>
        <w:instrText xml:space="preserve"> REF _Ref479863628 \h </w:instrText>
      </w:r>
      <w:r>
        <w:fldChar w:fldCharType="separate"/>
      </w:r>
      <w:r w:rsidR="002C24D6" w:rsidRPr="00E761F9">
        <w:t xml:space="preserve">Table </w:t>
      </w:r>
      <w:r w:rsidR="002C24D6">
        <w:rPr>
          <w:noProof/>
        </w:rPr>
        <w:t>3</w:t>
      </w:r>
      <w:r w:rsidR="002C24D6">
        <w:noBreakHyphen/>
      </w:r>
      <w:r w:rsidR="002C24D6">
        <w:rPr>
          <w:noProof/>
        </w:rPr>
        <w:t>15</w:t>
      </w:r>
      <w:r>
        <w:fldChar w:fldCharType="end"/>
      </w:r>
      <w:r w:rsidR="00245D0E" w:rsidRPr="00E761F9">
        <w:t xml:space="preserve"> sets out why we consider an averaging period that meets the remaining conditions in the Guideline contributes to the achievement of the </w:t>
      </w:r>
      <w:r w:rsidR="00245D0E">
        <w:t>ARORO</w:t>
      </w:r>
      <w:r w:rsidR="00245D0E" w:rsidRPr="00E761F9">
        <w:t xml:space="preserve">. It also summarises our assessment of </w:t>
      </w:r>
      <w:r w:rsidR="00FF3CED">
        <w:t>APTPPL's</w:t>
      </w:r>
      <w:r w:rsidR="00FF3CED" w:rsidRPr="00E761F9">
        <w:t xml:space="preserve"> </w:t>
      </w:r>
      <w:r w:rsidR="00245D0E" w:rsidRPr="00E761F9">
        <w:t>proposed debt averaging periods</w:t>
      </w:r>
      <w:r w:rsidR="00245D0E">
        <w:t xml:space="preserve"> against these conditions</w:t>
      </w:r>
      <w:r w:rsidR="00245D0E" w:rsidRPr="00E761F9">
        <w:t xml:space="preserve">. </w:t>
      </w:r>
    </w:p>
    <w:p w:rsidR="00245D0E" w:rsidRPr="00E761F9" w:rsidRDefault="00245D0E" w:rsidP="00245D0E">
      <w:pPr>
        <w:pStyle w:val="Caption"/>
      </w:pPr>
      <w:bookmarkStart w:id="106" w:name="_Ref479863628"/>
      <w:r w:rsidRPr="00E761F9">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15</w:t>
      </w:r>
      <w:r w:rsidR="002C24D6">
        <w:rPr>
          <w:noProof/>
        </w:rPr>
        <w:fldChar w:fldCharType="end"/>
      </w:r>
      <w:bookmarkEnd w:id="106"/>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245D0E" w:rsidTr="00E85C2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245D0E" w:rsidRPr="00245D0E" w:rsidRDefault="00245D0E" w:rsidP="00245D0E">
            <w:r w:rsidRPr="00E761F9">
              <w:t>Condition</w:t>
            </w:r>
          </w:p>
        </w:tc>
        <w:tc>
          <w:tcPr>
            <w:tcW w:w="4647" w:type="dxa"/>
          </w:tcPr>
          <w:p w:rsidR="00245D0E" w:rsidRPr="00245D0E" w:rsidRDefault="00245D0E" w:rsidP="00245D0E">
            <w:r w:rsidRPr="00E761F9">
              <w:t>Reasons for condition</w:t>
            </w:r>
          </w:p>
        </w:tc>
        <w:tc>
          <w:tcPr>
            <w:tcW w:w="1425" w:type="dxa"/>
          </w:tcPr>
          <w:p w:rsidR="00245D0E" w:rsidRPr="00245D0E" w:rsidRDefault="00245D0E" w:rsidP="00245D0E">
            <w:r w:rsidRPr="00E761F9">
              <w:t>Condition met?</w:t>
            </w:r>
          </w:p>
        </w:tc>
      </w:tr>
      <w:tr w:rsidR="00245D0E" w:rsidTr="00E85C2D">
        <w:trPr>
          <w:trHeight w:val="143"/>
        </w:trPr>
        <w:tc>
          <w:tcPr>
            <w:tcW w:w="2591" w:type="dxa"/>
          </w:tcPr>
          <w:p w:rsidR="00245D0E" w:rsidRPr="00245D0E" w:rsidRDefault="00245D0E" w:rsidP="00245D0E">
            <w:r w:rsidRPr="00E761F9">
              <w:t xml:space="preserve">Observed over a period of 10 or more consecutive business days up to a maximum of </w:t>
            </w:r>
            <w:r w:rsidRPr="00245D0E">
              <w:t>12 months</w:t>
            </w:r>
          </w:p>
        </w:tc>
        <w:tc>
          <w:tcPr>
            <w:tcW w:w="4647" w:type="dxa"/>
          </w:tcPr>
          <w:p w:rsidR="00245D0E" w:rsidRPr="00245D0E" w:rsidRDefault="00245D0E" w:rsidP="00245D0E">
            <w:r w:rsidRPr="00E761F9">
              <w:t>Averaging daily estimates</w:t>
            </w:r>
            <w:r w:rsidRPr="00245D0E">
              <w:t xml:space="preserve"> over a number of days smooths out short term volatility in the annually updated return on debt allowance.</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It </w:t>
            </w:r>
            <w:r w:rsidRPr="00245D0E">
              <w:t>should be specified prior to the commencement of the regulatory control period.</w:t>
            </w:r>
          </w:p>
        </w:tc>
        <w:tc>
          <w:tcPr>
            <w:tcW w:w="4647" w:type="dxa"/>
          </w:tcPr>
          <w:p w:rsidR="00245D0E" w:rsidRPr="00245D0E" w:rsidRDefault="00245D0E" w:rsidP="00245D0E">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At the time it is nominated, all dates in the averaging period must take place in the future.</w:t>
            </w:r>
          </w:p>
        </w:tc>
        <w:tc>
          <w:tcPr>
            <w:tcW w:w="4647" w:type="dxa"/>
          </w:tcPr>
          <w:p w:rsidR="00245D0E" w:rsidRPr="00245D0E" w:rsidRDefault="00245D0E" w:rsidP="00245D0E">
            <w:r w:rsidRPr="00E761F9">
              <w:t>If a re</w:t>
            </w:r>
            <w:r w:rsidR="00C442DF">
              <w:t>ference</w:t>
            </w:r>
            <w:r w:rsidRPr="00E761F9">
              <w:t xml:space="preserve"> service provider can select an averaging period by looking at historical yields, it may introduce an upward bias.</w:t>
            </w:r>
            <w:r w:rsidRPr="00245D0E">
              <w:rPr>
                <w:rStyle w:val="FootnoteReference"/>
              </w:rPr>
              <w:footnoteReference w:id="659"/>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An averaging period needs to be specified for each regulatory year within a regulatory control period.</w:t>
            </w:r>
          </w:p>
        </w:tc>
        <w:tc>
          <w:tcPr>
            <w:tcW w:w="4647" w:type="dxa"/>
          </w:tcPr>
          <w:p w:rsidR="00245D0E" w:rsidRPr="00245D0E" w:rsidRDefault="00245D0E" w:rsidP="00245D0E">
            <w:r w:rsidRPr="00E761F9">
              <w:t>This allows for the annual debt update. The annual debt update reduces the potential for a mismatch between the allowed and actual return on debt for the benchmark efficient entity.</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The proposed averaging periods for different regulatory years are not required to be identical but should not overlap.</w:t>
            </w:r>
          </w:p>
        </w:tc>
        <w:tc>
          <w:tcPr>
            <w:tcW w:w="4647" w:type="dxa"/>
          </w:tcPr>
          <w:p w:rsidR="00245D0E" w:rsidRPr="00245D0E" w:rsidRDefault="00245D0E" w:rsidP="00245D0E">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The nominal return on debt is to be updated annually using the </w:t>
            </w:r>
            <w:r w:rsidRPr="00245D0E">
              <w:t>agreed averaging period for the relevant regulatory year.</w:t>
            </w:r>
          </w:p>
        </w:tc>
        <w:tc>
          <w:tcPr>
            <w:tcW w:w="4647" w:type="dxa"/>
          </w:tcPr>
          <w:p w:rsidR="00245D0E" w:rsidRPr="00245D0E" w:rsidRDefault="00245D0E" w:rsidP="00245D0E">
            <w:r w:rsidRPr="00E761F9">
              <w:t>This prevents a service provider from introducing bias by only updating annually using the agreed averaging period when it is advantageous for it to do so.</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Each agreed averaging period is to be confidential.</w:t>
            </w:r>
          </w:p>
        </w:tc>
        <w:tc>
          <w:tcPr>
            <w:tcW w:w="4647" w:type="dxa"/>
          </w:tcPr>
          <w:p w:rsidR="00245D0E" w:rsidRPr="00245D0E" w:rsidRDefault="00245D0E" w:rsidP="00245D0E">
            <w:r w:rsidRPr="00E761F9">
              <w:t xml:space="preserve">This facilitates service providers organising their financing arrangements without market participants </w:t>
            </w:r>
            <w:r w:rsidRPr="00245D0E">
              <w:t>being aware of the averaging periods. Accordingly, in practice we keep averaging periods confidential until they expire.</w:t>
            </w:r>
          </w:p>
        </w:tc>
        <w:tc>
          <w:tcPr>
            <w:tcW w:w="1425" w:type="dxa"/>
          </w:tcPr>
          <w:p w:rsidR="00245D0E" w:rsidRPr="00245D0E" w:rsidRDefault="00245D0E" w:rsidP="00245D0E">
            <w:r w:rsidRPr="00E761F9">
              <w:t>Yes</w:t>
            </w:r>
          </w:p>
        </w:tc>
      </w:tr>
    </w:tbl>
    <w:p w:rsidR="00245D0E" w:rsidRPr="00E761F9" w:rsidRDefault="00245D0E" w:rsidP="00245D0E">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245D0E" w:rsidRPr="00E761F9" w:rsidRDefault="00245D0E" w:rsidP="00245D0E">
      <w:pPr>
        <w:pStyle w:val="HeadingBoldItalic"/>
      </w:pPr>
      <w:r w:rsidRPr="00E761F9">
        <w:t xml:space="preserve">Annual debt update process </w:t>
      </w:r>
    </w:p>
    <w:p w:rsidR="00245D0E" w:rsidRDefault="00245D0E" w:rsidP="00CC7A1C">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FF3CED">
        <w:t xml:space="preserve">APTPPL </w:t>
      </w:r>
      <w:r>
        <w:t xml:space="preserve">is set out in </w:t>
      </w:r>
      <w:r w:rsidR="000E14D2">
        <w:fldChar w:fldCharType="begin"/>
      </w:r>
      <w:r w:rsidR="000E14D2">
        <w:instrText xml:space="preserve"> REF  _Ref479863638 \* Lower \h </w:instrText>
      </w:r>
      <w:r w:rsidR="000E14D2">
        <w:fldChar w:fldCharType="separate"/>
      </w:r>
      <w:r w:rsidR="002C24D6">
        <w:t xml:space="preserve">table </w:t>
      </w:r>
      <w:r w:rsidR="002C24D6">
        <w:rPr>
          <w:noProof/>
        </w:rPr>
        <w:t>3</w:t>
      </w:r>
      <w:r w:rsidR="002C24D6">
        <w:noBreakHyphen/>
      </w:r>
      <w:r w:rsidR="002C24D6">
        <w:rPr>
          <w:noProof/>
        </w:rPr>
        <w:t>16</w:t>
      </w:r>
      <w:r w:rsidR="000E14D2">
        <w:fldChar w:fldCharType="end"/>
      </w:r>
      <w:r>
        <w:t xml:space="preserve">. </w:t>
      </w:r>
    </w:p>
    <w:p w:rsidR="00245D0E" w:rsidRPr="004057C7" w:rsidRDefault="00245D0E" w:rsidP="00245D0E">
      <w:pPr>
        <w:pStyle w:val="Caption"/>
      </w:pPr>
      <w:bookmarkStart w:id="107" w:name="_Ref479863638"/>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16</w:t>
      </w:r>
      <w:r w:rsidR="002C24D6">
        <w:rPr>
          <w:noProof/>
        </w:rPr>
        <w:fldChar w:fldCharType="end"/>
      </w:r>
      <w:bookmarkEnd w:id="107"/>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245D0E" w:rsidRPr="00616FA2" w:rsidTr="00AC6390">
        <w:trPr>
          <w:cnfStyle w:val="100000000000" w:firstRow="1" w:lastRow="0" w:firstColumn="0" w:lastColumn="0" w:oddVBand="0" w:evenVBand="0" w:oddHBand="0" w:evenHBand="0" w:firstRowFirstColumn="0" w:firstRowLastColumn="0" w:lastRowFirstColumn="0" w:lastRowLastColumn="0"/>
        </w:trPr>
        <w:tc>
          <w:tcPr>
            <w:tcW w:w="374" w:type="pct"/>
          </w:tcPr>
          <w:p w:rsidR="00245D0E" w:rsidRPr="00245D0E" w:rsidRDefault="00245D0E" w:rsidP="00245D0E">
            <w:pPr>
              <w:pStyle w:val="AERtabletextleft"/>
            </w:pPr>
            <w:r w:rsidRPr="00616FA2">
              <w:t>Step</w:t>
            </w:r>
          </w:p>
        </w:tc>
        <w:tc>
          <w:tcPr>
            <w:tcW w:w="1233" w:type="pct"/>
          </w:tcPr>
          <w:p w:rsidR="00245D0E" w:rsidRPr="00245D0E" w:rsidRDefault="00245D0E" w:rsidP="00245D0E">
            <w:pPr>
              <w:pStyle w:val="AERtabletextleft"/>
            </w:pPr>
            <w:r w:rsidRPr="00616FA2">
              <w:t>Timing</w:t>
            </w:r>
          </w:p>
        </w:tc>
        <w:tc>
          <w:tcPr>
            <w:tcW w:w="1527" w:type="pct"/>
          </w:tcPr>
          <w:p w:rsidR="00245D0E" w:rsidRPr="00245D0E" w:rsidRDefault="00245D0E" w:rsidP="00245D0E">
            <w:pPr>
              <w:pStyle w:val="AERtabletextleft"/>
            </w:pPr>
            <w:r w:rsidRPr="00616FA2">
              <w:t>Description of step</w:t>
            </w:r>
          </w:p>
        </w:tc>
        <w:tc>
          <w:tcPr>
            <w:tcW w:w="1866" w:type="pct"/>
          </w:tcPr>
          <w:p w:rsidR="00245D0E" w:rsidRPr="00245D0E" w:rsidRDefault="00245D0E" w:rsidP="00245D0E">
            <w:pPr>
              <w:pStyle w:val="AERtabletextleft"/>
            </w:pPr>
            <w:r w:rsidRPr="00616FA2">
              <w:t>Reasons for timing</w:t>
            </w:r>
          </w:p>
        </w:tc>
      </w:tr>
      <w:tr w:rsidR="00AC6390" w:rsidRPr="00616FA2" w:rsidTr="006E5878">
        <w:tc>
          <w:tcPr>
            <w:tcW w:w="374" w:type="pct"/>
          </w:tcPr>
          <w:p w:rsidR="00AC6390" w:rsidRPr="00AC6390" w:rsidRDefault="00AC6390" w:rsidP="00AC6390">
            <w:pPr>
              <w:pStyle w:val="AERtabletextleft"/>
            </w:pPr>
            <w:r w:rsidRPr="00AC6390">
              <w:t>1</w:t>
            </w:r>
          </w:p>
        </w:tc>
        <w:tc>
          <w:tcPr>
            <w:tcW w:w="1233" w:type="pct"/>
            <w:vAlign w:val="top"/>
          </w:tcPr>
          <w:p w:rsidR="00AC6390" w:rsidRPr="00AC6390" w:rsidRDefault="00AC6390" w:rsidP="001E3638">
            <w:pPr>
              <w:pStyle w:val="AERtabletextleft"/>
            </w:pPr>
            <w:r w:rsidRPr="00AC6390">
              <w:t xml:space="preserve">25 business days before a </w:t>
            </w:r>
            <w:r w:rsidR="001E3638">
              <w:t>service provider</w:t>
            </w:r>
            <w:r w:rsidR="001E3638" w:rsidRPr="00AC6390">
              <w:t xml:space="preserve"> </w:t>
            </w:r>
            <w:r w:rsidRPr="00AC6390">
              <w:t xml:space="preserve">submits its </w:t>
            </w:r>
            <w:r w:rsidR="001E3638">
              <w:t xml:space="preserve">reference tariff variation proposal </w:t>
            </w:r>
            <w:r w:rsidRPr="00AC6390">
              <w:t>to us.</w:t>
            </w:r>
          </w:p>
        </w:tc>
        <w:tc>
          <w:tcPr>
            <w:tcW w:w="1527" w:type="pct"/>
            <w:vAlign w:val="top"/>
          </w:tcPr>
          <w:p w:rsidR="00AC6390" w:rsidRPr="00AC6390" w:rsidRDefault="00AC6390" w:rsidP="00AC6390">
            <w:pPr>
              <w:pStyle w:val="AERtabletextleft"/>
            </w:pPr>
            <w:r w:rsidRPr="00AC6390">
              <w:t>Averaging period ends on or before this date.</w:t>
            </w:r>
          </w:p>
        </w:tc>
        <w:tc>
          <w:tcPr>
            <w:tcW w:w="1866" w:type="pct"/>
            <w:vAlign w:val="top"/>
          </w:tcPr>
          <w:p w:rsidR="00AC6390" w:rsidRPr="00AC6390" w:rsidRDefault="00AC6390" w:rsidP="00AC6390">
            <w:pPr>
              <w:pStyle w:val="AERtabletextleft"/>
            </w:pPr>
            <w:r w:rsidRPr="00AC6390">
              <w:t>We determine the maximum practical end date of the averaging period from the timing of steps 2 and 3.</w:t>
            </w:r>
          </w:p>
        </w:tc>
      </w:tr>
      <w:tr w:rsidR="00AC6390" w:rsidRPr="00616FA2" w:rsidTr="006E5878">
        <w:trPr>
          <w:cnfStyle w:val="000000010000" w:firstRow="0" w:lastRow="0" w:firstColumn="0" w:lastColumn="0" w:oddVBand="0" w:evenVBand="0" w:oddHBand="0" w:evenHBand="1" w:firstRowFirstColumn="0" w:firstRowLastColumn="0" w:lastRowFirstColumn="0" w:lastRowLastColumn="0"/>
        </w:trPr>
        <w:tc>
          <w:tcPr>
            <w:tcW w:w="374" w:type="pct"/>
          </w:tcPr>
          <w:p w:rsidR="00AC6390" w:rsidRPr="00AC6390" w:rsidRDefault="00AC6390" w:rsidP="00AC6390">
            <w:pPr>
              <w:pStyle w:val="AERtabletextleft"/>
            </w:pPr>
            <w:r w:rsidRPr="00AC6390">
              <w:t>2</w:t>
            </w:r>
          </w:p>
        </w:tc>
        <w:tc>
          <w:tcPr>
            <w:tcW w:w="1233" w:type="pct"/>
            <w:vAlign w:val="top"/>
          </w:tcPr>
          <w:p w:rsidR="00AC6390" w:rsidRPr="00AC6390" w:rsidRDefault="00AC6390" w:rsidP="001E3638">
            <w:pPr>
              <w:pStyle w:val="AERtabletextleft"/>
            </w:pPr>
            <w:r w:rsidRPr="00AC6390">
              <w:t xml:space="preserve">10 business days before a </w:t>
            </w:r>
            <w:r w:rsidR="001E3638">
              <w:t>service provider</w:t>
            </w:r>
            <w:r w:rsidR="001E3638" w:rsidRPr="00AC6390">
              <w:t xml:space="preserve"> </w:t>
            </w:r>
            <w:r w:rsidRPr="00AC6390">
              <w:t xml:space="preserve">submits its </w:t>
            </w:r>
            <w:r w:rsidR="001E3638">
              <w:t>reference tariff variation</w:t>
            </w:r>
            <w:r w:rsidR="001E3638" w:rsidRPr="00AC6390">
              <w:t xml:space="preserve"> </w:t>
            </w:r>
            <w:r w:rsidRPr="00AC6390">
              <w:t>proposal to us.</w:t>
            </w:r>
          </w:p>
        </w:tc>
        <w:tc>
          <w:tcPr>
            <w:tcW w:w="1527" w:type="pct"/>
            <w:vAlign w:val="top"/>
          </w:tcPr>
          <w:p w:rsidR="00AC6390" w:rsidRPr="00AC6390" w:rsidRDefault="00AC6390" w:rsidP="00AC6390">
            <w:pPr>
              <w:pStyle w:val="AERtabletextleft"/>
            </w:pPr>
            <w:r w:rsidRPr="00AC6390">
              <w:t>So the distributor can factor this into its annual pricing proposal, we inform it of updates on the return on debt, annual building block revenue requirement and X factor that incorporates the updated return on debt.</w:t>
            </w:r>
          </w:p>
        </w:tc>
        <w:tc>
          <w:tcPr>
            <w:tcW w:w="1866" w:type="pct"/>
            <w:vAlign w:val="top"/>
          </w:tcPr>
          <w:p w:rsidR="00AC6390" w:rsidRPr="00AC6390" w:rsidRDefault="00AC6390" w:rsidP="00AC6390">
            <w:pPr>
              <w:pStyle w:val="AERtabletextleft"/>
            </w:pPr>
            <w:r w:rsidRPr="00AC6390">
              <w:t>15 business days between steps 1 and 2 provides sufficient time for us to calculate (and provide quality assurance checks on the updated return on debt, revenue and X factor.</w:t>
            </w:r>
          </w:p>
        </w:tc>
      </w:tr>
      <w:tr w:rsidR="00AC6390" w:rsidRPr="00616FA2" w:rsidTr="006E5878">
        <w:tc>
          <w:tcPr>
            <w:tcW w:w="374" w:type="pct"/>
          </w:tcPr>
          <w:p w:rsidR="00AC6390" w:rsidRPr="00AC6390" w:rsidRDefault="00AC6390" w:rsidP="00AC6390">
            <w:pPr>
              <w:pStyle w:val="AERtabletextleft"/>
            </w:pPr>
          </w:p>
        </w:tc>
        <w:tc>
          <w:tcPr>
            <w:tcW w:w="1233" w:type="pct"/>
            <w:vAlign w:val="top"/>
          </w:tcPr>
          <w:p w:rsidR="00AC6390" w:rsidRPr="00AC6390" w:rsidRDefault="00AC6390" w:rsidP="001E3638">
            <w:pPr>
              <w:pStyle w:val="AERtabletextleft"/>
            </w:pPr>
            <w:r w:rsidRPr="00AC6390">
              <w:t xml:space="preserve">A </w:t>
            </w:r>
            <w:r w:rsidR="001E3638">
              <w:t>service provider</w:t>
            </w:r>
            <w:r w:rsidR="001E3638" w:rsidRPr="00AC6390">
              <w:t xml:space="preserve"> </w:t>
            </w:r>
            <w:r w:rsidRPr="00AC6390">
              <w:t xml:space="preserve">submits its </w:t>
            </w:r>
            <w:r w:rsidR="001E3638">
              <w:t>reference tariff variation</w:t>
            </w:r>
            <w:r w:rsidR="001E3638" w:rsidRPr="00AC6390">
              <w:t xml:space="preserve"> </w:t>
            </w:r>
            <w:r w:rsidRPr="00AC6390">
              <w:t>proposal to us on the date determined by the rules.</w:t>
            </w:r>
          </w:p>
        </w:tc>
        <w:tc>
          <w:tcPr>
            <w:tcW w:w="1527" w:type="pct"/>
            <w:vAlign w:val="top"/>
          </w:tcPr>
          <w:p w:rsidR="00AC6390" w:rsidRPr="00AC6390" w:rsidRDefault="00AC6390" w:rsidP="001E3638">
            <w:pPr>
              <w:pStyle w:val="AERtabletextleft"/>
            </w:pPr>
            <w:r w:rsidRPr="00AC6390">
              <w:t xml:space="preserve">The </w:t>
            </w:r>
            <w:r w:rsidR="001E3638">
              <w:t>service provider</w:t>
            </w:r>
            <w:r w:rsidR="001E3638" w:rsidRPr="00AC6390">
              <w:t xml:space="preserve"> </w:t>
            </w:r>
            <w:r w:rsidRPr="00AC6390">
              <w:t xml:space="preserve">submits its </w:t>
            </w:r>
            <w:r w:rsidR="001E3638">
              <w:t>reference tariff variation proposal</w:t>
            </w:r>
            <w:r w:rsidRPr="00AC6390">
              <w:t xml:space="preserve"> to us for the relevant year.</w:t>
            </w:r>
          </w:p>
        </w:tc>
        <w:tc>
          <w:tcPr>
            <w:tcW w:w="1866" w:type="pct"/>
            <w:vAlign w:val="top"/>
          </w:tcPr>
          <w:p w:rsidR="00AC6390" w:rsidRPr="00AC6390" w:rsidRDefault="00AC6390" w:rsidP="001E3638">
            <w:pPr>
              <w:pStyle w:val="AERtabletextleft"/>
            </w:pPr>
            <w:r w:rsidRPr="00AC6390">
              <w:t xml:space="preserve">10 business days between steps 2 and 3 is based on a service provider's advice regarding the minimum period it would require to factor the updated information into its prices. We are open to individual </w:t>
            </w:r>
            <w:r w:rsidR="001E3638">
              <w:t>service providers</w:t>
            </w:r>
            <w:r w:rsidR="001E3638" w:rsidRPr="00AC6390">
              <w:t xml:space="preserve"> </w:t>
            </w:r>
            <w:r w:rsidRPr="00AC6390">
              <w:t xml:space="preserve">requiring a longer period (or requesting a shorter period) to accommodate their internal processes.  </w:t>
            </w:r>
          </w:p>
        </w:tc>
      </w:tr>
    </w:tbl>
    <w:p w:rsidR="00245D0E" w:rsidRDefault="00245D0E" w:rsidP="00245D0E">
      <w:pPr>
        <w:pStyle w:val="AERtablesource"/>
      </w:pPr>
      <w:r>
        <w:t xml:space="preserve">Source: </w:t>
      </w:r>
      <w:r>
        <w:tab/>
        <w:t>AER analysis.</w:t>
      </w:r>
    </w:p>
    <w:p w:rsidR="00AC6390" w:rsidRPr="00E761F9" w:rsidRDefault="002F086F" w:rsidP="00AC6390">
      <w:pPr>
        <w:numPr>
          <w:ilvl w:val="0"/>
          <w:numId w:val="24"/>
        </w:numPr>
      </w:pPr>
      <w:r>
        <w:t>W</w:t>
      </w:r>
      <w:r w:rsidR="00AC6390" w:rsidRPr="00E761F9">
        <w:t xml:space="preserve">e are open to individual </w:t>
      </w:r>
      <w:r w:rsidR="001E3638">
        <w:t>service providers</w:t>
      </w:r>
      <w:r w:rsidR="001E3638" w:rsidRPr="00E761F9">
        <w:t xml:space="preserve"> </w:t>
      </w:r>
      <w:r w:rsidR="00AC6390" w:rsidRPr="00E761F9">
        <w:t xml:space="preserve">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1E3638">
        <w:t>service provider</w:t>
      </w:r>
      <w:r w:rsidR="001E3638" w:rsidRPr="00E761F9">
        <w:t xml:space="preserve"> </w:t>
      </w:r>
      <w:r w:rsidR="00AC6390" w:rsidRPr="00E761F9">
        <w:t xml:space="preserve">must submit its </w:t>
      </w:r>
      <w:r w:rsidR="001E3638">
        <w:t>reference tariff variation</w:t>
      </w:r>
      <w:r w:rsidR="00AC6390" w:rsidRPr="00E761F9">
        <w:t xml:space="preserve"> proposal to us.</w:t>
      </w:r>
    </w:p>
    <w:p w:rsidR="00AC6390" w:rsidRPr="00E761F9" w:rsidRDefault="00AC6390" w:rsidP="00AC6390">
      <w:pPr>
        <w:numPr>
          <w:ilvl w:val="0"/>
          <w:numId w:val="24"/>
        </w:numPr>
      </w:pPr>
      <w:r w:rsidRPr="00E761F9">
        <w:t xml:space="preserve">The process outlined in </w:t>
      </w:r>
      <w:r w:rsidR="000E14D2">
        <w:fldChar w:fldCharType="begin"/>
      </w:r>
      <w:r w:rsidR="000E14D2">
        <w:instrText xml:space="preserve"> REF  _Ref479863638 \* Lower \h </w:instrText>
      </w:r>
      <w:r w:rsidR="000E14D2">
        <w:fldChar w:fldCharType="separate"/>
      </w:r>
      <w:r w:rsidR="002C24D6">
        <w:t xml:space="preserve">table </w:t>
      </w:r>
      <w:r w:rsidR="002C24D6">
        <w:rPr>
          <w:noProof/>
        </w:rPr>
        <w:t>3</w:t>
      </w:r>
      <w:r w:rsidR="002C24D6">
        <w:noBreakHyphen/>
      </w:r>
      <w:r w:rsidR="002C24D6">
        <w:rPr>
          <w:noProof/>
        </w:rPr>
        <w:t>16</w:t>
      </w:r>
      <w:r w:rsidR="000E14D2">
        <w:fldChar w:fldCharType="end"/>
      </w:r>
      <w:r w:rsidRPr="00E761F9">
        <w:t xml:space="preserve"> does not apply to the first regulatory year in the regulatory control period. This is because the </w:t>
      </w:r>
      <w:r w:rsidR="001E3638">
        <w:t>access arrangement decision</w:t>
      </w:r>
      <w:r w:rsidRPr="00E761F9">
        <w:t xml:space="preserve"> will include the X factor for the first year, which will already incorporate the first year return on debt. Therefore, this process will generally apply to the subsequent years of a</w:t>
      </w:r>
      <w:r w:rsidR="001E3638">
        <w:t>n access arrangement</w:t>
      </w:r>
      <w:r w:rsidR="00A65A7E">
        <w:t xml:space="preserve"> </w:t>
      </w:r>
      <w:r w:rsidRPr="00E761F9">
        <w:t>period.</w:t>
      </w:r>
    </w:p>
    <w:p w:rsidR="00AC6390" w:rsidRPr="00E761F9" w:rsidRDefault="00AC6390" w:rsidP="00AC6390">
      <w:pPr>
        <w:numPr>
          <w:ilvl w:val="0"/>
          <w:numId w:val="24"/>
        </w:numPr>
      </w:pPr>
      <w:r w:rsidRPr="00E761F9">
        <w:t>In</w:t>
      </w:r>
      <w:r w:rsidR="004C574A">
        <w:t xml:space="preserve"> section</w:t>
      </w:r>
      <w:r w:rsidRPr="00E761F9">
        <w:t xml:space="preserve"> </w:t>
      </w:r>
      <w:r w:rsidR="004C574A">
        <w:fldChar w:fldCharType="begin"/>
      </w:r>
      <w:r w:rsidR="004C574A">
        <w:instrText xml:space="preserve"> REF _Ref478718271 \r \h </w:instrText>
      </w:r>
      <w:r w:rsidR="004C574A">
        <w:fldChar w:fldCharType="separate"/>
      </w:r>
      <w:r w:rsidR="002C24D6">
        <w:t>3.4.2</w:t>
      </w:r>
      <w:r w:rsidR="004C574A">
        <w:fldChar w:fldCharType="end"/>
      </w:r>
      <w:r w:rsidRPr="00E761F9">
        <w:t xml:space="preserve">, we propose calculating the return on debt, annual building block revenue requirement, and X factor in accordance with the formula in the </w:t>
      </w:r>
      <w:r w:rsidR="001E3638">
        <w:t>access arrangement</w:t>
      </w:r>
      <w:r w:rsidR="001E3638" w:rsidRPr="00E761F9">
        <w:t xml:space="preserve"> </w:t>
      </w:r>
      <w:r w:rsidR="001E3638">
        <w:t>decision</w:t>
      </w:r>
      <w:r w:rsidRPr="00E761F9">
        <w:t xml:space="preserve">. And we propose informing the </w:t>
      </w:r>
      <w:r w:rsidR="001E3638">
        <w:t>service provider</w:t>
      </w:r>
      <w:r w:rsidR="001E3638" w:rsidRPr="00E761F9">
        <w:t xml:space="preserve"> </w:t>
      </w:r>
      <w:r w:rsidRPr="00E761F9">
        <w:t xml:space="preserve">of our calculations before it submits its </w:t>
      </w:r>
      <w:r w:rsidR="00BF42CA">
        <w:t>reference tariff variation</w:t>
      </w:r>
      <w:r w:rsidRPr="00E761F9">
        <w:t xml:space="preserve"> proposal. We consider this preferable to the alternative approach, where we would assess updates the </w:t>
      </w:r>
      <w:r w:rsidR="00BF42CA">
        <w:t>service provider</w:t>
      </w:r>
      <w:r w:rsidR="00BF42CA" w:rsidRPr="00E761F9">
        <w:t xml:space="preserve"> </w:t>
      </w:r>
      <w:r w:rsidRPr="00E761F9">
        <w:t xml:space="preserve">calculated itself and submitted with its </w:t>
      </w:r>
      <w:r w:rsidR="00BF42CA">
        <w:t>reference tariff variation</w:t>
      </w:r>
      <w:r w:rsidRPr="00E761F9">
        <w:t xml:space="preserve"> proposal. This alternative approach could significantly complicate the </w:t>
      </w:r>
      <w:r w:rsidR="00BF42CA">
        <w:t>tariff variation</w:t>
      </w:r>
      <w:r w:rsidRPr="00E761F9">
        <w:t xml:space="preserve"> approval process if we identify calculation errors and require the </w:t>
      </w:r>
      <w:r w:rsidR="00BF42CA">
        <w:t>service provider</w:t>
      </w:r>
      <w:r w:rsidR="00BF42CA" w:rsidRPr="00E761F9">
        <w:t xml:space="preserve"> </w:t>
      </w:r>
      <w:r w:rsidRPr="00E761F9">
        <w:t xml:space="preserve">to revise all its proposed prices. On the other hand, our approach focusses the </w:t>
      </w:r>
      <w:r w:rsidR="00BF42CA">
        <w:t>tariff variation</w:t>
      </w:r>
      <w:r w:rsidRPr="00E761F9">
        <w:t xml:space="preserve"> process on how the </w:t>
      </w:r>
      <w:r w:rsidR="00BF42CA">
        <w:t>service provider</w:t>
      </w:r>
      <w:r w:rsidR="00BF42CA" w:rsidRPr="00E761F9">
        <w:t xml:space="preserve"> </w:t>
      </w:r>
      <w:r w:rsidRPr="00E761F9">
        <w:t>has incorporated the revised X factor into its prices, rather than also assessing the revised X factor itself.</w:t>
      </w:r>
    </w:p>
    <w:p w:rsidR="0084079E" w:rsidRPr="004C69BA" w:rsidRDefault="0084079E" w:rsidP="004C69BA">
      <w:pPr>
        <w:pStyle w:val="Heading3"/>
      </w:pPr>
      <w:bookmarkStart w:id="108" w:name="_Ref482256961"/>
      <w:bookmarkStart w:id="109" w:name="_Toc487037140"/>
      <w:r w:rsidRPr="004C69BA">
        <w:t>Gearing ratio</w:t>
      </w:r>
      <w:bookmarkEnd w:id="108"/>
      <w:bookmarkEnd w:id="109"/>
    </w:p>
    <w:p w:rsidR="0084079E" w:rsidRDefault="0084079E">
      <w:r>
        <w:t xml:space="preserve">Our decision is to adopt a 60 per cent gearing ratio. This is consistent with the Guideline and </w:t>
      </w:r>
      <w:r w:rsidR="00265218">
        <w:t xml:space="preserve">APTPPL's </w:t>
      </w:r>
      <w:r>
        <w:t>regulatory proposal.</w:t>
      </w:r>
      <w:r>
        <w:rPr>
          <w:rStyle w:val="FootnoteReference"/>
        </w:rPr>
        <w:footnoteReference w:id="660"/>
      </w:r>
    </w:p>
    <w:p w:rsidR="0084079E" w:rsidRDefault="0084079E">
      <w:r>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4079E" w:rsidRDefault="0084079E">
      <w:r>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primarily rely on the average of a sample of firms that are comparable to the benchmark efficient entity. In other words, we assume that the industry is, on average, efficient ant therefore use the industry average to guide our regulatory benchmark. </w:t>
      </w:r>
    </w:p>
    <w:p w:rsidR="0084079E" w:rsidRDefault="0085280E">
      <w:r>
        <w:t xml:space="preserve">We consider that the empirical evidence supports a gearing of 60 per cent. Average gearing levels from the 2009 WACC review are presented in </w:t>
      </w:r>
      <w:r w:rsidR="00F7227B">
        <w:fldChar w:fldCharType="begin"/>
      </w:r>
      <w:r w:rsidR="00F7227B">
        <w:instrText xml:space="preserve"> REF _Ref477350874 \h </w:instrText>
      </w:r>
      <w:r w:rsidR="00F7227B">
        <w:fldChar w:fldCharType="separate"/>
      </w:r>
      <w:r w:rsidR="002C24D6" w:rsidRPr="00E96F55">
        <w:t xml:space="preserve">Table </w:t>
      </w:r>
      <w:r w:rsidR="002C24D6">
        <w:rPr>
          <w:noProof/>
        </w:rPr>
        <w:t>3</w:t>
      </w:r>
      <w:r w:rsidR="002C24D6">
        <w:noBreakHyphen/>
      </w:r>
      <w:r w:rsidR="002C24D6">
        <w:rPr>
          <w:noProof/>
        </w:rPr>
        <w:t>17</w:t>
      </w:r>
      <w:r w:rsidR="00F7227B">
        <w:fldChar w:fldCharType="end"/>
      </w:r>
      <w:r>
        <w:t xml:space="preserv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 </w:t>
      </w:r>
    </w:p>
    <w:p w:rsidR="0085280E" w:rsidRPr="00E96F55" w:rsidRDefault="0085280E" w:rsidP="0085280E">
      <w:pPr>
        <w:pStyle w:val="Caption"/>
      </w:pPr>
      <w:bookmarkStart w:id="110" w:name="_Ref477350874"/>
      <w:bookmarkStart w:id="111" w:name="_Ref477350844"/>
      <w:r w:rsidRPr="00E96F55">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17</w:t>
      </w:r>
      <w:r w:rsidR="002C24D6">
        <w:rPr>
          <w:noProof/>
        </w:rPr>
        <w:fldChar w:fldCharType="end"/>
      </w:r>
      <w:bookmarkEnd w:id="110"/>
      <w:r w:rsidRPr="00E96F55">
        <w:tab/>
        <w:t>Averaging gearing ratio—Comparator set of firms</w:t>
      </w:r>
      <w:bookmarkEnd w:id="111"/>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5280E" w:rsidRPr="00E94496" w:rsidTr="00DC42C4">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5280E" w:rsidRPr="0085280E" w:rsidRDefault="0085280E" w:rsidP="0085280E">
            <w:r w:rsidRPr="00E96F55">
              <w:t>Year</w:t>
            </w:r>
          </w:p>
        </w:tc>
        <w:tc>
          <w:tcPr>
            <w:tcW w:w="1812" w:type="dxa"/>
            <w:noWrap/>
          </w:tcPr>
          <w:p w:rsidR="0085280E" w:rsidRPr="0085280E" w:rsidRDefault="0085280E" w:rsidP="0085280E">
            <w:r w:rsidRPr="00E96F55">
              <w:t xml:space="preserve">2009 WACC review </w:t>
            </w:r>
          </w:p>
          <w:p w:rsidR="0085280E" w:rsidRPr="0085280E" w:rsidRDefault="0085280E" w:rsidP="0085280E">
            <w:r w:rsidRPr="00E96F55">
              <w:t>2002–2007</w:t>
            </w:r>
            <w:r w:rsidRPr="0085280E">
              <w:rPr>
                <w:rStyle w:val="AERsuperscript"/>
              </w:rPr>
              <w:t>a</w:t>
            </w:r>
            <w:r w:rsidRPr="0085280E">
              <w:t xml:space="preserve"> </w:t>
            </w:r>
          </w:p>
        </w:tc>
        <w:tc>
          <w:tcPr>
            <w:tcW w:w="1813" w:type="dxa"/>
            <w:noWrap/>
          </w:tcPr>
          <w:p w:rsidR="0085280E" w:rsidRPr="0085280E" w:rsidRDefault="0085280E" w:rsidP="0085280E">
            <w:r w:rsidRPr="00E96F55">
              <w:t>Bloomberg    (market value)</w:t>
            </w:r>
          </w:p>
          <w:p w:rsidR="0085280E" w:rsidRPr="0085280E" w:rsidRDefault="0085280E" w:rsidP="0085280E">
            <w:r w:rsidRPr="00E96F55">
              <w:t>2002–2012            (full sample)</w:t>
            </w:r>
            <w:r w:rsidRPr="0085280E">
              <w:rPr>
                <w:rStyle w:val="AERsuperscript"/>
              </w:rPr>
              <w:t>b</w:t>
            </w:r>
          </w:p>
        </w:tc>
        <w:tc>
          <w:tcPr>
            <w:tcW w:w="1812" w:type="dxa"/>
          </w:tcPr>
          <w:p w:rsidR="0085280E" w:rsidRPr="0085280E" w:rsidRDefault="0085280E" w:rsidP="0085280E">
            <w:r w:rsidRPr="00E96F55">
              <w:t>Bloomberg    (market value)</w:t>
            </w:r>
          </w:p>
          <w:p w:rsidR="0085280E" w:rsidRPr="0085280E" w:rsidRDefault="0085280E" w:rsidP="0085280E">
            <w:r w:rsidRPr="00E96F55">
              <w:t>2002–2012     (refined sample)</w:t>
            </w:r>
            <w:r w:rsidRPr="0085280E">
              <w:rPr>
                <w:rStyle w:val="AERsuperscript"/>
              </w:rPr>
              <w:t>c</w:t>
            </w:r>
          </w:p>
        </w:tc>
        <w:tc>
          <w:tcPr>
            <w:tcW w:w="1813" w:type="dxa"/>
          </w:tcPr>
          <w:p w:rsidR="0085280E" w:rsidRPr="0085280E" w:rsidRDefault="0085280E" w:rsidP="0085280E">
            <w:r w:rsidRPr="00E96F55">
              <w:t>Standard and Poor's (book value)</w:t>
            </w:r>
          </w:p>
          <w:p w:rsidR="0085280E" w:rsidRPr="0085280E" w:rsidRDefault="0085280E" w:rsidP="0085280E">
            <w:r w:rsidRPr="00E96F55">
              <w:t>2008–2012</w:t>
            </w:r>
            <w:r w:rsidRPr="0085280E">
              <w:rPr>
                <w:rStyle w:val="AERsuperscript"/>
              </w:rPr>
              <w:t>d</w:t>
            </w:r>
          </w:p>
        </w:tc>
      </w:tr>
      <w:tr w:rsidR="0085280E" w:rsidRPr="00E94496" w:rsidTr="00DC42C4">
        <w:trPr>
          <w:trHeight w:val="255"/>
        </w:trPr>
        <w:tc>
          <w:tcPr>
            <w:tcW w:w="1812" w:type="dxa"/>
            <w:noWrap/>
          </w:tcPr>
          <w:p w:rsidR="0085280E" w:rsidRPr="0085280E" w:rsidRDefault="0085280E" w:rsidP="0085280E">
            <w:r w:rsidRPr="00E96F55">
              <w:t>2002</w:t>
            </w:r>
          </w:p>
        </w:tc>
        <w:tc>
          <w:tcPr>
            <w:tcW w:w="1812" w:type="dxa"/>
            <w:noWrap/>
          </w:tcPr>
          <w:p w:rsidR="0085280E" w:rsidRPr="0085280E" w:rsidRDefault="0085280E" w:rsidP="0085280E">
            <w:r w:rsidRPr="00E96F55">
              <w:t>65.1</w:t>
            </w:r>
          </w:p>
        </w:tc>
        <w:tc>
          <w:tcPr>
            <w:tcW w:w="1813" w:type="dxa"/>
            <w:noWrap/>
          </w:tcPr>
          <w:p w:rsidR="0085280E" w:rsidRPr="0085280E" w:rsidRDefault="0085280E" w:rsidP="0085280E">
            <w:r w:rsidRPr="00E96F55">
              <w:t>54.5</w:t>
            </w:r>
          </w:p>
        </w:tc>
        <w:tc>
          <w:tcPr>
            <w:tcW w:w="1812" w:type="dxa"/>
          </w:tcPr>
          <w:p w:rsidR="0085280E" w:rsidRPr="0085280E" w:rsidRDefault="0085280E" w:rsidP="0085280E">
            <w:r w:rsidRPr="00E96F55">
              <w:t>65.8</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2003</w:t>
            </w:r>
          </w:p>
        </w:tc>
        <w:tc>
          <w:tcPr>
            <w:tcW w:w="1812" w:type="dxa"/>
            <w:noWrap/>
          </w:tcPr>
          <w:p w:rsidR="0085280E" w:rsidRPr="0085280E" w:rsidRDefault="0085280E" w:rsidP="0085280E">
            <w:r w:rsidRPr="00E96F55">
              <w:t>64.8</w:t>
            </w:r>
          </w:p>
        </w:tc>
        <w:tc>
          <w:tcPr>
            <w:tcW w:w="1813" w:type="dxa"/>
            <w:noWrap/>
          </w:tcPr>
          <w:p w:rsidR="0085280E" w:rsidRPr="0085280E" w:rsidRDefault="0085280E" w:rsidP="0085280E">
            <w:r w:rsidRPr="00E96F55">
              <w:t>51.8</w:t>
            </w:r>
          </w:p>
        </w:tc>
        <w:tc>
          <w:tcPr>
            <w:tcW w:w="1812" w:type="dxa"/>
          </w:tcPr>
          <w:p w:rsidR="0085280E" w:rsidRPr="0085280E" w:rsidRDefault="0085280E" w:rsidP="0085280E">
            <w:r w:rsidRPr="00E96F55">
              <w:t>60.5</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2004</w:t>
            </w:r>
          </w:p>
        </w:tc>
        <w:tc>
          <w:tcPr>
            <w:tcW w:w="1812" w:type="dxa"/>
            <w:noWrap/>
          </w:tcPr>
          <w:p w:rsidR="0085280E" w:rsidRPr="0085280E" w:rsidRDefault="0085280E" w:rsidP="0085280E">
            <w:r w:rsidRPr="00E96F55">
              <w:t>61.7</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55.1</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2005</w:t>
            </w:r>
          </w:p>
        </w:tc>
        <w:tc>
          <w:tcPr>
            <w:tcW w:w="1812" w:type="dxa"/>
            <w:noWrap/>
          </w:tcPr>
          <w:p w:rsidR="0085280E" w:rsidRPr="0085280E" w:rsidRDefault="0085280E" w:rsidP="0085280E">
            <w:r w:rsidRPr="00E96F55">
              <w:t>64.6</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62.6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2006</w:t>
            </w:r>
          </w:p>
        </w:tc>
        <w:tc>
          <w:tcPr>
            <w:tcW w:w="1812" w:type="dxa"/>
            <w:noWrap/>
          </w:tcPr>
          <w:p w:rsidR="0085280E" w:rsidRPr="0085280E" w:rsidRDefault="0085280E" w:rsidP="0085280E">
            <w:r w:rsidRPr="00E96F55">
              <w:t>63.0</w:t>
            </w:r>
          </w:p>
        </w:tc>
        <w:tc>
          <w:tcPr>
            <w:tcW w:w="1813" w:type="dxa"/>
            <w:noWrap/>
          </w:tcPr>
          <w:p w:rsidR="0085280E" w:rsidRPr="0085280E" w:rsidRDefault="0085280E" w:rsidP="0085280E">
            <w:r w:rsidRPr="00E96F55">
              <w:t>56.6</w:t>
            </w:r>
          </w:p>
        </w:tc>
        <w:tc>
          <w:tcPr>
            <w:tcW w:w="1812" w:type="dxa"/>
          </w:tcPr>
          <w:p w:rsidR="0085280E" w:rsidRPr="0085280E" w:rsidRDefault="0085280E" w:rsidP="0085280E">
            <w:r w:rsidRPr="00E96F55">
              <w:t>61.9</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2007</w:t>
            </w:r>
          </w:p>
        </w:tc>
        <w:tc>
          <w:tcPr>
            <w:tcW w:w="1812" w:type="dxa"/>
            <w:noWrap/>
          </w:tcPr>
          <w:p w:rsidR="0085280E" w:rsidRPr="0085280E" w:rsidRDefault="0085280E" w:rsidP="0085280E">
            <w:r w:rsidRPr="00E96F55">
              <w:t>60.5</w:t>
            </w:r>
          </w:p>
        </w:tc>
        <w:tc>
          <w:tcPr>
            <w:tcW w:w="1813" w:type="dxa"/>
            <w:noWrap/>
          </w:tcPr>
          <w:p w:rsidR="0085280E" w:rsidRPr="0085280E" w:rsidRDefault="0085280E" w:rsidP="0085280E">
            <w:r w:rsidRPr="00E96F55">
              <w:t>57.6</w:t>
            </w:r>
          </w:p>
        </w:tc>
        <w:tc>
          <w:tcPr>
            <w:tcW w:w="1812" w:type="dxa"/>
          </w:tcPr>
          <w:p w:rsidR="0085280E" w:rsidRPr="0085280E" w:rsidRDefault="0085280E" w:rsidP="0085280E">
            <w:r w:rsidRPr="00E96F55">
              <w:t>57.6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2008</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68.3</w:t>
            </w:r>
          </w:p>
        </w:tc>
        <w:tc>
          <w:tcPr>
            <w:tcW w:w="1812" w:type="dxa"/>
          </w:tcPr>
          <w:p w:rsidR="0085280E" w:rsidRPr="0085280E" w:rsidRDefault="0085280E" w:rsidP="0085280E">
            <w:r w:rsidRPr="00E96F55">
              <w:t>68.3</w:t>
            </w:r>
          </w:p>
        </w:tc>
        <w:tc>
          <w:tcPr>
            <w:tcW w:w="1813" w:type="dxa"/>
          </w:tcPr>
          <w:p w:rsidR="0085280E" w:rsidRPr="0085280E" w:rsidRDefault="0085280E" w:rsidP="0085280E">
            <w:r w:rsidRPr="00E96F55">
              <w:t>70</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2009</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68.8</w:t>
            </w:r>
          </w:p>
        </w:tc>
        <w:tc>
          <w:tcPr>
            <w:tcW w:w="1812" w:type="dxa"/>
          </w:tcPr>
          <w:p w:rsidR="0085280E" w:rsidRPr="0085280E" w:rsidRDefault="0085280E" w:rsidP="0085280E">
            <w:r w:rsidRPr="00E96F55">
              <w:t>68.8</w:t>
            </w:r>
          </w:p>
        </w:tc>
        <w:tc>
          <w:tcPr>
            <w:tcW w:w="1813" w:type="dxa"/>
          </w:tcPr>
          <w:p w:rsidR="0085280E" w:rsidRPr="0085280E" w:rsidRDefault="0085280E" w:rsidP="0085280E">
            <w:r w:rsidRPr="00E96F55">
              <w:t>69</w:t>
            </w:r>
          </w:p>
        </w:tc>
      </w:tr>
      <w:tr w:rsidR="0085280E" w:rsidRPr="00E94496" w:rsidTr="00DC42C4">
        <w:trPr>
          <w:trHeight w:val="255"/>
        </w:trPr>
        <w:tc>
          <w:tcPr>
            <w:tcW w:w="1812" w:type="dxa"/>
            <w:noWrap/>
          </w:tcPr>
          <w:p w:rsidR="0085280E" w:rsidRPr="0085280E" w:rsidRDefault="0085280E" w:rsidP="0085280E">
            <w:r w:rsidRPr="00E96F55">
              <w:t>2010</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65.5</w:t>
            </w:r>
          </w:p>
        </w:tc>
        <w:tc>
          <w:tcPr>
            <w:tcW w:w="1812" w:type="dxa"/>
          </w:tcPr>
          <w:p w:rsidR="0085280E" w:rsidRPr="0085280E" w:rsidRDefault="0085280E" w:rsidP="0085280E">
            <w:r w:rsidRPr="00E96F55">
              <w:t>65.5</w:t>
            </w:r>
          </w:p>
        </w:tc>
        <w:tc>
          <w:tcPr>
            <w:tcW w:w="1813" w:type="dxa"/>
          </w:tcPr>
          <w:p w:rsidR="0085280E" w:rsidRPr="0085280E" w:rsidRDefault="0085280E" w:rsidP="0085280E">
            <w:r w:rsidRPr="00E96F55">
              <w:t>66</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2011</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63.2</w:t>
            </w:r>
          </w:p>
        </w:tc>
        <w:tc>
          <w:tcPr>
            <w:tcW w:w="1812" w:type="dxa"/>
          </w:tcPr>
          <w:p w:rsidR="0085280E" w:rsidRPr="0085280E" w:rsidRDefault="0085280E" w:rsidP="0085280E">
            <w:r w:rsidRPr="00E96F55">
              <w:t>63.2</w:t>
            </w:r>
          </w:p>
        </w:tc>
        <w:tc>
          <w:tcPr>
            <w:tcW w:w="1813" w:type="dxa"/>
          </w:tcPr>
          <w:p w:rsidR="0085280E" w:rsidRPr="0085280E" w:rsidRDefault="0085280E" w:rsidP="0085280E">
            <w:r w:rsidRPr="00E96F55">
              <w:t>62</w:t>
            </w:r>
          </w:p>
        </w:tc>
      </w:tr>
      <w:tr w:rsidR="0085280E" w:rsidRPr="00E94496" w:rsidTr="00DC42C4">
        <w:trPr>
          <w:trHeight w:val="255"/>
        </w:trPr>
        <w:tc>
          <w:tcPr>
            <w:tcW w:w="1812" w:type="dxa"/>
            <w:noWrap/>
          </w:tcPr>
          <w:p w:rsidR="0085280E" w:rsidRPr="0085280E" w:rsidRDefault="0085280E" w:rsidP="0085280E">
            <w:r w:rsidRPr="00E96F55">
              <w:t>2012</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60.6</w:t>
            </w:r>
          </w:p>
        </w:tc>
        <w:tc>
          <w:tcPr>
            <w:tcW w:w="1812" w:type="dxa"/>
          </w:tcPr>
          <w:p w:rsidR="0085280E" w:rsidRPr="0085280E" w:rsidRDefault="0085280E" w:rsidP="0085280E">
            <w:r w:rsidRPr="00E96F55">
              <w:t>60.6</w:t>
            </w:r>
          </w:p>
        </w:tc>
        <w:tc>
          <w:tcPr>
            <w:tcW w:w="1813" w:type="dxa"/>
          </w:tcPr>
          <w:p w:rsidR="0085280E" w:rsidRPr="0085280E" w:rsidRDefault="0085280E" w:rsidP="0085280E">
            <w:r w:rsidRPr="00E96F55">
              <w:t>65</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Average</w:t>
            </w:r>
          </w:p>
        </w:tc>
        <w:tc>
          <w:tcPr>
            <w:tcW w:w="1812" w:type="dxa"/>
            <w:noWrap/>
          </w:tcPr>
          <w:p w:rsidR="0085280E" w:rsidRPr="0085280E" w:rsidRDefault="0085280E" w:rsidP="0085280E">
            <w:r w:rsidRPr="00E96F55">
              <w:t>63.3</w:t>
            </w:r>
          </w:p>
        </w:tc>
        <w:tc>
          <w:tcPr>
            <w:tcW w:w="1813" w:type="dxa"/>
            <w:noWrap/>
          </w:tcPr>
          <w:p w:rsidR="0085280E" w:rsidRPr="0085280E" w:rsidRDefault="0085280E" w:rsidP="0085280E">
            <w:r w:rsidRPr="00E96F55">
              <w:t>59.0</w:t>
            </w:r>
          </w:p>
        </w:tc>
        <w:tc>
          <w:tcPr>
            <w:tcW w:w="1812" w:type="dxa"/>
          </w:tcPr>
          <w:p w:rsidR="0085280E" w:rsidRPr="0085280E" w:rsidRDefault="0085280E" w:rsidP="0085280E">
            <w:r w:rsidRPr="00E96F55">
              <w:t>63.1</w:t>
            </w:r>
          </w:p>
        </w:tc>
        <w:tc>
          <w:tcPr>
            <w:tcW w:w="1813" w:type="dxa"/>
          </w:tcPr>
          <w:p w:rsidR="0085280E" w:rsidRPr="0085280E" w:rsidRDefault="0085280E" w:rsidP="0085280E">
            <w:r w:rsidRPr="00E96F55">
              <w:t>66</w:t>
            </w:r>
          </w:p>
        </w:tc>
      </w:tr>
    </w:tbl>
    <w:p w:rsidR="0085280E" w:rsidRPr="00E96F55" w:rsidRDefault="0085280E" w:rsidP="0085280E">
      <w:pPr>
        <w:pStyle w:val="AERtablesource"/>
      </w:pPr>
      <w:r w:rsidRPr="00E96F55">
        <w:t xml:space="preserve">Source: </w:t>
      </w:r>
      <w:r w:rsidRPr="00E96F55">
        <w:tab/>
        <w:t>AER analysis.</w:t>
      </w:r>
    </w:p>
    <w:p w:rsidR="0085280E" w:rsidRPr="00E96F55" w:rsidRDefault="0085280E" w:rsidP="0085280E">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85280E" w:rsidRPr="00E96F55" w:rsidRDefault="0085280E" w:rsidP="0085280E">
      <w:pPr>
        <w:pStyle w:val="AERtablesource"/>
      </w:pPr>
      <w:r w:rsidRPr="00E96F55">
        <w:tab/>
        <w:t>(b) Analysis including full sample of businesses.</w:t>
      </w:r>
    </w:p>
    <w:p w:rsidR="0085280E" w:rsidRPr="00E96F55" w:rsidRDefault="0085280E" w:rsidP="0085280E">
      <w:pPr>
        <w:pStyle w:val="AERtablesource"/>
      </w:pPr>
      <w:r w:rsidRPr="00E96F55">
        <w:tab/>
        <w:t>(c) AGL, Alinta and GasNet excluded from the analysis.</w:t>
      </w:r>
    </w:p>
    <w:p w:rsidR="00664172" w:rsidRDefault="00664172" w:rsidP="00A164C0">
      <w:pPr>
        <w:pStyle w:val="AERtablesource"/>
        <w:ind w:left="0" w:firstLine="0"/>
      </w:pPr>
      <w:r>
        <w:tab/>
      </w:r>
      <w:r w:rsidR="0085280E" w:rsidRPr="00E96F55">
        <w:t xml:space="preserve">(d) ERA, </w:t>
      </w:r>
      <w:r w:rsidR="0085280E" w:rsidRPr="00E96F55">
        <w:rPr>
          <w:rStyle w:val="AERtextitalic"/>
        </w:rPr>
        <w:t>Explanatory statement for the draft rate of return guidelines</w:t>
      </w:r>
      <w:r w:rsidR="0085280E" w:rsidRPr="00E96F55">
        <w:t>, 6 August 2013, p. 49.</w:t>
      </w:r>
    </w:p>
    <w:p w:rsidR="00F7227B" w:rsidRDefault="00F7227B" w:rsidP="00A164C0">
      <w:r>
        <w:t>The benchmark gearing ratio is used:</w:t>
      </w:r>
    </w:p>
    <w:p w:rsidR="00F7227B" w:rsidRDefault="00F7227B" w:rsidP="00F7227B">
      <w:pPr>
        <w:pStyle w:val="AERbulletlistfirststyle"/>
      </w:pPr>
      <w:r>
        <w:t>to weight the expected required return on debt and equity to derive a WACC</w:t>
      </w:r>
    </w:p>
    <w:p w:rsidR="00F7227B" w:rsidRDefault="00F7227B" w:rsidP="00F7227B">
      <w:pPr>
        <w:pStyle w:val="AERbulletlistfirststyle"/>
      </w:pPr>
      <w:r>
        <w:t xml:space="preserve">to re-lever the asset betas for the purposes of comparing the levels of systematic risk across business, and </w:t>
      </w:r>
    </w:p>
    <w:p w:rsidR="00762CF4" w:rsidRDefault="00F7227B" w:rsidP="005A6140">
      <w:pPr>
        <w:pStyle w:val="AERbulletlistfirststyle"/>
      </w:pPr>
      <w:r>
        <w:t>as a factor in estimating the benchmark credit rating.</w:t>
      </w:r>
      <w:r>
        <w:rPr>
          <w:rStyle w:val="FootnoteReference"/>
        </w:rPr>
        <w:footnoteReference w:id="661"/>
      </w:r>
    </w:p>
    <w:p w:rsidR="00762CF4" w:rsidRDefault="00762CF4" w:rsidP="00762CF4">
      <w:pPr>
        <w:pStyle w:val="Heading3"/>
      </w:pPr>
      <w:bookmarkStart w:id="112" w:name="_Ref478569536"/>
      <w:bookmarkStart w:id="113" w:name="_Ref478996842"/>
      <w:bookmarkStart w:id="114" w:name="_Ref482256986"/>
      <w:bookmarkStart w:id="115" w:name="_Toc487037141"/>
      <w:r>
        <w:t>Expected inflation</w:t>
      </w:r>
      <w:bookmarkEnd w:id="112"/>
      <w:bookmarkEnd w:id="113"/>
      <w:r>
        <w:t xml:space="preserve"> rate</w:t>
      </w:r>
      <w:bookmarkEnd w:id="114"/>
      <w:bookmarkEnd w:id="115"/>
    </w:p>
    <w:p w:rsidR="00985825" w:rsidRDefault="00985825" w:rsidP="00985825">
      <w:r>
        <w:t>Our estimate of expected inflation is 2.45 per cent. It is an estimate of the average annual rate of inflation expected over a ten year period.  We estimate expected inflation over this 10-year term to align with the term of the rate of return.</w:t>
      </w:r>
    </w:p>
    <w:p w:rsidR="00985825" w:rsidRDefault="00985825" w:rsidP="00985825">
      <w:r>
        <w:t>Our estimate of expected inflation is estimated as the geometric average of 10 annual expected inflation rates. We use the RBA's forecasts of inflation for the first two years of APTPPL's 2017–22 regulatory period as the first two annual rates.</w:t>
      </w:r>
      <w:r w:rsidR="00E71256" w:rsidRPr="00E71256">
        <w:t xml:space="preserve"> </w:t>
      </w:r>
      <w:r w:rsidR="00E71256">
        <w:rPr>
          <w:rStyle w:val="FootnoteReference"/>
        </w:rPr>
        <w:footnoteReference w:id="662"/>
      </w:r>
      <w:r>
        <w:t xml:space="preserve"> We then use the mid-point of the RBA's inflation target band as the remaining eight annual rates. </w:t>
      </w:r>
    </w:p>
    <w:p w:rsidR="00985825" w:rsidRDefault="00985825" w:rsidP="00985825">
      <w:r>
        <w:t xml:space="preserve">Similarly, APTPPL proposed estimating expected inflation using an approach of combining short-term RBA forecasts with the mid-point of the RBA's target band. We accepted this aspect of APTPPL's proposal. </w:t>
      </w:r>
    </w:p>
    <w:p w:rsidR="00985825" w:rsidRDefault="00985825" w:rsidP="00985825">
      <w:r>
        <w:t>However, APTPPL's proposed revenue model included two separate and inconsistent estimates of expected inflation. One estimate appeared to be derived using the same RBA forecasts and target band approach as we have used in this decision. The second estimate involved separate inflation rates for each year of the regulatory period, with the rate being the RBA forecast for that year or, if no forecast is available, the mid-point of the RBA's target band.</w:t>
      </w:r>
      <w:r w:rsidRPr="00F46321">
        <w:t xml:space="preserve"> </w:t>
      </w:r>
      <w:r>
        <w:t xml:space="preserve">We do not accept this aspect of APTPPL's proposal for separate inflation rates for each regulatory year. We calculate a single value reflecting the average annual inflation rate expected over a ten year investment horizon. </w:t>
      </w:r>
    </w:p>
    <w:p w:rsidR="00985825" w:rsidRDefault="00985825" w:rsidP="00985825">
      <w:r>
        <w:t>Other service providers in concurrent and recently concluded regulatory processes proposed estimating expected inflation using the bond break-even approach. Under this approach, the</w:t>
      </w:r>
      <w:r w:rsidRPr="00DA5245">
        <w:t xml:space="preserve"> inflation rate is implied by the difference between the yields-to-maturity on 10-year nominal Commonwealth Government Securities (CGS</w:t>
      </w:r>
      <w:r>
        <w:t>, also referred to as Australian Government Securities or AGS</w:t>
      </w:r>
      <w:r w:rsidRPr="00DA5245">
        <w:t xml:space="preserve">) and 10-year indexed </w:t>
      </w:r>
      <w:r>
        <w:t xml:space="preserve">(inflation-linked) </w:t>
      </w:r>
      <w:r w:rsidRPr="00DA5245">
        <w:t>CGS.</w:t>
      </w:r>
      <w:r>
        <w:t xml:space="preserve"> The bond break-even approach results in an inflation estimate of 1.93 per cent.</w:t>
      </w:r>
      <w:r>
        <w:rPr>
          <w:rStyle w:val="FootnoteReference"/>
        </w:rPr>
        <w:footnoteReference w:id="663"/>
      </w:r>
    </w:p>
    <w:p w:rsidR="00985825" w:rsidRDefault="00985825" w:rsidP="00985825">
      <w:r>
        <w:t>We consider that, based on the information before us in this determination process, that the RBA forecasts and target band approach is likely to result in the best estimate of expected inflation possible in the circumstances. We consider that the evidence currently available to us supports the view that long-term inflation expectations are relatively stable over time, relatively invariant to short-term inflation shocks, and anchored to the RBA's target band. This evidence supports the use of the RBA forecast and target band approach. We consider that estimates of expected inflation from the bond break-even approach are likely to be subject to various biases and risk premia that may distort break-even inflation estimates away from the true value of expected inflation. Our reasons for this decision are set out more fully in the below section titled 'Consideration of different methods for estimating expected inflation'.</w:t>
      </w:r>
    </w:p>
    <w:p w:rsidR="00985825" w:rsidRDefault="00985825" w:rsidP="00985825">
      <w:r>
        <w:t xml:space="preserve">Our estimated rate of (expected) inflation is 2.45 per cent. The methods for calculating the impact of this inflation rate on regulated revenues and asset values are contained in our post-tax revenue model and our asset base roll-forward model. We consider that, based on the information before us in this determination process, for calculating the impact of our inflation rate on regulated revenues and asset values, the use of these methods will best achieve the National Gas Objective. </w:t>
      </w:r>
    </w:p>
    <w:p w:rsidR="00985825" w:rsidRDefault="00985825" w:rsidP="00985825">
      <w:r>
        <w:t>APTPPL proposed alternate methods for calculating the impact of the inflation rate on regulated revenues and asset values. APTPPL also proposed that the estimate of expected inflation be updated annually. APTPPL's proposed revenue model included the following variations from our published post-tax revenue model:</w:t>
      </w:r>
    </w:p>
    <w:p w:rsidR="00985825" w:rsidRDefault="00985825" w:rsidP="00985825">
      <w:pPr>
        <w:pStyle w:val="AERbulletlistfirststyle"/>
      </w:pPr>
      <w:r>
        <w:t>A second inflation series is added (in row 431 of the PTRM inputs page) in addition to the original expected inflation parameter that is also retained.</w:t>
      </w:r>
    </w:p>
    <w:p w:rsidR="00985825" w:rsidRDefault="00985825" w:rsidP="00985825">
      <w:pPr>
        <w:pStyle w:val="AERbulletlistfirststyle"/>
      </w:pPr>
      <w:r>
        <w:t>The new inflation series is an annually-varying series, with separate rates identified for each year. This contrasts with the original expected inflation parameter which was a single annual figure applied across the whole access arrangement period.</w:t>
      </w:r>
    </w:p>
    <w:p w:rsidR="00985825" w:rsidRDefault="00985825" w:rsidP="00985825">
      <w:pPr>
        <w:pStyle w:val="AERbulletlistfirststyle"/>
      </w:pPr>
      <w:r>
        <w:t>APTPPL proposes that the new inflation series is initially forecast and then updated with new forecasts annually.</w:t>
      </w:r>
    </w:p>
    <w:p w:rsidR="00985825" w:rsidRDefault="00985825" w:rsidP="00985825">
      <w:pPr>
        <w:pStyle w:val="AERbulletlistfirststyle"/>
      </w:pPr>
      <w:r>
        <w:t>APTPPL proposes that the new inflation series is initially forecast, but then annually updated to reflect actual inflation outcomes as they become known.</w:t>
      </w:r>
    </w:p>
    <w:p w:rsidR="00985825" w:rsidRDefault="00985825" w:rsidP="00985825">
      <w:r>
        <w:t>We do not accept APTPPL's modifications to our post-tax revenue model for the following reasons:</w:t>
      </w:r>
    </w:p>
    <w:p w:rsidR="00985825" w:rsidRDefault="00985825" w:rsidP="00985825">
      <w:pPr>
        <w:pStyle w:val="AERbulletlistfirststyle"/>
      </w:pPr>
      <w:r>
        <w:t>APTPPL's proposed revenue model includes two separate and inconsistent estimates of expected inflation. We do not consider that this approach reflects the best forecast or estimate available in the circumstances.</w:t>
      </w:r>
    </w:p>
    <w:p w:rsidR="00985825" w:rsidRPr="00772FFB" w:rsidRDefault="00985825" w:rsidP="00985825">
      <w:pPr>
        <w:pStyle w:val="AERbulletlistfirststyle"/>
      </w:pPr>
      <w:r>
        <w:t>The end result of APTPPL's proposed amendments to our post-tax revenue model appears to be that</w:t>
      </w:r>
      <w:r w:rsidRPr="00772FFB">
        <w:t xml:space="preserve"> the real value of the aggregate revenue determined in our access arrangement determination </w:t>
      </w:r>
      <w:r>
        <w:t xml:space="preserve">and annual tariff variations </w:t>
      </w:r>
      <w:r w:rsidRPr="00772FFB">
        <w:t>is not set but will vary as actual inflation outcomes vary. This may materially alter the risk profile of APTPPL</w:t>
      </w:r>
      <w:r>
        <w:t xml:space="preserve"> and allocation of risk between APTPPL and consumers</w:t>
      </w:r>
      <w:r w:rsidRPr="00772FFB">
        <w:t>, with consequences for determining a rate of return that is commensurate with these risks.</w:t>
      </w:r>
    </w:p>
    <w:p w:rsidR="00985825" w:rsidRDefault="00985825" w:rsidP="00985825">
      <w:r>
        <w:t xml:space="preserve">We also consider that alternative methods for modelling the impact of inflation on regulated revenues and asset values </w:t>
      </w:r>
      <w:r w:rsidRPr="00D2129B">
        <w:t xml:space="preserve">raise </w:t>
      </w:r>
      <w:r>
        <w:t xml:space="preserve">a number of matters that require robust testing. These matters may include </w:t>
      </w:r>
      <w:r w:rsidRPr="00D2129B">
        <w:t xml:space="preserve">the </w:t>
      </w:r>
      <w:r>
        <w:t>interaction between the proposed revenue model with the asset base roll-forward model and annual tariff variation mechanisms. They may also include considerations of risk-sharing between service providers and end users and interrelationships with the allowed rate of return</w:t>
      </w:r>
      <w:r w:rsidRPr="00D2129B">
        <w:t xml:space="preserve">. </w:t>
      </w:r>
      <w:r>
        <w:t xml:space="preserve">We do not consider that the implications of alternative methods have been sufficiently discussed in APTPPL's regulatory proposal. We consider the research, analysis and reasoning submitted to us should be subject to review through a comprehensive process. This will allow for the effective engagement with all stakeholders. </w:t>
      </w:r>
    </w:p>
    <w:p w:rsidR="00985825" w:rsidRDefault="00985825" w:rsidP="00985825">
      <w:r>
        <w:t xml:space="preserve">Our reasons are further detailed in section </w:t>
      </w:r>
      <w:r>
        <w:fldChar w:fldCharType="begin"/>
      </w:r>
      <w:r>
        <w:instrText xml:space="preserve"> REF _Ref482623911 \r \h </w:instrText>
      </w:r>
      <w:r>
        <w:fldChar w:fldCharType="separate"/>
      </w:r>
      <w:r w:rsidR="002C24D6">
        <w:t>M.6</w:t>
      </w:r>
      <w:r>
        <w:fldChar w:fldCharType="end"/>
      </w:r>
      <w:r>
        <w:t>.</w:t>
      </w:r>
    </w:p>
    <w:p w:rsidR="00985825" w:rsidRDefault="00985825" w:rsidP="00985825">
      <w:r>
        <w:t xml:space="preserve">It is important to note that we are currently conducting a broader industry-wide review of our method for estimating expected inflation and the treatment of inflation in our revenue models. That review is yet to be finalised and so findings from the review cannot therefore be included in this decision. </w:t>
      </w:r>
    </w:p>
    <w:p w:rsidR="00985825" w:rsidRDefault="00985825" w:rsidP="00985825">
      <w:r>
        <w:t>The discussion set out here is necessarily based on the information available to us at the time of making this determination. In the context of that wider industry review, we expect we will have additional submissions and more complete analyses available to us.</w:t>
      </w:r>
      <w:r w:rsidRPr="00457D81">
        <w:t xml:space="preserve"> </w:t>
      </w:r>
      <w:r>
        <w:t xml:space="preserve">Our conclusions set out here therefore do not indicate the result of the review we are currently undertaking.  </w:t>
      </w:r>
    </w:p>
    <w:p w:rsidR="00985825" w:rsidRDefault="00985825" w:rsidP="00985825">
      <w:r>
        <w:t>That said, for the purposes of this determination, on the basis of the information currently available to us, we consider the RBA forecasts and target band approach:</w:t>
      </w:r>
    </w:p>
    <w:p w:rsidR="00985825" w:rsidRDefault="00985825" w:rsidP="00985825">
      <w:pPr>
        <w:pStyle w:val="AERbulletlistfirststyle"/>
      </w:pPr>
      <w:r>
        <w:t xml:space="preserve">reflects our best estimate of expected inflation possible in the circumstances, </w:t>
      </w:r>
    </w:p>
    <w:p w:rsidR="00985825" w:rsidRDefault="00985825" w:rsidP="00985825">
      <w:pPr>
        <w:pStyle w:val="AERbulletlistfirststyle"/>
      </w:pPr>
      <w:r>
        <w:t>is a recognised method that arrives at estimates of expected inflation on a reasonable basis,</w:t>
      </w:r>
    </w:p>
    <w:p w:rsidR="00985825" w:rsidRDefault="00985825" w:rsidP="00985825">
      <w:pPr>
        <w:pStyle w:val="AERbulletlistfirststyle"/>
      </w:pPr>
      <w:r>
        <w:t>is consistent with the objective of a rate of return commensurate with the efficient financing costs of a benchmark efficient service provider,</w:t>
      </w:r>
      <w:r>
        <w:rPr>
          <w:rStyle w:val="FootnoteReference"/>
        </w:rPr>
        <w:footnoteReference w:id="664"/>
      </w:r>
    </w:p>
    <w:p w:rsidR="00985825" w:rsidRDefault="00985825" w:rsidP="00985825">
      <w:pPr>
        <w:pStyle w:val="AERbulletlistfirststyle"/>
      </w:pPr>
      <w:r>
        <w:t>contributes to the achievement of the National Gas Objective.</w:t>
      </w:r>
    </w:p>
    <w:p w:rsidR="00254472" w:rsidRDefault="00254472" w:rsidP="00254472">
      <w:pPr>
        <w:pStyle w:val="HeadingBoldBlue"/>
      </w:pPr>
      <w:bookmarkStart w:id="116" w:name="_Toc480460831"/>
      <w:r>
        <w:t>Review of inflation and the post-tax revenue model</w:t>
      </w:r>
      <w:bookmarkEnd w:id="116"/>
    </w:p>
    <w:p w:rsidR="00254472" w:rsidRDefault="00254472" w:rsidP="00254472">
      <w:r>
        <w:t>We have applied the RBA forecasts and target band approach in all of our regulatory determinations since 2008. This approach is also the method that is contained in the current version of the post-tax revenue model.</w:t>
      </w:r>
    </w:p>
    <w:p w:rsidR="00254472" w:rsidRDefault="00254472" w:rsidP="00254472">
      <w:r>
        <w:t>Since around mid-2015, some service providers have proposed departing from the RBA forecasts and target band approach contained in the post-tax revenue model and adopting the bond break-even approach.</w:t>
      </w:r>
      <w:r>
        <w:rPr>
          <w:rStyle w:val="FootnoteReference"/>
        </w:rPr>
        <w:footnoteReference w:id="665"/>
      </w:r>
      <w:r>
        <w:t xml:space="preserve"> This has not been universally proposed. A number of other stakeholders have submitted that we should retain the RBA forecasts and target band approach.</w:t>
      </w:r>
      <w:r>
        <w:rPr>
          <w:rStyle w:val="FootnoteReference"/>
        </w:rPr>
        <w:footnoteReference w:id="666"/>
      </w:r>
    </w:p>
    <w:p w:rsidR="00254472" w:rsidRDefault="00254472" w:rsidP="00254472">
      <w:r>
        <w:t xml:space="preserve">On 15 December 2016 we indicated our intention to review of our method for estimating expected inflation and the treatment of inflation in our revenue models. On 18 April 2017 we released a discussion paper to initiate our review. </w:t>
      </w:r>
    </w:p>
    <w:p w:rsidR="00254472" w:rsidRDefault="00254472" w:rsidP="00254472">
      <w:r>
        <w:t>We are required by the National Electricity Rules to apply the method for estimating expected inflation that is set out in our published post-tax revenue model in our electricity determinations.</w:t>
      </w:r>
      <w:r w:rsidRPr="0071191A">
        <w:rPr>
          <w:rStyle w:val="FootnoteReference"/>
        </w:rPr>
        <w:t xml:space="preserve"> </w:t>
      </w:r>
      <w:r w:rsidRPr="009465B9">
        <w:rPr>
          <w:rStyle w:val="FootnoteReference"/>
        </w:rPr>
        <w:footnoteReference w:id="667"/>
      </w:r>
      <w:r>
        <w:t xml:space="preserve"> We are also required to follow the transmission and distribution consultation procedures when reviewing and/or amending the post-tax revenue model.</w:t>
      </w:r>
    </w:p>
    <w:p w:rsidR="00254472" w:rsidRDefault="00254472" w:rsidP="00254472">
      <w:r>
        <w:t xml:space="preserve">Under the National Gas Rules, we are not required to apply (but are also not prohibited from applying) the post-tax revenue model or the method for estimating expected inflation set out in the post-tax revenue model. However, we recognise that inflation is a parameter that applies ubiquitously across the entire economy. Having regard to the Revenue and Pricing Principles, we consider there are benefits in a consistent approach to forecasting an estimate of an industry wide measure as it potentially affects investment decisions across the energy sector. This may be one factor to take into account in determining the best estimate in all the circumstances. </w:t>
      </w:r>
    </w:p>
    <w:p w:rsidR="00254472" w:rsidRDefault="00254472" w:rsidP="00254472">
      <w:r>
        <w:t>It is in this context that we have also initiated an industry-wide review of our method for estimating expected inflation and the treatment of inflation in our revenue models.</w:t>
      </w:r>
    </w:p>
    <w:p w:rsidR="00254472" w:rsidRDefault="00254472" w:rsidP="00254472">
      <w:r w:rsidRPr="005166BE">
        <w:t xml:space="preserve">The CCP </w:t>
      </w:r>
      <w:r>
        <w:t>supported initiating a review on estimating inflation, stating:</w:t>
      </w:r>
      <w:r>
        <w:rPr>
          <w:rStyle w:val="FootnoteReference"/>
        </w:rPr>
        <w:footnoteReference w:id="668"/>
      </w:r>
    </w:p>
    <w:p w:rsidR="00254472" w:rsidRDefault="00254472" w:rsidP="00254472">
      <w:pPr>
        <w:pStyle w:val="AERquote"/>
      </w:pPr>
      <w:r>
        <w:t>There has been little stakeholder consultation about changing from a methodology that has been in place for eight years, and changing methodologies at the request of a network when it is so significantly advantaged by the change that it looks like cherry-picking. In the interests of good administrative practice, our view is that more stakeholder consultation and a far wider analysis by the AER is required before any change in methodology.</w:t>
      </w:r>
    </w:p>
    <w:p w:rsidR="00254472" w:rsidRDefault="00254472" w:rsidP="00254472">
      <w:r>
        <w:t xml:space="preserve">AusNet Services electricity </w:t>
      </w:r>
      <w:r w:rsidR="00A65A7E">
        <w:t>transmission</w:t>
      </w:r>
      <w:r>
        <w:t>, AusNet Services gas distribution, AGN, and MultiNet all supported our industry-wide review of inflation.</w:t>
      </w:r>
      <w:r>
        <w:rPr>
          <w:rStyle w:val="FootnoteReference"/>
        </w:rPr>
        <w:footnoteReference w:id="669"/>
      </w:r>
      <w:r>
        <w:t xml:space="preserve"> CCP sub-panel 11, Uniting Communities, and Red Energy and Lumo also supported an industry-wide review of inflation.</w:t>
      </w:r>
      <w:r>
        <w:rPr>
          <w:rStyle w:val="FootnoteReference"/>
        </w:rPr>
        <w:footnoteReference w:id="670"/>
      </w:r>
    </w:p>
    <w:p w:rsidR="00254472" w:rsidRDefault="00254472" w:rsidP="00254472">
      <w:pPr>
        <w:pStyle w:val="HeadingBoldBlue"/>
      </w:pPr>
      <w:r>
        <w:t xml:space="preserve">Consideration of different methods for estimating expected inflation </w:t>
      </w:r>
    </w:p>
    <w:p w:rsidR="00254472" w:rsidRDefault="00254472" w:rsidP="00254472">
      <w:r>
        <w:t>Consistent with our industry-wide review of inflation and the universal application of our inflation estimate, we have taken a broad view to our assessment of approaches to estimating expected inflation. That is, our assessment is not restricted to the two methods currently proposed by stakeholders (the RBA forecasts and target band approach and the bond break-even approach). This ensures that we arrive at the best estimate of expected inflation. Consequently, we have also considered approaches based on zero-coupon inflation swaps and survey measures which are both well-recognised methods for estimating expected inflation.</w:t>
      </w:r>
      <w:r>
        <w:rPr>
          <w:rStyle w:val="FootnoteReference"/>
        </w:rPr>
        <w:footnoteReference w:id="671"/>
      </w:r>
    </w:p>
    <w:p w:rsidR="00254472" w:rsidRDefault="00254472" w:rsidP="00254472">
      <w:r w:rsidRPr="00830517">
        <w:t>As expectations are unobservable, direct comparison of the relative accuracy of the</w:t>
      </w:r>
      <w:r>
        <w:t>se four</w:t>
      </w:r>
      <w:r w:rsidRPr="00830517">
        <w:t xml:space="preserve"> </w:t>
      </w:r>
      <w:r>
        <w:t>approaches</w:t>
      </w:r>
      <w:r w:rsidRPr="00830517">
        <w:t xml:space="preserve"> is not possible. Comparison of estimates from the different </w:t>
      </w:r>
      <w:r>
        <w:t>approaches</w:t>
      </w:r>
      <w:r w:rsidRPr="00830517">
        <w:t xml:space="preserve"> against inflation out</w:t>
      </w:r>
      <w:r>
        <w:t>comes may provide some insight—</w:t>
      </w:r>
      <w:r w:rsidRPr="00830517">
        <w:t>though expectations and outcomes may not be equivalent</w:t>
      </w:r>
      <w:r>
        <w:t>, an approach that can accurately predict outcomes may inform future expectations</w:t>
      </w:r>
      <w:r w:rsidRPr="00830517">
        <w:t xml:space="preserve">. </w:t>
      </w:r>
    </w:p>
    <w:p w:rsidR="00254472" w:rsidRDefault="00254472" w:rsidP="00254472">
      <w:r>
        <w:t xml:space="preserve">Because direct comparison of accuracy is limited, we are left to examine academic studies of proxy measures and undertake qualitative consideration of the reliability, replicability, sensitivity, and susceptibility to bias of different estimation methods. </w:t>
      </w:r>
      <w:r w:rsidRPr="004D069F">
        <w:t>ACCC Working Paper #11</w:t>
      </w:r>
      <w:r>
        <w:t>, published on 18 April 2017</w:t>
      </w:r>
      <w:r w:rsidRPr="004D069F">
        <w:t>, comprehensively survey</w:t>
      </w:r>
      <w:r>
        <w:t>ed</w:t>
      </w:r>
      <w:r w:rsidRPr="004D069F">
        <w:t xml:space="preserve"> the available evidence on </w:t>
      </w:r>
      <w:r>
        <w:t xml:space="preserve">estimating inflation expectations and considered these issues. ACCC Working Paper #11 considered </w:t>
      </w:r>
      <w:r w:rsidRPr="004D069F">
        <w:t xml:space="preserve">the relative merits of </w:t>
      </w:r>
      <w:r>
        <w:t>estimating expected inflation via the RBA forecasts and target band approach, the bond break-even approach, zero-coupon inflation swaps, and surveys.</w:t>
      </w:r>
    </w:p>
    <w:p w:rsidR="00254472" w:rsidRDefault="00254472" w:rsidP="00254472">
      <w:r>
        <w:t>We consider the benefits and detriments of the different approaches in the information we have had access to in this determination process, and have ranked each approach as follows, noting that this is solely based on the information before us in this determination process. It will be subject to further and more comprehensive review with full stakeholder input in the upcoming PTRM review process.</w:t>
      </w:r>
    </w:p>
    <w:p w:rsidR="00254472" w:rsidRPr="00DA5245" w:rsidRDefault="00254472" w:rsidP="00254472">
      <w:pPr>
        <w:pStyle w:val="ListNumber"/>
      </w:pPr>
      <w:r>
        <w:t>RBA forecasts and target</w:t>
      </w:r>
      <w:r w:rsidRPr="00DA5245">
        <w:t xml:space="preserve"> </w:t>
      </w:r>
      <w:r>
        <w:t>band</w:t>
      </w:r>
    </w:p>
    <w:p w:rsidR="00254472" w:rsidRPr="00254472" w:rsidRDefault="00254472" w:rsidP="00936232">
      <w:pPr>
        <w:pStyle w:val="ListNumber"/>
        <w:numPr>
          <w:ilvl w:val="0"/>
          <w:numId w:val="0"/>
        </w:numPr>
        <w:ind w:left="340"/>
      </w:pPr>
      <w:r>
        <w:t>We consider</w:t>
      </w:r>
      <w:r w:rsidRPr="00254472">
        <w:t xml:space="preserve"> this approach the simplest to apply, most transparent and easily replicable. Estimates from this approach tend towards the mid-point of the RBA's inflation target band, and the available evidence suggests that long-term inflation expectations are anchored to the RBA target band, relatively stable over time, and do not respond to surprises in short-term inflation outcomes. While the RBA's inflation targeting is perceived to be effective, and inflation expectations are anchored to the target band, this estimation method is likely to be unbiased.</w:t>
      </w:r>
      <w:r w:rsidRPr="00254472">
        <w:rPr>
          <w:rStyle w:val="FootnoteReference"/>
        </w:rPr>
        <w:footnoteReference w:id="672"/>
      </w:r>
    </w:p>
    <w:p w:rsidR="00254472" w:rsidRPr="00254472" w:rsidRDefault="00254472" w:rsidP="00936232">
      <w:pPr>
        <w:pStyle w:val="ListNumber"/>
        <w:numPr>
          <w:ilvl w:val="0"/>
          <w:numId w:val="0"/>
        </w:numPr>
        <w:ind w:left="340"/>
      </w:pPr>
      <w:r>
        <w:t xml:space="preserve">CEG submitted that the RBA forecasts and target band approach is </w:t>
      </w:r>
      <w:r w:rsidRPr="00254472">
        <w:t>unrealistically stable, may implausibly result in a negative real risk free rate, and will be biased upwards when inflation expectations are not anchored to the RBA target band (as CEG submits is currently the case). We consider that expectations most likely remain anchored to the RBA target band, resulting in relatively stable inflation expectations. We disagree that negative real risk free rates are implausible or that they cast doubt on the reliability of our approach. Our response to these issues is detailed further in appendix</w:t>
      </w:r>
      <w:r w:rsidR="00936232">
        <w:t xml:space="preserve"> </w:t>
      </w:r>
      <w:r w:rsidR="00936232">
        <w:fldChar w:fldCharType="begin"/>
      </w:r>
      <w:r w:rsidR="00936232">
        <w:instrText xml:space="preserve"> REF _Ref486970073 \r \h </w:instrText>
      </w:r>
      <w:r w:rsidR="00936232">
        <w:fldChar w:fldCharType="separate"/>
      </w:r>
      <w:r w:rsidR="002C24D6">
        <w:t>M</w:t>
      </w:r>
      <w:r w:rsidR="00936232">
        <w:fldChar w:fldCharType="end"/>
      </w:r>
      <w:r w:rsidRPr="00254472">
        <w:t>.</w:t>
      </w:r>
    </w:p>
    <w:p w:rsidR="00254472" w:rsidRPr="00DA5245" w:rsidRDefault="00254472" w:rsidP="00254472">
      <w:pPr>
        <w:pStyle w:val="ListNumber"/>
      </w:pPr>
      <w:r>
        <w:t>Inflation swaps</w:t>
      </w:r>
    </w:p>
    <w:p w:rsidR="00254472" w:rsidRPr="00254472" w:rsidRDefault="00254472" w:rsidP="00936232">
      <w:pPr>
        <w:pStyle w:val="ListNumber"/>
        <w:numPr>
          <w:ilvl w:val="0"/>
          <w:numId w:val="0"/>
        </w:numPr>
        <w:ind w:left="340"/>
      </w:pPr>
      <w:r>
        <w:t>We consider</w:t>
      </w:r>
      <w:r w:rsidRPr="00254472">
        <w:t xml:space="preserve"> inflation swaps may be a suitable method that is based on transactional market data (rather than survey data, such as the RBA inflation target method). However, there are a number of potential biases and risk premia that may be embedded into the swap-implied inflation rate that need to be considered when using this method. There are studies of US and UK inflation swaps which find that potentially the largest biases may be small or insignificant. There is some uncertainty whether biases and risk premia such as hedging costs in Australian inflation swaps are insignificant. There are no known decomposition studies of Australian inflation swap prices which may resolve this uncertainty.</w:t>
      </w:r>
      <w:r w:rsidRPr="00254472">
        <w:rPr>
          <w:rStyle w:val="FootnoteReference"/>
        </w:rPr>
        <w:footnoteReference w:id="673"/>
      </w:r>
      <w:r w:rsidRPr="00254472">
        <w:t xml:space="preserve"> In the absence of addressing these issues, it may not be better than the RBA target band approach. More detail on the issues with estimating inflation-swap implied inflation rates is in the below section titled 'Consideration of inflation estimates implied from zero-coupon inflation swaps'.</w:t>
      </w:r>
    </w:p>
    <w:p w:rsidR="00254472" w:rsidRPr="00DA5245" w:rsidRDefault="00254472" w:rsidP="00254472">
      <w:pPr>
        <w:pStyle w:val="ListNumber"/>
      </w:pPr>
      <w:r>
        <w:t>Bond break-even</w:t>
      </w:r>
    </w:p>
    <w:p w:rsidR="00254472" w:rsidRPr="00254472" w:rsidRDefault="00254472" w:rsidP="00936232">
      <w:pPr>
        <w:pStyle w:val="ListNumber"/>
        <w:numPr>
          <w:ilvl w:val="0"/>
          <w:numId w:val="0"/>
        </w:numPr>
        <w:ind w:left="340"/>
      </w:pPr>
      <w:r>
        <w:t>We consider</w:t>
      </w:r>
      <w:r w:rsidRPr="00254472">
        <w:t xml:space="preserve"> bond break-even estimates contain a number of potential biases and risk premia that must be considered before using this method. There appear to be a greater number of potential biases and risk premia in bond break-even estimates than swap-implied estimates, and bond breakeven estimates are generally more volatile than swap-implied estimates. There is a lack of consensus on how to adjust for these risk premia.</w:t>
      </w:r>
      <w:r w:rsidRPr="00254472">
        <w:rPr>
          <w:rStyle w:val="FootnoteReference"/>
        </w:rPr>
        <w:footnoteReference w:id="674"/>
      </w:r>
      <w:r w:rsidRPr="00254472">
        <w:t xml:space="preserve"> Without addressing these issues, it may not be better than the RBA target band approach. More detail on the issues with estimating bond break-even inflation rates is in the belo</w:t>
      </w:r>
      <w:r w:rsidR="00A65A7E">
        <w:t>w</w:t>
      </w:r>
      <w:r w:rsidRPr="00254472">
        <w:t xml:space="preserve"> section titled 'Consideration of bond break-even inflation estimates'.</w:t>
      </w:r>
    </w:p>
    <w:p w:rsidR="00254472" w:rsidRPr="00DA5245" w:rsidRDefault="00254472" w:rsidP="00254472">
      <w:pPr>
        <w:pStyle w:val="ListNumber"/>
      </w:pPr>
      <w:r>
        <w:t>Surveys</w:t>
      </w:r>
    </w:p>
    <w:p w:rsidR="00254472" w:rsidRPr="00254472" w:rsidRDefault="00254472" w:rsidP="00936232">
      <w:pPr>
        <w:pStyle w:val="ListNumber"/>
        <w:numPr>
          <w:ilvl w:val="0"/>
          <w:numId w:val="0"/>
        </w:numPr>
        <w:ind w:left="340"/>
      </w:pPr>
      <w:r>
        <w:t>P</w:t>
      </w:r>
      <w:r w:rsidRPr="00254472">
        <w:t>ublicly available survey data is limited to 2-year forecasts. Further, long-term inflation expectations appear anchored to the RBA's target band, therefore as long as this anchoring remains, a simpler and transparent approach would be to simply use the RBA target band.</w:t>
      </w:r>
      <w:r w:rsidRPr="00254472">
        <w:rPr>
          <w:rStyle w:val="FootnoteReference"/>
        </w:rPr>
        <w:footnoteReference w:id="675"/>
      </w:r>
      <w:r w:rsidRPr="00254472">
        <w:t xml:space="preserve"> </w:t>
      </w:r>
    </w:p>
    <w:p w:rsidR="00254472" w:rsidRPr="00254472" w:rsidRDefault="00254472" w:rsidP="00936232">
      <w:pPr>
        <w:pStyle w:val="ListNumber"/>
        <w:numPr>
          <w:ilvl w:val="0"/>
          <w:numId w:val="0"/>
        </w:numPr>
        <w:ind w:left="340"/>
      </w:pPr>
      <w:r>
        <w:t xml:space="preserve">We also note that consideration of survey estimates at longer horizons </w:t>
      </w:r>
      <w:r w:rsidRPr="00254472">
        <w:t xml:space="preserve">may be possible in the future and may rank above other methods since there is strong evidence that surveys closely reflect inflation expectations. </w:t>
      </w:r>
    </w:p>
    <w:p w:rsidR="00254472" w:rsidRDefault="00254472" w:rsidP="00254472">
      <w:r>
        <w:t>M</w:t>
      </w:r>
      <w:r w:rsidRPr="00830517">
        <w:t>any studies of breakeven estimates use inflation swap rates or survey estimates as a benchmark to estimate the size of the liquidity premia in breakeven estimates.</w:t>
      </w:r>
      <w:r w:rsidRPr="00DA5245">
        <w:rPr>
          <w:rStyle w:val="FootnoteReference"/>
        </w:rPr>
        <w:footnoteReference w:id="676"/>
      </w:r>
      <w:r>
        <w:t xml:space="preserve"> This suggests that researchers hold an a-priori view that survey estimates and/or swap rates are a better estimate of market expected inflation than bond break-even estimates.</w:t>
      </w:r>
      <w:r>
        <w:rPr>
          <w:rStyle w:val="FootnoteReference"/>
        </w:rPr>
        <w:footnoteReference w:id="677"/>
      </w:r>
    </w:p>
    <w:p w:rsidR="00254472" w:rsidRDefault="00254472" w:rsidP="00254472">
      <w:r>
        <w:t xml:space="preserve">We also consider </w:t>
      </w:r>
      <w:r w:rsidRPr="00830517">
        <w:t>that the model</w:t>
      </w:r>
      <w:r>
        <w:t xml:space="preserve">ling and estimation required to </w:t>
      </w:r>
      <w:r w:rsidRPr="00830517">
        <w:t xml:space="preserve">adjust breakeven </w:t>
      </w:r>
      <w:r>
        <w:t xml:space="preserve">and swap-implied </w:t>
      </w:r>
      <w:r w:rsidRPr="00830517">
        <w:t>estimates for potential biases and risk premia may be complex, contentious, and difficult to scrutinise.</w:t>
      </w:r>
      <w:r>
        <w:rPr>
          <w:rStyle w:val="FootnoteReference"/>
        </w:rPr>
        <w:footnoteReference w:id="678"/>
      </w:r>
      <w:r>
        <w:t xml:space="preserve"> In that case, these methods may be subject to higher potential for bias (than the RBA inflation target method) in proposed model specifications.  In any case, it emphasises the importance of fuller industry wide consultation before changing an approach to what is an industry wide measure.  </w:t>
      </w:r>
    </w:p>
    <w:p w:rsidR="00254472" w:rsidRPr="00BB1096" w:rsidRDefault="00254472" w:rsidP="00254472">
      <w:pPr>
        <w:pStyle w:val="HeadingItalic"/>
      </w:pPr>
      <w:bookmarkStart w:id="117" w:name="_Ref478559903"/>
      <w:bookmarkStart w:id="118" w:name="_Toc480460832"/>
      <w:r w:rsidRPr="00BB1096">
        <w:t>Consideration of bond break-even inflation estimates</w:t>
      </w:r>
      <w:bookmarkEnd w:id="117"/>
      <w:bookmarkEnd w:id="118"/>
    </w:p>
    <w:p w:rsidR="00254472" w:rsidRPr="001F3188" w:rsidRDefault="00254472" w:rsidP="00254472">
      <w:r>
        <w:t>The bond break-even inflation rate is calculated from</w:t>
      </w:r>
      <w:r w:rsidRPr="001F3188">
        <w:t xml:space="preserve"> the Fisher </w:t>
      </w:r>
      <w:r>
        <w:t>e</w:t>
      </w:r>
      <w:r w:rsidRPr="001F3188">
        <w:t>quation</w:t>
      </w:r>
      <w:r>
        <w:t>. The Fisher equation</w:t>
      </w:r>
      <w:r w:rsidRPr="001F3188">
        <w:t xml:space="preserve"> </w:t>
      </w:r>
      <w:r>
        <w:t>provides that:</w:t>
      </w:r>
    </w:p>
    <w:p w:rsidR="00254472" w:rsidRPr="001F3188" w:rsidRDefault="002C24D6" w:rsidP="00254472">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e>
        </m:d>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e>
        </m:d>
        <m:d>
          <m:dPr>
            <m:ctrlPr>
              <w:rPr>
                <w:rFonts w:ascii="Cambria Math" w:hAnsi="Cambria Math"/>
              </w:rPr>
            </m:ctrlPr>
          </m:dPr>
          <m:e>
            <m:r>
              <w:rPr>
                <w:rFonts w:ascii="Cambria Math" w:hAnsi="Cambria Math"/>
              </w:rPr>
              <m:t>1+expected inflation</m:t>
            </m:r>
          </m:e>
        </m:d>
        <m:r>
          <w:rPr>
            <w:rFonts w:ascii="Cambria Math" w:hAnsi="Cambria Math"/>
          </w:rPr>
          <m:t>-1</m:t>
        </m:r>
      </m:oMath>
      <w:r w:rsidR="00254472">
        <w:t xml:space="preserve"> </w:t>
      </w:r>
      <w:r w:rsidR="00254472">
        <w:tab/>
      </w:r>
    </w:p>
    <w:p w:rsidR="00254472" w:rsidRDefault="00254472" w:rsidP="00254472">
      <w:r>
        <w:t>Therefore:</w:t>
      </w:r>
    </w:p>
    <w:p w:rsidR="00254472" w:rsidRDefault="00254472" w:rsidP="00254472">
      <m:oMath>
        <m:r>
          <w:rPr>
            <w:rFonts w:ascii="Cambria Math" w:hAnsi="Cambria Math"/>
          </w:rPr>
          <m:t>expected inflation=</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num>
          <m:den>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den>
        </m:f>
        <m:r>
          <w:rPr>
            <w:rFonts w:ascii="Cambria Math" w:hAnsi="Cambria Math"/>
          </w:rPr>
          <m:t>-1</m:t>
        </m:r>
      </m:oMath>
      <w:r w:rsidRPr="001F3188">
        <w:t xml:space="preserve">  </w:t>
      </w:r>
    </w:p>
    <w:p w:rsidR="00254472" w:rsidRPr="00272C0C" w:rsidRDefault="00254472" w:rsidP="00254472">
      <w:r>
        <w:t>The yield to maturity (as a proxy for the interest rate) on the risk free asset (nominal and indexed CGS) is typically used to calculate break</w:t>
      </w:r>
      <w:r w:rsidRPr="00272C0C">
        <w:t xml:space="preserve">even inflation rates via the Fisher equation. </w:t>
      </w:r>
    </w:p>
    <w:p w:rsidR="002C24D6" w:rsidRPr="00254472" w:rsidRDefault="00254472" w:rsidP="00254472">
      <w:r>
        <w:t xml:space="preserve">The </w:t>
      </w:r>
      <w:r w:rsidRPr="00171594">
        <w:t>Fisher equation may not hold true</w:t>
      </w:r>
      <w:r>
        <w:t xml:space="preserve"> (or may need to be adjusted)</w:t>
      </w:r>
      <w:r w:rsidRPr="00171594">
        <w:t xml:space="preserve"> if there are risk premia, biases, or other distortions affecting the difference between nominal and real interest rates. </w:t>
      </w:r>
      <w:r>
        <w:t xml:space="preserve">The ACCC working paper #11 identified a number of potential biases, risk premia, and other issues that may affect bond breakeven inflation rates. These issues are outlined in </w:t>
      </w:r>
      <w:r>
        <w:fldChar w:fldCharType="begin"/>
      </w:r>
      <w:r>
        <w:instrText xml:space="preserve"> REF _Ref474182633 \h </w:instrText>
      </w:r>
      <w:r>
        <w:fldChar w:fldCharType="separate"/>
      </w:r>
      <w:r w:rsidR="002C24D6">
        <w:br w:type="page"/>
      </w:r>
    </w:p>
    <w:p w:rsidR="00254472" w:rsidRDefault="002C24D6" w:rsidP="00254472">
      <w:r>
        <w:t xml:space="preserve">Table </w:t>
      </w:r>
      <w:r>
        <w:rPr>
          <w:noProof/>
        </w:rPr>
        <w:t>3</w:t>
      </w:r>
      <w:r>
        <w:noBreakHyphen/>
      </w:r>
      <w:r>
        <w:rPr>
          <w:noProof/>
        </w:rPr>
        <w:t>18</w:t>
      </w:r>
      <w:r w:rsidR="00254472">
        <w:fldChar w:fldCharType="end"/>
      </w:r>
      <w:r w:rsidR="00254472">
        <w:t>.</w:t>
      </w:r>
    </w:p>
    <w:p w:rsidR="00254472" w:rsidRPr="00254472" w:rsidRDefault="00254472" w:rsidP="00254472">
      <w:bookmarkStart w:id="119" w:name="_Ref474182633"/>
      <w:r>
        <w:br w:type="page"/>
      </w:r>
    </w:p>
    <w:p w:rsidR="00254472" w:rsidRPr="00C92826" w:rsidRDefault="00254472" w:rsidP="00254472">
      <w:pPr>
        <w:pStyle w:val="Caption"/>
      </w:pPr>
      <w:r>
        <w:t xml:space="preserve">Table </w:t>
      </w:r>
      <w:r w:rsidRPr="00254472">
        <w:fldChar w:fldCharType="begin"/>
      </w:r>
      <w:r>
        <w:instrText xml:space="preserve"> STYLEREF 1 \s </w:instrText>
      </w:r>
      <w:r w:rsidRPr="00254472">
        <w:fldChar w:fldCharType="separate"/>
      </w:r>
      <w:r w:rsidR="002C24D6">
        <w:rPr>
          <w:noProof/>
        </w:rPr>
        <w:t>3</w:t>
      </w:r>
      <w:r w:rsidRPr="00254472">
        <w:fldChar w:fldCharType="end"/>
      </w:r>
      <w:r>
        <w:noBreakHyphen/>
      </w:r>
      <w:r w:rsidRPr="00254472">
        <w:fldChar w:fldCharType="begin"/>
      </w:r>
      <w:r>
        <w:instrText xml:space="preserve"> SEQ Table \* ARABIC \s 1 </w:instrText>
      </w:r>
      <w:r w:rsidRPr="00254472">
        <w:fldChar w:fldCharType="separate"/>
      </w:r>
      <w:r w:rsidR="002C24D6">
        <w:rPr>
          <w:noProof/>
        </w:rPr>
        <w:t>18</w:t>
      </w:r>
      <w:r w:rsidRPr="00254472">
        <w:fldChar w:fldCharType="end"/>
      </w:r>
      <w:bookmarkEnd w:id="119"/>
      <w:r>
        <w:t xml:space="preserve"> Issues with bond breakeven estimates</w:t>
      </w:r>
    </w:p>
    <w:tbl>
      <w:tblPr>
        <w:tblStyle w:val="AERTable-Text"/>
        <w:tblW w:w="5000" w:type="pct"/>
        <w:tblLook w:val="04A0" w:firstRow="1" w:lastRow="0" w:firstColumn="1" w:lastColumn="0" w:noHBand="0" w:noVBand="1"/>
      </w:tblPr>
      <w:tblGrid>
        <w:gridCol w:w="1115"/>
        <w:gridCol w:w="7578"/>
      </w:tblGrid>
      <w:tr w:rsidR="00254472" w:rsidRPr="0036067E" w:rsidTr="002F4EEF">
        <w:trPr>
          <w:cnfStyle w:val="100000000000" w:firstRow="1" w:lastRow="0" w:firstColumn="0" w:lastColumn="0" w:oddVBand="0" w:evenVBand="0" w:oddHBand="0" w:evenHBand="0" w:firstRowFirstColumn="0" w:firstRowLastColumn="0" w:lastRowFirstColumn="0" w:lastRowLastColumn="0"/>
          <w:trHeight w:val="365"/>
          <w:tblHeader/>
        </w:trPr>
        <w:tc>
          <w:tcPr>
            <w:tcW w:w="443" w:type="pct"/>
          </w:tcPr>
          <w:p w:rsidR="00254472" w:rsidRPr="00254472" w:rsidRDefault="00254472" w:rsidP="00254472">
            <w:pPr>
              <w:pStyle w:val="Tabletext"/>
            </w:pPr>
            <w:r>
              <w:t>Issue</w:t>
            </w:r>
          </w:p>
        </w:tc>
        <w:tc>
          <w:tcPr>
            <w:tcW w:w="4557" w:type="pct"/>
          </w:tcPr>
          <w:p w:rsidR="00254472" w:rsidRPr="00254472" w:rsidRDefault="00254472" w:rsidP="00254472">
            <w:pPr>
              <w:pStyle w:val="Tabletext"/>
            </w:pPr>
            <w:r>
              <w:t xml:space="preserve">Explanation </w:t>
            </w:r>
          </w:p>
        </w:tc>
      </w:tr>
      <w:tr w:rsidR="00254472" w:rsidRPr="00BD56F3" w:rsidTr="002F4EEF">
        <w:trPr>
          <w:trHeight w:val="558"/>
        </w:trPr>
        <w:tc>
          <w:tcPr>
            <w:tcW w:w="443" w:type="pct"/>
          </w:tcPr>
          <w:p w:rsidR="00254472" w:rsidRPr="00254472" w:rsidRDefault="00254472" w:rsidP="00254472">
            <w:pPr>
              <w:pStyle w:val="Tabletext"/>
              <w:rPr>
                <w:rStyle w:val="AERtextsize8"/>
              </w:rPr>
            </w:pPr>
            <w:r>
              <w:rPr>
                <w:rStyle w:val="AERtextsize8"/>
              </w:rPr>
              <w:t>Fitting a yield curve</w:t>
            </w:r>
          </w:p>
        </w:tc>
        <w:tc>
          <w:tcPr>
            <w:tcW w:w="4557" w:type="pct"/>
          </w:tcPr>
          <w:p w:rsidR="00254472" w:rsidRPr="00254472" w:rsidRDefault="00254472" w:rsidP="00254472">
            <w:pPr>
              <w:pStyle w:val="Tabletext"/>
              <w:rPr>
                <w:rStyle w:val="AERtextsize8"/>
              </w:rPr>
            </w:pPr>
            <w:r w:rsidRPr="00C82431">
              <w:rPr>
                <w:rStyle w:val="AERtextsize8"/>
              </w:rPr>
              <w:t xml:space="preserve">The approximate matching of 10 year maturities of nominal and indexed CGS is necessary for the calculation of the 10 year </w:t>
            </w:r>
            <w:r w:rsidRPr="00254472">
              <w:rPr>
                <w:rStyle w:val="AERtextsize8"/>
              </w:rPr>
              <w:t xml:space="preserve">break-even inflation rate. However, a match of such maturities is unlikely to occur given the relatively few tenors of outstanding indexed CGS. Therefore, calculations of break-even estimates may require yield curve models to interpolate estimates of yields obtained from indexed and nominal CGS with different tenors. The consequence of using yield curve models is that the break-even estimates are unlikely to reflect mark-to-market expectations of inflation, and the estimates are likely to vary depending on the yield curve models chosen. Deacon and Derry (1994) and Deacon et al. (2004) find that break-even estimates may vary considerably depending on the yield curve models employed. </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Liquidity premia</w:t>
            </w:r>
          </w:p>
        </w:tc>
        <w:tc>
          <w:tcPr>
            <w:tcW w:w="4557" w:type="pct"/>
          </w:tcPr>
          <w:p w:rsidR="00254472" w:rsidRPr="00254472" w:rsidRDefault="00254472" w:rsidP="00254472">
            <w:pPr>
              <w:pStyle w:val="Tabletext"/>
              <w:rPr>
                <w:rStyle w:val="AERtextsize8"/>
              </w:rPr>
            </w:pPr>
            <w:r w:rsidRPr="00B84D66">
              <w:rPr>
                <w:rStyle w:val="AERtextsize8"/>
              </w:rPr>
              <w:t xml:space="preserve">Indexed CGS are likely to be substantially less liquid than nominal CGS. This implies that liquidity premia included in the yields on indexed CGS may be greater than the liquidity premia included in the yields on nominal CGS. The difference between liquidity premia, or the differential liquidity premia, is likely to drive a wedge between the </w:t>
            </w:r>
            <w:r w:rsidRPr="00254472">
              <w:rPr>
                <w:rStyle w:val="AERtextsize8"/>
              </w:rPr>
              <w:t xml:space="preserve">bond break-even inflation estimates and inflation expectations. </w:t>
            </w:r>
          </w:p>
          <w:p w:rsidR="00254472" w:rsidRPr="00254472" w:rsidDel="00317EA4" w:rsidRDefault="00254472" w:rsidP="00254472">
            <w:pPr>
              <w:pStyle w:val="Tabletext"/>
              <w:rPr>
                <w:rStyle w:val="AERtextsize8"/>
              </w:rPr>
            </w:pPr>
            <w:r w:rsidRPr="00B84D66">
              <w:rPr>
                <w:rStyle w:val="AERtextsize8"/>
              </w:rPr>
              <w:t>The differential liquidity premia are likely to be greater during periods of uncertainty when investors’ appreciation of liquidity risk may have changed.  In such a situation, the yield spread between nominal bonds and inflation indexed bonds is likely to narrow – a narrowing that is caused by greater uncertainty, growing diff</w:t>
            </w:r>
            <w:r w:rsidRPr="00254472">
              <w:rPr>
                <w:rStyle w:val="AERtextsize8"/>
              </w:rPr>
              <w:t>erential liquidity premia, and not necessarily a fall in inflation expectations.</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risk premia</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The inﬂation risk premia arise because holders of nominal bonds are exposed to inﬂation risk, where there is a </w:t>
            </w:r>
            <w:r w:rsidRPr="00254472">
              <w:rPr>
                <w:rStyle w:val="AERtextsize8"/>
              </w:rPr>
              <w:t>probability that the actual inflation rate will not match the expected inflation rate. As a result, nominal bondholders may demand compensation for bearing this risk. Inflation risk premia may be positive or negative, depending on whether there are concerns about inflation or deflation.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Convexity Bias</w:t>
            </w:r>
          </w:p>
        </w:tc>
        <w:tc>
          <w:tcPr>
            <w:tcW w:w="4557" w:type="pct"/>
          </w:tcPr>
          <w:p w:rsidR="00254472" w:rsidRPr="00254472" w:rsidRDefault="00254472" w:rsidP="00254472">
            <w:pPr>
              <w:pStyle w:val="Tabletext"/>
              <w:rPr>
                <w:rStyle w:val="AERtextsize8"/>
              </w:rPr>
            </w:pPr>
            <w:r w:rsidRPr="00B84D66">
              <w:rPr>
                <w:rStyle w:val="AERtextsize8"/>
              </w:rPr>
              <w:t xml:space="preserve">Bond prices are a convex function of their respective yields. Therefore, if yields are volatile, giving effect to gains being larger than the losses, bond prices may rise. The rise in the bond prices push down their forward yields, below their expected future yields. The difference between forward yields and expected future yields on a bond is the ‘convexity effect’. The size of the convexity effect is likely to be different for nominal and indexed bonds. </w:t>
            </w:r>
          </w:p>
          <w:p w:rsidR="00254472" w:rsidRPr="00254472" w:rsidDel="00317EA4" w:rsidRDefault="00254472" w:rsidP="00254472">
            <w:pPr>
              <w:pStyle w:val="Tabletext"/>
              <w:rPr>
                <w:rStyle w:val="AERtextsize8"/>
              </w:rPr>
            </w:pPr>
            <w:r w:rsidRPr="00B84D66">
              <w:rPr>
                <w:rStyle w:val="AERtextsize8"/>
              </w:rPr>
              <w:t xml:space="preserve">The difference in the magnitude of the convexity effect for nominal and indexed bonds may result in the </w:t>
            </w:r>
            <w:r w:rsidRPr="00254472">
              <w:rPr>
                <w:rStyle w:val="AERtextsize8"/>
              </w:rPr>
              <w:t>bond break-even inflation estimates departing from market expectations of inflation by the amount of a ‘convexity bias’ (other things unchanged). Convexity bias is sensitive to the relative volatility of forward yields on nominal and indexed bonds. Therefore, the scale of convexity bias estimates may change if relative forward yield volatilities change over time.</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indexation lag</w:t>
            </w:r>
          </w:p>
        </w:tc>
        <w:tc>
          <w:tcPr>
            <w:tcW w:w="4557" w:type="pct"/>
          </w:tcPr>
          <w:p w:rsidR="00254472" w:rsidRPr="00254472" w:rsidDel="00317EA4" w:rsidRDefault="00254472" w:rsidP="00254472">
            <w:pPr>
              <w:pStyle w:val="Tabletext"/>
              <w:rPr>
                <w:rStyle w:val="AERtextsize8"/>
              </w:rPr>
            </w:pPr>
            <w:r w:rsidRPr="00B84D66">
              <w:rPr>
                <w:rStyle w:val="AERtextsize8"/>
              </w:rPr>
              <w:t>A perfectly indexed CGS would pay a real coupon amount that is adjusted by the increase in the CPI between the issue date and the time of payment.  However, there are unavoidable lags between the actual movements in the CPI and adjustments of indexed bond cash flows. Indexation lag may result in the forward yields on indexed CGS being calculated on the basis of both historical inflation rates and expected future short term inflation rates. The effect of indexation lag on indexed CGS yields may be significant during periods of significantly above and below-trend inflation.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risk premia</w:t>
            </w:r>
            <w:r w:rsidRPr="00254472">
              <w:rPr>
                <w:rStyle w:val="AERtextsize8"/>
              </w:rPr>
              <w:t xml:space="preserve"> (indexation lag premia)</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As a result of indexation lag, the real return on indexed bonds may be exposed to some inflation risk.  There is research which finds that inflation risk premia may be embedded in indexed bond yields to compensate investors for such risk. This is known as indexation lag risk premia. Risa (2001) finds that the yields on UK 10 year indexed bonds included an indexation lag risk premium of approximately 3.3 basis points.  However, Risa considers that this premium is not economically relevant in size. D’Amico et al. (2016) find an indexation lag premium on the yields on 10 year TIPS varies between –5 and 3 basis points.  </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 xml:space="preserve">Inflation risk premia </w:t>
            </w:r>
            <w:r w:rsidRPr="00254472">
              <w:rPr>
                <w:rStyle w:val="AERtextsize8"/>
              </w:rPr>
              <w:t>(post-tax variability of indexed bond cash flows)</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Tax regimes in existence tend to cause post-tax real returns to remain uncertain even if pre-tax real yields are known. Since tax is levied on the nominal yield, not the real yield, the tax system reintroduces inflation risk for indexed bonds. Post-tax real yields may become uncertain and variable if inflation is uncertain.  If the demand for bonds is a function of their expected post-tax returns, pre-tax indexed bond yields may include inflation risk premia to compensate investors for the potential uncertainty of post-tax real returns. The existence of inflation risk premia in indexed bond yields may result in </w:t>
            </w:r>
            <w:r w:rsidRPr="00254472">
              <w:rPr>
                <w:rStyle w:val="AERtextsize8"/>
              </w:rPr>
              <w:t>bond break-even inflation estimates departing from market expectations of inflation.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Mismatched pattern of cash flows</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Christensen et al. (2004) argue that even if nominal and indexed bonds have the same maturity, differences in the pattern of coupon payments (resulting in differences of duration and convexity of each bond) may expose each bond to different discount factors.  In real terms, the coupon payments on indexed bonds are fixed, while the coupon payments on nominal bonds decline in real terms over their maturity. Since cash flows that arrive later in time are discounted more heavily, the price of the indexed bond will be lower and therefore the BBIR may produce downwardly biased estimates of expected inflation.  Christensen et al. note that the size of this bias will not be constant through time since it is a function of the coupon and maturity of nominal and indexed bonds and the term structure of interest rates. They find that observed volatility of </w:t>
            </w:r>
            <w:r w:rsidRPr="00254472">
              <w:rPr>
                <w:rStyle w:val="AERtextsize8"/>
              </w:rPr>
              <w:t xml:space="preserve">bond break-even estimates may be due to mismatched cash flows and not to changes in inflation expectations. </w:t>
            </w:r>
          </w:p>
        </w:tc>
      </w:tr>
      <w:tr w:rsidR="00254472" w:rsidRPr="00BD56F3" w:rsidDel="00317EA4" w:rsidTr="002F4EEF">
        <w:trPr>
          <w:trHeight w:val="558"/>
        </w:trPr>
        <w:tc>
          <w:tcPr>
            <w:tcW w:w="443" w:type="pct"/>
          </w:tcPr>
          <w:p w:rsidR="00254472" w:rsidRPr="00254472" w:rsidRDefault="00254472" w:rsidP="00254472">
            <w:pPr>
              <w:pStyle w:val="Tabletext"/>
              <w:rPr>
                <w:rStyle w:val="AERtextsize8"/>
              </w:rPr>
            </w:pPr>
            <w:r w:rsidRPr="00B84D66">
              <w:rPr>
                <w:rStyle w:val="AERtextsize8"/>
              </w:rPr>
              <w:t xml:space="preserve">Sensitivity </w:t>
            </w:r>
            <w:r w:rsidRPr="00254472">
              <w:rPr>
                <w:rStyle w:val="AERtextsize8"/>
              </w:rPr>
              <w:t xml:space="preserve">of coupons to short term inflation </w:t>
            </w:r>
          </w:p>
        </w:tc>
        <w:tc>
          <w:tcPr>
            <w:tcW w:w="4557" w:type="pct"/>
          </w:tcPr>
          <w:p w:rsidR="00254472" w:rsidRPr="00254472" w:rsidRDefault="00254472" w:rsidP="00254472">
            <w:pPr>
              <w:pStyle w:val="Tabletext"/>
              <w:rPr>
                <w:rStyle w:val="AERtextsize8"/>
              </w:rPr>
            </w:pPr>
            <w:r w:rsidRPr="00B84D66">
              <w:rPr>
                <w:rStyle w:val="AERtextsize8"/>
              </w:rPr>
              <w:t xml:space="preserve">When </w:t>
            </w:r>
            <w:r w:rsidRPr="00254472">
              <w:rPr>
                <w:rStyle w:val="AERtextsize8"/>
              </w:rPr>
              <w:t>bond break-even estimates are calculated from the yields on coupon-paying bonds, the estimates may become more sensitive to changes in short term inflation expectations compared to an approach that is calculated from yields on zero coupon bonds. As a result, if the term structure of inflation expectations is not flat, relatively volatile short term inflation expectations may change the bond break-even estimates, even if the long term market expectations of inflation are unchanged.</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RDefault="00254472" w:rsidP="00254472">
            <w:pPr>
              <w:pStyle w:val="Tabletext"/>
              <w:rPr>
                <w:rStyle w:val="AERtextsize8"/>
              </w:rPr>
            </w:pPr>
            <w:r w:rsidRPr="00B84D66">
              <w:rPr>
                <w:rStyle w:val="AERtextsize8"/>
              </w:rPr>
              <w:t>Changes to the demand and supply of expectations</w:t>
            </w:r>
          </w:p>
        </w:tc>
        <w:tc>
          <w:tcPr>
            <w:tcW w:w="4557" w:type="pct"/>
          </w:tcPr>
          <w:p w:rsidR="00254472" w:rsidRPr="00254472" w:rsidRDefault="00254472" w:rsidP="00254472">
            <w:pPr>
              <w:pStyle w:val="Tabletext"/>
              <w:rPr>
                <w:rStyle w:val="AERtextsize8"/>
              </w:rPr>
            </w:pPr>
            <w:r w:rsidRPr="00B84D66">
              <w:rPr>
                <w:rStyle w:val="AERtextsize8"/>
              </w:rPr>
              <w:t xml:space="preserve">There may be changes to the demand for and supply of nominal and indexed CGS that are unrelated to changes in inflation expectations. As a result, relative yields and </w:t>
            </w:r>
            <w:r w:rsidRPr="00254472">
              <w:rPr>
                <w:rStyle w:val="AERtextsize8"/>
              </w:rPr>
              <w:t>bond break-even inflation estimates may change even if the term structure of inflation expectations is unchanged. For example, changes to the relative supply of nominal and indexed CGS, changes to investor risk aversion, slow moving capital and capital availability may result in a movement of the relative yields that may be unrelated to changes in inflation expectations.</w:t>
            </w:r>
          </w:p>
        </w:tc>
      </w:tr>
      <w:tr w:rsidR="00254472" w:rsidRPr="00BD56F3" w:rsidDel="00317EA4" w:rsidTr="002F4EEF">
        <w:trPr>
          <w:trHeight w:val="558"/>
        </w:trPr>
        <w:tc>
          <w:tcPr>
            <w:tcW w:w="443" w:type="pct"/>
          </w:tcPr>
          <w:p w:rsidR="00254472" w:rsidRPr="00254472" w:rsidRDefault="00254472" w:rsidP="00254472">
            <w:pPr>
              <w:pStyle w:val="Tabletext"/>
              <w:rPr>
                <w:rStyle w:val="AERtextsize8"/>
              </w:rPr>
            </w:pPr>
            <w:r w:rsidRPr="00B84D66">
              <w:rPr>
                <w:rStyle w:val="AERtextsize8"/>
              </w:rPr>
              <w:t>The effect of the deflation floor on the yields of indexed CGS</w:t>
            </w:r>
          </w:p>
        </w:tc>
        <w:tc>
          <w:tcPr>
            <w:tcW w:w="4557" w:type="pct"/>
          </w:tcPr>
          <w:p w:rsidR="00254472" w:rsidRPr="00254472" w:rsidRDefault="00254472" w:rsidP="00254472">
            <w:pPr>
              <w:pStyle w:val="Tabletext"/>
              <w:rPr>
                <w:rStyle w:val="AERtextsize8"/>
              </w:rPr>
            </w:pPr>
            <w:r w:rsidRPr="00B84D66">
              <w:rPr>
                <w:rStyle w:val="AERtextsize8"/>
              </w:rPr>
              <w:t xml:space="preserve">Indexed CGS have a ‘deflation floor’ – coupon interest payments will not be based on a capital value less than the face value and payment of the principal cannot fall below the face value. If deflation becomes a concern, the deflation protection of indexed CGS becomes valuable, pushing up indexed CGS prices and reducing indexed CGS yields. During such episodes, the effect of the deflation floor </w:t>
            </w:r>
            <w:r w:rsidRPr="00254472">
              <w:rPr>
                <w:rStyle w:val="AERtextsize8"/>
              </w:rPr>
              <w:t>on indexed CGS may influence bond break-even estimates. For the US, D’Amico et al. (2016) identify the effect of the deflation floor as a potential driver of bond break-even estimates. They find that the deflation floor affects the yields on 10 year TIPS by about 5 basis points during normal times but widening to -20 basis points during the recent crisis.</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RDefault="00254472" w:rsidP="00254472">
            <w:pPr>
              <w:pStyle w:val="Tabletext"/>
              <w:rPr>
                <w:rStyle w:val="AERtextsize8"/>
              </w:rPr>
            </w:pPr>
            <w:r w:rsidRPr="00B84D66">
              <w:rPr>
                <w:rStyle w:val="AERtextsize8"/>
              </w:rPr>
              <w:t>Personal price indices and the substitution effect</w:t>
            </w:r>
          </w:p>
        </w:tc>
        <w:tc>
          <w:tcPr>
            <w:tcW w:w="4557" w:type="pct"/>
          </w:tcPr>
          <w:p w:rsidR="00254472" w:rsidRPr="00254472" w:rsidRDefault="00254472" w:rsidP="00254472">
            <w:pPr>
              <w:pStyle w:val="Tabletext"/>
              <w:rPr>
                <w:rStyle w:val="AERtextsize8"/>
              </w:rPr>
            </w:pPr>
            <w:r w:rsidRPr="00B84D66">
              <w:rPr>
                <w:rStyle w:val="AERtextsize8"/>
              </w:rPr>
              <w:t xml:space="preserve">In their estimates of the </w:t>
            </w:r>
            <w:r w:rsidRPr="00254472">
              <w:rPr>
                <w:rStyle w:val="AERtextsize8"/>
              </w:rPr>
              <w:t>bond break-even inflation rate for the US, Christensen and Gillan (2012) find that the inflation risk premium in the estimates remained negative even after maximally correcting for the liquidity premium. Christensen and Gillan argue that this may be due to TIPS yields being higher than they otherwise would be for two reasons. Firstly, the CPI may overstate true inflation outcomes because the substitution effects have not been considered. Secondly, the personal price index of investors may be different to the CPI and therefore TIPS are only a partial hedge for inflation risk. Consequently, investors may demand a risk premium for the remaining exposure to an imperfect inflation hedge.  The influence of the substitution effect and personal price indices on indexed bond yields may result in bond break-even inflation estimates departing from market expectations of inflation.</w:t>
            </w:r>
          </w:p>
        </w:tc>
      </w:tr>
    </w:tbl>
    <w:p w:rsidR="00254472" w:rsidRPr="003F16D8" w:rsidRDefault="00254472" w:rsidP="00254472">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68-69. </w:t>
      </w:r>
      <w:r w:rsidRPr="003F16D8">
        <w:rPr>
          <w:rStyle w:val="AERtextsize8"/>
        </w:rPr>
        <w:t xml:space="preserve"> </w:t>
      </w:r>
    </w:p>
    <w:p w:rsidR="00254472" w:rsidRDefault="00254472" w:rsidP="00254472">
      <w:r>
        <w:t>CEG submitted that:</w:t>
      </w:r>
    </w:p>
    <w:p w:rsidR="00254472" w:rsidRDefault="00254472" w:rsidP="00254472">
      <w:pPr>
        <w:pStyle w:val="AERbulletlistfirststyle"/>
      </w:pPr>
      <w:r>
        <w:t>Bond break-even estimates provide a more direct market measure of expected inflation than the RBA forecasts and target band approach,</w:t>
      </w:r>
    </w:p>
    <w:p w:rsidR="00254472" w:rsidRDefault="00254472" w:rsidP="00254472">
      <w:pPr>
        <w:pStyle w:val="AERbulletlistfirststyle"/>
      </w:pPr>
      <w:r>
        <w:t>Academic literature suggests that biases and risk premia in bond break-even estimates are likely to be immaterial, and</w:t>
      </w:r>
    </w:p>
    <w:p w:rsidR="00254472" w:rsidRDefault="00254472" w:rsidP="00254472">
      <w:pPr>
        <w:pStyle w:val="AERbulletlistfirststyle"/>
      </w:pPr>
      <w:r>
        <w:t>Inflation outcomes suggest that the bond break-even approach is more accurate predictor of outcomes, and therefore a greater influence on expected inflation, than the RBA forecasts and target band approach.</w:t>
      </w:r>
    </w:p>
    <w:p w:rsidR="00254472" w:rsidRDefault="00254472" w:rsidP="00254472">
      <w:r>
        <w:t>Our response to these issues is contained in appendices</w:t>
      </w:r>
      <w:r w:rsidR="00936232">
        <w:t xml:space="preserve"> </w:t>
      </w:r>
      <w:r w:rsidR="00936232">
        <w:fldChar w:fldCharType="begin"/>
      </w:r>
      <w:r w:rsidR="00936232">
        <w:instrText xml:space="preserve"> REF _Ref486970161 \r \h </w:instrText>
      </w:r>
      <w:r w:rsidR="00936232">
        <w:fldChar w:fldCharType="separate"/>
      </w:r>
      <w:r w:rsidR="002C24D6">
        <w:t>M.2</w:t>
      </w:r>
      <w:r w:rsidR="00936232">
        <w:fldChar w:fldCharType="end"/>
      </w:r>
      <w:r>
        <w:t xml:space="preserve">, </w:t>
      </w:r>
      <w:r w:rsidR="00936232">
        <w:fldChar w:fldCharType="begin"/>
      </w:r>
      <w:r w:rsidR="00936232">
        <w:instrText xml:space="preserve"> REF _Ref486970193 \r \h </w:instrText>
      </w:r>
      <w:r w:rsidR="00936232">
        <w:fldChar w:fldCharType="separate"/>
      </w:r>
      <w:r w:rsidR="002C24D6">
        <w:t>M.3</w:t>
      </w:r>
      <w:r w:rsidR="00936232">
        <w:fldChar w:fldCharType="end"/>
      </w:r>
      <w:r>
        <w:t xml:space="preserve">, </w:t>
      </w:r>
      <w:r w:rsidR="00936232">
        <w:fldChar w:fldCharType="begin"/>
      </w:r>
      <w:r w:rsidR="00936232">
        <w:instrText xml:space="preserve"> REF _Ref486970236 \r \h </w:instrText>
      </w:r>
      <w:r w:rsidR="00936232">
        <w:fldChar w:fldCharType="separate"/>
      </w:r>
      <w:r w:rsidR="002C24D6">
        <w:t>M.4</w:t>
      </w:r>
      <w:r w:rsidR="00936232">
        <w:fldChar w:fldCharType="end"/>
      </w:r>
      <w:r>
        <w:t>, and</w:t>
      </w:r>
      <w:r w:rsidR="00936232">
        <w:t xml:space="preserve"> </w:t>
      </w:r>
      <w:r w:rsidR="00936232">
        <w:fldChar w:fldCharType="begin"/>
      </w:r>
      <w:r w:rsidR="00936232">
        <w:instrText xml:space="preserve"> REF _Ref486970248 \r \h </w:instrText>
      </w:r>
      <w:r w:rsidR="00936232">
        <w:fldChar w:fldCharType="separate"/>
      </w:r>
      <w:r w:rsidR="002C24D6">
        <w:t>M.5</w:t>
      </w:r>
      <w:r w:rsidR="00936232">
        <w:fldChar w:fldCharType="end"/>
      </w:r>
      <w:r>
        <w:t xml:space="preserve">. </w:t>
      </w:r>
    </w:p>
    <w:p w:rsidR="00254472" w:rsidRDefault="00254472" w:rsidP="00254472">
      <w:r>
        <w:t>Overall, we consider</w:t>
      </w:r>
      <w:r w:rsidRPr="00830517">
        <w:t xml:space="preserve"> that the scale and sign of potential biases and risk premia are unlikely to be robust to different study parameters, resulting in uncertainty over their net effect. The modelling and estimation required to adjust breakeven estimates for these potential biases and risk premia </w:t>
      </w:r>
      <w:r>
        <w:t>is likely to</w:t>
      </w:r>
      <w:r w:rsidRPr="00830517">
        <w:t xml:space="preserve"> be complex, contentious, and difficult to scrutinise. </w:t>
      </w:r>
      <w:r>
        <w:t>Even</w:t>
      </w:r>
      <w:r w:rsidRPr="00830517">
        <w:t xml:space="preserve"> if relevant data is available to estimate the historical impact of biases and risk premia on breakeven inflation rates, the time-varying nature of many </w:t>
      </w:r>
      <w:r>
        <w:t>of these</w:t>
      </w:r>
      <w:r w:rsidRPr="00830517">
        <w:t xml:space="preserve"> make it difficult to ascertain if the historical magnitude of the biases and risk premia is prevalent in current bond prices.</w:t>
      </w:r>
    </w:p>
    <w:p w:rsidR="00254472" w:rsidRDefault="00254472" w:rsidP="00254472">
      <w:r w:rsidRPr="00830517">
        <w:t>The differences in the approaches to estimating premia and biases in breakeven estimates across studies may be due to limited data availability, but also be because the premia and biases are not yet well understood. For example, D’Amico et al. (2016) conclude that a better understanding of the determinants of liquidity premia and the sources of its variation is a topic for future research.</w:t>
      </w:r>
      <w:r w:rsidRPr="00B00238">
        <w:rPr>
          <w:rStyle w:val="FootnoteReference"/>
        </w:rPr>
        <w:footnoteReference w:id="679"/>
      </w:r>
      <w:r w:rsidRPr="00830517">
        <w:t xml:space="preserve"> Zarazaga (2010) states:</w:t>
      </w:r>
    </w:p>
    <w:p w:rsidR="00254472" w:rsidRDefault="00254472" w:rsidP="00254472">
      <w:pPr>
        <w:pStyle w:val="AERquote"/>
        <w:rPr>
          <w:rStyle w:val="Emphasis"/>
        </w:rPr>
      </w:pPr>
      <w:r w:rsidRPr="00C93468">
        <w:rPr>
          <w:rStyle w:val="Emphasis"/>
        </w:rPr>
        <w:t>Current understanding of the determinants of government bond prices is too limited to establish with any confidence which fraction of the relatively large variations in inflation expectations indicators based on forward rates [implied from bond prices] can be attributed to actual changes in long-run inflation expectations and which to time-varying risk premia.</w:t>
      </w:r>
    </w:p>
    <w:p w:rsidR="00254472" w:rsidRDefault="00254472" w:rsidP="00254472">
      <w:pPr>
        <w:pStyle w:val="HeadingItalic"/>
      </w:pPr>
      <w:bookmarkStart w:id="120" w:name="_Ref478559870"/>
      <w:bookmarkStart w:id="121" w:name="_Toc480460833"/>
      <w:r>
        <w:t>Consideration of inflation estimates implied from zero-coupon inflation swaps</w:t>
      </w:r>
      <w:bookmarkEnd w:id="120"/>
      <w:bookmarkEnd w:id="121"/>
    </w:p>
    <w:p w:rsidR="00254472" w:rsidRDefault="00254472" w:rsidP="00254472">
      <w:r w:rsidRPr="000A25E5">
        <w:t xml:space="preserve">In an inflation rate swap, </w:t>
      </w:r>
      <w:r>
        <w:t>counterparties</w:t>
      </w:r>
      <w:r w:rsidRPr="000A25E5">
        <w:t xml:space="preserve"> agree to exchange payments that are linked to </w:t>
      </w:r>
      <w:r>
        <w:t>a</w:t>
      </w:r>
      <w:r w:rsidRPr="000A25E5">
        <w:t xml:space="preserve"> predetermined fixed inflation rate and actual inflation </w:t>
      </w:r>
      <w:r>
        <w:t>outcomes</w:t>
      </w:r>
      <w:r w:rsidRPr="000A25E5">
        <w:t>.</w:t>
      </w:r>
      <w:r>
        <w:t xml:space="preserve"> Counterparty A pays Counterparty B the pre-determined fixed rate (multiplied by an agreed base amount) at the maturity of the swap agreement. Counterparty B pays Counterparty A the actual CPI inflation rate (multiplied by the base amount) that occurred over the term of the swap agreement.</w:t>
      </w:r>
      <w:r>
        <w:rPr>
          <w:rStyle w:val="FootnoteReference"/>
        </w:rPr>
        <w:footnoteReference w:id="680"/>
      </w:r>
    </w:p>
    <w:p w:rsidR="00254472" w:rsidRDefault="00254472" w:rsidP="00254472">
      <w:r w:rsidRPr="00095EF2">
        <w:t>There are a number of inflation-linked swaps that may be traded in Australia. However, only data on zero coupon inflation swaps is currently available for the calculation of swap-implied expected inflation rates.</w:t>
      </w:r>
      <w:r>
        <w:t xml:space="preserve"> </w:t>
      </w:r>
      <w:r w:rsidRPr="00C312C9">
        <w:t>In Australia, the published zero coupon inflation swap rates are available for many more tenors than tenors for indexed CGS</w:t>
      </w:r>
      <w:r>
        <w:t xml:space="preserve"> (used in the calculation of breakeven estimates)</w:t>
      </w:r>
      <w:r w:rsidRPr="00C312C9">
        <w:t>. The published zero coupon inflation swap prices are available for 3 months, 6 months, 9 months and each year up to 10 years, and every 5 years from 10 years to 30 years. While there are many tenors for currently traded nominal CGS, there are only 7 outstanding tenors for indexed CGS up to approximately 24 years.</w:t>
      </w:r>
      <w:r>
        <w:t xml:space="preserve"> On this basis, inflation swaps may provide a better decomposition of market-implied forward inflation rates than the breakeven method. </w:t>
      </w:r>
    </w:p>
    <w:p w:rsidR="00254472" w:rsidRDefault="00254472" w:rsidP="00254472">
      <w:r>
        <w:t xml:space="preserve">However, the ACCC working paper #11 also identified a number of potential biases and premia that may affect swap-implied inflation rates. These potential biases and premia are outlined in </w:t>
      </w:r>
      <w:r>
        <w:fldChar w:fldCharType="begin"/>
      </w:r>
      <w:r>
        <w:instrText xml:space="preserve"> REF _Ref474182634 \h </w:instrText>
      </w:r>
      <w:r>
        <w:fldChar w:fldCharType="separate"/>
      </w:r>
      <w:r w:rsidR="002C24D6">
        <w:t xml:space="preserve">Table </w:t>
      </w:r>
      <w:r w:rsidR="002C24D6">
        <w:rPr>
          <w:noProof/>
        </w:rPr>
        <w:t>3</w:t>
      </w:r>
      <w:r w:rsidR="002C24D6">
        <w:noBreakHyphen/>
      </w:r>
      <w:r w:rsidR="002C24D6">
        <w:rPr>
          <w:noProof/>
        </w:rPr>
        <w:t>19</w:t>
      </w:r>
      <w:r>
        <w:fldChar w:fldCharType="end"/>
      </w:r>
      <w:r>
        <w:t>.</w:t>
      </w:r>
    </w:p>
    <w:p w:rsidR="00254472" w:rsidRPr="00DC4DA2" w:rsidRDefault="00254472" w:rsidP="00254472">
      <w:pPr>
        <w:pStyle w:val="Caption"/>
      </w:pPr>
      <w:bookmarkStart w:id="122" w:name="_Ref474182634"/>
      <w:bookmarkStart w:id="123" w:name="_Ref474340670"/>
      <w:r>
        <w:t xml:space="preserve">Table </w:t>
      </w:r>
      <w:r w:rsidRPr="00254472">
        <w:fldChar w:fldCharType="begin"/>
      </w:r>
      <w:r>
        <w:instrText xml:space="preserve"> STYLEREF 1 \s </w:instrText>
      </w:r>
      <w:r w:rsidRPr="00254472">
        <w:fldChar w:fldCharType="separate"/>
      </w:r>
      <w:r w:rsidR="002C24D6">
        <w:rPr>
          <w:noProof/>
        </w:rPr>
        <w:t>3</w:t>
      </w:r>
      <w:r w:rsidRPr="00254472">
        <w:fldChar w:fldCharType="end"/>
      </w:r>
      <w:r>
        <w:noBreakHyphen/>
      </w:r>
      <w:r w:rsidRPr="00254472">
        <w:fldChar w:fldCharType="begin"/>
      </w:r>
      <w:r>
        <w:instrText xml:space="preserve"> SEQ Table \* ARABIC \s 1 </w:instrText>
      </w:r>
      <w:r w:rsidRPr="00254472">
        <w:fldChar w:fldCharType="separate"/>
      </w:r>
      <w:r w:rsidR="002C24D6">
        <w:rPr>
          <w:noProof/>
        </w:rPr>
        <w:t>19</w:t>
      </w:r>
      <w:r w:rsidRPr="00254472">
        <w:fldChar w:fldCharType="end"/>
      </w:r>
      <w:bookmarkEnd w:id="122"/>
      <w:r w:rsidRPr="00DC4DA2">
        <w:t xml:space="preserve"> </w:t>
      </w:r>
      <w:r>
        <w:t>Issues with</w:t>
      </w:r>
      <w:r w:rsidRPr="00DC4DA2">
        <w:t xml:space="preserve"> </w:t>
      </w:r>
      <w:r>
        <w:t>swap-implied inflation rates</w:t>
      </w:r>
      <w:bookmarkEnd w:id="123"/>
    </w:p>
    <w:tbl>
      <w:tblPr>
        <w:tblStyle w:val="AERTable-Text"/>
        <w:tblW w:w="5000" w:type="pct"/>
        <w:tblLook w:val="04A0" w:firstRow="1" w:lastRow="0" w:firstColumn="1" w:lastColumn="0" w:noHBand="0" w:noVBand="1"/>
      </w:tblPr>
      <w:tblGrid>
        <w:gridCol w:w="1141"/>
        <w:gridCol w:w="7552"/>
      </w:tblGrid>
      <w:tr w:rsidR="00254472" w:rsidRPr="0036067E" w:rsidTr="002F4EEF">
        <w:trPr>
          <w:cnfStyle w:val="100000000000" w:firstRow="1" w:lastRow="0" w:firstColumn="0" w:lastColumn="0" w:oddVBand="0" w:evenVBand="0" w:oddHBand="0" w:evenHBand="0" w:firstRowFirstColumn="0" w:firstRowLastColumn="0" w:lastRowFirstColumn="0" w:lastRowLastColumn="0"/>
          <w:trHeight w:val="365"/>
          <w:tblHeader/>
        </w:trPr>
        <w:tc>
          <w:tcPr>
            <w:tcW w:w="407" w:type="pct"/>
          </w:tcPr>
          <w:p w:rsidR="00254472" w:rsidRPr="00254472" w:rsidRDefault="00254472" w:rsidP="00254472">
            <w:pPr>
              <w:pStyle w:val="Tabletext"/>
            </w:pPr>
            <w:r w:rsidRPr="00DD24C5">
              <w:t>Bias</w:t>
            </w:r>
          </w:p>
        </w:tc>
        <w:tc>
          <w:tcPr>
            <w:tcW w:w="4593" w:type="pct"/>
          </w:tcPr>
          <w:p w:rsidR="00254472" w:rsidRPr="00254472" w:rsidRDefault="00254472" w:rsidP="00254472">
            <w:pPr>
              <w:pStyle w:val="Tabletext"/>
            </w:pPr>
            <w:r w:rsidRPr="00DD24C5">
              <w:t xml:space="preserve">Explanation </w:t>
            </w:r>
          </w:p>
        </w:tc>
      </w:tr>
      <w:tr w:rsidR="00254472" w:rsidRPr="00BD56F3" w:rsidTr="002F4EEF">
        <w:trPr>
          <w:trHeight w:val="558"/>
        </w:trPr>
        <w:tc>
          <w:tcPr>
            <w:tcW w:w="407" w:type="pct"/>
          </w:tcPr>
          <w:p w:rsidR="00254472" w:rsidRPr="00254472" w:rsidRDefault="00254472" w:rsidP="00254472">
            <w:pPr>
              <w:pStyle w:val="Tabletext"/>
              <w:rPr>
                <w:rStyle w:val="AERtextsize8"/>
              </w:rPr>
            </w:pPr>
            <w:r w:rsidRPr="00DC4DA2">
              <w:rPr>
                <w:rStyle w:val="AERtextsize8"/>
              </w:rPr>
              <w:t xml:space="preserve">Hedging </w:t>
            </w:r>
            <w:r w:rsidRPr="00254472">
              <w:rPr>
                <w:rStyle w:val="AERtextsize8"/>
              </w:rPr>
              <w:t>costs</w:t>
            </w:r>
          </w:p>
        </w:tc>
        <w:tc>
          <w:tcPr>
            <w:tcW w:w="4593" w:type="pct"/>
          </w:tcPr>
          <w:p w:rsidR="00254472" w:rsidRPr="00254472" w:rsidRDefault="00254472" w:rsidP="00254472">
            <w:pPr>
              <w:pStyle w:val="Tabletext"/>
              <w:rPr>
                <w:rStyle w:val="AERtextsize8"/>
              </w:rPr>
            </w:pPr>
            <w:r w:rsidRPr="00B17112">
              <w:rPr>
                <w:rStyle w:val="AERtextsize8"/>
              </w:rPr>
              <w:t>Likely to result in potential overestimates of expected inflation.</w:t>
            </w:r>
            <w:r w:rsidRPr="00254472">
              <w:rPr>
                <w:rStyle w:val="AERtextsize8"/>
              </w:rPr>
              <w:t xml:space="preserve"> If there is greater demand for the fixed leg (those wishing to pay the fixed and receive the floating) than the floating leg (those wishing to pay the floating and received the fixed), dealers may hedge their short exposure in the swap market by taking offsetting exposures in other markets, such as bond markets.  In taking these positions dealers are likely to incur hedging costs. Hedging costs include all costs associated with opening, maintaining and closing positions in the market. The zero coupon inflation swap rate may be affected by the hedging costs incurred by swap dealers. Swap dealers may pass on these hedging costs in the form of higher inflation swap rate quotes. In this case, hedging costs may drive a wedge between the inflation swap rate and the market-expected inflation rate. The ACCC working paper #11 submits that academic literature suggests that hedging costs may be minor, but there are not many studies to support drawing robust conclusions. As the demand for the fixed and floating leg will change under different market conditions this bias is likely to be time varying.  </w:t>
            </w:r>
          </w:p>
        </w:tc>
      </w:tr>
      <w:tr w:rsidR="00254472" w:rsidRPr="00BD56F3" w:rsidTr="002F4EEF">
        <w:trPr>
          <w:cnfStyle w:val="000000010000" w:firstRow="0" w:lastRow="0" w:firstColumn="0" w:lastColumn="0" w:oddVBand="0" w:evenVBand="0" w:oddHBand="0" w:evenHBand="1" w:firstRowFirstColumn="0" w:firstRowLastColumn="0" w:lastRowFirstColumn="0" w:lastRowLastColumn="0"/>
          <w:trHeight w:val="546"/>
        </w:trPr>
        <w:tc>
          <w:tcPr>
            <w:tcW w:w="407" w:type="pct"/>
          </w:tcPr>
          <w:p w:rsidR="00254472" w:rsidRPr="00254472" w:rsidRDefault="00254472" w:rsidP="00254472">
            <w:pPr>
              <w:pStyle w:val="Tabletext"/>
              <w:rPr>
                <w:rStyle w:val="AERtextsize8"/>
              </w:rPr>
            </w:pPr>
            <w:r w:rsidRPr="00DC4DA2">
              <w:rPr>
                <w:rStyle w:val="AERtextsize8"/>
              </w:rPr>
              <w:t>Inflation risk premium</w:t>
            </w:r>
          </w:p>
        </w:tc>
        <w:tc>
          <w:tcPr>
            <w:tcW w:w="4593" w:type="pct"/>
          </w:tcPr>
          <w:p w:rsidR="00254472" w:rsidRPr="00254472" w:rsidRDefault="00254472" w:rsidP="00254472">
            <w:pPr>
              <w:pStyle w:val="Tabletext"/>
              <w:rPr>
                <w:rStyle w:val="AERtextsize8"/>
              </w:rPr>
            </w:pPr>
            <w:r w:rsidRPr="00DC4DA2">
              <w:rPr>
                <w:rStyle w:val="AERtextsize8"/>
              </w:rPr>
              <w:t>Likely to result in potential overestimates of expected inflation.</w:t>
            </w:r>
            <w:r w:rsidRPr="00254472">
              <w:rPr>
                <w:rStyle w:val="AERtextsize8"/>
              </w:rPr>
              <w:t xml:space="preserve"> There may be a number of arbitrage and transaction costs associated with hedging the short exposure in the inflation swap market. Hedging may also be imperfect because there may be mismatches in the timing, size and maturity of the cash flows. Hedgers seldom create a perfect hedge because the marginal cost of hedging rises sharply as the risk minimising hedge ratio is approached. The hedger will select a hedge that is less, perhaps substantially less, than the risk-minimising hedge ratio.</w:t>
            </w:r>
            <w:r w:rsidRPr="00254472">
              <w:rPr>
                <w:rStyle w:val="FootnoteReference"/>
              </w:rPr>
              <w:footnoteReference w:id="681"/>
            </w:r>
            <w:r w:rsidRPr="00254472">
              <w:rPr>
                <w:rStyle w:val="FootnoteReference"/>
              </w:rPr>
              <w:t xml:space="preserve"> </w:t>
            </w:r>
            <w:r w:rsidRPr="00254472">
              <w:rPr>
                <w:rStyle w:val="AERtextsize8"/>
              </w:rPr>
              <w:t>As a result, swap dealers short in inflation swaps may still require an inflation risk premium to compensate them for inflation uncertainty that persists due to imperfect hedges, and this premium may be included in the published inflation swap rate. This potential bias is likely to be time-varying when inflation expectations are more uncertain.</w:t>
            </w:r>
          </w:p>
        </w:tc>
      </w:tr>
      <w:tr w:rsidR="00254472" w:rsidRPr="00BD56F3" w:rsidTr="002F4EEF">
        <w:trPr>
          <w:trHeight w:val="376"/>
        </w:trPr>
        <w:tc>
          <w:tcPr>
            <w:tcW w:w="407" w:type="pct"/>
          </w:tcPr>
          <w:p w:rsidR="00254472" w:rsidRPr="00254472" w:rsidRDefault="00254472" w:rsidP="00254472">
            <w:pPr>
              <w:pStyle w:val="Tabletext"/>
              <w:rPr>
                <w:rStyle w:val="AERtextsize8"/>
              </w:rPr>
            </w:pPr>
            <w:r w:rsidRPr="00DC4DA2">
              <w:rPr>
                <w:rStyle w:val="AERtextsize8"/>
              </w:rPr>
              <w:t xml:space="preserve">Inflation indexation lag </w:t>
            </w:r>
          </w:p>
        </w:tc>
        <w:tc>
          <w:tcPr>
            <w:tcW w:w="4593" w:type="pct"/>
          </w:tcPr>
          <w:p w:rsidR="00254472" w:rsidRPr="00254472" w:rsidRDefault="00254472" w:rsidP="00254472">
            <w:pPr>
              <w:rPr>
                <w:rStyle w:val="AERtextsize8"/>
              </w:rPr>
            </w:pPr>
            <w:r w:rsidRPr="00470AB2">
              <w:rPr>
                <w:rStyle w:val="AERtextsize8"/>
              </w:rPr>
              <w:t xml:space="preserve">Likely to result in potential underestimates or overestimates - potentially small for 10 year zero coupon inflation swaps. </w:t>
            </w:r>
            <w:r w:rsidRPr="00254472">
              <w:rPr>
                <w:rStyle w:val="AERtextsize8"/>
              </w:rPr>
              <w:t>Inflation rate swaps are also subject to indexation lag, which may influence the inflation swap rate such that the raw inflation swap rate may depart from the expected inflation rate. The floating leg of the zero coupon swaps is explicitly linked to the reference CPI date.</w:t>
            </w:r>
            <w:r w:rsidRPr="00254472">
              <w:rPr>
                <w:rStyle w:val="FootnoteReference"/>
              </w:rPr>
              <w:footnoteReference w:id="682"/>
            </w:r>
            <w:r w:rsidRPr="00254472">
              <w:rPr>
                <w:rStyle w:val="FootnoteReference"/>
              </w:rPr>
              <w:t xml:space="preserve"> </w:t>
            </w:r>
            <w:r w:rsidRPr="00254472">
              <w:rPr>
                <w:rStyle w:val="AERtextsize8"/>
              </w:rPr>
              <w:t>The lag on the Australian zero coupon inflation swap is moderate. Bloomberg and Zine-eddine (2014) identify the lag as 3 months.</w:t>
            </w:r>
            <w:r w:rsidRPr="00254472">
              <w:rPr>
                <w:rStyle w:val="FootnoteReference"/>
              </w:rPr>
              <w:footnoteReference w:id="683"/>
            </w:r>
            <w:r w:rsidRPr="00254472">
              <w:rPr>
                <w:rStyle w:val="AERtextsize8"/>
              </w:rPr>
              <w:t xml:space="preserve"> Because the swap inflation rates are not adjusted for indexation lag, the swap contract is referenced to inflation for a period that starts before the date on which the contract is priced and ends before the contract matures. Therefore, the estimated forward inflation curve from inflation swaps will not entirely capture forward inflation rates, but also include some historical inflation determined by the extent of the indexation lag.</w:t>
            </w:r>
            <w:r w:rsidRPr="00254472">
              <w:rPr>
                <w:rStyle w:val="FootnoteReference"/>
              </w:rPr>
              <w:footnoteReference w:id="684"/>
            </w:r>
            <w:r w:rsidRPr="00254472">
              <w:rPr>
                <w:rStyle w:val="AERtextsize8"/>
              </w:rPr>
              <w:t>This bias is potentially small due to the short lag on indexed CGS and is not likely to be time varying.</w:t>
            </w:r>
          </w:p>
        </w:tc>
      </w:tr>
      <w:tr w:rsidR="00254472" w:rsidRPr="00BD56F3" w:rsidTr="002F4EEF">
        <w:trPr>
          <w:cnfStyle w:val="000000010000" w:firstRow="0" w:lastRow="0" w:firstColumn="0" w:lastColumn="0" w:oddVBand="0" w:evenVBand="0" w:oddHBand="0" w:evenHBand="1" w:firstRowFirstColumn="0" w:firstRowLastColumn="0" w:lastRowFirstColumn="0" w:lastRowLastColumn="0"/>
          <w:trHeight w:val="365"/>
        </w:trPr>
        <w:tc>
          <w:tcPr>
            <w:tcW w:w="407" w:type="pct"/>
          </w:tcPr>
          <w:p w:rsidR="00254472" w:rsidRPr="00254472" w:rsidRDefault="00254472" w:rsidP="00254472">
            <w:pPr>
              <w:pStyle w:val="Tabletext"/>
              <w:rPr>
                <w:rStyle w:val="AERtextsize8"/>
              </w:rPr>
            </w:pPr>
            <w:r w:rsidRPr="00DC4DA2">
              <w:rPr>
                <w:rStyle w:val="AERtextsize8"/>
              </w:rPr>
              <w:t>Counterparty default risk</w:t>
            </w:r>
          </w:p>
        </w:tc>
        <w:tc>
          <w:tcPr>
            <w:tcW w:w="4593" w:type="pct"/>
          </w:tcPr>
          <w:p w:rsidR="00254472" w:rsidRPr="00254472" w:rsidRDefault="00254472" w:rsidP="00254472">
            <w:pPr>
              <w:pStyle w:val="Tabletext"/>
              <w:rPr>
                <w:rStyle w:val="AERtextsize8"/>
              </w:rPr>
            </w:pPr>
            <w:r w:rsidRPr="00DC4DA2">
              <w:rPr>
                <w:rStyle w:val="AERtextsize8"/>
              </w:rPr>
              <w:t>The risk associated with an inflation swap is that the counterparty will fail to fulfil its obligations outlined in the swap agreement. This default risk is known</w:t>
            </w:r>
            <w:r w:rsidRPr="00254472">
              <w:rPr>
                <w:rStyle w:val="AERtextsize8"/>
              </w:rPr>
              <w:t xml:space="preserve"> as counterparty risk and as such, default risk premia may be included in inflation swap rates. While the presence of this risk premia is a relatively well-known, the effect of counterparty default risk on zero coupon inflation swap rates may not be significant. This premia could result in overestimates of expected inflation and is not likely to be time-varying.</w:t>
            </w:r>
          </w:p>
        </w:tc>
      </w:tr>
      <w:tr w:rsidR="00254472" w:rsidRPr="00BD56F3" w:rsidTr="002F4EEF">
        <w:trPr>
          <w:trHeight w:val="389"/>
        </w:trPr>
        <w:tc>
          <w:tcPr>
            <w:tcW w:w="407" w:type="pct"/>
          </w:tcPr>
          <w:p w:rsidR="00254472" w:rsidRPr="00254472" w:rsidRDefault="00254472" w:rsidP="00254472">
            <w:pPr>
              <w:pStyle w:val="Tabletext"/>
              <w:rPr>
                <w:rStyle w:val="AERtextsize8"/>
              </w:rPr>
            </w:pPr>
            <w:r w:rsidRPr="00DC4DA2">
              <w:rPr>
                <w:rStyle w:val="AERtextsize8"/>
              </w:rPr>
              <w:t>Liquidity premia</w:t>
            </w:r>
          </w:p>
        </w:tc>
        <w:tc>
          <w:tcPr>
            <w:tcW w:w="4593" w:type="pct"/>
          </w:tcPr>
          <w:p w:rsidR="00254472" w:rsidRPr="00254472" w:rsidRDefault="00254472" w:rsidP="00254472">
            <w:pPr>
              <w:pStyle w:val="Tabletext"/>
              <w:rPr>
                <w:rStyle w:val="AERtextsize8"/>
              </w:rPr>
            </w:pPr>
            <w:r w:rsidRPr="00DC4DA2">
              <w:rPr>
                <w:rStyle w:val="AERtextsize8"/>
              </w:rPr>
              <w:t>Likely to result in potential overestimates of expected inflation.</w:t>
            </w:r>
            <w:r w:rsidRPr="00254472">
              <w:rPr>
                <w:rStyle w:val="AERtextsize8"/>
              </w:rPr>
              <w:t xml:space="preserve"> Zero coupon inflation swap rates may also contain liquidity premia, which may drive a wedge between the raw inflation swap rate and expected inflation rate. A-priori liquidity premia may be near zero since swaps can be created as required and there is no supply limitation. Observations of Australian data suggest that this liquidity premia may be negligible.</w:t>
            </w:r>
            <w:r w:rsidRPr="00254472">
              <w:rPr>
                <w:rStyle w:val="FootnoteReference"/>
              </w:rPr>
              <w:footnoteReference w:id="685"/>
            </w:r>
            <w:r w:rsidRPr="00254472">
              <w:rPr>
                <w:rStyle w:val="AERtextsize8"/>
              </w:rPr>
              <w:t xml:space="preserve"> If the inflation swap method includes a liquidity premium it is likely to produce overestimates of the expected inflation rate.  Furthermore, the liquidity premium is likely to be greater during periods of uncertainty when investors’ appreciation of liquidity risk may have changed.</w:t>
            </w:r>
          </w:p>
        </w:tc>
      </w:tr>
    </w:tbl>
    <w:p w:rsidR="00254472" w:rsidRPr="003F16D8" w:rsidRDefault="00254472" w:rsidP="00254472">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68 - 69. </w:t>
      </w:r>
      <w:r w:rsidRPr="003F16D8">
        <w:rPr>
          <w:rStyle w:val="AERtextsize8"/>
        </w:rPr>
        <w:t xml:space="preserve"> </w:t>
      </w:r>
    </w:p>
    <w:p w:rsidR="00254472" w:rsidRDefault="00254472" w:rsidP="00254472">
      <w:r w:rsidRPr="00830517">
        <w:t xml:space="preserve">Despite these potential biases, </w:t>
      </w:r>
      <w:r>
        <w:t xml:space="preserve">the </w:t>
      </w:r>
      <w:r w:rsidRPr="00830517">
        <w:t xml:space="preserve">ACCC </w:t>
      </w:r>
      <w:r>
        <w:t>w</w:t>
      </w:r>
      <w:r w:rsidRPr="00830517">
        <w:t xml:space="preserve">orking </w:t>
      </w:r>
      <w:r>
        <w:t>p</w:t>
      </w:r>
      <w:r w:rsidRPr="00830517">
        <w:t>aper #</w:t>
      </w:r>
      <w:r>
        <w:t>11</w:t>
      </w:r>
      <w:r w:rsidRPr="00830517">
        <w:t xml:space="preserve"> notes a number of studies that suggest that inflation swaps may provide better estimates of expected inflation than the breakeven method.</w:t>
      </w:r>
      <w:r w:rsidRPr="00272C0C">
        <w:rPr>
          <w:rStyle w:val="FootnoteReference"/>
        </w:rPr>
        <w:footnoteReference w:id="686"/>
      </w:r>
      <w:r>
        <w:t xml:space="preserve"> </w:t>
      </w:r>
    </w:p>
    <w:p w:rsidR="00C359B0" w:rsidRDefault="00C359B0" w:rsidP="00C359B0">
      <w:pPr>
        <w:pStyle w:val="Heading2"/>
      </w:pPr>
      <w:bookmarkStart w:id="124" w:name="_Toc487037142"/>
      <w:r w:rsidRPr="001754EE">
        <w:t>Re</w:t>
      </w:r>
      <w:r>
        <w:t>visi</w:t>
      </w:r>
      <w:r w:rsidRPr="001754EE">
        <w:t>ons</w:t>
      </w:r>
      <w:bookmarkEnd w:id="124"/>
      <w:r>
        <w:t xml:space="preserve"> </w:t>
      </w:r>
    </w:p>
    <w:p w:rsidR="00C359B0" w:rsidRPr="00FF5C34" w:rsidRDefault="00C359B0" w:rsidP="00C359B0">
      <w:r w:rsidRPr="00FF5C34">
        <w:t>We require the following revisions to make the access arrangement proposal acceptable:</w:t>
      </w:r>
    </w:p>
    <w:p w:rsidR="00C359B0" w:rsidRDefault="00C359B0" w:rsidP="00C359B0">
      <w:pPr>
        <w:rPr>
          <w:rStyle w:val="AERbody"/>
        </w:rPr>
      </w:pPr>
      <w:r>
        <w:rPr>
          <w:rStyle w:val="Strong"/>
        </w:rPr>
        <w:t>Revision 3.1</w:t>
      </w:r>
      <w:r w:rsidRPr="004E34C0">
        <w:rPr>
          <w:rStyle w:val="AERbody"/>
        </w:rPr>
        <w:t>:</w:t>
      </w:r>
      <w:r>
        <w:rPr>
          <w:rStyle w:val="Strong"/>
        </w:rPr>
        <w:t xml:space="preserve"> </w:t>
      </w:r>
      <w:r w:rsidRPr="004E34C0">
        <w:rPr>
          <w:rStyle w:val="AERbody"/>
        </w:rPr>
        <w:t xml:space="preserve"> </w:t>
      </w:r>
      <w:r w:rsidRPr="00427F93">
        <w:t>Make all the necessary amendments to the access arrangement proposal to</w:t>
      </w:r>
      <w:r>
        <w:t xml:space="preserve"> </w:t>
      </w:r>
      <w:r w:rsidRPr="00427F93">
        <w:t>give effect to this draft decision</w:t>
      </w:r>
      <w:r>
        <w:rPr>
          <w:rStyle w:val="AERbody"/>
        </w:rPr>
        <w:t>.</w:t>
      </w:r>
    </w:p>
    <w:p w:rsidR="00C359B0" w:rsidRDefault="00C359B0" w:rsidP="00254472"/>
    <w:p w:rsidR="00762CF4" w:rsidRDefault="00762CF4" w:rsidP="005A6140"/>
    <w:p w:rsidR="00762CF4" w:rsidRDefault="00762CF4" w:rsidP="005A6140"/>
    <w:p w:rsidR="005A6140" w:rsidRDefault="005A6140" w:rsidP="005A6140"/>
    <w:p w:rsidR="005A6140" w:rsidRDefault="005A6140"/>
    <w:p w:rsidR="005A6140" w:rsidRDefault="005A6140"/>
    <w:p w:rsidR="005A6140" w:rsidRDefault="005A6140"/>
    <w:p w:rsidR="004D6A10" w:rsidRDefault="004D6A10" w:rsidP="00A164C0"/>
    <w:p w:rsidR="000A0378" w:rsidRDefault="000A0378" w:rsidP="00CC7A1C">
      <w:pPr>
        <w:numPr>
          <w:ilvl w:val="0"/>
          <w:numId w:val="24"/>
        </w:numPr>
        <w:rPr>
          <w:rStyle w:val="AERbody"/>
          <w:rFonts w:cs="Times New Roman"/>
        </w:rPr>
      </w:pPr>
      <w:r>
        <w:rPr>
          <w:rStyle w:val="AERbody"/>
        </w:rPr>
        <w:br w:type="page"/>
      </w:r>
    </w:p>
    <w:p w:rsidR="000A0378" w:rsidRDefault="000A0378" w:rsidP="000A0378">
      <w:pPr>
        <w:pStyle w:val="Heading7"/>
      </w:pPr>
      <w:bookmarkStart w:id="125" w:name="_Ref448871343"/>
      <w:bookmarkStart w:id="126" w:name="_Toc452629083"/>
      <w:bookmarkStart w:id="127" w:name="_Toc456686708"/>
      <w:bookmarkStart w:id="128" w:name="_Toc487037143"/>
      <w:r>
        <w:t>Our foundation model approach</w:t>
      </w:r>
      <w:bookmarkEnd w:id="125"/>
      <w:bookmarkEnd w:id="126"/>
      <w:bookmarkEnd w:id="127"/>
      <w:bookmarkEnd w:id="128"/>
    </w:p>
    <w:p w:rsidR="000A0378" w:rsidRDefault="000A0378" w:rsidP="000A0378">
      <w:r>
        <w:t xml:space="preserve">We determined the allowed return on equity by applying </w:t>
      </w:r>
      <w:r w:rsidR="00982130">
        <w:t>the Guideline</w:t>
      </w:r>
      <w:r>
        <w:t xml:space="preserve"> foundation model approach. The foundation model approach was developed after extensive consultation during the formation of our Rate of Return Guideline in December 2013.</w:t>
      </w:r>
    </w:p>
    <w:p w:rsidR="00EC3862" w:rsidRDefault="00EC3862" w:rsidP="00EC3862">
      <w:r>
        <w:t xml:space="preserve">We note that </w:t>
      </w:r>
      <w:r w:rsidR="001D70DE">
        <w:t>AGN</w:t>
      </w:r>
      <w:r>
        <w:t xml:space="preserve"> ha</w:t>
      </w:r>
      <w:r w:rsidR="001D70DE">
        <w:t>s</w:t>
      </w:r>
      <w:r>
        <w:t xml:space="preserve"> fully adopted the Guideline foundation model approach for estimating the return on equity.</w:t>
      </w:r>
      <w:r w:rsidR="00F1730F">
        <w:rPr>
          <w:rStyle w:val="FootnoteReference"/>
        </w:rPr>
        <w:footnoteReference w:id="687"/>
      </w:r>
    </w:p>
    <w:p w:rsidR="000A0378" w:rsidRDefault="00FE51DA" w:rsidP="000A0378">
      <w:r>
        <w:t xml:space="preserve">We note </w:t>
      </w:r>
      <w:r w:rsidR="00D6679E">
        <w:t>AusNet</w:t>
      </w:r>
      <w:r w:rsidR="001D70DE">
        <w:t>, Multinet, APA and APTPPL</w:t>
      </w:r>
      <w:r w:rsidR="00D6679E">
        <w:t xml:space="preserve"> </w:t>
      </w:r>
      <w:r>
        <w:t xml:space="preserve">have </w:t>
      </w:r>
      <w:r w:rsidR="00D6679E">
        <w:t xml:space="preserve">proposed to apply </w:t>
      </w:r>
      <w:r>
        <w:t>'</w:t>
      </w:r>
      <w:r w:rsidR="00D6679E">
        <w:t>the foundation model approach and estimates the return on equity using the Sharpe-Lintner CAPM</w:t>
      </w:r>
      <w:r>
        <w:t>'</w:t>
      </w:r>
      <w:r w:rsidR="00D6679E">
        <w:t>.</w:t>
      </w:r>
      <w:r w:rsidR="008C22C1">
        <w:rPr>
          <w:rStyle w:val="FootnoteReference"/>
        </w:rPr>
        <w:footnoteReference w:id="688"/>
      </w:r>
      <w:r w:rsidR="000A0378">
        <w:t xml:space="preserve"> </w:t>
      </w:r>
      <w:r w:rsidR="00D6679E">
        <w:t xml:space="preserve">However, we consider that </w:t>
      </w:r>
      <w:r w:rsidR="001D70DE">
        <w:t>these service providers</w:t>
      </w:r>
      <w:r>
        <w:t xml:space="preserve"> are not fully appreciative of the features of the foundation model approach </w:t>
      </w:r>
      <w:r w:rsidR="000A0378">
        <w:t>and provide the following for clarification:</w:t>
      </w:r>
    </w:p>
    <w:p w:rsidR="000A0378" w:rsidRDefault="000A0378" w:rsidP="000A0378">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689"/>
      </w:r>
    </w:p>
    <w:p w:rsidR="000A0378" w:rsidRPr="0081065F" w:rsidRDefault="000A0378" w:rsidP="000A0378">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A0378" w:rsidRDefault="000A0378" w:rsidP="000A0378">
      <w:pPr>
        <w:pStyle w:val="AERbulletlistfirststyle"/>
      </w:pPr>
      <w:r>
        <w:t>The foundation model approach has six steps, but this does not mean that material considered in earlier steps are given more weight than material considered in later steps.</w:t>
      </w:r>
    </w:p>
    <w:p w:rsidR="000A0378" w:rsidRDefault="000A0378" w:rsidP="000A0378">
      <w:pPr>
        <w:pStyle w:val="AERbulletlistfirststyle"/>
      </w:pPr>
      <w:r>
        <w:t>Identifying material as being valuable in the estimation of one parameter (</w:t>
      </w:r>
      <w:r w:rsidR="00A65A7E">
        <w:t>e.g.</w:t>
      </w:r>
      <w:r>
        <w:t xml:space="preserve"> market risk premium) does not prevent us from considering the value of that parameter for the estimation of other parameters (</w:t>
      </w:r>
      <w:r w:rsidR="00A65A7E">
        <w:t>e.g.</w:t>
      </w:r>
      <w:r>
        <w:t xml:space="preserve">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A0378" w:rsidRDefault="000A0378" w:rsidP="000A0378">
      <w:pPr>
        <w:pStyle w:val="AERbulletlistfirststyle"/>
      </w:pPr>
      <w:r>
        <w:t xml:space="preserve">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w:t>
      </w:r>
      <w:r w:rsidR="00500D7A">
        <w:t>APTPPL</w:t>
      </w:r>
      <w:r>
        <w:t>'</w:t>
      </w:r>
      <w:r w:rsidR="00500D7A">
        <w:t>s</w:t>
      </w:r>
      <w:r>
        <w:t xml:space="preserve"> </w:t>
      </w:r>
      <w:r w:rsidR="00500D7A">
        <w:t xml:space="preserve">reference </w:t>
      </w:r>
      <w:r>
        <w:t>services.</w:t>
      </w:r>
    </w:p>
    <w:p w:rsidR="000A0378" w:rsidRPr="003D1061" w:rsidRDefault="000A0378" w:rsidP="00CC7A1C">
      <w:pPr>
        <w:numPr>
          <w:ilvl w:val="0"/>
          <w:numId w:val="24"/>
        </w:numPr>
      </w:pPr>
      <w:r>
        <w:t>Our approach was endorsed by the Tribunal, which stated recently:</w:t>
      </w:r>
    </w:p>
    <w:p w:rsidR="000A0378" w:rsidRPr="003D1061" w:rsidRDefault="000A0378" w:rsidP="000A0378">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A0378" w:rsidRPr="003D1061" w:rsidRDefault="000A0378" w:rsidP="000A0378">
      <w:pPr>
        <w:pStyle w:val="AERquote"/>
      </w:pPr>
      <w:r w:rsidRPr="003D1061">
        <w:t xml:space="preserve">(a) the RoR Objective has primacy in any estimation of the rate of return on equity (pp 18, 36 and 38-39); </w:t>
      </w:r>
    </w:p>
    <w:p w:rsidR="000A0378" w:rsidRPr="003D1061" w:rsidRDefault="000A0378" w:rsidP="000A0378">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A0378" w:rsidRPr="003D1061" w:rsidRDefault="000A0378" w:rsidP="000A0378">
      <w:pPr>
        <w:pStyle w:val="AERquote"/>
      </w:pPr>
      <w:r w:rsidRPr="003D1061">
        <w:t xml:space="preserve">(c) the AER must actively turn its mind to the factors listed, but it is up to the regulator to determine whether and, if so, how the factors should influence its decision (if at all) (pp 36-37); </w:t>
      </w:r>
    </w:p>
    <w:p w:rsidR="000A0378" w:rsidRPr="003D1061" w:rsidRDefault="000A0378" w:rsidP="000A0378">
      <w:pPr>
        <w:pStyle w:val="AERquote"/>
      </w:pPr>
      <w:r w:rsidRPr="003D1061">
        <w:t xml:space="preserve">(d) it is important that the AER be given flexibility to adopt an approach to determining the rate of return that is appropriate to market conditions (p 44); </w:t>
      </w:r>
    </w:p>
    <w:p w:rsidR="000A0378" w:rsidRPr="003D1061" w:rsidRDefault="000A0378" w:rsidP="000A0378">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A0378" w:rsidRPr="003D1061" w:rsidRDefault="000A0378" w:rsidP="000A0378">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0A0378" w:rsidRPr="003D1061" w:rsidRDefault="000A0378" w:rsidP="000A0378">
      <w:pPr>
        <w:pStyle w:val="AERquote"/>
      </w:pPr>
      <w:r w:rsidRPr="003D1061">
        <w:t>(g) the RoR 2013 Guideline should include details as to the financial models that the AER would take into account in making a determination, and why it has chosen those models over other models (p 70);</w:t>
      </w:r>
    </w:p>
    <w:p w:rsidR="000A0378" w:rsidRPr="003D1061" w:rsidRDefault="000A0378" w:rsidP="000A0378">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A0378" w:rsidRDefault="000A0378" w:rsidP="000A0378">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A0378" w:rsidRPr="002629C5" w:rsidRDefault="000A0378" w:rsidP="000A0378">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90"/>
      </w:r>
      <w:r>
        <w:t xml:space="preserve"> We recognise that there are potential weaknesses in the different models and estimation methods.  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691"/>
      </w:r>
    </w:p>
    <w:p w:rsidR="000A0378" w:rsidRPr="002629C5" w:rsidRDefault="000A0378" w:rsidP="000A0378">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A0378" w:rsidRPr="002629C5" w:rsidRDefault="000A0378" w:rsidP="000A0378">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A0378" w:rsidRPr="002629C5" w:rsidRDefault="000A0378" w:rsidP="000A0378">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A0378" w:rsidRPr="00C241EE" w:rsidRDefault="000A0378" w:rsidP="000A0378">
      <w:r>
        <w:t>This means that when we consider conflicting evidence, we must come to a conclusion that we consider fits the regulatory requirements.  This has been recently emphasised again by the Tribunal:</w:t>
      </w:r>
      <w:r>
        <w:rPr>
          <w:rStyle w:val="FootnoteReference"/>
        </w:rPr>
        <w:footnoteReference w:id="692"/>
      </w:r>
    </w:p>
    <w:p w:rsidR="000A0378" w:rsidRPr="00CA3F61" w:rsidRDefault="000A0378" w:rsidP="000A0378">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B047E3" w:rsidRPr="00E5005D" w:rsidRDefault="00B047E3" w:rsidP="00CC7A1C">
      <w:pPr>
        <w:numPr>
          <w:ilvl w:val="0"/>
          <w:numId w:val="24"/>
        </w:numPr>
      </w:pPr>
      <w:r w:rsidRPr="00E5005D">
        <w:t xml:space="preserve"> </w:t>
      </w:r>
    </w:p>
    <w:p w:rsidR="00BB18D4" w:rsidRPr="00BB18D4" w:rsidRDefault="00BB18D4" w:rsidP="00BB18D4">
      <w:pPr>
        <w:pStyle w:val="Heading7"/>
      </w:pPr>
      <w:bookmarkStart w:id="129" w:name="_Ref451685041"/>
      <w:bookmarkStart w:id="130" w:name="_Toc452629084"/>
      <w:bookmarkStart w:id="131" w:name="_Toc456686709"/>
      <w:bookmarkStart w:id="132" w:name="_Ref451414893"/>
      <w:bookmarkStart w:id="133" w:name="_Ref451414916"/>
      <w:bookmarkStart w:id="134" w:name="_Ref451415098"/>
      <w:bookmarkStart w:id="135" w:name="_Ref451415590"/>
      <w:bookmarkStart w:id="136" w:name="_Ref451415625"/>
      <w:bookmarkStart w:id="137" w:name="_Ref451415763"/>
      <w:bookmarkStart w:id="138" w:name="_Ref451415800"/>
      <w:bookmarkStart w:id="139" w:name="_Ref451415926"/>
      <w:bookmarkStart w:id="140" w:name="_Ref451416598"/>
      <w:bookmarkStart w:id="141" w:name="_Ref451416623"/>
      <w:bookmarkStart w:id="142" w:name="_Ref451416644"/>
      <w:bookmarkStart w:id="143" w:name="_Toc451498843"/>
      <w:bookmarkStart w:id="144" w:name="_Toc487037144"/>
      <w:r w:rsidRPr="00BB18D4">
        <w:t>Equity models</w:t>
      </w:r>
      <w:bookmarkEnd w:id="129"/>
      <w:bookmarkEnd w:id="130"/>
      <w:bookmarkEnd w:id="131"/>
      <w:bookmarkEnd w:id="144"/>
    </w:p>
    <w:p w:rsidR="00A210B3" w:rsidRPr="001562D4" w:rsidRDefault="00A210B3" w:rsidP="00CC7A1C">
      <w:pPr>
        <w:numPr>
          <w:ilvl w:val="0"/>
          <w:numId w:val="24"/>
        </w:numPr>
      </w:pPr>
      <w:bookmarkStart w:id="145" w:name="_Toc443923187"/>
      <w:bookmarkStart w:id="146" w:name="_Ref445849366"/>
      <w:bookmarkStart w:id="147" w:name="_Ref451691679"/>
      <w:bookmarkStart w:id="148" w:name="_Ref451691691"/>
      <w:bookmarkStart w:id="149" w:name="_Toc451943786"/>
      <w:bookmarkStart w:id="150" w:name="_Toc456686710"/>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210B3" w:rsidRPr="001562D4" w:rsidRDefault="00A210B3" w:rsidP="00CC7A1C">
      <w:pPr>
        <w:pStyle w:val="ListNumber"/>
        <w:numPr>
          <w:ilvl w:val="1"/>
          <w:numId w:val="24"/>
        </w:numPr>
      </w:pPr>
      <w:r w:rsidRPr="001562D4">
        <w:t>The Sharp</w:t>
      </w:r>
      <w:r>
        <w:t>e–</w:t>
      </w:r>
      <w:r w:rsidRPr="001562D4">
        <w:t>Lintn</w:t>
      </w:r>
      <w:r>
        <w:t>er Capital Asset Pricing Model (Sharpe-Lintner CAPM)</w:t>
      </w:r>
    </w:p>
    <w:p w:rsidR="00A210B3" w:rsidRPr="001562D4" w:rsidRDefault="00A210B3" w:rsidP="00CC7A1C">
      <w:pPr>
        <w:pStyle w:val="ListNumber"/>
        <w:numPr>
          <w:ilvl w:val="1"/>
          <w:numId w:val="24"/>
        </w:numPr>
      </w:pPr>
      <w:r w:rsidRPr="001562D4">
        <w:t>The Black Capital Asset Pricing model (Black CAPM)</w:t>
      </w:r>
    </w:p>
    <w:p w:rsidR="00A210B3" w:rsidRPr="001562D4" w:rsidRDefault="00A210B3" w:rsidP="00CC7A1C">
      <w:pPr>
        <w:pStyle w:val="ListNumber"/>
        <w:numPr>
          <w:ilvl w:val="1"/>
          <w:numId w:val="24"/>
        </w:numPr>
      </w:pPr>
      <w:r w:rsidRPr="001562D4">
        <w:t xml:space="preserve">The </w:t>
      </w:r>
      <w:r>
        <w:t>Fama French Three Factor Model</w:t>
      </w:r>
    </w:p>
    <w:p w:rsidR="00A210B3" w:rsidRPr="001562D4" w:rsidRDefault="00A210B3" w:rsidP="00CC7A1C">
      <w:pPr>
        <w:pStyle w:val="ListNumber"/>
        <w:numPr>
          <w:ilvl w:val="1"/>
          <w:numId w:val="24"/>
        </w:numPr>
      </w:pPr>
      <w:r>
        <w:t>The Dividend Growth Model</w:t>
      </w:r>
    </w:p>
    <w:p w:rsidR="00A210B3" w:rsidRDefault="00A210B3" w:rsidP="00CC7A1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210B3" w:rsidRDefault="00A210B3" w:rsidP="00CC7A1C">
      <w:pPr>
        <w:numPr>
          <w:ilvl w:val="0"/>
          <w:numId w:val="24"/>
        </w:numPr>
      </w:pPr>
      <w:r>
        <w:t>The current service providers</w:t>
      </w:r>
      <w:r w:rsidR="001537E5">
        <w:t xml:space="preserve"> including </w:t>
      </w:r>
      <w:r w:rsidR="00E07006">
        <w:t xml:space="preserve">Multinet </w:t>
      </w:r>
      <w:r>
        <w:t>proposed using the Sharpe-Lintner CAPM to estimate the return on equity.</w:t>
      </w:r>
      <w:r>
        <w:rPr>
          <w:rStyle w:val="FootnoteReference"/>
        </w:rPr>
        <w:footnoteReference w:id="693"/>
      </w:r>
      <w:r>
        <w:t xml:space="preserve"> </w:t>
      </w:r>
      <w:r w:rsidR="006C250D">
        <w:t>However</w:t>
      </w:r>
      <w:r w:rsidR="00CD6F98">
        <w:t>, Multinet has proposed to include an additional 'alpha' term in the Sharpe-Lintner CAPM to account for the model's low-beta bias for low beta stocks.</w:t>
      </w:r>
      <w:r w:rsidR="00CD6F98">
        <w:rPr>
          <w:rStyle w:val="FootnoteReference"/>
        </w:rPr>
        <w:footnoteReference w:id="694"/>
      </w:r>
      <w:r w:rsidR="00CD6F98">
        <w:t xml:space="preserve"> We consider this proposal in more detail in Appendix </w:t>
      </w:r>
      <w:r w:rsidR="00CD6F98">
        <w:fldChar w:fldCharType="begin"/>
      </w:r>
      <w:r w:rsidR="00CD6F98">
        <w:instrText xml:space="preserve"> REF _Ref482360533 \r \h </w:instrText>
      </w:r>
      <w:r w:rsidR="00CD6F98">
        <w:fldChar w:fldCharType="separate"/>
      </w:r>
      <w:r w:rsidR="002C24D6">
        <w:t>B.1</w:t>
      </w:r>
      <w:r w:rsidR="00CD6F98">
        <w:fldChar w:fldCharType="end"/>
      </w:r>
      <w:r w:rsidR="00CD6F98">
        <w:t>.</w:t>
      </w:r>
    </w:p>
    <w:p w:rsidR="00A210B3" w:rsidRPr="001562D4" w:rsidRDefault="00A210B3" w:rsidP="00CC7A1C">
      <w:pPr>
        <w:numPr>
          <w:ilvl w:val="0"/>
          <w:numId w:val="24"/>
        </w:numPr>
      </w:pPr>
      <w:r>
        <w:t>In previous regulatory processes, 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95"/>
      </w:r>
      <w:r>
        <w:t xml:space="preserve"> </w:t>
      </w:r>
    </w:p>
    <w:p w:rsidR="00A210B3" w:rsidRPr="0010250E" w:rsidRDefault="00A210B3" w:rsidP="00A210B3">
      <w:pPr>
        <w:pStyle w:val="AERbulletlistfirststyle"/>
      </w:pPr>
      <w:r>
        <w:t>e</w:t>
      </w:r>
      <w:r w:rsidRPr="0010250E">
        <w:t>stimating their proposed return on equity as part of a multi-model approach, or to inform input parameters into the Sharpe-Lintner CAPM, and/or</w:t>
      </w:r>
    </w:p>
    <w:p w:rsidR="00A210B3" w:rsidRPr="0010250E" w:rsidRDefault="00A210B3" w:rsidP="00A210B3">
      <w:pPr>
        <w:pStyle w:val="AERbulletlistfirststyle"/>
      </w:pPr>
      <w:r>
        <w:t xml:space="preserve">providing </w:t>
      </w:r>
      <w:r w:rsidRPr="0010250E">
        <w:t>evidentiary support that their estimate of the return on equity is reasonable and will contribute to the achievement of the ARORO.</w:t>
      </w:r>
    </w:p>
    <w:p w:rsidR="00A210B3" w:rsidRDefault="00A210B3" w:rsidP="00CC7A1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BB18D4" w:rsidRDefault="00BB18D4" w:rsidP="00BB18D4">
      <w:pPr>
        <w:pStyle w:val="Heading8"/>
      </w:pPr>
      <w:bookmarkStart w:id="151" w:name="_Ref482360533"/>
      <w:bookmarkStart w:id="152" w:name="_Toc487037145"/>
      <w:r w:rsidRPr="00BB18D4">
        <w:t>Sharpe-Lintner CAPM</w:t>
      </w:r>
      <w:bookmarkEnd w:id="145"/>
      <w:bookmarkEnd w:id="146"/>
      <w:bookmarkEnd w:id="147"/>
      <w:bookmarkEnd w:id="148"/>
      <w:bookmarkEnd w:id="149"/>
      <w:bookmarkEnd w:id="150"/>
      <w:bookmarkEnd w:id="151"/>
      <w:bookmarkEnd w:id="152"/>
    </w:p>
    <w:p w:rsidR="00A210B3" w:rsidRPr="001562D4" w:rsidRDefault="00A210B3" w:rsidP="00CC7A1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96"/>
      </w:r>
    </w:p>
    <w:p w:rsidR="00A210B3" w:rsidRDefault="00A210B3" w:rsidP="00CC7A1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97"/>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210B3" w:rsidRPr="001562D4" w:rsidRDefault="00A210B3" w:rsidP="00CC7A1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98"/>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99"/>
      </w:r>
    </w:p>
    <w:p w:rsidR="00A210B3" w:rsidRPr="001562D4" w:rsidRDefault="00A210B3" w:rsidP="00CC7A1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700"/>
      </w:r>
      <w:r>
        <w:t xml:space="preserve"> We consider the model:</w:t>
      </w:r>
    </w:p>
    <w:p w:rsidR="00A210B3" w:rsidRPr="0010250E" w:rsidRDefault="00A210B3" w:rsidP="00A210B3">
      <w:pPr>
        <w:pStyle w:val="AERbulletlistfirststyle"/>
      </w:pPr>
      <w:r w:rsidRPr="001562D4">
        <w:t>is reflective of economic and finance pri</w:t>
      </w:r>
      <w:r w:rsidRPr="0010250E">
        <w:t>nciples and market information</w:t>
      </w:r>
    </w:p>
    <w:p w:rsidR="00A210B3" w:rsidRPr="0010250E" w:rsidRDefault="00A210B3" w:rsidP="00A210B3">
      <w:pPr>
        <w:pStyle w:val="AERbulletlistfirststyle"/>
      </w:pPr>
      <w:r w:rsidRPr="001562D4">
        <w:t xml:space="preserve">is fit for purpose as it was developed for </w:t>
      </w:r>
      <w:r w:rsidRPr="0010250E">
        <w:t>estimating the cost of capital</w:t>
      </w:r>
    </w:p>
    <w:p w:rsidR="00A210B3" w:rsidRPr="0010250E" w:rsidRDefault="00A210B3" w:rsidP="00A210B3">
      <w:pPr>
        <w:pStyle w:val="AERbulletlistfirststyle"/>
      </w:pPr>
      <w:r w:rsidRPr="001562D4">
        <w:t>can be implemented in accordance with good pr</w:t>
      </w:r>
      <w:r w:rsidRPr="0010250E">
        <w:t>actice</w:t>
      </w:r>
    </w:p>
    <w:p w:rsidR="00A210B3" w:rsidRPr="0010250E" w:rsidRDefault="00A210B3" w:rsidP="00A210B3">
      <w:pPr>
        <w:pStyle w:val="AERbulletlistfirststyle"/>
      </w:pPr>
      <w:r w:rsidRPr="001562D4">
        <w:t>is not unduly sensitive to errors in</w:t>
      </w:r>
      <w:r w:rsidRPr="0010250E">
        <w:t xml:space="preserve"> inputs or arbitrary filtering</w:t>
      </w:r>
    </w:p>
    <w:p w:rsidR="00A210B3" w:rsidRPr="0010250E" w:rsidRDefault="00A210B3" w:rsidP="00A210B3">
      <w:pPr>
        <w:pStyle w:val="AERbulletlistfirststyle"/>
      </w:pPr>
      <w:r w:rsidRPr="001562D4">
        <w:t xml:space="preserve">uses input data that is credible and verifiable, comparable and </w:t>
      </w:r>
      <w:r w:rsidRPr="0010250E">
        <w:t>timely and clearly sourced</w:t>
      </w:r>
    </w:p>
    <w:p w:rsidR="00A210B3" w:rsidRPr="0010250E" w:rsidRDefault="00A210B3" w:rsidP="00A210B3">
      <w:pPr>
        <w:pStyle w:val="AERbulletlistfirststyle"/>
      </w:pPr>
      <w:r w:rsidRPr="001562D4">
        <w:t>is sufficiently flexible to allow for changing market conditions and new information to be reflected in regul</w:t>
      </w:r>
      <w:r w:rsidRPr="0010250E">
        <w:t>atory outcomes, as appropriate.</w:t>
      </w:r>
    </w:p>
    <w:p w:rsidR="00A210B3" w:rsidRPr="006C4D93" w:rsidRDefault="00A210B3" w:rsidP="00A210B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701"/>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w:t>
      </w:r>
      <w:r w:rsidR="006B3297">
        <w:t>ference</w:t>
      </w:r>
      <w:r w:rsidRPr="00C61D42">
        <w:t xml:space="preserve"> service providers can efficiently raise equity.</w:t>
      </w:r>
    </w:p>
    <w:p w:rsidR="00A210B3" w:rsidRPr="001562D4" w:rsidRDefault="00A210B3" w:rsidP="00CC7A1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702"/>
      </w:r>
    </w:p>
    <w:p w:rsidR="00A210B3" w:rsidRPr="0010250E" w:rsidRDefault="00A210B3" w:rsidP="00A210B3">
      <w:pPr>
        <w:pStyle w:val="AERbulletlistfirststyle"/>
      </w:pPr>
      <w:r>
        <w:t>A</w:t>
      </w:r>
      <w:r w:rsidRPr="0010250E">
        <w:t>s the foundation model it, 'provides a starting point, which is firmly based in a mature and well accepted theoretical and empirical literature'.</w:t>
      </w:r>
    </w:p>
    <w:p w:rsidR="00A210B3" w:rsidRPr="0010250E" w:rsidRDefault="00A210B3" w:rsidP="00A210B3">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A210B3" w:rsidRPr="0010250E" w:rsidRDefault="00A210B3" w:rsidP="00A210B3">
      <w:pPr>
        <w:pStyle w:val="AERbulletlistfirststyle"/>
      </w:pPr>
      <w:r>
        <w:t>Its '</w:t>
      </w:r>
      <w:r w:rsidRPr="0010250E">
        <w:t>place as the foundation model is justifiable in terms of its simple theoretical underpinnings and relative ease of application'.</w:t>
      </w:r>
    </w:p>
    <w:p w:rsidR="00A210B3" w:rsidRPr="0010250E" w:rsidRDefault="00A210B3" w:rsidP="00A210B3">
      <w:pPr>
        <w:pStyle w:val="AERbulletlistfirststyle"/>
      </w:pPr>
      <w:r>
        <w:t>T</w:t>
      </w:r>
      <w:r w:rsidRPr="0010250E">
        <w:t>he majority of international regulators primarily base their decision on the Sharpe-Lintner CAPM framework.</w:t>
      </w:r>
    </w:p>
    <w:p w:rsidR="00A210B3" w:rsidRPr="001562D4" w:rsidRDefault="00A210B3" w:rsidP="00CC7A1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703"/>
      </w:r>
    </w:p>
    <w:p w:rsidR="00A210B3" w:rsidRPr="0010250E" w:rsidRDefault="00A210B3" w:rsidP="00A210B3">
      <w:pPr>
        <w:pStyle w:val="AERbulletlistfirststyle"/>
      </w:pPr>
      <w:r w:rsidRPr="001562D4">
        <w:t xml:space="preserve">lead to a reasonable estimate of the </w:t>
      </w:r>
      <w:r w:rsidRPr="0010250E">
        <w:t>return on equity</w:t>
      </w:r>
    </w:p>
    <w:p w:rsidR="00A210B3" w:rsidRPr="0010250E" w:rsidRDefault="00A210B3" w:rsidP="00A210B3">
      <w:pPr>
        <w:pStyle w:val="AERbulletlistfirststyle"/>
      </w:pPr>
      <w:r w:rsidRPr="001562D4">
        <w:t xml:space="preserve">lead to a </w:t>
      </w:r>
      <w:r w:rsidRPr="0010250E">
        <w:t>rate of return that meets the allowed rate of return objective</w:t>
      </w:r>
    </w:p>
    <w:p w:rsidR="00A210B3" w:rsidRPr="0010250E" w:rsidRDefault="00A210B3" w:rsidP="00A210B3">
      <w:pPr>
        <w:pStyle w:val="AERbulletlistfirststyle"/>
      </w:pPr>
      <w:r w:rsidRPr="001562D4">
        <w:t>not lead to a downward biased estimate of the cost of equity fo</w:t>
      </w:r>
      <w:r w:rsidRPr="0010250E">
        <w:t>r a benchmark efficient entity.</w:t>
      </w:r>
    </w:p>
    <w:p w:rsidR="00A210B3" w:rsidRDefault="00A210B3" w:rsidP="00CC7A1C">
      <w:pPr>
        <w:pStyle w:val="AERbulletlistfirststyle"/>
        <w:numPr>
          <w:ilvl w:val="0"/>
          <w:numId w:val="24"/>
        </w:numPr>
      </w:pPr>
      <w:r>
        <w:t>In relation to the Sharpe-Lintner CAPM, Partington and Satchell noted:</w:t>
      </w:r>
      <w:r>
        <w:rPr>
          <w:rStyle w:val="FootnoteReference"/>
        </w:rPr>
        <w:footnoteReference w:id="704"/>
      </w:r>
      <w:r>
        <w:t xml:space="preserve"> </w:t>
      </w:r>
    </w:p>
    <w:p w:rsidR="00A210B3" w:rsidRPr="0010250E" w:rsidRDefault="00A210B3" w:rsidP="00A210B3">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705"/>
      </w:r>
    </w:p>
    <w:p w:rsidR="00A210B3" w:rsidRPr="0010250E" w:rsidRDefault="00A210B3" w:rsidP="00A210B3">
      <w:pPr>
        <w:pStyle w:val="AERbulletlistfirststyle"/>
      </w:pPr>
      <w:r>
        <w:t xml:space="preserve">It is 'widely used and understood'. </w:t>
      </w:r>
    </w:p>
    <w:p w:rsidR="00A210B3" w:rsidRPr="0010250E" w:rsidRDefault="00A210B3" w:rsidP="00A210B3">
      <w:pPr>
        <w:pStyle w:val="AERbulletlistfirststyle"/>
      </w:pPr>
      <w:r>
        <w:t xml:space="preserve">The model has passed the test of time and 'has had several decades of widespread practical use in estimating the cost of capital'. </w:t>
      </w:r>
    </w:p>
    <w:p w:rsidR="00A210B3" w:rsidRDefault="00A210B3" w:rsidP="00CC7A1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706"/>
      </w:r>
      <w:r>
        <w:t xml:space="preserve"> He noted:</w:t>
      </w:r>
      <w:r w:rsidRPr="00B310A9">
        <w:rPr>
          <w:rStyle w:val="FootnoteReference"/>
        </w:rPr>
        <w:t xml:space="preserve"> </w:t>
      </w:r>
      <w:r>
        <w:rPr>
          <w:rStyle w:val="FootnoteReference"/>
        </w:rPr>
        <w:footnoteReference w:id="707"/>
      </w:r>
    </w:p>
    <w:p w:rsidR="00A210B3" w:rsidRDefault="00A210B3" w:rsidP="00A210B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210B3" w:rsidRDefault="00A210B3" w:rsidP="00CC7A1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708"/>
      </w:r>
      <w:r>
        <w:t xml:space="preserve"> These submissions are detailed in section </w:t>
      </w:r>
      <w:r>
        <w:fldChar w:fldCharType="begin"/>
      </w:r>
      <w:r>
        <w:instrText xml:space="preserve"> REF _Ref449004907 \r \h </w:instrText>
      </w:r>
      <w:r>
        <w:fldChar w:fldCharType="separate"/>
      </w:r>
      <w:r w:rsidR="002C24D6">
        <w:t>B.1.1</w:t>
      </w:r>
      <w:r>
        <w:fldChar w:fldCharType="end"/>
      </w:r>
      <w:r>
        <w:t>.</w:t>
      </w:r>
    </w:p>
    <w:p w:rsidR="00A210B3" w:rsidRDefault="00A210B3" w:rsidP="00A210B3">
      <w:r>
        <w:t xml:space="preserve">Service providers </w:t>
      </w:r>
      <w:r w:rsidR="00CD6F98">
        <w:t xml:space="preserve">have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w:t>
      </w:r>
      <w:r>
        <w:t xml:space="preserve"> in previous regulatory processes</w:t>
      </w:r>
      <w:r w:rsidRPr="001562D4">
        <w:t xml:space="preserve">.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09"/>
      </w:r>
      <w:r>
        <w:t xml:space="preserve"> </w:t>
      </w:r>
    </w:p>
    <w:p w:rsidR="00A210B3" w:rsidRDefault="00A210B3" w:rsidP="00A210B3">
      <w:r>
        <w:t>These 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w:t>
      </w:r>
      <w:r w:rsidR="003C78BA">
        <w:t xml:space="preserve"> These</w:t>
      </w:r>
      <w:r>
        <w:t xml:space="preserve"> </w:t>
      </w:r>
      <w:r w:rsidR="003C78BA">
        <w:t>s</w:t>
      </w:r>
      <w:r>
        <w:t>ervice providers appear to have submitted that these other models should be used to either directly estimate the return on equity</w:t>
      </w:r>
      <w:r w:rsidRPr="006C4D93">
        <w:rPr>
          <w:rStyle w:val="FootnoteReference"/>
        </w:rPr>
        <w:footnoteReference w:id="710"/>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711"/>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712"/>
      </w:r>
      <w:r>
        <w:t xml:space="preserve"> </w:t>
      </w:r>
    </w:p>
    <w:p w:rsidR="00A210B3" w:rsidRDefault="00A210B3" w:rsidP="00A210B3">
      <w:r w:rsidRPr="001562D4">
        <w:t xml:space="preserve">The key information </w:t>
      </w:r>
      <w:r>
        <w:t>that service providers</w:t>
      </w:r>
      <w:r w:rsidRPr="001562D4">
        <w:t xml:space="preserve"> </w:t>
      </w:r>
      <w:r w:rsidR="003C78BA">
        <w:t xml:space="preserve">have </w:t>
      </w:r>
      <w:r>
        <w:t>previously used to support</w:t>
      </w:r>
      <w:r w:rsidRPr="001562D4">
        <w:t xml:space="preserve"> these propositions </w:t>
      </w:r>
      <w:r w:rsidRPr="00787D60">
        <w:t>include</w:t>
      </w:r>
      <w:r>
        <w:t>d:</w:t>
      </w:r>
    </w:p>
    <w:p w:rsidR="00A210B3" w:rsidRPr="0010250E" w:rsidRDefault="00A210B3" w:rsidP="00A210B3">
      <w:pPr>
        <w:pStyle w:val="AERbulletlistfirststyle"/>
      </w:pPr>
      <w:r w:rsidRPr="00787D60">
        <w:t>Studies of ex post performance of the S</w:t>
      </w:r>
      <w:r w:rsidRPr="0010250E">
        <w:t>harpe-Lintner CAPM.</w:t>
      </w:r>
      <w:r w:rsidRPr="0010250E">
        <w:rPr>
          <w:rStyle w:val="FootnoteReference"/>
        </w:rPr>
        <w:footnoteReference w:id="713"/>
      </w:r>
      <w:r w:rsidRPr="0010250E">
        <w:t xml:space="preserve"> Frontier and NERA submitted that empirical tests reject the model and that it performs poorly relative to the other models.</w:t>
      </w:r>
      <w:r w:rsidRPr="0010250E">
        <w:rPr>
          <w:rStyle w:val="FootnoteReference"/>
        </w:rPr>
        <w:footnoteReference w:id="714"/>
      </w:r>
      <w:r w:rsidRPr="0010250E">
        <w:t xml:space="preserve"> </w:t>
      </w:r>
    </w:p>
    <w:p w:rsidR="00A210B3" w:rsidRPr="0010250E" w:rsidRDefault="00A210B3" w:rsidP="00A210B3">
      <w:pPr>
        <w:pStyle w:val="AERbulletlistfirststyle"/>
      </w:pPr>
      <w:r w:rsidRPr="00787D60">
        <w:t xml:space="preserve">Other direct estimates of the </w:t>
      </w:r>
      <w:r w:rsidRPr="0010250E">
        <w:t>return on equity from the Black CAPM, Fama-French model, and dividend growth model:</w:t>
      </w:r>
      <w:r w:rsidR="003C78BA" w:rsidRPr="0010250E">
        <w:rPr>
          <w:rStyle w:val="FootnoteReference"/>
        </w:rPr>
        <w:footnoteReference w:id="715"/>
      </w:r>
    </w:p>
    <w:p w:rsidR="00A210B3" w:rsidRDefault="00A210B3" w:rsidP="00A210B3">
      <w:pPr>
        <w:pStyle w:val="AERbulletlistsecondstyle"/>
      </w:pPr>
      <w:r>
        <w:t>the Black CAPM as evidence that the Sharpe-Lintner CAPM displays low beta bias</w:t>
      </w:r>
    </w:p>
    <w:p w:rsidR="00A210B3" w:rsidRDefault="00A210B3" w:rsidP="00A210B3">
      <w:pPr>
        <w:pStyle w:val="AERbulletlistsecondstyle"/>
      </w:pPr>
      <w:r>
        <w:t>the Fama-French model as evidence that the Sharpe-Lintner CAPM displays book-to-market bias</w:t>
      </w:r>
    </w:p>
    <w:p w:rsidR="00A210B3" w:rsidRPr="006C4D93" w:rsidRDefault="00A210B3" w:rsidP="00A210B3">
      <w:pPr>
        <w:pStyle w:val="AERbulletlistsecondstyle"/>
      </w:pPr>
      <w:r>
        <w:t>the dividend growth model as evidence that the Sharpe-Lintner CAPM, as applied by the AER, is not reflective of prevailing market conditions.</w:t>
      </w:r>
    </w:p>
    <w:p w:rsidR="00A210B3" w:rsidRDefault="00A210B3" w:rsidP="00CC7A1C">
      <w:pPr>
        <w:numPr>
          <w:ilvl w:val="0"/>
          <w:numId w:val="24"/>
        </w:numPr>
      </w:pPr>
      <w:r>
        <w:t xml:space="preserve">These submissions are detailed further in sections </w:t>
      </w:r>
      <w:r>
        <w:fldChar w:fldCharType="begin"/>
      </w:r>
      <w:r>
        <w:instrText xml:space="preserve"> REF _Ref449004981 \r \h </w:instrText>
      </w:r>
      <w:r>
        <w:fldChar w:fldCharType="separate"/>
      </w:r>
      <w:r w:rsidR="002C24D6">
        <w:t>B.1.3</w:t>
      </w:r>
      <w:r>
        <w:fldChar w:fldCharType="end"/>
      </w:r>
      <w:r>
        <w:t xml:space="preserve"> and </w:t>
      </w:r>
      <w:r>
        <w:fldChar w:fldCharType="begin"/>
      </w:r>
      <w:r>
        <w:instrText xml:space="preserve"> REF _Ref449004969 \r \h </w:instrText>
      </w:r>
      <w:r>
        <w:fldChar w:fldCharType="separate"/>
      </w:r>
      <w:r w:rsidR="002C24D6">
        <w:t>B.1.2</w:t>
      </w:r>
      <w:r>
        <w:fldChar w:fldCharType="end"/>
      </w:r>
      <w:r>
        <w:t xml:space="preserve"> below.</w:t>
      </w:r>
    </w:p>
    <w:p w:rsidR="00A210B3" w:rsidRDefault="00A210B3" w:rsidP="00CC7A1C">
      <w:pPr>
        <w:numPr>
          <w:ilvl w:val="0"/>
          <w:numId w:val="24"/>
        </w:numPr>
      </w:pPr>
      <w:r>
        <w:t>The</w:t>
      </w:r>
      <w:r w:rsidRPr="00787D60">
        <w:t xml:space="preserve"> key submissions on these points</w:t>
      </w:r>
      <w:r>
        <w:t xml:space="preserve"> were considered in our final decision for SAPN,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rsidR="003C78BA">
        <w:t>these arguments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716"/>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A210B3" w:rsidRDefault="00A210B3" w:rsidP="00CC7A1C">
      <w:pPr>
        <w:pStyle w:val="ListParagraph"/>
        <w:numPr>
          <w:ilvl w:val="0"/>
          <w:numId w:val="24"/>
        </w:numPr>
      </w:pPr>
      <w:r>
        <w:t xml:space="preserve">Services providers </w:t>
      </w:r>
      <w:r w:rsidR="00F255CD">
        <w:t xml:space="preserve">have </w:t>
      </w:r>
      <w:r>
        <w:t>previously submitted that t</w:t>
      </w:r>
      <w:r w:rsidRPr="00663DB7">
        <w:t xml:space="preserve">he AER has </w:t>
      </w:r>
      <w:r>
        <w:t>"</w:t>
      </w:r>
      <w:r w:rsidRPr="00663DB7">
        <w:t>erred in finding that the SL-CAPM is the clearly superior model</w:t>
      </w:r>
      <w:r>
        <w:t>"</w:t>
      </w:r>
      <w:r w:rsidR="00F255CD">
        <w:t xml:space="preserve"> in previous regulatory determinations</w:t>
      </w:r>
      <w:r>
        <w:t>,</w:t>
      </w:r>
      <w:r>
        <w:rPr>
          <w:rStyle w:val="FootnoteReference"/>
        </w:rPr>
        <w:footnoteReference w:id="717"/>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718"/>
      </w:r>
    </w:p>
    <w:p w:rsidR="00CC00D4" w:rsidRDefault="005105DF" w:rsidP="00013867">
      <w:r>
        <w:t>Multinet</w:t>
      </w:r>
      <w:r w:rsidR="00C92ACF">
        <w:t xml:space="preserve"> relied on a HoustonKemp report</w:t>
      </w:r>
      <w:r w:rsidR="00D11755">
        <w:t xml:space="preserve"> to support its proposal with the following</w:t>
      </w:r>
      <w:r w:rsidR="00C92ACF">
        <w:t xml:space="preserve"> </w:t>
      </w:r>
      <w:r>
        <w:t>key arguments:</w:t>
      </w:r>
    </w:p>
    <w:p w:rsidR="005105DF" w:rsidRDefault="005105DF" w:rsidP="00013867">
      <w:pPr>
        <w:pStyle w:val="AERbulletlistfirststyle"/>
      </w:pPr>
      <w:r>
        <w:t xml:space="preserve">Ex-post returns should be used to </w:t>
      </w:r>
      <w:r w:rsidR="00077E9B">
        <w:t xml:space="preserve">empirically </w:t>
      </w:r>
      <w:r>
        <w:t>test and adjust asset model performance</w:t>
      </w:r>
      <w:r>
        <w:rPr>
          <w:rStyle w:val="FootnoteReference"/>
        </w:rPr>
        <w:footnoteReference w:id="719"/>
      </w:r>
    </w:p>
    <w:p w:rsidR="005105DF" w:rsidRDefault="005105DF" w:rsidP="00013867">
      <w:pPr>
        <w:pStyle w:val="AERbulletlistfirststyle"/>
      </w:pPr>
      <w:r>
        <w:t>Empirical tests of asset model performance indicate that the Sharpe-Lintner CAPM produces downward biased estimates of the return on equity (low-beta bias)</w:t>
      </w:r>
      <w:r>
        <w:rPr>
          <w:rStyle w:val="FootnoteReference"/>
        </w:rPr>
        <w:footnoteReference w:id="720"/>
      </w:r>
    </w:p>
    <w:p w:rsidR="005105DF" w:rsidRDefault="005105DF" w:rsidP="00013867">
      <w:pPr>
        <w:pStyle w:val="AERbulletlistfirststyle"/>
      </w:pPr>
      <w:r>
        <w:t>Either an additional 'alpha' term or an uplifted equity beta should be used to 'correct' the Sharpe-Lintner CAPM's low beta bias</w:t>
      </w:r>
      <w:r>
        <w:rPr>
          <w:rStyle w:val="FootnoteReference"/>
        </w:rPr>
        <w:footnoteReference w:id="721"/>
      </w:r>
    </w:p>
    <w:p w:rsidR="002D5389" w:rsidRDefault="00077E9B" w:rsidP="00013867">
      <w:pPr>
        <w:pStyle w:val="AERbulletlistfirststyle"/>
        <w:numPr>
          <w:ilvl w:val="0"/>
          <w:numId w:val="0"/>
        </w:numPr>
      </w:pPr>
      <w:r>
        <w:t xml:space="preserve">We discuss these issues in Appendix </w:t>
      </w:r>
      <w:r>
        <w:fldChar w:fldCharType="begin"/>
      </w:r>
      <w:r>
        <w:instrText xml:space="preserve"> REF _Ref449004969 \r \h </w:instrText>
      </w:r>
      <w:r>
        <w:fldChar w:fldCharType="separate"/>
      </w:r>
      <w:r w:rsidR="002C24D6">
        <w:t>B.1.2</w:t>
      </w:r>
      <w:r>
        <w:fldChar w:fldCharType="end"/>
      </w:r>
      <w:r>
        <w:t>.</w:t>
      </w:r>
    </w:p>
    <w:p w:rsidR="00BB18D4" w:rsidRDefault="00BB18D4" w:rsidP="00BB18D4">
      <w:pPr>
        <w:pStyle w:val="Heading9"/>
      </w:pPr>
      <w:bookmarkStart w:id="153" w:name="_Ref449004907"/>
      <w:bookmarkStart w:id="154" w:name="_Toc456686711"/>
      <w:bookmarkStart w:id="155" w:name="_Toc487037146"/>
      <w:r w:rsidRPr="00BB18D4">
        <w:t>Submissions supporting the use of the Sharpe-Lintner CAPM as the foundation model</w:t>
      </w:r>
      <w:bookmarkEnd w:id="153"/>
      <w:bookmarkEnd w:id="154"/>
      <w:bookmarkEnd w:id="155"/>
    </w:p>
    <w:p w:rsidR="00A210B3" w:rsidRPr="001562D4" w:rsidRDefault="00A210B3" w:rsidP="00CC7A1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722"/>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723"/>
      </w:r>
      <w:r w:rsidRPr="001562D4">
        <w:t xml:space="preserve"> </w:t>
      </w:r>
      <w:r w:rsidR="0066180C">
        <w:t>Table 23</w:t>
      </w:r>
      <w:r>
        <w:t xml:space="preserve"> summarises a</w:t>
      </w:r>
      <w:r w:rsidRPr="001562D4">
        <w:t xml:space="preserve"> number of these submissions</w:t>
      </w:r>
      <w:r>
        <w:t>.</w:t>
      </w:r>
      <w:r w:rsidRPr="001562D4">
        <w:t xml:space="preserve"> </w:t>
      </w:r>
    </w:p>
    <w:p w:rsidR="00A210B3" w:rsidRPr="001562D4" w:rsidRDefault="00A210B3" w:rsidP="00A210B3">
      <w:pPr>
        <w:pStyle w:val="Caption"/>
      </w:pPr>
      <w:bookmarkStart w:id="156" w:name="_Ref433137654"/>
      <w:r>
        <w:t xml:space="preserve">Table </w:t>
      </w:r>
      <w:r w:rsidR="0066180C" w:rsidRPr="0066180C">
        <w:fldChar w:fldCharType="begin"/>
      </w:r>
      <w:r w:rsidR="0066180C">
        <w:instrText xml:space="preserve"> STYLEREF 1 \s </w:instrText>
      </w:r>
      <w:r w:rsidR="0066180C" w:rsidRPr="0066180C">
        <w:fldChar w:fldCharType="separate"/>
      </w:r>
      <w:r w:rsidR="002C24D6">
        <w:rPr>
          <w:noProof/>
        </w:rPr>
        <w:t>3</w:t>
      </w:r>
      <w:r w:rsidR="0066180C" w:rsidRPr="0066180C">
        <w:fldChar w:fldCharType="end"/>
      </w:r>
      <w:r w:rsidR="0066180C">
        <w:noBreakHyphen/>
      </w:r>
      <w:r w:rsidR="0066180C" w:rsidRPr="0066180C">
        <w:fldChar w:fldCharType="begin"/>
      </w:r>
      <w:r w:rsidR="0066180C">
        <w:instrText xml:space="preserve"> SEQ Table \* ARABIC \s 1 </w:instrText>
      </w:r>
      <w:r w:rsidR="0066180C" w:rsidRPr="0066180C">
        <w:fldChar w:fldCharType="separate"/>
      </w:r>
      <w:r w:rsidR="002C24D6">
        <w:rPr>
          <w:noProof/>
        </w:rPr>
        <w:t>20</w:t>
      </w:r>
      <w:r w:rsidR="0066180C" w:rsidRPr="0066180C">
        <w:fldChar w:fldCharType="end"/>
      </w:r>
      <w:bookmarkEnd w:id="156"/>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210B3" w:rsidRPr="001848E2" w:rsidTr="00A210B3">
        <w:trPr>
          <w:cnfStyle w:val="100000000000" w:firstRow="1" w:lastRow="0" w:firstColumn="0" w:lastColumn="0" w:oddVBand="0" w:evenVBand="0" w:oddHBand="0" w:evenHBand="0" w:firstRowFirstColumn="0" w:firstRowLastColumn="0" w:lastRowFirstColumn="0" w:lastRowLastColumn="0"/>
          <w:tblHeader/>
        </w:trPr>
        <w:tc>
          <w:tcPr>
            <w:tcW w:w="1605" w:type="dxa"/>
          </w:tcPr>
          <w:p w:rsidR="00A210B3" w:rsidRPr="00A210B3" w:rsidRDefault="00A210B3" w:rsidP="00A210B3">
            <w:r w:rsidRPr="001562D4">
              <w:t>Stakeholder</w:t>
            </w:r>
          </w:p>
        </w:tc>
        <w:tc>
          <w:tcPr>
            <w:tcW w:w="7088" w:type="dxa"/>
          </w:tcPr>
          <w:p w:rsidR="00A210B3" w:rsidRPr="00A210B3" w:rsidRDefault="00A210B3" w:rsidP="00A210B3">
            <w:r w:rsidRPr="001562D4">
              <w:t>Submission</w:t>
            </w:r>
          </w:p>
        </w:tc>
      </w:tr>
      <w:tr w:rsidR="00A210B3" w:rsidRPr="001848E2" w:rsidTr="00A210B3">
        <w:tc>
          <w:tcPr>
            <w:tcW w:w="1605" w:type="dxa"/>
          </w:tcPr>
          <w:p w:rsidR="00A210B3" w:rsidRPr="00A210B3" w:rsidDel="00B8188F" w:rsidRDefault="00A210B3" w:rsidP="00A210B3">
            <w:r>
              <w:t>Consumer Challenger Panel 5 (CCP5)</w:t>
            </w:r>
            <w:r w:rsidRPr="00A210B3">
              <w:rPr>
                <w:rStyle w:val="FootnoteReference"/>
              </w:rPr>
              <w:footnoteReference w:id="724"/>
            </w:r>
          </w:p>
        </w:tc>
        <w:tc>
          <w:tcPr>
            <w:tcW w:w="7088" w:type="dxa"/>
          </w:tcPr>
          <w:p w:rsidR="00A210B3" w:rsidRPr="00A210B3" w:rsidRDefault="00A210B3" w:rsidP="00A210B3">
            <w:r>
              <w:t xml:space="preserve">The theme of AusNet Services’ Revised Proposal for rate of return, value of imputation credits and forecast inflation is to pick what suits the network best. It is not in the best interests of consumers that a high rate of return, low gamma, </w:t>
            </w:r>
            <w:r w:rsidRPr="00A210B3">
              <w:t xml:space="preserve">or low inflation is applied.  Neither is it in the long term interests of consumers that networks can pick and choose methodologies and inputs that achieve the aforementioned rates, from time to time.  </w:t>
            </w:r>
          </w:p>
          <w:p w:rsidR="00A210B3" w:rsidRPr="00A210B3" w:rsidDel="00B8188F" w:rsidRDefault="00A210B3" w:rsidP="00A210B3">
            <w:r w:rsidRPr="00A942E7">
              <w:t xml:space="preserve">Given that world, including Australian, interest </w:t>
            </w:r>
            <w:r w:rsidRPr="00A210B3">
              <w:t>rates are currently low, the AER’s WACC of 6.16% and risk free rate of 2.57% are high when looking at the current global financial realities. This is coming off a period of high interest rates related to uncertainty as a result of the global financial crisis. Since the GFC, Australian energy consumers have endured high and rising electricity prices. Interest rates flow through into the WACC as the basis for both cost of debt and cost of equity, and we reiterate that our view is that the AER must allow the current low interest rates to be reflected in the Return On Capital now, and in the future, as a matter of policy, in the long term interests of consumers</w:t>
            </w:r>
            <w:r w:rsidRPr="00A210B3">
              <w:rPr>
                <w:rStyle w:val="FootnoteReference"/>
              </w:rPr>
              <w:footnoteReference w:id="725"/>
            </w:r>
          </w:p>
        </w:tc>
      </w:tr>
      <w:tr w:rsidR="00A210B3"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A210B3" w:rsidRPr="00A210B3" w:rsidDel="00B8188F" w:rsidRDefault="00EF3C65" w:rsidP="00A210B3">
            <w:r>
              <w:t>CCP4 (David Headberry)</w:t>
            </w:r>
            <w:r>
              <w:rPr>
                <w:rStyle w:val="FootnoteReference"/>
              </w:rPr>
              <w:footnoteReference w:id="726"/>
            </w:r>
          </w:p>
        </w:tc>
        <w:tc>
          <w:tcPr>
            <w:tcW w:w="7088" w:type="dxa"/>
          </w:tcPr>
          <w:p w:rsidR="00A210B3" w:rsidDel="00B8188F" w:rsidRDefault="00EF3C65" w:rsidP="00A210B3">
            <w:r>
              <w:t>T</w:t>
            </w:r>
            <w:r w:rsidRPr="00EF3C65">
              <w:t>he current parameters should be applied to the PLQ decision.</w:t>
            </w:r>
          </w:p>
        </w:tc>
      </w:tr>
      <w:tr w:rsidR="00EF3C65" w:rsidRPr="001848E2" w:rsidTr="00A210B3">
        <w:tc>
          <w:tcPr>
            <w:tcW w:w="1605" w:type="dxa"/>
          </w:tcPr>
          <w:p w:rsidR="00EF3C65" w:rsidRPr="00EF3C65" w:rsidDel="00B8188F" w:rsidRDefault="00EF3C65" w:rsidP="00EF3C65">
            <w:r w:rsidRPr="009308C4">
              <w:t>Queensland Farmers’ Federation</w:t>
            </w:r>
            <w:r>
              <w:t xml:space="preserve"> (QFF)</w:t>
            </w:r>
            <w:r w:rsidRPr="00EF3C65">
              <w:rPr>
                <w:rStyle w:val="FootnoteReference"/>
              </w:rPr>
              <w:footnoteReference w:id="727"/>
            </w:r>
          </w:p>
        </w:tc>
        <w:tc>
          <w:tcPr>
            <w:tcW w:w="7088" w:type="dxa"/>
          </w:tcPr>
          <w:p w:rsidR="00EF3C65" w:rsidRPr="00EF3C65" w:rsidDel="00B8188F" w:rsidRDefault="00EF3C65" w:rsidP="00EF3C65">
            <w:r>
              <w:t xml:space="preserve">The QFF commends Powerlink on the approach taken in the preparation of its </w:t>
            </w:r>
            <w:r w:rsidRPr="00EF3C65">
              <w:t xml:space="preserve">proposal in applying the AER’s Guidelines with regards to its proposed Rate of Return for the next regulatory period. </w:t>
            </w:r>
          </w:p>
        </w:tc>
      </w:tr>
      <w:tr w:rsidR="00752D37"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752D37" w:rsidRPr="009308C4" w:rsidRDefault="00BB39A8" w:rsidP="00EF3C65">
            <w:r>
              <w:t>CCP (11)</w:t>
            </w:r>
          </w:p>
        </w:tc>
        <w:tc>
          <w:tcPr>
            <w:tcW w:w="7088" w:type="dxa"/>
          </w:tcPr>
          <w:p w:rsidR="00E65E1E" w:rsidRDefault="00BB39A8" w:rsidP="00BB39A8">
            <w:r w:rsidRPr="00BB39A8">
              <w:t>The AER</w:t>
            </w:r>
            <w:r>
              <w:t xml:space="preserve"> should</w:t>
            </w:r>
            <w:r w:rsidR="00E65E1E">
              <w:t xml:space="preserve"> apply the Sharpe-Lintner CAPM and</w:t>
            </w:r>
            <w:r w:rsidRPr="00BB39A8">
              <w:t xml:space="preserve"> reject the proposal by Multinet to include an adjustment to the return on</w:t>
            </w:r>
            <w:r>
              <w:t xml:space="preserve"> </w:t>
            </w:r>
            <w:r w:rsidRPr="00BB39A8">
              <w:t>equity for the claimed ‘low beta bias’ in the SL CAPM formulation.</w:t>
            </w:r>
            <w:r w:rsidRPr="00BB39A8">
              <w:rPr>
                <w:rStyle w:val="FootnoteReference"/>
              </w:rPr>
              <w:footnoteReference w:id="728"/>
            </w:r>
          </w:p>
        </w:tc>
      </w:tr>
      <w:tr w:rsidR="00752D37" w:rsidRPr="001848E2" w:rsidTr="00A210B3">
        <w:tc>
          <w:tcPr>
            <w:tcW w:w="1605" w:type="dxa"/>
          </w:tcPr>
          <w:p w:rsidR="00752D37" w:rsidRPr="009308C4" w:rsidRDefault="00BB39A8" w:rsidP="00EF3C65">
            <w:r>
              <w:t>Origin Energy</w:t>
            </w:r>
          </w:p>
        </w:tc>
        <w:tc>
          <w:tcPr>
            <w:tcW w:w="7088" w:type="dxa"/>
          </w:tcPr>
          <w:p w:rsidR="00752D37" w:rsidRDefault="00BB39A8" w:rsidP="00EF3C65">
            <w:r>
              <w:t>Origin supports AGN’s stance of adopting parameters from the Guideline and basing cost of capital decisions on previous AER approvals, but understands each business will interpret variables according to its own independent advice and review.</w:t>
            </w:r>
            <w:r w:rsidRPr="00BB39A8">
              <w:rPr>
                <w:rStyle w:val="FootnoteReference"/>
              </w:rPr>
              <w:footnoteReference w:id="729"/>
            </w:r>
          </w:p>
        </w:tc>
      </w:tr>
      <w:tr w:rsidR="00752D37"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752D37" w:rsidRPr="009308C4" w:rsidRDefault="00BB39A8" w:rsidP="00EF3C65">
            <w:r>
              <w:t>Red Energy and Lumo Energy</w:t>
            </w:r>
          </w:p>
        </w:tc>
        <w:tc>
          <w:tcPr>
            <w:tcW w:w="7088" w:type="dxa"/>
          </w:tcPr>
          <w:p w:rsidR="00752D37" w:rsidRDefault="00BB39A8" w:rsidP="00BB39A8">
            <w:r>
              <w:t>AGN's proposal to adopt the Rate of Return Guideline is satisfactory.</w:t>
            </w:r>
            <w:r w:rsidRPr="00BB39A8">
              <w:rPr>
                <w:rStyle w:val="FootnoteReference"/>
              </w:rPr>
              <w:footnoteReference w:id="730"/>
            </w:r>
          </w:p>
        </w:tc>
      </w:tr>
    </w:tbl>
    <w:p w:rsidR="00A210B3" w:rsidRPr="001562D4" w:rsidRDefault="00A210B3" w:rsidP="00A210B3">
      <w:pPr>
        <w:pStyle w:val="AERtablesource"/>
      </w:pPr>
      <w:r>
        <w:t xml:space="preserve">Source: </w:t>
      </w:r>
      <w:r>
        <w:tab/>
        <w:t>AER analysis of submissions.</w:t>
      </w:r>
    </w:p>
    <w:p w:rsidR="00A210B3" w:rsidRPr="00A210B3" w:rsidRDefault="00A210B3" w:rsidP="00CC7A1C">
      <w:pPr>
        <w:numPr>
          <w:ilvl w:val="0"/>
          <w:numId w:val="24"/>
        </w:numPr>
      </w:pPr>
      <w:r>
        <w:t xml:space="preserve">We consider the submissions in </w:t>
      </w:r>
      <w:r>
        <w:fldChar w:fldCharType="begin"/>
      </w:r>
      <w:r>
        <w:instrText xml:space="preserve"> REF _Ref433137654 \h </w:instrText>
      </w:r>
      <w:r>
        <w:fldChar w:fldCharType="separate"/>
      </w:r>
      <w:r w:rsidR="002C24D6">
        <w:t xml:space="preserve">Table </w:t>
      </w:r>
      <w:r w:rsidR="002C24D6">
        <w:rPr>
          <w:noProof/>
        </w:rPr>
        <w:t>3</w:t>
      </w:r>
      <w:r w:rsidR="002C24D6">
        <w:noBreakHyphen/>
      </w:r>
      <w:r w:rsidR="002C24D6">
        <w:rPr>
          <w:noProof/>
        </w:rPr>
        <w:t>20</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2C24D6">
        <w:t>3.4.1</w:t>
      </w:r>
      <w:r>
        <w:fldChar w:fldCharType="end"/>
      </w:r>
      <w:r>
        <w:t>.</w:t>
      </w:r>
    </w:p>
    <w:p w:rsidR="00BB18D4" w:rsidRDefault="00BB18D4" w:rsidP="00BB18D4">
      <w:pPr>
        <w:pStyle w:val="Heading9"/>
      </w:pPr>
      <w:bookmarkStart w:id="157" w:name="_Ref449004969"/>
      <w:bookmarkStart w:id="158" w:name="_Toc456686712"/>
      <w:bookmarkStart w:id="159" w:name="_Toc487037147"/>
      <w:r w:rsidRPr="00BB18D4">
        <w:t>Empirical tests of the Sharpe-Lintner CAPM</w:t>
      </w:r>
      <w:bookmarkEnd w:id="157"/>
      <w:bookmarkEnd w:id="158"/>
      <w:bookmarkEnd w:id="159"/>
    </w:p>
    <w:p w:rsidR="00A210B3" w:rsidRDefault="00A210B3" w:rsidP="00CC7A1C">
      <w:pPr>
        <w:numPr>
          <w:ilvl w:val="0"/>
          <w:numId w:val="24"/>
        </w:numPr>
      </w:pPr>
      <w:r>
        <w:t>S</w:t>
      </w:r>
      <w:r w:rsidR="003C78BA">
        <w:t>ome s</w:t>
      </w:r>
      <w:r>
        <w:t>ervice providers have previously submitted that empirical tests indicate that the Sharpe-Lintner CAPM performs poorly compared to the Fama-French model and Black CAPM.</w:t>
      </w:r>
      <w:r>
        <w:rPr>
          <w:rStyle w:val="FootnoteReference"/>
        </w:rPr>
        <w:footnoteReference w:id="731"/>
      </w:r>
    </w:p>
    <w:p w:rsidR="00A210B3" w:rsidRDefault="00A210B3" w:rsidP="00CC7A1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210B3" w:rsidRPr="001562D4" w:rsidRDefault="00BB296E" w:rsidP="00013867">
      <w:r w:rsidDel="00685E84">
        <w:t xml:space="preserve"> </w:t>
      </w:r>
      <w:r w:rsidR="00A210B3">
        <w:t xml:space="preserve">On the empirical performance of the Sharpe-Lintner </w:t>
      </w:r>
      <w:r w:rsidR="00A210B3" w:rsidRPr="001562D4">
        <w:t>CAPM, McKenzie and Partington found the following</w:t>
      </w:r>
      <w:r w:rsidR="007B0F66">
        <w:t xml:space="preserve"> which remain applicable</w:t>
      </w:r>
      <w:r w:rsidR="00A210B3" w:rsidRPr="001562D4">
        <w:t>:</w:t>
      </w:r>
      <w:r w:rsidR="00A210B3">
        <w:rPr>
          <w:rStyle w:val="FootnoteReference"/>
        </w:rPr>
        <w:footnoteReference w:id="732"/>
      </w:r>
    </w:p>
    <w:p w:rsidR="00A210B3" w:rsidRPr="0010250E" w:rsidRDefault="00A210B3" w:rsidP="00A210B3">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733"/>
      </w:r>
    </w:p>
    <w:p w:rsidR="00A210B3" w:rsidRPr="0010250E" w:rsidRDefault="00A210B3" w:rsidP="00A210B3">
      <w:pPr>
        <w:pStyle w:val="AERbulletlistfirststyle"/>
      </w:pPr>
      <w:r>
        <w:t>T</w:t>
      </w:r>
      <w:r w:rsidRPr="0010250E">
        <w:t>he evidence against the Sharpe-Lintner CAPM may not be as robust as once thought when more appropriate statistical tests are used.</w:t>
      </w:r>
    </w:p>
    <w:p w:rsidR="00A210B3" w:rsidRPr="0010250E" w:rsidRDefault="00A210B3" w:rsidP="00A210B3">
      <w:pPr>
        <w:pStyle w:val="AERbulletlistfirststyle"/>
      </w:pPr>
      <w:r>
        <w:t>T</w:t>
      </w:r>
      <w:r w:rsidRPr="0010250E">
        <w:t>he empirical evidence against the model does not invalidate its use for estimating the cost of capital for projects when making capital budgeting decisions.</w:t>
      </w:r>
    </w:p>
    <w:p w:rsidR="00A210B3" w:rsidRDefault="00A210B3" w:rsidP="00CC7A1C">
      <w:pPr>
        <w:numPr>
          <w:ilvl w:val="0"/>
          <w:numId w:val="24"/>
        </w:numPr>
      </w:pPr>
      <w:r>
        <w:t xml:space="preserve">Partington and Satchell made the following observations for testing empirical performances of asset pricing models: </w:t>
      </w:r>
    </w:p>
    <w:p w:rsidR="00A210B3" w:rsidRPr="0010250E" w:rsidRDefault="00A210B3" w:rsidP="00A210B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734"/>
      </w:r>
      <w:r w:rsidRPr="0010250E">
        <w:t xml:space="preserve"> </w:t>
      </w:r>
    </w:p>
    <w:p w:rsidR="00A210B3" w:rsidRPr="0010250E" w:rsidRDefault="00A210B3" w:rsidP="00A210B3">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735"/>
      </w:r>
      <w:r w:rsidRPr="0010250E">
        <w:t xml:space="preserve"> </w:t>
      </w:r>
    </w:p>
    <w:p w:rsidR="00A210B3" w:rsidRPr="0010250E" w:rsidRDefault="00A210B3" w:rsidP="00A210B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736"/>
      </w:r>
    </w:p>
    <w:p w:rsidR="00A210B3" w:rsidRPr="0010250E" w:rsidRDefault="00A210B3" w:rsidP="00A210B3">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737"/>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738"/>
      </w:r>
      <w:r w:rsidRPr="0010250E">
        <w:t xml:space="preserve">  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739"/>
      </w:r>
      <w:r w:rsidRPr="0010250E">
        <w:t xml:space="preserve"> R2 or q'.</w:t>
      </w:r>
      <w:r w:rsidRPr="0010250E">
        <w:rPr>
          <w:rStyle w:val="FootnoteReference"/>
        </w:rPr>
        <w:footnoteReference w:id="740"/>
      </w:r>
      <w:r w:rsidRPr="0010250E">
        <w:t xml:space="preserve"> </w:t>
      </w:r>
    </w:p>
    <w:p w:rsidR="00A210B3" w:rsidRDefault="00A210B3" w:rsidP="00CC7A1C">
      <w:pPr>
        <w:numPr>
          <w:ilvl w:val="0"/>
          <w:numId w:val="24"/>
        </w:numPr>
      </w:pPr>
      <w:r>
        <w:t>S</w:t>
      </w:r>
      <w:r w:rsidR="003C78BA">
        <w:t>ome s</w:t>
      </w:r>
      <w:r>
        <w:t>ervice providers</w:t>
      </w:r>
      <w:r w:rsidR="003C78BA">
        <w:t xml:space="preserve"> have</w:t>
      </w:r>
      <w:r>
        <w:t xml:space="preserve"> previously submitted an empirical test of the Sharpe-Lintner CAPM and the Black CAPM by NERA that was considered in the JGN final decision.</w:t>
      </w:r>
      <w:r>
        <w:rPr>
          <w:rStyle w:val="FootnoteReference"/>
        </w:rPr>
        <w:footnoteReference w:id="741"/>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742"/>
      </w:r>
      <w:r>
        <w:t xml:space="preserve"> NERA also provided an estimate of the zero-beta premium of 10.75 per cent.</w:t>
      </w:r>
      <w:r>
        <w:rPr>
          <w:rStyle w:val="FootnoteReference"/>
        </w:rPr>
        <w:footnoteReference w:id="743"/>
      </w:r>
      <w:r>
        <w:t xml:space="preserve"> It has been acknowledged that it is implausible for the zero beta premium to be equal to or greater than the market risk premium</w:t>
      </w:r>
      <w:r w:rsidRPr="001562D4">
        <w:t>.</w:t>
      </w:r>
      <w:r w:rsidRPr="001562D4">
        <w:rPr>
          <w:rStyle w:val="FootnoteReference"/>
        </w:rPr>
        <w:footnoteReference w:id="744"/>
      </w:r>
      <w:r>
        <w:t xml:space="preserve"> Further, having reviewed this report in relation to its results on the Black CAPM, Partington advised:</w:t>
      </w:r>
      <w:r>
        <w:rPr>
          <w:rStyle w:val="FootnoteReference"/>
        </w:rPr>
        <w:footnoteReference w:id="745"/>
      </w:r>
      <w:r>
        <w:t xml:space="preserve"> </w:t>
      </w:r>
    </w:p>
    <w:p w:rsidR="00A210B3" w:rsidRPr="00AB3FED" w:rsidRDefault="00A210B3" w:rsidP="00A210B3">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A210B3" w:rsidRPr="001562D4" w:rsidRDefault="00A210B3" w:rsidP="00A210B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210B3" w:rsidRDefault="00A210B3" w:rsidP="00CC7A1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46"/>
      </w:r>
    </w:p>
    <w:p w:rsidR="00A210B3" w:rsidRDefault="00A210B3" w:rsidP="00CC7A1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47"/>
      </w:r>
      <w:r>
        <w:t xml:space="preserve"> For example, Mui</w:t>
      </w:r>
      <w:r w:rsidR="006C250D">
        <w:t>j</w:t>
      </w:r>
      <w:r>
        <w:t xml:space="preserve">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2C24D6">
        <w:t>B.2.2</w:t>
      </w:r>
      <w:r>
        <w:fldChar w:fldCharType="end"/>
      </w:r>
      <w:r>
        <w:t xml:space="preserve"> and </w:t>
      </w:r>
      <w:r>
        <w:fldChar w:fldCharType="begin"/>
      </w:r>
      <w:r>
        <w:instrText xml:space="preserve"> REF _Ref449010281 \r \h </w:instrText>
      </w:r>
      <w:r>
        <w:fldChar w:fldCharType="separate"/>
      </w:r>
      <w:r w:rsidR="002C24D6">
        <w:t>B.3.2</w:t>
      </w:r>
      <w:r>
        <w:fldChar w:fldCharType="end"/>
      </w:r>
      <w:r>
        <w:t>.</w:t>
      </w:r>
    </w:p>
    <w:p w:rsidR="00A210B3" w:rsidRDefault="00A210B3" w:rsidP="00A210B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48"/>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49"/>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750"/>
      </w:r>
    </w:p>
    <w:p w:rsidR="00A210B3" w:rsidRDefault="00A210B3" w:rsidP="00A210B3">
      <w:r>
        <w:t>Partington and Satchell have noted that '</w:t>
      </w:r>
      <w:r w:rsidRPr="000A45F8">
        <w:t>a relatively flat or inverted relation between beta and realised returns is quite common in empirical work</w:t>
      </w:r>
      <w:r>
        <w:t>'.</w:t>
      </w:r>
      <w:r>
        <w:rPr>
          <w:rStyle w:val="FootnoteReference"/>
        </w:rPr>
        <w:footnoteReference w:id="751"/>
      </w:r>
      <w:r>
        <w:t xml:space="preserve"> However, they also noted that it is not clear that this is evidence that other models are better at estimating expected return on equity, stating: </w:t>
      </w:r>
      <w:r>
        <w:rPr>
          <w:rStyle w:val="FootnoteReference"/>
        </w:rPr>
        <w:footnoteReference w:id="752"/>
      </w:r>
    </w:p>
    <w:p w:rsidR="00A210B3" w:rsidRDefault="00A210B3" w:rsidP="00A210B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210B3" w:rsidRDefault="00A210B3" w:rsidP="00CC7A1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53"/>
      </w:r>
    </w:p>
    <w:p w:rsidR="00A210B3" w:rsidRPr="00BD52D8" w:rsidRDefault="00A210B3" w:rsidP="00A210B3">
      <w:pPr>
        <w:pStyle w:val="AERquote"/>
      </w:pPr>
      <w:r w:rsidRPr="00BD52D8">
        <w:t>we note the work of Henry (2008), who finds no evidence that would support the use of the Vasicek model for Australian data.  The results of the Henry (2008) study:</w:t>
      </w:r>
    </w:p>
    <w:p w:rsidR="00A210B3" w:rsidRPr="00BD52D8" w:rsidRDefault="00A210B3" w:rsidP="00A210B3">
      <w:pPr>
        <w:pStyle w:val="AERquoteindent2"/>
      </w:pPr>
      <w:r w:rsidRPr="00BD52D8">
        <w:t>“… suggest that there is little convincing evidence of regression to unity in this data. Therefore, it is difficult to justify the application of the Blume or Vasicek adjustments.” (p. 12)</w:t>
      </w:r>
    </w:p>
    <w:p w:rsidR="00A210B3" w:rsidRDefault="00A210B3" w:rsidP="00A210B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54"/>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55"/>
      </w:r>
    </w:p>
    <w:p w:rsidR="00CF3FCC" w:rsidRDefault="00CF3FCC" w:rsidP="00CF3FCC">
      <w:pPr>
        <w:pStyle w:val="HeadingBoldItalic"/>
        <w:rPr>
          <w:rStyle w:val="AERtextorange"/>
        </w:rPr>
      </w:pPr>
      <w:r>
        <w:rPr>
          <w:rStyle w:val="AERtextorange"/>
        </w:rPr>
        <w:t>HoustonKemp November 2016 report</w:t>
      </w:r>
    </w:p>
    <w:p w:rsidR="00BB296E" w:rsidRDefault="00BB296E" w:rsidP="00BB296E">
      <w:r>
        <w:t>HoustonKemp's report for Multinet also noted the Sharpe-Lintner CAPM's performance and made the following key submissions:</w:t>
      </w:r>
    </w:p>
    <w:p w:rsidR="00BB296E" w:rsidRDefault="00BB296E" w:rsidP="00BB296E">
      <w:pPr>
        <w:pStyle w:val="AERbulletlistfirststyle"/>
      </w:pPr>
      <w:r>
        <w:t>Ex-post returns should be used to empirically test and adjust asset model performance</w:t>
      </w:r>
      <w:r>
        <w:rPr>
          <w:rStyle w:val="FootnoteReference"/>
        </w:rPr>
        <w:footnoteReference w:id="756"/>
      </w:r>
    </w:p>
    <w:p w:rsidR="00BB296E" w:rsidRDefault="00BB296E" w:rsidP="00BB296E">
      <w:pPr>
        <w:pStyle w:val="AERbulletlistfirststyle"/>
      </w:pPr>
      <w:r>
        <w:t>Empirical tests of asset model performance indicate that the Sharpe-Lintner CAPM produces downward biased estimates of the return on equity (low-beta bias)</w:t>
      </w:r>
      <w:r>
        <w:rPr>
          <w:rStyle w:val="FootnoteReference"/>
        </w:rPr>
        <w:footnoteReference w:id="757"/>
      </w:r>
    </w:p>
    <w:p w:rsidR="00BB296E" w:rsidRDefault="00BB296E" w:rsidP="00BB296E">
      <w:pPr>
        <w:pStyle w:val="AERbulletlistfirststyle"/>
      </w:pPr>
      <w:r>
        <w:t>Either an additional 'alpha' term or an uplifted equity beta should be used to 'correct' the Sharpe-Lintner CAPM's low beta bias</w:t>
      </w:r>
      <w:r>
        <w:rPr>
          <w:rStyle w:val="FootnoteReference"/>
        </w:rPr>
        <w:footnoteReference w:id="758"/>
      </w:r>
    </w:p>
    <w:p w:rsidR="00BB296E" w:rsidRDefault="00BB296E" w:rsidP="00BB296E">
      <w:r>
        <w:t xml:space="preserve">Our consideration of the HoustonKemp report reveals that it effectively repeats a number of issues already considered in previous regulatory processes such as: </w:t>
      </w:r>
    </w:p>
    <w:p w:rsidR="00BB296E" w:rsidRDefault="00BB296E" w:rsidP="00BB296E">
      <w:pPr>
        <w:pStyle w:val="AERbulletlistfirststyle"/>
      </w:pPr>
      <w:r>
        <w:t>empirical</w:t>
      </w:r>
      <w:r w:rsidRPr="002C1DA6">
        <w:t xml:space="preserve"> </w:t>
      </w:r>
      <w:r>
        <w:t>tests using ex-post returns</w:t>
      </w:r>
      <w:r w:rsidRPr="002C1DA6">
        <w:t xml:space="preserve"> show</w:t>
      </w:r>
      <w:r>
        <w:t>s</w:t>
      </w:r>
      <w:r w:rsidRPr="002C1DA6">
        <w:t xml:space="preserve"> that the Sharpe-Lintner CAPM is downwardly biased</w:t>
      </w:r>
      <w:r>
        <w:rPr>
          <w:rStyle w:val="FootnoteReference"/>
        </w:rPr>
        <w:footnoteReference w:id="759"/>
      </w:r>
    </w:p>
    <w:p w:rsidR="00BB296E" w:rsidRDefault="00BB296E" w:rsidP="00BB296E">
      <w:pPr>
        <w:pStyle w:val="AERbulletlistfirststyle"/>
      </w:pPr>
      <w:r>
        <w:t>an exercise to 'correct' the low-beta bias using ex-post returns through changing the Sharpe-Lintner CAPM (through an additional 'alpha' term or uplifting the equity beta)</w:t>
      </w:r>
      <w:r>
        <w:rPr>
          <w:rStyle w:val="FootnoteReference"/>
        </w:rPr>
        <w:footnoteReference w:id="760"/>
      </w:r>
    </w:p>
    <w:p w:rsidR="00BB296E" w:rsidRDefault="00BB296E" w:rsidP="00BB296E">
      <w:r w:rsidRPr="00DF7508">
        <w:t>We acknowledge that the Sharpe-Lintner CAPM tests poorly using ex post returns data, and appears to underestimate the ex post returns for businesses with an equity beta less than one.</w:t>
      </w:r>
    </w:p>
    <w:p w:rsidR="00CF3FCC" w:rsidRDefault="00CF3FCC" w:rsidP="00CF3FCC">
      <w:pPr>
        <w:numPr>
          <w:ilvl w:val="0"/>
          <w:numId w:val="24"/>
        </w:numPr>
      </w:pPr>
      <w:r>
        <w:t>However, i</w:t>
      </w:r>
      <w:r w:rsidRPr="00DF7508">
        <w:t xml:space="preserve">t is </w:t>
      </w:r>
      <w:r w:rsidR="008D594A">
        <w:t xml:space="preserve">not </w:t>
      </w:r>
      <w:r w:rsidRPr="00DF7508">
        <w:t>clear that low beta bias is a priced risk not already captured by the Sharpe-Lintner CAPM.</w:t>
      </w:r>
      <w:r w:rsidRPr="00DF7508">
        <w:rPr>
          <w:rStyle w:val="FootnoteReference"/>
        </w:rPr>
        <w:footnoteReference w:id="761"/>
      </w:r>
      <w:r w:rsidRPr="00DF7508">
        <w:t xml:space="preserve"> Handley </w:t>
      </w:r>
      <w:r>
        <w:t>has noted</w:t>
      </w:r>
      <w:r w:rsidRPr="00DF7508">
        <w:t xml:space="preserve"> that our understanding of the low beta bias is still far from clear.</w:t>
      </w:r>
      <w:r w:rsidRPr="00DF7508">
        <w:rPr>
          <w:rStyle w:val="FootnoteReference"/>
        </w:rPr>
        <w:footnoteReference w:id="762"/>
      </w:r>
      <w:r>
        <w:t xml:space="preserve"> There is also considerable difference </w:t>
      </w:r>
      <w:r w:rsidR="00D205E3">
        <w:t xml:space="preserve">in </w:t>
      </w:r>
      <w:r>
        <w:t>CAPM estimates of the return required on a low-beta asset being lower than subsequent returns and a downward bias in CAPM estimates of required returns.</w:t>
      </w:r>
      <w:r>
        <w:rPr>
          <w:rStyle w:val="FootnoteReference"/>
        </w:rPr>
        <w:footnoteReference w:id="763"/>
      </w:r>
      <w:r>
        <w:t xml:space="preserve"> </w:t>
      </w:r>
    </w:p>
    <w:p w:rsidR="00CF3FCC" w:rsidRDefault="00CF3FCC" w:rsidP="00CF3FCC">
      <w:pPr>
        <w:numPr>
          <w:ilvl w:val="0"/>
          <w:numId w:val="24"/>
        </w:numPr>
      </w:pPr>
      <w:r w:rsidRPr="00DF7508">
        <w:t xml:space="preserve">Partington and Satchell </w:t>
      </w:r>
      <w:r>
        <w:t xml:space="preserve">have </w:t>
      </w:r>
      <w:r w:rsidRPr="00DF7508">
        <w:t>noted that 'low beta bias' represents a tendency for low beta stocks to over perform and high beta stocks to underperform relative to the CAPM. Partington and Satchell noted that one possible interpretation is not necessarily that the Sharpe–Lintner CAPM gives a downward biased estimated of required returns but that low beta stocks have positive 'alphas'.</w:t>
      </w:r>
      <w:r w:rsidRPr="00DF7508">
        <w:rPr>
          <w:rStyle w:val="FootnoteReference"/>
        </w:rPr>
        <w:footnoteReference w:id="764"/>
      </w:r>
      <w:r w:rsidRPr="00DF7508">
        <w:t xml:space="preserve"> We note that a myriad factors can contribute to the under and over performance of a stock. Partington and Satchell noted that the question of whether any of these variables determine equilibrium expected returns is currently unresolved.</w:t>
      </w:r>
      <w:r w:rsidRPr="00DF7508">
        <w:rPr>
          <w:rStyle w:val="FootnoteReference"/>
        </w:rPr>
        <w:footnoteReference w:id="765"/>
      </w:r>
    </w:p>
    <w:p w:rsidR="00CF3FCC" w:rsidRPr="00CF3FCC" w:rsidRDefault="00CF3FCC" w:rsidP="00013867">
      <w:r>
        <w:t xml:space="preserve">Further, tests of </w:t>
      </w:r>
      <w:r w:rsidRPr="00CF3FCC">
        <w:t>asset model performance are contingent on the methodology used and can be 'spurious'.</w:t>
      </w:r>
      <w:r w:rsidRPr="00CF3FCC">
        <w:rPr>
          <w:rStyle w:val="FootnoteReference"/>
        </w:rPr>
        <w:footnoteReference w:id="766"/>
      </w:r>
      <w:r w:rsidRPr="00CF3FCC">
        <w:t xml:space="preserve"> </w:t>
      </w:r>
      <w:r w:rsidR="006C250D" w:rsidRPr="00CF3FCC">
        <w:t>Par</w:t>
      </w:r>
      <w:r w:rsidR="006C250D">
        <w:t>t</w:t>
      </w:r>
      <w:r w:rsidR="006C250D" w:rsidRPr="00CF3FCC">
        <w:t>ington and Satchell have advised that the choice of methodology (such as the method of portfolio formation) influences whether or not the CAPM is rejected and there are substantial problems in correctly conducting tests of asset pricing models.</w:t>
      </w:r>
      <w:r w:rsidR="006C250D" w:rsidRPr="00CF3FCC">
        <w:rPr>
          <w:rStyle w:val="FootnoteReference"/>
        </w:rPr>
        <w:footnoteReference w:id="767"/>
      </w:r>
      <w:r w:rsidR="006C250D" w:rsidRPr="00CF3FCC">
        <w:t xml:space="preserve"> </w:t>
      </w:r>
    </w:p>
    <w:p w:rsidR="00CF3FCC" w:rsidRPr="00CF3FCC" w:rsidRDefault="00CF3FCC" w:rsidP="00013867">
      <w:r>
        <w:t>We also have a number of</w:t>
      </w:r>
      <w:r w:rsidRPr="00CF3FCC">
        <w:t xml:space="preserve"> concerns with HoustonKemp's </w:t>
      </w:r>
      <w:r w:rsidR="00693AC0">
        <w:t>methodology and results</w:t>
      </w:r>
      <w:r w:rsidRPr="00CF3FCC">
        <w:t>, including:</w:t>
      </w:r>
    </w:p>
    <w:p w:rsidR="000611DB" w:rsidRDefault="000611DB" w:rsidP="00013867">
      <w:pPr>
        <w:pStyle w:val="AERbulletlistfirststyle"/>
      </w:pPr>
      <w:r>
        <w:t>HoustonKemp's method assumes that 'markets are efficient and in equilibrium, hence realised returns are an appropriate benchmark'.</w:t>
      </w:r>
      <w:r w:rsidRPr="000611DB">
        <w:rPr>
          <w:rStyle w:val="FootnoteReference"/>
        </w:rPr>
        <w:footnoteReference w:id="768"/>
      </w:r>
      <w:r>
        <w:t xml:space="preserve"> However, expected returns can diverge from realised returns over a persistent period of time, markets can be in disequilibrium and expectations </w:t>
      </w:r>
      <w:r w:rsidR="00621452">
        <w:t>are n</w:t>
      </w:r>
      <w:r>
        <w:t>ot always realised</w:t>
      </w:r>
      <w:r w:rsidR="00621452">
        <w:t xml:space="preserve"> even on average</w:t>
      </w:r>
      <w:r>
        <w:t>.</w:t>
      </w:r>
      <w:r w:rsidRPr="000611DB">
        <w:rPr>
          <w:rStyle w:val="FootnoteReference"/>
        </w:rPr>
        <w:footnoteReference w:id="769"/>
      </w:r>
    </w:p>
    <w:p w:rsidR="00CF3FCC" w:rsidRPr="00CF3FCC" w:rsidRDefault="00CF3FCC" w:rsidP="00013867">
      <w:pPr>
        <w:pStyle w:val="AERbulletlistfirststyle"/>
      </w:pPr>
      <w:r w:rsidRPr="00CF3FCC">
        <w:t>HoustonKemp</w:t>
      </w:r>
      <w:r w:rsidR="000611DB">
        <w:t>'s test</w:t>
      </w:r>
      <w:r w:rsidRPr="00CF3FCC">
        <w:t xml:space="preserve"> is equivalent to perfect foresight on the part of the regulator with regard to the expected market risk premium and also assumes the regulator’s ability to generate unbiased estimators of the time-varying beta.</w:t>
      </w:r>
      <w:r w:rsidRPr="00CF3FCC">
        <w:rPr>
          <w:rStyle w:val="FootnoteReference"/>
        </w:rPr>
        <w:footnoteReference w:id="770"/>
      </w:r>
      <w:r w:rsidRPr="00CF3FCC">
        <w:t xml:space="preserve"> Setting the challenge of perfect forecasting aside, perfect foresight will reduce variability in most cases</w:t>
      </w:r>
      <w:r w:rsidR="000611DB">
        <w:t>. Partington and Satchell advised that</w:t>
      </w:r>
      <w:r w:rsidRPr="00CF3FCC">
        <w:t xml:space="preserve"> </w:t>
      </w:r>
      <w:r w:rsidR="000611DB">
        <w:t>w</w:t>
      </w:r>
      <w:r w:rsidRPr="00CF3FCC">
        <w:t>hen assess</w:t>
      </w:r>
      <w:r w:rsidR="000611DB">
        <w:t xml:space="preserve">ing </w:t>
      </w:r>
      <w:r w:rsidR="001E1FF5">
        <w:t>'</w:t>
      </w:r>
      <w:r w:rsidRPr="00CF3FCC">
        <w:t>this reduction in volatility will lead to rejecting unbiasedness too often</w:t>
      </w:r>
      <w:r w:rsidR="000611DB">
        <w:t>' which raises</w:t>
      </w:r>
      <w:r w:rsidRPr="00CF3FCC">
        <w:t xml:space="preserve"> doubt </w:t>
      </w:r>
      <w:r w:rsidR="000611DB">
        <w:t xml:space="preserve">on </w:t>
      </w:r>
      <w:r w:rsidRPr="00CF3FCC">
        <w:t>the validity of the empirical work in section 3 of HoustonKemp.</w:t>
      </w:r>
      <w:r w:rsidRPr="00CF3FCC">
        <w:rPr>
          <w:rStyle w:val="FootnoteReference"/>
        </w:rPr>
        <w:footnoteReference w:id="771"/>
      </w:r>
    </w:p>
    <w:p w:rsidR="00CF3FCC" w:rsidRPr="00CF3FCC" w:rsidRDefault="00CF3FCC" w:rsidP="00013867">
      <w:pPr>
        <w:pStyle w:val="AERbulletlistfirststyle"/>
      </w:pPr>
      <w:r>
        <w:t>HoustonKemp's results suggest that some low beta `portfolios have positive forecast errors</w:t>
      </w:r>
      <w:r w:rsidR="001E1FF5">
        <w:t>'</w:t>
      </w:r>
      <w:r>
        <w:t xml:space="preserve">. </w:t>
      </w:r>
      <w:r w:rsidR="001E1FF5">
        <w:t>Partington and Satchell noted that 'i</w:t>
      </w:r>
      <w:r>
        <w:t>s a positive forecast error evidence of outperformance which does not require any regulatory adjustment to the CAPM, or it is evidence of downward bias in the CAPM estimates of required returns in equilibrium</w:t>
      </w:r>
      <w:r w:rsidR="001E1FF5">
        <w:t>'</w:t>
      </w:r>
      <w:r>
        <w:t xml:space="preserve">. </w:t>
      </w:r>
      <w:r w:rsidR="001E1FF5">
        <w:t xml:space="preserve">They </w:t>
      </w:r>
      <w:r>
        <w:t>also point out that tests based on industry sorted portfolios could give, and have previously given, no evidence of significant bias.</w:t>
      </w:r>
      <w:r w:rsidRPr="00CF3FCC">
        <w:rPr>
          <w:rStyle w:val="FootnoteReference"/>
        </w:rPr>
        <w:footnoteReference w:id="772"/>
      </w:r>
    </w:p>
    <w:p w:rsidR="00CF3FCC" w:rsidRDefault="00CF3FCC" w:rsidP="00CF3FCC">
      <w:pPr>
        <w:pStyle w:val="AERbulletlistfirststyle"/>
      </w:pPr>
      <w:r>
        <w:t>HoustonKemp's estimation of alpha captures</w:t>
      </w:r>
      <w:r w:rsidR="001E1FF5">
        <w:t xml:space="preserve"> a range of factors such as</w:t>
      </w:r>
      <w:r>
        <w:t xml:space="preserve"> outperformance and </w:t>
      </w:r>
      <w:r w:rsidRPr="004D23FE">
        <w:t>may not be bias with respect to the CAPM’s estimation of equilibrium returns.</w:t>
      </w:r>
      <w:r w:rsidRPr="004D23FE">
        <w:rPr>
          <w:rStyle w:val="FootnoteReference"/>
        </w:rPr>
        <w:footnoteReference w:id="773"/>
      </w:r>
    </w:p>
    <w:p w:rsidR="00CF3FCC" w:rsidRDefault="00CF3FCC" w:rsidP="00CF3FCC">
      <w:pPr>
        <w:pStyle w:val="AERbulletlistfirststyle"/>
      </w:pPr>
      <w:r>
        <w:t>Partington and Satchell derived a result which shows that estimates of alpha and beta are negatively correlated. In other words in CAPM tests the results for low beta stocks would be biased towards positive alphas.</w:t>
      </w:r>
      <w:r w:rsidRPr="002C541B">
        <w:rPr>
          <w:rStyle w:val="FootnoteReference"/>
        </w:rPr>
        <w:footnoteReference w:id="774"/>
      </w:r>
      <w:r>
        <w:t xml:space="preserve"> </w:t>
      </w:r>
      <w:r w:rsidR="001E1FF5">
        <w:t>Partington and Satchell observed that '</w:t>
      </w:r>
      <w:r w:rsidRPr="002C541B">
        <w:t>sorting into high/low beta portfolios creates negative and positi</w:t>
      </w:r>
      <w:r>
        <w:t>ve alphas respectively and has</w:t>
      </w:r>
      <w:r w:rsidRPr="002C541B">
        <w:t xml:space="preserve"> little to do with any need to compensate utility companies</w:t>
      </w:r>
      <w:r w:rsidR="001E1FF5">
        <w:t>'</w:t>
      </w:r>
      <w:r w:rsidRPr="002C541B">
        <w:t>.</w:t>
      </w:r>
      <w:r w:rsidRPr="002C541B">
        <w:rPr>
          <w:rStyle w:val="FootnoteReference"/>
        </w:rPr>
        <w:footnoteReference w:id="775"/>
      </w:r>
    </w:p>
    <w:p w:rsidR="00CF3FCC" w:rsidRDefault="009B2506" w:rsidP="00CF3FCC">
      <w:pPr>
        <w:pStyle w:val="AERbulletlistfirststyle"/>
      </w:pPr>
      <w:r>
        <w:t>HoustonKemp seems to (implicitly) assume that returns cannot be out of equilibrium over an extended period because arbitrage will equalise expected and required returns.</w:t>
      </w:r>
      <w:r>
        <w:rPr>
          <w:rStyle w:val="FootnoteReference"/>
        </w:rPr>
        <w:footnoteReference w:id="776"/>
      </w:r>
      <w:r>
        <w:t xml:space="preserve"> </w:t>
      </w:r>
      <w:r w:rsidR="00AE2773">
        <w:t>As a result historical return data can be reliably used to measure expected returns. Partington and Satchell have advised against using realised returns to measure expected returns because 'even if expected and require returns are equal, there can be persistent differences between realised returns and equilibrium expected returns'.</w:t>
      </w:r>
      <w:r w:rsidR="00AE2773">
        <w:rPr>
          <w:rStyle w:val="FootnoteReference"/>
        </w:rPr>
        <w:footnoteReference w:id="777"/>
      </w:r>
      <w:r w:rsidR="00AE2773">
        <w:t xml:space="preserve"> This may be for a number of reasons such as economic shocks, changing equilibrium and individual investor preferences. Further</w:t>
      </w:r>
      <w:r w:rsidR="002C3BEE">
        <w:t xml:space="preserve"> there are barriers to arbitrage which can prevent the equalisation of expected and required returns.</w:t>
      </w:r>
      <w:r w:rsidR="002C3BEE">
        <w:rPr>
          <w:rStyle w:val="FootnoteReference"/>
        </w:rPr>
        <w:footnoteReference w:id="778"/>
      </w:r>
      <w:r>
        <w:t xml:space="preserve"> </w:t>
      </w:r>
      <w:r w:rsidR="00AE2773">
        <w:t>In addition, it</w:t>
      </w:r>
      <w:r>
        <w:t xml:space="preserve"> is the required return that determines the cost of capital</w:t>
      </w:r>
      <w:r w:rsidR="00AE2773">
        <w:t xml:space="preserve"> and not</w:t>
      </w:r>
      <w:r>
        <w:t xml:space="preserve"> expected return.</w:t>
      </w:r>
      <w:r w:rsidR="00AE2773">
        <w:rPr>
          <w:rStyle w:val="FootnoteReference"/>
        </w:rPr>
        <w:footnoteReference w:id="779"/>
      </w:r>
      <w:r>
        <w:t xml:space="preserve"> </w:t>
      </w:r>
    </w:p>
    <w:p w:rsidR="00CF3FCC" w:rsidRDefault="00CF3FCC" w:rsidP="00CF3FCC">
      <w:pPr>
        <w:pStyle w:val="AERbulletlistfirststyle"/>
      </w:pPr>
      <w:r>
        <w:t xml:space="preserve">Partington and Satchell have identified a range of </w:t>
      </w:r>
      <w:r w:rsidR="006C250D">
        <w:t>statistical</w:t>
      </w:r>
      <w:r>
        <w:t xml:space="preserve"> problems with the two-pass methods such as that used by HoustonKemp for assessing model performance.</w:t>
      </w:r>
      <w:r>
        <w:rPr>
          <w:rStyle w:val="FootnoteReference"/>
        </w:rPr>
        <w:footnoteReference w:id="780"/>
      </w:r>
    </w:p>
    <w:p w:rsidR="00CF3FCC" w:rsidRDefault="00CF3FCC" w:rsidP="00CF3FCC">
      <w:pPr>
        <w:numPr>
          <w:ilvl w:val="0"/>
          <w:numId w:val="24"/>
        </w:numPr>
      </w:pPr>
      <w:r>
        <w:t>On HoustonKemp's exercise to compute an uplift to the equity beta for the low-beta bias, we note this is based on a mischaracterisation of the Guideline. The Guideline does not take a weighted average of empirical Australian estimates and 1 as HoustonKemp claims. As noted in previous determinations, we give most consideration to empirical Australian estimates of suitable comparator firms (Australian energy network firms) which indicate a range of 0.4–0.7.</w:t>
      </w:r>
      <w:r>
        <w:rPr>
          <w:rStyle w:val="FootnoteReference"/>
        </w:rPr>
        <w:footnoteReference w:id="781"/>
      </w:r>
      <w:r>
        <w:t xml:space="preserve"> Our consideration of the theory of the Black CAPM and international estimates (which we give less consideration) suggest a point estimate towards the upper range. These considerations along with our consideration of investor certainty lead us to set a point estimate of 0.7. </w:t>
      </w:r>
    </w:p>
    <w:p w:rsidR="00CF3FCC" w:rsidRDefault="00CF3FCC" w:rsidP="00CF3FCC">
      <w:pPr>
        <w:pStyle w:val="ListParagraph"/>
        <w:numPr>
          <w:ilvl w:val="0"/>
          <w:numId w:val="24"/>
        </w:numPr>
      </w:pPr>
      <w:r>
        <w:t>Partington and Satchell have also advised against HoustonKemp's beta uplift:</w:t>
      </w:r>
    </w:p>
    <w:p w:rsidR="00CF3FCC" w:rsidRDefault="00CF3FCC" w:rsidP="00CF3FCC">
      <w:pPr>
        <w:pStyle w:val="AERbulletlistfirststyle"/>
      </w:pPr>
      <w:r>
        <w:t>A</w:t>
      </w:r>
      <w:r w:rsidRPr="00EE18E5">
        <w:t xml:space="preserve"> beta adjustment</w:t>
      </w:r>
      <w:r>
        <w:t xml:space="preserve"> might be appropriate</w:t>
      </w:r>
      <w:r w:rsidRPr="00EE18E5">
        <w:t xml:space="preserve"> </w:t>
      </w:r>
      <w:r>
        <w:t>if</w:t>
      </w:r>
      <w:r w:rsidRPr="00EE18E5">
        <w:t xml:space="preserve"> bias in beta </w:t>
      </w:r>
      <w:r>
        <w:t>was</w:t>
      </w:r>
      <w:r w:rsidRPr="00EE18E5">
        <w:t xml:space="preserve"> causing </w:t>
      </w:r>
      <w:r>
        <w:t>any</w:t>
      </w:r>
      <w:r w:rsidRPr="00EE18E5">
        <w:t xml:space="preserve"> for</w:t>
      </w:r>
      <w:r>
        <w:t>ecast error. However, w</w:t>
      </w:r>
      <w:r w:rsidRPr="00EE18E5">
        <w:t xml:space="preserve">e have </w:t>
      </w:r>
      <w:r>
        <w:t>not seen</w:t>
      </w:r>
      <w:r w:rsidRPr="00EE18E5">
        <w:t xml:space="preserve"> any convincing evidence that it is a bias in beta that is causing </w:t>
      </w:r>
      <w:r>
        <w:t>any</w:t>
      </w:r>
      <w:r w:rsidRPr="00EE18E5">
        <w:t xml:space="preserve"> forecast error.</w:t>
      </w:r>
      <w:r>
        <w:rPr>
          <w:rStyle w:val="FootnoteReference"/>
        </w:rPr>
        <w:footnoteReference w:id="782"/>
      </w:r>
    </w:p>
    <w:p w:rsidR="00CF3FCC" w:rsidRDefault="00CF3FCC" w:rsidP="00CF3FCC">
      <w:pPr>
        <w:pStyle w:val="AERbulletlistfirststyle"/>
      </w:pPr>
      <w:r>
        <w:t>We find no evidence in HoustonKemp, or elsewhere that any bias is due to a bias in the estimate of beta.</w:t>
      </w:r>
      <w:r>
        <w:rPr>
          <w:rStyle w:val="FootnoteReference"/>
        </w:rPr>
        <w:footnoteReference w:id="783"/>
      </w:r>
      <w:r>
        <w:t xml:space="preserve"> </w:t>
      </w:r>
    </w:p>
    <w:p w:rsidR="00CF3FCC" w:rsidRPr="00CF3FCC" w:rsidRDefault="00CF3FCC" w:rsidP="00013867">
      <w:r>
        <w:t>ERA also considered (and rejected) the case for an alpha adjustment in its 2016 final decision for Dampier to Bunbury Natural Gas Pipeline (DBP):</w:t>
      </w:r>
      <w:r w:rsidRPr="00CF3FCC">
        <w:rPr>
          <w:rStyle w:val="FootnoteReference"/>
        </w:rPr>
        <w:footnoteReference w:id="784"/>
      </w:r>
      <w:r w:rsidRPr="00CF3FCC">
        <w:t xml:space="preserve"> </w:t>
      </w:r>
    </w:p>
    <w:p w:rsidR="00CF3FCC" w:rsidRDefault="00CF3FCC" w:rsidP="00013867">
      <w:pPr>
        <w:pStyle w:val="AERbulletlistfirststyle"/>
      </w:pPr>
      <w:r>
        <w:t>The theory of the Sharpe-Lintner CAPM does not include the alpha term</w:t>
      </w:r>
      <w:r w:rsidR="001E1FF5">
        <w:t>.</w:t>
      </w:r>
    </w:p>
    <w:p w:rsidR="00CF3FCC" w:rsidRDefault="00CF3FCC" w:rsidP="00013867">
      <w:pPr>
        <w:pStyle w:val="AERbulletlistfirststyle"/>
      </w:pPr>
      <w:r>
        <w:t>Presence of alpha relates to the differences between the required returns (or expected or equilibrium) and realised returns.</w:t>
      </w:r>
    </w:p>
    <w:p w:rsidR="00CF3FCC" w:rsidRPr="00CF3FCC" w:rsidRDefault="00CF3FCC" w:rsidP="00013867">
      <w:r>
        <w:t>We note that HoustonKemp ha</w:t>
      </w:r>
      <w:r w:rsidRPr="00CF3FCC">
        <w:t xml:space="preserve">s misinterpreted some of Partington and Satchell's previous advice. Partington and Satchell have provided the following </w:t>
      </w:r>
      <w:r w:rsidR="006C250D" w:rsidRPr="00CF3FCC">
        <w:t>clarifications</w:t>
      </w:r>
      <w:r w:rsidRPr="00CF3FCC">
        <w:t xml:space="preserve"> in response:</w:t>
      </w:r>
    </w:p>
    <w:p w:rsidR="00CF3FCC" w:rsidRPr="00CF3FCC" w:rsidRDefault="00CF3FCC" w:rsidP="00013867">
      <w:pPr>
        <w:pStyle w:val="AERbulletlistfirststyle"/>
      </w:pPr>
      <w:r>
        <w:t xml:space="preserve">Partington and Satchell </w:t>
      </w:r>
      <w:r w:rsidR="001E1FF5">
        <w:t>did</w:t>
      </w:r>
      <w:r>
        <w:t xml:space="preserve"> not f</w:t>
      </w:r>
      <w:r w:rsidR="00D84F19">
        <w:t>in</w:t>
      </w:r>
      <w:r>
        <w:t>d evidence against the Sharpe-Lintner CAPM as HoustonKemp has noted</w:t>
      </w:r>
      <w:r w:rsidRPr="00CF3FCC">
        <w:t>, but have reported that other researchers believe the evidence is against the CAPM.</w:t>
      </w:r>
      <w:r w:rsidRPr="00CF3FCC">
        <w:rPr>
          <w:rStyle w:val="FootnoteReference"/>
        </w:rPr>
        <w:footnoteReference w:id="785"/>
      </w:r>
      <w:r w:rsidRPr="00CF3FCC">
        <w:t xml:space="preserve"> </w:t>
      </w:r>
    </w:p>
    <w:p w:rsidR="00CF3FCC" w:rsidRPr="00CF3FCC" w:rsidRDefault="00CF3FCC" w:rsidP="00013867">
      <w:pPr>
        <w:pStyle w:val="AERbulletlistfirststyle"/>
      </w:pPr>
      <w:r>
        <w:t>Satchell's work with Mu</w:t>
      </w:r>
      <w:r w:rsidRPr="00CF3FCC">
        <w:t>ijsson and Fishwick is not inconsistent with</w:t>
      </w:r>
      <w:r w:rsidR="001E1FF5">
        <w:t xml:space="preserve"> his</w:t>
      </w:r>
      <w:r w:rsidRPr="00CF3FCC">
        <w:t xml:space="preserve"> advice to the ERA and the AER.</w:t>
      </w:r>
      <w:r w:rsidRPr="00CF3FCC">
        <w:rPr>
          <w:rStyle w:val="FootnoteReference"/>
        </w:rPr>
        <w:footnoteReference w:id="786"/>
      </w:r>
      <w:r w:rsidRPr="00CF3FCC">
        <w:t xml:space="preserve"> This work focused on how interest rate changes in the US might be able to explain the low-beta anomaly in the US, but does not suggest that holders of such assets need to be compensated by regulators, nor that there is a downward bias in the CAPM.</w:t>
      </w:r>
      <w:r w:rsidRPr="00CF3FCC">
        <w:rPr>
          <w:rStyle w:val="FootnoteReference"/>
        </w:rPr>
        <w:footnoteReference w:id="787"/>
      </w:r>
      <w:r w:rsidRPr="00CF3FCC">
        <w:t xml:space="preserve"> The purpose was not to test the CAPM or compare it with other asset pricing models.</w:t>
      </w:r>
      <w:r w:rsidRPr="00CF3FCC">
        <w:rPr>
          <w:rStyle w:val="FootnoteReference"/>
        </w:rPr>
        <w:footnoteReference w:id="788"/>
      </w:r>
      <w:r w:rsidRPr="00CF3FCC">
        <w:t xml:space="preserve"> The purpose was to examine an anomaly with a view to explaining it. Partington and Satchell added that 'the title of the proposed book by MFS that Houston Kemp reports: The Low Beta Anomaly and Other Mysteries, clearly shows that [Muijsson, Fishwick and Satchell] do not believe the results they find are a consequence of failure of the CAPM'.</w:t>
      </w:r>
      <w:r w:rsidRPr="00CF3FCC">
        <w:rPr>
          <w:rStyle w:val="FootnoteReference"/>
        </w:rPr>
        <w:footnoteReference w:id="789"/>
      </w:r>
      <w:r w:rsidRPr="00CF3FCC">
        <w:t xml:space="preserve"> </w:t>
      </w:r>
    </w:p>
    <w:p w:rsidR="009F580B" w:rsidRDefault="00CF3FCC" w:rsidP="00013867">
      <w:pPr>
        <w:pStyle w:val="AERbulletlistfirststyle"/>
      </w:pPr>
      <w:r w:rsidRPr="00AA2594">
        <w:t xml:space="preserve">As </w:t>
      </w:r>
      <w:r>
        <w:t>stated</w:t>
      </w:r>
      <w:r w:rsidRPr="00AA2594">
        <w:t xml:space="preserve"> in Partington and Satchell (2013) Isakov’s </w:t>
      </w:r>
      <w:r w:rsidR="002168E3">
        <w:t>work serves</w:t>
      </w:r>
      <w:r w:rsidRPr="00AA2594">
        <w:t xml:space="preserve"> to illustrate the problem in testing asset pricing models when realised returns are inconsistent with expectations.</w:t>
      </w:r>
      <w:r w:rsidRPr="00AA2594">
        <w:rPr>
          <w:rStyle w:val="FootnoteReference"/>
        </w:rPr>
        <w:footnoteReference w:id="790"/>
      </w:r>
      <w:r w:rsidRPr="00AA2594">
        <w:t xml:space="preserve"> </w:t>
      </w:r>
    </w:p>
    <w:p w:rsidR="00830FA0" w:rsidRPr="00A210B3" w:rsidRDefault="00CF3FCC" w:rsidP="00013867">
      <w:pPr>
        <w:pStyle w:val="AERbulletlistfirststyle"/>
      </w:pPr>
      <w:r>
        <w:t>Where the data gives substantially varying and ambiguous answers, considerable weight should be given to the theory in deciding the reasonableness of the results from the data. Harvey (2017) stresses the importance of priors and strongly argues against reliance on the statistical significance of p-values, particularly where they may be subject to p-hacking. He also provides a very clear example of the importance of theory in interpreting the validity of results, which we commend to the reader.</w:t>
      </w:r>
      <w:r>
        <w:rPr>
          <w:rStyle w:val="FootnoteReference"/>
        </w:rPr>
        <w:footnoteReference w:id="791"/>
      </w:r>
      <w:r>
        <w:t xml:space="preserve"> In situations where the empirical work is unconvincing and the theory is transparent</w:t>
      </w:r>
      <w:r w:rsidR="00D84F19">
        <w:t>, relatively ungameable and rigorous (such as the SLCAPM)</w:t>
      </w:r>
      <w:r>
        <w:t xml:space="preserve">, </w:t>
      </w:r>
      <w:r w:rsidR="009F580B">
        <w:t>we</w:t>
      </w:r>
      <w:r w:rsidR="00D84F19">
        <w:t xml:space="preserve"> would be inclined to assign a higher weight to the model.</w:t>
      </w:r>
    </w:p>
    <w:p w:rsidR="00BB18D4" w:rsidRDefault="00BB18D4" w:rsidP="00BB18D4">
      <w:pPr>
        <w:pStyle w:val="Heading9"/>
      </w:pPr>
      <w:bookmarkStart w:id="160" w:name="_Ref449004981"/>
      <w:bookmarkStart w:id="161" w:name="_Toc456686713"/>
      <w:bookmarkStart w:id="162" w:name="_Toc487037148"/>
      <w:r w:rsidRPr="00BB18D4">
        <w:t>Evidence from estimates of other models</w:t>
      </w:r>
      <w:bookmarkEnd w:id="160"/>
      <w:bookmarkEnd w:id="161"/>
      <w:bookmarkEnd w:id="162"/>
    </w:p>
    <w:p w:rsidR="00A210B3" w:rsidRDefault="00A210B3" w:rsidP="00A210B3">
      <w:r>
        <w:t>S</w:t>
      </w:r>
      <w:r w:rsidR="003C78BA">
        <w:t>ome s</w:t>
      </w:r>
      <w:r>
        <w:t>ervice providers</w:t>
      </w:r>
      <w:r w:rsidR="003C78BA">
        <w:t xml:space="preserve"> have</w:t>
      </w:r>
      <w:r w:rsidRPr="001562D4">
        <w:t xml:space="preserve"> </w:t>
      </w:r>
      <w:r>
        <w:t>previously submitted:</w:t>
      </w:r>
    </w:p>
    <w:p w:rsidR="00A210B3" w:rsidRPr="0010250E" w:rsidRDefault="00A210B3" w:rsidP="00A210B3">
      <w:pPr>
        <w:pStyle w:val="AERbulletlistfirststyle"/>
      </w:pPr>
      <w:r>
        <w:t xml:space="preserve">the Black CAPM as evidence that the Sharpe-Lintner CAPM displays low beta bias (that is, </w:t>
      </w:r>
      <w:r w:rsidRPr="0010250E">
        <w:t>downward biased for stocks with a beta of less than one)</w:t>
      </w:r>
    </w:p>
    <w:p w:rsidR="00A210B3" w:rsidRPr="0010250E" w:rsidRDefault="00A210B3" w:rsidP="00A210B3">
      <w:pPr>
        <w:pStyle w:val="AERbulletlistfirststyle"/>
      </w:pPr>
      <w:r>
        <w:t>the Fama-French model as evidence that the Sharpe-Lintner CAPM displays book-to-market bias</w:t>
      </w:r>
    </w:p>
    <w:p w:rsidR="00A210B3" w:rsidRPr="0010250E" w:rsidRDefault="00A210B3" w:rsidP="00A210B3">
      <w:pPr>
        <w:pStyle w:val="AERbulletlistfirststyle"/>
      </w:pPr>
      <w:r>
        <w:t>the dividend growth model as evidence that the Sharpe-Lintner CAPM, as applied by the AER, is not reflective of prevailing market conditions.</w:t>
      </w:r>
    </w:p>
    <w:p w:rsidR="00A210B3" w:rsidRDefault="00A210B3" w:rsidP="00CC7A1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210B3" w:rsidRPr="00A210B3" w:rsidRDefault="00A210B3" w:rsidP="00CC7A1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2C24D6">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2C24D6">
        <w:t>B.2</w:t>
      </w:r>
      <w:r>
        <w:fldChar w:fldCharType="end"/>
      </w:r>
      <w:r>
        <w:t xml:space="preserve">, </w:t>
      </w:r>
      <w:r>
        <w:fldChar w:fldCharType="begin"/>
      </w:r>
      <w:r>
        <w:instrText xml:space="preserve"> REF _Ref449007420 \r \h </w:instrText>
      </w:r>
      <w:r>
        <w:fldChar w:fldCharType="separate"/>
      </w:r>
      <w:r w:rsidR="002C24D6">
        <w:t>B.3</w:t>
      </w:r>
      <w:r>
        <w:fldChar w:fldCharType="end"/>
      </w:r>
      <w:r>
        <w:t xml:space="preserve">, and </w:t>
      </w:r>
      <w:r>
        <w:fldChar w:fldCharType="begin"/>
      </w:r>
      <w:r>
        <w:instrText xml:space="preserve"> REF _Ref449007421 \r \h </w:instrText>
      </w:r>
      <w:r>
        <w:fldChar w:fldCharType="separate"/>
      </w:r>
      <w:r w:rsidR="002C24D6">
        <w:t>B.4</w:t>
      </w:r>
      <w:r>
        <w:fldChar w:fldCharType="end"/>
      </w:r>
      <w:r>
        <w:t xml:space="preserve"> respectively.</w:t>
      </w:r>
    </w:p>
    <w:p w:rsidR="00BB18D4" w:rsidRDefault="00BB18D4" w:rsidP="00BB18D4">
      <w:pPr>
        <w:pStyle w:val="Heading8"/>
      </w:pPr>
      <w:bookmarkStart w:id="163" w:name="_Ref449007419"/>
      <w:bookmarkStart w:id="164" w:name="_Toc451943787"/>
      <w:bookmarkStart w:id="165" w:name="_Toc456686714"/>
      <w:bookmarkStart w:id="166" w:name="_Toc487037149"/>
      <w:r w:rsidRPr="00BB18D4">
        <w:t>Black CAPM</w:t>
      </w:r>
      <w:bookmarkEnd w:id="163"/>
      <w:bookmarkEnd w:id="164"/>
      <w:bookmarkEnd w:id="165"/>
      <w:bookmarkEnd w:id="166"/>
    </w:p>
    <w:p w:rsidR="00A210B3" w:rsidRPr="001562D4" w:rsidRDefault="00A210B3" w:rsidP="00A210B3">
      <w:r w:rsidRPr="001562D4">
        <w:t>Fischer Black developed a version of the CAPM with restricted borrowing</w:t>
      </w:r>
      <w:r>
        <w:t xml:space="preserve"> (the Black CAPM)</w:t>
      </w:r>
      <w:r w:rsidRPr="001562D4">
        <w:t>.</w:t>
      </w:r>
      <w:r w:rsidRPr="001562D4">
        <w:rPr>
          <w:rStyle w:val="FootnoteReference"/>
        </w:rPr>
        <w:footnoteReference w:id="792"/>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93"/>
      </w:r>
      <w:r w:rsidRPr="001562D4">
        <w:t xml:space="preserve"> </w:t>
      </w:r>
      <w:r>
        <w:t>Unlimited short selling does not hold in practice either</w:t>
      </w:r>
      <w:r w:rsidRPr="001562D4">
        <w:t>.</w:t>
      </w:r>
      <w:r>
        <w:rPr>
          <w:rStyle w:val="FootnoteReference"/>
        </w:rPr>
        <w:footnoteReference w:id="794"/>
      </w:r>
    </w:p>
    <w:p w:rsidR="00A210B3" w:rsidRDefault="00A210B3" w:rsidP="00A210B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95"/>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210B3" w:rsidRDefault="00A210B3" w:rsidP="00CC7A1C">
      <w:pPr>
        <w:numPr>
          <w:ilvl w:val="0"/>
          <w:numId w:val="24"/>
        </w:numPr>
      </w:pPr>
      <w:r>
        <w:t>We have reviewed the material submitted to us</w:t>
      </w:r>
      <w:r>
        <w:rPr>
          <w:rStyle w:val="FootnoteReference"/>
        </w:rPr>
        <w:footnoteReference w:id="796"/>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 xml:space="preserve">commensurate with the efficient financing costs given the risk of </w:t>
      </w:r>
      <w:r w:rsidR="00484671">
        <w:t>APTPPL's</w:t>
      </w:r>
      <w:r>
        <w:t xml:space="preserve"> </w:t>
      </w:r>
      <w:r w:rsidR="00484671">
        <w:t xml:space="preserve">reference </w:t>
      </w:r>
      <w:r>
        <w:t>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97"/>
      </w:r>
      <w:r w:rsidRPr="002E1BC3">
        <w:rPr>
          <w:rStyle w:val="FootnoteReference"/>
        </w:rPr>
        <w:t xml:space="preserve"> </w:t>
      </w:r>
    </w:p>
    <w:p w:rsidR="00A210B3" w:rsidRPr="001562D4" w:rsidDel="00BF79E1" w:rsidRDefault="00A210B3" w:rsidP="00A210B3">
      <w:r>
        <w:t>Therefore, our approach is to:</w:t>
      </w:r>
    </w:p>
    <w:p w:rsidR="00A210B3" w:rsidRPr="0010250E" w:rsidRDefault="00A210B3" w:rsidP="00A210B3">
      <w:pPr>
        <w:pStyle w:val="AERbulletlistfirststyle"/>
      </w:pPr>
      <w:r>
        <w:t>use the</w:t>
      </w:r>
      <w:r w:rsidRPr="0010250E">
        <w:t xml:space="preserve"> theory behind the Black CAPM to inform the equity beta estimate in the Sharpe-Lintner CAPM.</w:t>
      </w:r>
    </w:p>
    <w:p w:rsidR="00A210B3" w:rsidRPr="0010250E" w:rsidRDefault="00A210B3" w:rsidP="00A210B3">
      <w:pPr>
        <w:pStyle w:val="AERbulletlistfirststyle"/>
      </w:pPr>
      <w:r>
        <w:t>not use the</w:t>
      </w:r>
      <w:r w:rsidRPr="0010250E">
        <w:t xml:space="preserve"> Black CAPM to empirically estimate the return on equity for the benchmark efficient entity.</w:t>
      </w:r>
    </w:p>
    <w:p w:rsidR="00A210B3" w:rsidRPr="001562D4" w:rsidRDefault="00A210B3" w:rsidP="00A210B3">
      <w:r>
        <w:t>Our use of the</w:t>
      </w:r>
      <w:r w:rsidRPr="006C4D93">
        <w:t xml:space="preserve"> Black CAPM </w:t>
      </w:r>
      <w:r>
        <w:t>is due to the following reasons:</w:t>
      </w:r>
    </w:p>
    <w:p w:rsidR="00A210B3" w:rsidRPr="0010250E" w:rsidRDefault="00A210B3" w:rsidP="00A210B3">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210B3" w:rsidRPr="0010250E" w:rsidRDefault="00A210B3" w:rsidP="00A210B3">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798"/>
      </w:r>
      <w:r w:rsidRPr="0010250E">
        <w:t xml:space="preserve"> In particular, regulators rarely have recourse to the Black CAPM.</w:t>
      </w:r>
      <w:r w:rsidRPr="0010250E">
        <w:rPr>
          <w:rStyle w:val="FootnoteReference"/>
        </w:rPr>
        <w:footnoteReference w:id="799"/>
      </w:r>
      <w:r w:rsidRPr="0010250E">
        <w:t xml:space="preserve"> This view was supported by Handley.</w:t>
      </w:r>
      <w:r w:rsidRPr="0010250E">
        <w:rPr>
          <w:rStyle w:val="FootnoteReference"/>
        </w:rPr>
        <w:footnoteReference w:id="800"/>
      </w:r>
    </w:p>
    <w:p w:rsidR="00A210B3" w:rsidRPr="0010250E" w:rsidRDefault="00A210B3" w:rsidP="00A210B3">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801"/>
      </w:r>
      <w:r w:rsidRPr="0010250E">
        <w:t xml:space="preserve"> </w:t>
      </w:r>
    </w:p>
    <w:p w:rsidR="00A210B3" w:rsidRPr="0010250E" w:rsidRDefault="00A210B3" w:rsidP="00A210B3">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802"/>
      </w:r>
    </w:p>
    <w:p w:rsidR="00A210B3" w:rsidRDefault="00A210B3" w:rsidP="00A210B3">
      <w:r>
        <w:t xml:space="preserve">We elaborate on our reasons for these positions in sections </w:t>
      </w:r>
      <w:r>
        <w:fldChar w:fldCharType="begin"/>
      </w:r>
      <w:r>
        <w:instrText xml:space="preserve"> REF _Ref448924784 \r \h </w:instrText>
      </w:r>
      <w:r>
        <w:fldChar w:fldCharType="separate"/>
      </w:r>
      <w:r w:rsidR="002C24D6">
        <w:t>B.2.1</w:t>
      </w:r>
      <w:r>
        <w:fldChar w:fldCharType="end"/>
      </w:r>
      <w:r>
        <w:t xml:space="preserve"> to </w:t>
      </w:r>
      <w:r>
        <w:fldChar w:fldCharType="begin"/>
      </w:r>
      <w:r>
        <w:instrText xml:space="preserve"> REF _Ref448924785 \r \h </w:instrText>
      </w:r>
      <w:r>
        <w:fldChar w:fldCharType="separate"/>
      </w:r>
      <w:r w:rsidR="002C24D6">
        <w:t>B.2.3</w:t>
      </w:r>
      <w:r>
        <w:fldChar w:fldCharType="end"/>
      </w:r>
      <w:r>
        <w:t xml:space="preserve"> below.</w:t>
      </w:r>
    </w:p>
    <w:p w:rsidR="00A210B3" w:rsidRPr="001562D4" w:rsidRDefault="00A210B3" w:rsidP="00A210B3">
      <w:r>
        <w:t>S</w:t>
      </w:r>
      <w:r w:rsidR="003C78BA">
        <w:t>ome s</w:t>
      </w:r>
      <w:r>
        <w:t>ervice providers previously proposed</w:t>
      </w:r>
      <w:r w:rsidRPr="001562D4">
        <w:t xml:space="preserve"> that empirical estimates from the Black CAPM should be used for e</w:t>
      </w:r>
      <w:r>
        <w:t>stimating the return on equity</w:t>
      </w:r>
      <w:r w:rsidRPr="001562D4">
        <w:t>.</w:t>
      </w:r>
      <w:r w:rsidRPr="001562D4">
        <w:rPr>
          <w:rStyle w:val="FootnoteReference"/>
        </w:rPr>
        <w:footnoteReference w:id="803"/>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w:t>
      </w:r>
      <w:r w:rsidR="003C78BA">
        <w:t>it has been argued</w:t>
      </w:r>
      <w:r>
        <w:t xml:space="preserve"> that: </w:t>
      </w:r>
    </w:p>
    <w:p w:rsidR="00A210B3" w:rsidRPr="0010250E" w:rsidRDefault="00A210B3" w:rsidP="00A210B3">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804"/>
      </w:r>
    </w:p>
    <w:p w:rsidR="00A210B3" w:rsidRDefault="00A210B3" w:rsidP="00A210B3">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805"/>
      </w:r>
    </w:p>
    <w:p w:rsidR="00A210B3" w:rsidRPr="0010250E" w:rsidRDefault="00A210B3" w:rsidP="00A210B3">
      <w:pPr>
        <w:pStyle w:val="AERbulletlistfirststyle"/>
      </w:pPr>
      <w:r>
        <w:t>The AER stated that the zero beta portfolio is hard to estimate but Gray and Hall (SFG) have provided an estimate.</w:t>
      </w:r>
      <w:r>
        <w:rPr>
          <w:rStyle w:val="FootnoteReference"/>
        </w:rPr>
        <w:footnoteReference w:id="806"/>
      </w:r>
    </w:p>
    <w:p w:rsidR="00A210B3" w:rsidRPr="0010250E" w:rsidRDefault="00A210B3" w:rsidP="00A210B3">
      <w:pPr>
        <w:pStyle w:val="AERbulletlistfirststyle"/>
      </w:pPr>
      <w:r>
        <w:t>The AER's return on equity estimate is below those from other relevant return on equity models.</w:t>
      </w:r>
      <w:r w:rsidRPr="0010250E">
        <w:rPr>
          <w:rStyle w:val="FootnoteReference"/>
        </w:rPr>
        <w:footnoteReference w:id="807"/>
      </w:r>
    </w:p>
    <w:p w:rsidR="00A210B3" w:rsidRPr="0010250E" w:rsidRDefault="00A210B3" w:rsidP="00A210B3">
      <w:pPr>
        <w:pStyle w:val="AERbulletlistfirststyle"/>
      </w:pPr>
      <w:r>
        <w:t>Consultant reports and US regulators show that the Black CAPM is used in rate of return regulation cases.</w:t>
      </w:r>
      <w:r w:rsidRPr="0010250E">
        <w:rPr>
          <w:rStyle w:val="FootnoteReference"/>
        </w:rPr>
        <w:footnoteReference w:id="808"/>
      </w:r>
      <w:r w:rsidRPr="0010250E">
        <w:t xml:space="preserve"> </w:t>
      </w:r>
    </w:p>
    <w:p w:rsidR="00A210B3" w:rsidRPr="00A210B3" w:rsidRDefault="00A210B3" w:rsidP="00CC7A1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w:t>
      </w:r>
      <w:r w:rsidR="00484671">
        <w:t xml:space="preserve">APTPPL's </w:t>
      </w:r>
      <w:r>
        <w:t xml:space="preserve">risk in providing regulated services. We elaborate on our response to these submissions in sections </w:t>
      </w:r>
      <w:r>
        <w:fldChar w:fldCharType="begin"/>
      </w:r>
      <w:r>
        <w:instrText xml:space="preserve"> REF _Ref448924784 \r \h </w:instrText>
      </w:r>
      <w:r>
        <w:fldChar w:fldCharType="separate"/>
      </w:r>
      <w:r w:rsidR="002C24D6">
        <w:t>B.2.1</w:t>
      </w:r>
      <w:r>
        <w:fldChar w:fldCharType="end"/>
      </w:r>
      <w:r>
        <w:t xml:space="preserve"> to </w:t>
      </w:r>
      <w:r>
        <w:fldChar w:fldCharType="begin"/>
      </w:r>
      <w:r>
        <w:instrText xml:space="preserve"> REF _Ref448924785 \r \h </w:instrText>
      </w:r>
      <w:r>
        <w:fldChar w:fldCharType="separate"/>
      </w:r>
      <w:r w:rsidR="002C24D6">
        <w:t>B.2.3</w:t>
      </w:r>
      <w:r>
        <w:fldChar w:fldCharType="end"/>
      </w:r>
      <w:r>
        <w:t xml:space="preserve"> below.</w:t>
      </w:r>
    </w:p>
    <w:p w:rsidR="00BB18D4" w:rsidRDefault="00BB18D4" w:rsidP="00BB18D4">
      <w:pPr>
        <w:pStyle w:val="Heading9"/>
      </w:pPr>
      <w:bookmarkStart w:id="167" w:name="_Ref448924784"/>
      <w:bookmarkStart w:id="168" w:name="_Toc456686715"/>
      <w:bookmarkStart w:id="169" w:name="_Toc487037150"/>
      <w:r w:rsidRPr="00BB18D4">
        <w:t>Empirical reliability of the Black CAPM</w:t>
      </w:r>
      <w:bookmarkEnd w:id="167"/>
      <w:bookmarkEnd w:id="168"/>
      <w:bookmarkEnd w:id="169"/>
    </w:p>
    <w:p w:rsidR="00A210B3" w:rsidRDefault="00A210B3" w:rsidP="00A210B3">
      <w:r>
        <w:t>We consider that there appears no consensus on the methodological choices required to construct a zero-beta portfolio.</w:t>
      </w:r>
    </w:p>
    <w:p w:rsidR="00A210B3" w:rsidRPr="007B60D8" w:rsidRDefault="00A210B3" w:rsidP="00CC7A1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809"/>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810"/>
      </w:r>
      <w:r w:rsidRPr="00C61D42">
        <w:t xml:space="preserve"> They noted Beaulieu, Dufour and Khalaf's conclusion that the estimate of the zero beta return is unstable and unreliable over time.</w:t>
      </w:r>
      <w:r w:rsidRPr="00C61D42">
        <w:rPr>
          <w:rStyle w:val="FootnoteReference"/>
        </w:rPr>
        <w:footnoteReference w:id="811"/>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812"/>
      </w:r>
    </w:p>
    <w:p w:rsidR="00A210B3" w:rsidRPr="001562D4" w:rsidRDefault="00A210B3" w:rsidP="00CC7A1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13"/>
      </w:r>
    </w:p>
    <w:p w:rsidR="00A210B3" w:rsidRPr="0010250E" w:rsidRDefault="00A210B3" w:rsidP="00A210B3">
      <w:pPr>
        <w:pStyle w:val="AERbulletlistfirststyle"/>
      </w:pPr>
      <w:r w:rsidRPr="001562D4">
        <w:t xml:space="preserve">CEG (2008) reports zero beta </w:t>
      </w:r>
      <w:r w:rsidRPr="0010250E">
        <w:t>premium estimates between 7.21 and 10.31 per cent per annum.</w:t>
      </w:r>
    </w:p>
    <w:p w:rsidR="00A210B3" w:rsidRPr="0010250E" w:rsidRDefault="00A210B3" w:rsidP="00A210B3">
      <w:pPr>
        <w:pStyle w:val="AERbulletlistfirststyle"/>
      </w:pPr>
      <w:r w:rsidRPr="001562D4">
        <w:t xml:space="preserve">NERA (2013) reports zero beta </w:t>
      </w:r>
      <w:r w:rsidRPr="0010250E">
        <w:t>premium estimates between 8.74 and 13.95 per cent per annum.</w:t>
      </w:r>
    </w:p>
    <w:p w:rsidR="00A210B3" w:rsidRDefault="00A210B3" w:rsidP="00CC7A1C">
      <w:pPr>
        <w:numPr>
          <w:ilvl w:val="0"/>
          <w:numId w:val="24"/>
        </w:numPr>
      </w:pPr>
      <w:r w:rsidRPr="001562D4">
        <w:t>NERA also acknowledge</w:t>
      </w:r>
      <w:r>
        <w:t>d</w:t>
      </w:r>
      <w:r w:rsidRPr="001562D4">
        <w:t xml:space="preserve"> that</w:t>
      </w:r>
      <w:r>
        <w:t>:</w:t>
      </w:r>
      <w:r w:rsidRPr="001562D4">
        <w:rPr>
          <w:rStyle w:val="FootnoteReference"/>
        </w:rPr>
        <w:footnoteReference w:id="814"/>
      </w:r>
    </w:p>
    <w:p w:rsidR="00A210B3" w:rsidRDefault="00A210B3" w:rsidP="00A210B3">
      <w:pPr>
        <w:pStyle w:val="AERquote"/>
      </w:pPr>
      <w:r w:rsidRPr="001562D4">
        <w:t>estimates of the zero-beta premium produced by studies that use long time series of Australian data are generally larger than estimates of the MRP that the AER has in the past used</w:t>
      </w:r>
      <w:r>
        <w:t>.</w:t>
      </w:r>
    </w:p>
    <w:p w:rsidR="00A210B3" w:rsidRDefault="00A210B3" w:rsidP="00CC7A1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815"/>
      </w:r>
      <w:r>
        <w:t xml:space="preserve"> Similarly, SFG submitted that imprecise estimates of the zero beta premium arose from the imprecision in the relationship between beta and stock returns.</w:t>
      </w:r>
      <w:r>
        <w:rPr>
          <w:rStyle w:val="FootnoteReference"/>
        </w:rPr>
        <w:footnoteReference w:id="816"/>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817"/>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210B3" w:rsidRDefault="00A210B3" w:rsidP="00CC7A1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818"/>
      </w:r>
      <w:r w:rsidRPr="00CA5AF6">
        <w:t xml:space="preserve"> </w:t>
      </w:r>
    </w:p>
    <w:p w:rsidR="00A210B3" w:rsidRPr="00C854DA" w:rsidRDefault="00A210B3" w:rsidP="00CC7A1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819"/>
      </w:r>
    </w:p>
    <w:p w:rsidR="00A210B3" w:rsidRPr="001562D4" w:rsidRDefault="00A210B3" w:rsidP="00CC7A1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20"/>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821"/>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22"/>
      </w:r>
    </w:p>
    <w:p w:rsidR="00A210B3" w:rsidRPr="001562D4" w:rsidRDefault="00A210B3" w:rsidP="00A210B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210B3" w:rsidRPr="001562D4" w:rsidRDefault="00A210B3" w:rsidP="00CC7A1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23"/>
      </w:r>
    </w:p>
    <w:p w:rsidR="00A210B3" w:rsidRDefault="00A210B3" w:rsidP="00A210B3">
      <w:pPr>
        <w:pStyle w:val="AERquote"/>
      </w:pPr>
      <w:r w:rsidRPr="001562D4">
        <w:t>Our point that ‘what you get depends very heavily on what you do’ is well illustrated by the SFG estimate of the zero beta premium, which is quite different to the NERA estimate</w:t>
      </w:r>
    </w:p>
    <w:p w:rsidR="00A210B3" w:rsidRDefault="00A210B3" w:rsidP="00A210B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824"/>
      </w:r>
      <w:r>
        <w:t xml:space="preserve"> Having reviewed SFG's report, Partington advised:</w:t>
      </w:r>
      <w:r>
        <w:rPr>
          <w:rStyle w:val="FootnoteReference"/>
        </w:rPr>
        <w:footnoteReference w:id="825"/>
      </w:r>
    </w:p>
    <w:p w:rsidR="00A210B3" w:rsidRPr="009A5577" w:rsidRDefault="00A210B3" w:rsidP="00A210B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w:t>
      </w:r>
      <w:r w:rsidR="006C250D" w:rsidRPr="009A5577">
        <w:t>providers'</w:t>
      </w:r>
      <w:r w:rsidRPr="009A5577">
        <w:t xml:space="preserve"> consultants reports. This is an important point as McKenzie and Partington (2014) do not suggest that the Black model cannot be estimated. Indeed, the </w:t>
      </w:r>
      <w:r w:rsidR="006C250D" w:rsidRPr="009A5577">
        <w:t>consultant's</w:t>
      </w:r>
      <w:r w:rsidRPr="009A5577">
        <w:t xml:space="preserve"> reports clearly show that it can be done. What they do say however, is that it is unclear what those estimated represent</w:t>
      </w:r>
      <w:r>
        <w:t>.</w:t>
      </w:r>
    </w:p>
    <w:p w:rsidR="00A210B3" w:rsidRPr="00127ECB" w:rsidRDefault="00A210B3" w:rsidP="00A210B3">
      <w:r>
        <w:t xml:space="preserve">We received a number of submissions from </w:t>
      </w:r>
      <w:r w:rsidR="003C78BA">
        <w:t>other</w:t>
      </w:r>
      <w:r>
        <w:t xml:space="preserve"> service providers and their consultants on the Black CAPM in previous regulatory processes. However, they largely surround issues previously considered in our Guideline and/or previous decisions.</w:t>
      </w:r>
      <w:r>
        <w:rPr>
          <w:rStyle w:val="FootnoteReference"/>
        </w:rPr>
        <w:footnoteReference w:id="826"/>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827"/>
      </w:r>
      <w:r>
        <w:t xml:space="preserve"> AusNet Services also argued against the zero-beta portfolio being hard to estimate.</w:t>
      </w:r>
      <w:r>
        <w:rPr>
          <w:rStyle w:val="FootnoteReference"/>
        </w:rPr>
        <w:footnoteReference w:id="828"/>
      </w:r>
    </w:p>
    <w:p w:rsidR="00A210B3" w:rsidRDefault="00A210B3" w:rsidP="00A210B3">
      <w:r>
        <w:t>S</w:t>
      </w:r>
      <w:r w:rsidR="003C78BA">
        <w:t>ome s</w:t>
      </w:r>
      <w:r>
        <w:t xml:space="preserve">ervice providers previously </w:t>
      </w:r>
      <w:r w:rsidR="003C78BA">
        <w:t xml:space="preserve">submitted </w:t>
      </w:r>
      <w:r>
        <w:t>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829"/>
      </w:r>
      <w:r w:rsidRPr="00127ECB">
        <w:t xml:space="preserve"> </w:t>
      </w:r>
      <w:r>
        <w:t>AusNet Services have also submitted that the Black CAPM should be used as part of the multi-model approach for estimating the required return on equity.</w:t>
      </w:r>
      <w:r>
        <w:rPr>
          <w:rStyle w:val="FootnoteReference"/>
        </w:rPr>
        <w:footnoteReference w:id="830"/>
      </w:r>
    </w:p>
    <w:p w:rsidR="00A210B3" w:rsidRDefault="00A210B3" w:rsidP="00A210B3">
      <w:pPr>
        <w:rPr>
          <w:rStyle w:val="AERbody"/>
        </w:rPr>
      </w:pPr>
      <w:r>
        <w:rPr>
          <w:rStyle w:val="AERbody"/>
        </w:rPr>
        <w:t>Partington and Satchell continue to note a range of issues (some of which are long-standing) with the Black CAPM in their latest report:</w:t>
      </w:r>
    </w:p>
    <w:p w:rsidR="00A210B3" w:rsidRPr="0010250E" w:rsidRDefault="00A210B3" w:rsidP="00A210B3">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831"/>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A210B3" w:rsidRPr="0010250E" w:rsidRDefault="00A210B3" w:rsidP="00A210B3">
      <w:pPr>
        <w:pStyle w:val="AERbulletlistfirststyle"/>
        <w:rPr>
          <w:rStyle w:val="AERbody"/>
        </w:rPr>
      </w:pPr>
      <w:r>
        <w:rPr>
          <w:rStyle w:val="AERbody"/>
        </w:rPr>
        <w:t>There are a range of issues with implementing the Black CAPM.</w:t>
      </w:r>
      <w:r w:rsidRPr="0010250E">
        <w:rPr>
          <w:rStyle w:val="FootnoteReference"/>
        </w:rPr>
        <w:footnoteReference w:id="832"/>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210B3" w:rsidRPr="0010250E" w:rsidRDefault="00A210B3" w:rsidP="00A210B3">
      <w:pPr>
        <w:pStyle w:val="AERbulletlistfirststyle"/>
      </w:pPr>
      <w:r>
        <w:t>The zero beta premium estimates is not current nor observable and the standard errors of the estimates are substantial.</w:t>
      </w:r>
      <w:r w:rsidRPr="0010250E">
        <w:rPr>
          <w:rStyle w:val="FootnoteReference"/>
        </w:rPr>
        <w:footnoteReference w:id="833"/>
      </w:r>
    </w:p>
    <w:p w:rsidR="00A210B3" w:rsidRDefault="00A210B3" w:rsidP="00A210B3">
      <w:r>
        <w:t>After reviewing the material submitted to us, we are satisfied that we do not need to estimate the Black CAPM.</w:t>
      </w:r>
    </w:p>
    <w:p w:rsidR="00A210B3" w:rsidRDefault="00A210B3" w:rsidP="00A210B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834"/>
      </w:r>
      <w:r w:rsidRPr="001B55CE">
        <w:t xml:space="preserve"> </w:t>
      </w:r>
    </w:p>
    <w:p w:rsidR="00A210B3" w:rsidRPr="001B6CF5" w:rsidRDefault="00A210B3" w:rsidP="00A210B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210B3" w:rsidRDefault="00A210B3" w:rsidP="00A210B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835"/>
      </w:r>
    </w:p>
    <w:p w:rsidR="00A210B3" w:rsidRDefault="00A210B3" w:rsidP="00A210B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836"/>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210B3" w:rsidRDefault="00A210B3" w:rsidP="00A210B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837"/>
      </w:r>
    </w:p>
    <w:p w:rsidR="00A210B3" w:rsidRPr="00F8120D" w:rsidRDefault="00A210B3" w:rsidP="00A210B3">
      <w:pPr>
        <w:pStyle w:val="AERquote"/>
      </w:pPr>
      <w:r w:rsidRPr="00F8120D">
        <w:t>[Beaulieu, Dufour and Khalaf (2012) states that] even if estimated betas are not close to one, irregularities associated with WI [weak identification] are not at all precluded [in view of (1) and (2) above]…</w:t>
      </w:r>
    </w:p>
    <w:p w:rsidR="00A210B3" w:rsidRPr="00F8120D" w:rsidRDefault="00A210B3" w:rsidP="00A210B3">
      <w:pPr>
        <w:pStyle w:val="AERquote"/>
      </w:pPr>
      <w:r w:rsidRPr="00F8120D">
        <w:t xml:space="preserve"> [Their statement states that] even if the estimated betas are not close to one, this is not a sufficient condition to preclude problems of estimation and inference.</w:t>
      </w:r>
    </w:p>
    <w:p w:rsidR="00A210B3" w:rsidRPr="003E007E" w:rsidRDefault="00A210B3" w:rsidP="00A210B3">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210B3" w:rsidRDefault="00A210B3" w:rsidP="00A210B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838"/>
      </w:r>
    </w:p>
    <w:p w:rsidR="00A210B3" w:rsidRDefault="00A210B3" w:rsidP="00A210B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839"/>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840"/>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841"/>
      </w:r>
    </w:p>
    <w:p w:rsidR="00A210B3" w:rsidRPr="00890E90" w:rsidRDefault="00A210B3" w:rsidP="00A210B3">
      <w:r>
        <w:t>HoustonKemp submitted in respect of the asset pricing tests in Lewellen, Nagel and Shanken:</w:t>
      </w:r>
      <w:r w:rsidRPr="00890E90">
        <w:rPr>
          <w:rStyle w:val="FootnoteReference"/>
        </w:rPr>
        <w:footnoteReference w:id="842"/>
      </w:r>
      <w:r w:rsidRPr="00890E90">
        <w:t xml:space="preserve">  </w:t>
      </w:r>
    </w:p>
    <w:p w:rsidR="00A210B3" w:rsidRPr="0010250E" w:rsidRDefault="00A210B3" w:rsidP="00A210B3">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A210B3" w:rsidRPr="0010250E" w:rsidRDefault="00A210B3" w:rsidP="00A210B3">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A210B3" w:rsidRPr="009A482A" w:rsidRDefault="00A210B3" w:rsidP="00A210B3">
      <w:pPr>
        <w:rPr>
          <w:rStyle w:val="AERbody"/>
        </w:rPr>
      </w:pPr>
      <w:r w:rsidRPr="009A482A">
        <w:rPr>
          <w:rStyle w:val="AERbody"/>
        </w:rPr>
        <w:t>However, Partington and Satchell cautioned use of results from asset pricing tests:</w:t>
      </w:r>
      <w:r w:rsidRPr="009A482A">
        <w:rPr>
          <w:rStyle w:val="FootnoteReference"/>
        </w:rPr>
        <w:footnoteReference w:id="843"/>
      </w:r>
    </w:p>
    <w:p w:rsidR="00A210B3" w:rsidRDefault="00A210B3" w:rsidP="00A210B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210B3" w:rsidRPr="00A210B3" w:rsidRDefault="00A210B3" w:rsidP="00A210B3">
      <w:pPr>
        <w:pStyle w:val="AERquote"/>
        <w:rPr>
          <w:shd w:val="clear" w:color="auto" w:fill="FFFF00"/>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BB18D4" w:rsidRDefault="00BB18D4" w:rsidP="00BB18D4">
      <w:pPr>
        <w:pStyle w:val="Heading9"/>
      </w:pPr>
      <w:bookmarkStart w:id="170" w:name="_Ref449010288"/>
      <w:bookmarkStart w:id="171" w:name="_Toc456686716"/>
      <w:bookmarkStart w:id="172" w:name="_Toc487037151"/>
      <w:r w:rsidRPr="00BB18D4">
        <w:t>Low beta bias may not reflect ex ante priced risk</w:t>
      </w:r>
      <w:bookmarkEnd w:id="170"/>
      <w:bookmarkEnd w:id="171"/>
      <w:bookmarkEnd w:id="172"/>
    </w:p>
    <w:p w:rsidR="00A210B3" w:rsidRDefault="00A210B3" w:rsidP="00A210B3">
      <w:r>
        <w:t>S</w:t>
      </w:r>
      <w:r w:rsidR="003C78BA">
        <w:t>ome s</w:t>
      </w:r>
      <w:r>
        <w:t>ervice providers previously submitted that the Sharpe-Lintner CAPM underestimates the return on equity for businesses with an equity beta less than one ('low beta bias'). They submitted that low beta bias is evidenced by the return on equity estimates from Black CAPM and the empirical performance of the Sharpe-Lintner CAPM using ex post data.</w:t>
      </w:r>
      <w:r>
        <w:rPr>
          <w:rStyle w:val="FootnoteReference"/>
        </w:rPr>
        <w:footnoteReference w:id="844"/>
      </w:r>
    </w:p>
    <w:p w:rsidR="00A210B3" w:rsidRDefault="00A210B3" w:rsidP="00A210B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2C24D6">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210B3" w:rsidRPr="006C4D93" w:rsidRDefault="00A210B3" w:rsidP="00A210B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45"/>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846"/>
      </w:r>
      <w:r>
        <w:t xml:space="preserve"> Handley later reiterated that </w:t>
      </w:r>
      <w:r w:rsidRPr="00725202">
        <w:t>our understanding of the low beta bias is still far</w:t>
      </w:r>
      <w:r>
        <w:t xml:space="preserve"> </w:t>
      </w:r>
      <w:r w:rsidRPr="00725202">
        <w:t>from clear.</w:t>
      </w:r>
      <w:r>
        <w:rPr>
          <w:rStyle w:val="FootnoteReference"/>
        </w:rPr>
        <w:footnoteReference w:id="847"/>
      </w:r>
    </w:p>
    <w:p w:rsidR="00A210B3" w:rsidRDefault="00A210B3" w:rsidP="00A210B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848"/>
      </w:r>
    </w:p>
    <w:p w:rsidR="00A210B3" w:rsidRDefault="00A210B3" w:rsidP="00A210B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849"/>
      </w:r>
      <w:r>
        <w:t xml:space="preserve"> As such, any attempt to compare the two models must be done with great care.</w:t>
      </w:r>
      <w:r>
        <w:rPr>
          <w:rStyle w:val="FootnoteReference"/>
        </w:rPr>
        <w:footnoteReference w:id="850"/>
      </w:r>
    </w:p>
    <w:p w:rsidR="00A210B3" w:rsidRPr="00A210B3" w:rsidRDefault="00A210B3" w:rsidP="00A210B3">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851"/>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852"/>
      </w:r>
      <w:r w:rsidRPr="001B6CF5">
        <w:t xml:space="preserve"> </w:t>
      </w:r>
    </w:p>
    <w:p w:rsidR="00BB18D4" w:rsidRDefault="00BB18D4" w:rsidP="00BB18D4">
      <w:pPr>
        <w:pStyle w:val="Heading9"/>
      </w:pPr>
      <w:bookmarkStart w:id="173" w:name="_Ref448924785"/>
      <w:bookmarkStart w:id="174" w:name="_Toc456686717"/>
      <w:bookmarkStart w:id="175" w:name="_Toc487037152"/>
      <w:r w:rsidRPr="00BB18D4">
        <w:t>AER's role for the theory of the Black CAPM</w:t>
      </w:r>
      <w:bookmarkEnd w:id="173"/>
      <w:bookmarkEnd w:id="174"/>
      <w:bookmarkEnd w:id="175"/>
    </w:p>
    <w:p w:rsidR="009A1A4E" w:rsidRDefault="009A1A4E" w:rsidP="00CC7A1C">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A1A4E" w:rsidRDefault="009A1A4E" w:rsidP="00CC7A1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853"/>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A1A4E" w:rsidRDefault="009A1A4E" w:rsidP="00CC7A1C">
      <w:pPr>
        <w:numPr>
          <w:ilvl w:val="0"/>
          <w:numId w:val="24"/>
        </w:numPr>
      </w:pPr>
      <w:r>
        <w:t xml:space="preserve">Our empirical and conceptual analysis of equity beta for businesses with a similar degree of risk as </w:t>
      </w:r>
      <w:r w:rsidR="005B1D7B">
        <w:t>APTPPL</w:t>
      </w:r>
      <w:r w:rsidR="006C250D">
        <w:t xml:space="preserve"> </w:t>
      </w:r>
      <w:r>
        <w:t>(in the provision of re</w:t>
      </w:r>
      <w:r w:rsidR="002A1687">
        <w:t>ference</w:t>
      </w:r>
      <w:r>
        <w:t xml:space="preserve"> services) indicates an equity beta less than one, and within the range of 0.4 to 0.7.</w:t>
      </w:r>
      <w:r>
        <w:rPr>
          <w:rStyle w:val="FootnoteReference"/>
        </w:rPr>
        <w:footnoteReference w:id="854"/>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A1A4E" w:rsidRDefault="009A1A4E" w:rsidP="00CC7A1C">
      <w:pPr>
        <w:numPr>
          <w:ilvl w:val="0"/>
          <w:numId w:val="24"/>
        </w:numPr>
      </w:pPr>
      <w:r>
        <w:t>However, it is important to note that:</w:t>
      </w:r>
    </w:p>
    <w:p w:rsidR="009A1A4E" w:rsidRPr="0010250E" w:rsidRDefault="009A1A4E" w:rsidP="009A1A4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A1A4E" w:rsidRPr="0010250E" w:rsidRDefault="009A1A4E" w:rsidP="009A1A4E">
      <w:pPr>
        <w:pStyle w:val="AERbulletlistfirststyle"/>
      </w:pPr>
      <w:r>
        <w:t>W</w:t>
      </w:r>
      <w:r w:rsidRPr="0010250E">
        <w:t>e consider that we cannot reliably estimate the Black CAPM.</w:t>
      </w:r>
    </w:p>
    <w:p w:rsidR="009A1A4E" w:rsidRPr="0010250E" w:rsidRDefault="009A1A4E" w:rsidP="009A1A4E">
      <w:pPr>
        <w:pStyle w:val="AERbulletlistfirststyle"/>
      </w:pPr>
      <w:r>
        <w:t>The</w:t>
      </w:r>
      <w:r w:rsidRPr="0010250E">
        <w:t xml:space="preserve"> empirical tests of the Sharpe-Lintner CAPM using ex-post data do not provide conclusive evidence that the Sharpe-Lintner CAPM has 'low beta bias'.</w:t>
      </w:r>
    </w:p>
    <w:p w:rsidR="009A1A4E" w:rsidRDefault="009A1A4E" w:rsidP="00CC7A1C">
      <w:pPr>
        <w:numPr>
          <w:ilvl w:val="0"/>
          <w:numId w:val="24"/>
        </w:numPr>
      </w:pPr>
      <w:r>
        <w:t xml:space="preserve">Our use of the Black CAPM in informing the equity beta point estimate is supported by recent advice from our expert consultants, McKenzie and Partington and John Handley. </w:t>
      </w:r>
    </w:p>
    <w:p w:rsidR="009A1A4E" w:rsidRDefault="009A1A4E" w:rsidP="00CC7A1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855"/>
      </w:r>
    </w:p>
    <w:p w:rsidR="009A1A4E" w:rsidRDefault="009A1A4E" w:rsidP="00CC7A1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856"/>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857"/>
      </w:r>
      <w:r>
        <w:t xml:space="preserve"> </w:t>
      </w:r>
    </w:p>
    <w:p w:rsidR="009A1A4E" w:rsidRDefault="009A1A4E" w:rsidP="009A1A4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858"/>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A1A4E" w:rsidRPr="00C61D42" w:rsidRDefault="009A1A4E" w:rsidP="009A1A4E">
      <w:r>
        <w:t>Some s</w:t>
      </w:r>
      <w:r w:rsidRPr="00C61D42">
        <w:t xml:space="preserve">ervice providers have </w:t>
      </w:r>
      <w:r>
        <w:t xml:space="preserve">previously </w:t>
      </w:r>
      <w:r w:rsidRPr="00C61D42">
        <w:t>submitted that we have adjusted the equity beta for the Black CAPM in order to provide a correction for low beta bias.</w:t>
      </w:r>
      <w:r>
        <w:rPr>
          <w:rStyle w:val="FootnoteReference"/>
        </w:rPr>
        <w:footnoteReference w:id="859"/>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860"/>
      </w:r>
      <w:r>
        <w:t xml:space="preserve"> </w:t>
      </w:r>
      <w:r w:rsidRPr="00C61D42">
        <w:t xml:space="preserve">We do not consider </w:t>
      </w:r>
      <w:r>
        <w:t>that</w:t>
      </w:r>
      <w:r w:rsidRPr="00C61D42">
        <w:t xml:space="preserve"> </w:t>
      </w:r>
      <w:r w:rsidR="003C78BA">
        <w:t>it has been</w:t>
      </w:r>
      <w:r w:rsidRPr="00C61D42">
        <w:t xml:space="preser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2C24D6">
        <w:t>3.4.1</w:t>
      </w:r>
      <w:r>
        <w:fldChar w:fldCharType="end"/>
      </w:r>
      <w:r>
        <w:t>).</w:t>
      </w:r>
    </w:p>
    <w:p w:rsidR="009A1A4E" w:rsidRDefault="009A1A4E" w:rsidP="009A1A4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861"/>
      </w:r>
      <w:r>
        <w:t xml:space="preserve"> We do not consider that the Black CAPM can be reliably estimated, and therefore consider that proper regard to the model requires that we do not place weight on estimates from the model and do not estimate the zero-beta premium.</w:t>
      </w:r>
    </w:p>
    <w:p w:rsidR="009A1A4E" w:rsidRDefault="009A1A4E" w:rsidP="009A1A4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862"/>
      </w:r>
      <w:r>
        <w:t xml:space="preserve"> </w:t>
      </w:r>
    </w:p>
    <w:p w:rsidR="009A1A4E" w:rsidRPr="0092561B" w:rsidRDefault="009A1A4E" w:rsidP="009A1A4E">
      <w:pPr>
        <w:rPr>
          <w:rStyle w:val="AERbody"/>
        </w:rPr>
      </w:pPr>
      <w:r w:rsidRPr="0092561B">
        <w:rPr>
          <w:rStyle w:val="AERbody"/>
        </w:rPr>
        <w:t>We note that our equity beta estimate of 0.7 is informed by a range of relevant evidence</w:t>
      </w:r>
      <w:r w:rsidRPr="0092561B">
        <w:rPr>
          <w:rStyle w:val="FootnoteReference"/>
        </w:rPr>
        <w:footnoteReference w:id="863"/>
      </w:r>
      <w:r w:rsidRPr="0092561B">
        <w:rPr>
          <w:rStyle w:val="AERbody"/>
        </w:rPr>
        <w:t xml:space="preserve"> and based on exercise of our regulatory judgment. It is not determined in any mechanistic manner as suggested by HoustonKemp. </w:t>
      </w:r>
    </w:p>
    <w:p w:rsidR="009A1A4E" w:rsidRDefault="009A1A4E" w:rsidP="00CC7A1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864"/>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A1A4E" w:rsidRPr="00F143C8" w:rsidRDefault="009A1A4E" w:rsidP="00CC7A1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865"/>
      </w:r>
      <w:r w:rsidRPr="00F143C8">
        <w:t xml:space="preserve"> The </w:t>
      </w:r>
      <w:r>
        <w:t>Consumer Challenge Panel</w:t>
      </w:r>
      <w:r w:rsidRPr="00F143C8">
        <w:t xml:space="preserve"> stated:</w:t>
      </w:r>
      <w:r w:rsidRPr="00F143C8">
        <w:rPr>
          <w:rStyle w:val="FootnoteReference"/>
        </w:rPr>
        <w:footnoteReference w:id="866"/>
      </w:r>
    </w:p>
    <w:p w:rsidR="009A1A4E" w:rsidRPr="00F143C8" w:rsidRDefault="009A1A4E" w:rsidP="009A1A4E">
      <w:pPr>
        <w:pStyle w:val="AERquote"/>
      </w:pPr>
      <w:r w:rsidRPr="00F143C8">
        <w:t>We have discussed our concerns with the Black CAPM above and do not consider it is an appropriate basis for the AER to select an equity beta that is higher than the median of the empirical observations.</w:t>
      </w:r>
    </w:p>
    <w:p w:rsidR="009A1A4E" w:rsidRDefault="009A1A4E" w:rsidP="00CC7A1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867"/>
      </w:r>
      <w:r w:rsidRPr="00F143C8">
        <w:t xml:space="preserve"> We note that the theory of the Black CAPM was only one factor that informed our equity beta point estimate.</w:t>
      </w:r>
    </w:p>
    <w:p w:rsidR="009A1A4E" w:rsidRPr="009A1A4E" w:rsidRDefault="009A1A4E" w:rsidP="009A1A4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868"/>
      </w:r>
      <w:r w:rsidRPr="001B6CF5">
        <w:t xml:space="preserve"> We consider that this refers to the Guideline in its entirety, including our role for the theory of the Black CAPM.</w:t>
      </w:r>
    </w:p>
    <w:p w:rsidR="00BB18D4" w:rsidRDefault="00BB18D4" w:rsidP="00BB18D4">
      <w:pPr>
        <w:pStyle w:val="Heading8"/>
      </w:pPr>
      <w:bookmarkStart w:id="176" w:name="_Ref449007420"/>
      <w:bookmarkStart w:id="177" w:name="_Toc451943788"/>
      <w:bookmarkStart w:id="178" w:name="_Toc456686718"/>
      <w:bookmarkStart w:id="179" w:name="_Toc487037153"/>
      <w:r w:rsidRPr="00BB18D4">
        <w:t>Fama-French model</w:t>
      </w:r>
      <w:bookmarkEnd w:id="176"/>
      <w:bookmarkEnd w:id="177"/>
      <w:bookmarkEnd w:id="178"/>
      <w:bookmarkEnd w:id="179"/>
    </w:p>
    <w:p w:rsidR="009A1A4E" w:rsidRPr="001562D4" w:rsidRDefault="009A1A4E" w:rsidP="00CC7A1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869"/>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70"/>
      </w:r>
    </w:p>
    <w:p w:rsidR="009A1A4E" w:rsidRPr="0010250E" w:rsidRDefault="009A1A4E" w:rsidP="009A1A4E">
      <w:pPr>
        <w:pStyle w:val="AERbulletlistfirststyle"/>
      </w:pPr>
      <w:r w:rsidRPr="001562D4">
        <w:t>the return on the market (thus it incorporates the CAPM</w:t>
      </w:r>
      <w:r w:rsidRPr="0010250E">
        <w:t>'s systematic risk factor by having  the return on the market as a factor)</w:t>
      </w:r>
    </w:p>
    <w:p w:rsidR="009A1A4E" w:rsidRPr="0010250E" w:rsidRDefault="009A1A4E" w:rsidP="009A1A4E">
      <w:pPr>
        <w:pStyle w:val="AERbulletlistfirststyle"/>
      </w:pPr>
      <w:r w:rsidRPr="001562D4">
        <w:t>firm size (measured by market capitalisation)</w:t>
      </w:r>
    </w:p>
    <w:p w:rsidR="009A1A4E" w:rsidRPr="0010250E" w:rsidRDefault="009A1A4E" w:rsidP="009A1A4E">
      <w:pPr>
        <w:pStyle w:val="AERbulletlistfirststyle"/>
      </w:pPr>
      <w:r w:rsidRPr="001562D4">
        <w:t>the ratio of book value to market value</w:t>
      </w:r>
      <w:r w:rsidRPr="0010250E">
        <w:t>.</w:t>
      </w:r>
    </w:p>
    <w:p w:rsidR="009A1A4E" w:rsidRDefault="009A1A4E" w:rsidP="00CC7A1C">
      <w:pPr>
        <w:numPr>
          <w:ilvl w:val="0"/>
          <w:numId w:val="24"/>
        </w:numPr>
      </w:pPr>
      <w:r>
        <w:t>We have reviewed all the material submitted to us</w:t>
      </w:r>
      <w:r>
        <w:rPr>
          <w:rStyle w:val="FootnoteReference"/>
        </w:rPr>
        <w:footnoteReference w:id="871"/>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72"/>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 xml:space="preserve">commensurate with the efficient financing costs given the risk of </w:t>
      </w:r>
      <w:r w:rsidR="00484671">
        <w:t xml:space="preserve">APTPPL's </w:t>
      </w:r>
      <w:r>
        <w:t>regulated services</w:t>
      </w:r>
      <w:r w:rsidRPr="001562D4">
        <w:t xml:space="preserve">. </w:t>
      </w:r>
    </w:p>
    <w:p w:rsidR="009A1A4E" w:rsidRPr="001562D4" w:rsidRDefault="009A1A4E" w:rsidP="00CC7A1C">
      <w:pPr>
        <w:numPr>
          <w:ilvl w:val="0"/>
          <w:numId w:val="24"/>
        </w:numPr>
      </w:pPr>
      <w:r>
        <w:t>Our</w:t>
      </w:r>
      <w:r w:rsidRPr="001562D4">
        <w:t xml:space="preserve"> reasons for giving the </w:t>
      </w:r>
      <w:r>
        <w:t>Fama-French model</w:t>
      </w:r>
      <w:r w:rsidRPr="001562D4">
        <w:t xml:space="preserve"> no role </w:t>
      </w:r>
      <w:r>
        <w:t>are:</w:t>
      </w:r>
    </w:p>
    <w:p w:rsidR="009A1A4E" w:rsidRPr="0010250E" w:rsidRDefault="009A1A4E" w:rsidP="009A1A4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A1A4E" w:rsidRPr="0010250E" w:rsidRDefault="009A1A4E" w:rsidP="009A1A4E">
      <w:pPr>
        <w:pStyle w:val="AERbulletlistfirststyle"/>
      </w:pPr>
      <w:r>
        <w:t>T</w:t>
      </w:r>
      <w:r w:rsidRPr="0010250E">
        <w:t>he ex-post (backward looking) observation of apparently priced risk factors does not mean these factors are priced ex-ante (on a forward looking basis).</w:t>
      </w:r>
    </w:p>
    <w:p w:rsidR="009A1A4E" w:rsidRPr="0010250E" w:rsidRDefault="009A1A4E" w:rsidP="009A1A4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873"/>
      </w:r>
    </w:p>
    <w:p w:rsidR="009A1A4E" w:rsidRPr="0010250E" w:rsidRDefault="009A1A4E" w:rsidP="009A1A4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874"/>
      </w:r>
    </w:p>
    <w:p w:rsidR="009A1A4E" w:rsidRDefault="009A1A4E" w:rsidP="00CC7A1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a business with a similar degree of risk as </w:t>
      </w:r>
      <w:r w:rsidR="00484671">
        <w:t xml:space="preserve">APTPPL's </w:t>
      </w:r>
      <w:r>
        <w:t>in providing re</w:t>
      </w:r>
      <w:r w:rsidR="002A1687">
        <w:t>ference</w:t>
      </w:r>
      <w:r>
        <w:t xml:space="preserve">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A1A4E" w:rsidRPr="001562D4" w:rsidRDefault="009A1A4E" w:rsidP="00CC7A1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75"/>
      </w:r>
      <w:r>
        <w:t xml:space="preserve"> We consider Handley's comments on the model also support our decision to not use the Fame-French model.</w:t>
      </w:r>
      <w:r>
        <w:rPr>
          <w:rStyle w:val="FootnoteReference"/>
        </w:rPr>
        <w:footnoteReference w:id="876"/>
      </w:r>
    </w:p>
    <w:p w:rsidR="009A1A4E" w:rsidRDefault="009A1A4E" w:rsidP="009A1A4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77"/>
      </w:r>
      <w:r>
        <w:t xml:space="preserve"> </w:t>
      </w:r>
    </w:p>
    <w:p w:rsidR="009A1A4E" w:rsidRDefault="009A1A4E" w:rsidP="009A1A4E">
      <w:r>
        <w:t>The Consumer Challenge P</w:t>
      </w:r>
      <w:r w:rsidRPr="001562D4">
        <w:t>anel</w:t>
      </w:r>
      <w:r>
        <w:t xml:space="preserve"> was</w:t>
      </w:r>
      <w:r w:rsidRPr="001562D4">
        <w:t xml:space="preserve"> </w:t>
      </w:r>
      <w:r>
        <w:t>also unconvinced by arguments from various service providers</w:t>
      </w:r>
      <w:r w:rsidR="003C78BA">
        <w:t xml:space="preserve"> previously</w:t>
      </w:r>
      <w:r>
        <w:t xml:space="preserve">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78"/>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79"/>
      </w:r>
      <w:r>
        <w:t xml:space="preserve"> </w:t>
      </w:r>
    </w:p>
    <w:p w:rsidR="009A1A4E" w:rsidRDefault="009A1A4E" w:rsidP="00CC7A1C">
      <w:pPr>
        <w:numPr>
          <w:ilvl w:val="0"/>
          <w:numId w:val="24"/>
        </w:numPr>
      </w:pPr>
      <w:r>
        <w:t>S</w:t>
      </w:r>
      <w:r w:rsidR="003C78BA">
        <w:t>ome s</w:t>
      </w:r>
      <w:r>
        <w:t>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880"/>
      </w:r>
      <w:r>
        <w:t xml:space="preserve"> </w:t>
      </w:r>
    </w:p>
    <w:p w:rsidR="009A1A4E" w:rsidRPr="0010250E" w:rsidRDefault="009A1A4E" w:rsidP="009A1A4E">
      <w:pPr>
        <w:pStyle w:val="AERbulletlistfirststyle"/>
      </w:pPr>
      <w:r>
        <w:t>The Fama-French model performs better than the Sharpe-Lintner CAPM.</w:t>
      </w:r>
      <w:r w:rsidRPr="0010250E">
        <w:rPr>
          <w:rStyle w:val="FootnoteReference"/>
        </w:rPr>
        <w:footnoteReference w:id="881"/>
      </w:r>
    </w:p>
    <w:p w:rsidR="009A1A4E" w:rsidRPr="0010250E" w:rsidRDefault="009A1A4E" w:rsidP="009A1A4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9A1A4E" w:rsidRPr="0010250E" w:rsidRDefault="009A1A4E" w:rsidP="009A1A4E">
      <w:pPr>
        <w:pStyle w:val="AERbulletlistfirststyle"/>
        <w:rPr>
          <w:rStyle w:val="AERbody"/>
        </w:rPr>
      </w:pPr>
      <w:r>
        <w:rPr>
          <w:rStyle w:val="AERbody"/>
        </w:rPr>
        <w:t>T</w:t>
      </w:r>
      <w:r w:rsidRPr="008166A1">
        <w:rPr>
          <w:rStyle w:val="AERbody"/>
        </w:rPr>
        <w:t xml:space="preserve">he </w:t>
      </w:r>
      <w:r w:rsidRPr="0010250E">
        <w:rPr>
          <w:rStyle w:val="AERbody"/>
        </w:rPr>
        <w:t>Fama-French model was developed to address mis-pricing on low-cap and value stocks.</w:t>
      </w:r>
      <w:r w:rsidRPr="0010250E">
        <w:rPr>
          <w:rStyle w:val="FootnoteReference"/>
        </w:rPr>
        <w:footnoteReference w:id="882"/>
      </w:r>
      <w:r w:rsidRPr="0010250E">
        <w:rPr>
          <w:rStyle w:val="AERbody"/>
        </w:rPr>
        <w:t xml:space="preserve"> </w:t>
      </w:r>
    </w:p>
    <w:p w:rsidR="009A1A4E" w:rsidRPr="008166A1" w:rsidRDefault="009A1A4E" w:rsidP="00CC7A1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83"/>
      </w:r>
      <w:r w:rsidRPr="008166A1">
        <w:rPr>
          <w:rStyle w:val="AERbody"/>
        </w:rPr>
        <w:t xml:space="preserve"> </w:t>
      </w:r>
    </w:p>
    <w:p w:rsidR="009A1A4E" w:rsidRDefault="009A1A4E" w:rsidP="00CC7A1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84"/>
      </w:r>
    </w:p>
    <w:p w:rsidR="009A1A4E" w:rsidRPr="006F34DC" w:rsidRDefault="009A1A4E" w:rsidP="009A1A4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A1A4E" w:rsidRPr="001F02B3" w:rsidRDefault="009A1A4E" w:rsidP="00CC7A1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85"/>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886"/>
      </w:r>
    </w:p>
    <w:p w:rsidR="009A1A4E" w:rsidRPr="009A1A4E" w:rsidRDefault="009A1A4E" w:rsidP="00CC7A1C">
      <w:pPr>
        <w:numPr>
          <w:ilvl w:val="0"/>
          <w:numId w:val="24"/>
        </w:numPr>
      </w:pPr>
      <w:r>
        <w:t xml:space="preserve">We have discussed the relative empirical performance of the Sharpe-Lintner CAPM in section </w:t>
      </w:r>
      <w:r w:rsidR="00562786">
        <w:t>B.1</w:t>
      </w:r>
      <w:r>
        <w:t xml:space="preserve"> above. We set out our response to the other issues in the following sections.</w:t>
      </w:r>
    </w:p>
    <w:p w:rsidR="00BB18D4" w:rsidRDefault="00BB18D4" w:rsidP="00BB18D4">
      <w:pPr>
        <w:pStyle w:val="Heading9"/>
      </w:pPr>
      <w:bookmarkStart w:id="180" w:name="_Toc456686719"/>
      <w:bookmarkStart w:id="181" w:name="_Toc487037154"/>
      <w:r w:rsidRPr="00BB18D4">
        <w:t>Sensitivity to methodological choices</w:t>
      </w:r>
      <w:bookmarkEnd w:id="180"/>
      <w:bookmarkEnd w:id="181"/>
    </w:p>
    <w:p w:rsidR="009A1A4E" w:rsidRDefault="009A1A4E" w:rsidP="00CC7A1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87"/>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88"/>
      </w:r>
    </w:p>
    <w:p w:rsidR="009A1A4E" w:rsidRDefault="009A1A4E" w:rsidP="00CC7A1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889"/>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A1A4E" w:rsidRPr="00F17532" w:rsidRDefault="009A1A4E" w:rsidP="00CC7A1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890"/>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891"/>
      </w:r>
    </w:p>
    <w:p w:rsidR="009A1A4E" w:rsidRPr="001562D4" w:rsidRDefault="009A1A4E" w:rsidP="00CC7A1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92"/>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93"/>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94"/>
      </w:r>
      <w:r>
        <w:t xml:space="preserve"> In contrast, we have a higher degree of confidence in our Sharpe-Lintner CAPM input parameters and resulting return on equity estimates.</w:t>
      </w:r>
    </w:p>
    <w:p w:rsidR="009A1A4E" w:rsidRDefault="009A1A4E" w:rsidP="00CC7A1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A1A4E" w:rsidRDefault="009A1A4E" w:rsidP="00CC7A1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95"/>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96"/>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97"/>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A1A4E" w:rsidRDefault="009A1A4E" w:rsidP="00CC7A1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98"/>
      </w:r>
      <w:r>
        <w:t xml:space="preserve"> While we recognise that all models can be sensitive, we are not satisfied that the sensitivity of the Fama-French model is comparable to the Sharpe-Lintner CAPM. </w:t>
      </w:r>
    </w:p>
    <w:p w:rsidR="009A1A4E" w:rsidRDefault="009A1A4E" w:rsidP="00CC7A1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99"/>
      </w:r>
      <w:r>
        <w:t xml:space="preserve"> We have confidence in our proxy for the risk free rate, which would be the same if we were to apply the Fama-French model.</w:t>
      </w:r>
    </w:p>
    <w:p w:rsidR="009A1A4E" w:rsidRDefault="009A1A4E" w:rsidP="009A1A4E">
      <w:r>
        <w:t>Partington did not agree with SFG's submission that all models are sensitive to different estimation periods and methodologies. He advised:</w:t>
      </w:r>
      <w:r>
        <w:rPr>
          <w:rStyle w:val="FootnoteReference"/>
        </w:rPr>
        <w:footnoteReference w:id="900"/>
      </w:r>
    </w:p>
    <w:p w:rsidR="009A1A4E" w:rsidRDefault="009A1A4E" w:rsidP="009A1A4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A1A4E" w:rsidRDefault="009A1A4E" w:rsidP="00CC7A1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901"/>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A1A4E" w:rsidRPr="006C4D93" w:rsidRDefault="009A1A4E" w:rsidP="00CC7A1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902"/>
      </w:r>
      <w:r>
        <w:t xml:space="preserve"> Further, NERA previously submitted:</w:t>
      </w:r>
      <w:r w:rsidRPr="006C4D93">
        <w:rPr>
          <w:rStyle w:val="FootnoteReference"/>
        </w:rPr>
        <w:footnoteReference w:id="903"/>
      </w:r>
    </w:p>
    <w:p w:rsidR="009A1A4E" w:rsidRPr="001562D4" w:rsidRDefault="009A1A4E" w:rsidP="009A1A4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A1A4E" w:rsidRPr="009A1A4E" w:rsidRDefault="009A1A4E" w:rsidP="009A1A4E">
      <w:r>
        <w:t>We do not consider there are clear objective grounds to distinguish the 'best' studies. McKenzie and Partington supported this view.</w:t>
      </w:r>
      <w:r>
        <w:rPr>
          <w:rStyle w:val="FootnoteReference"/>
        </w:rPr>
        <w:footnoteReference w:id="904"/>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905"/>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906"/>
      </w:r>
    </w:p>
    <w:p w:rsidR="00BB18D4" w:rsidRDefault="00BB18D4" w:rsidP="00BB18D4">
      <w:pPr>
        <w:pStyle w:val="Heading9"/>
      </w:pPr>
      <w:bookmarkStart w:id="182" w:name="_Ref449010281"/>
      <w:bookmarkStart w:id="183" w:name="_Toc456686720"/>
      <w:bookmarkStart w:id="184" w:name="_Toc487037155"/>
      <w:r w:rsidRPr="00BB18D4">
        <w:t>Fama-French factors may not reflect ex ante priced risk</w:t>
      </w:r>
      <w:bookmarkEnd w:id="182"/>
      <w:bookmarkEnd w:id="183"/>
      <w:bookmarkEnd w:id="184"/>
    </w:p>
    <w:p w:rsidR="009A1A4E" w:rsidRDefault="009A1A4E" w:rsidP="00CC7A1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907"/>
      </w:r>
    </w:p>
    <w:p w:rsidR="009A1A4E" w:rsidRDefault="009A1A4E" w:rsidP="00CC7A1C">
      <w:pPr>
        <w:numPr>
          <w:ilvl w:val="0"/>
          <w:numId w:val="24"/>
        </w:numPr>
      </w:pPr>
      <w:r>
        <w:t>We are not satisfied the Fama-French model is helpful for our regulatory task because:</w:t>
      </w:r>
    </w:p>
    <w:p w:rsidR="009A1A4E" w:rsidRPr="0010250E" w:rsidRDefault="009A1A4E" w:rsidP="009A1A4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908"/>
      </w:r>
      <w:r w:rsidRPr="0010250E">
        <w:t xml:space="preserve"> However, none of the possible reasons is commonly accepted.</w:t>
      </w:r>
      <w:r w:rsidRPr="0010250E">
        <w:rPr>
          <w:rStyle w:val="FootnoteReference"/>
        </w:rPr>
        <w:footnoteReference w:id="909"/>
      </w:r>
    </w:p>
    <w:p w:rsidR="009A1A4E" w:rsidRPr="0010250E" w:rsidRDefault="009A1A4E" w:rsidP="009A1A4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A1A4E" w:rsidRDefault="009A1A4E" w:rsidP="009A1A4E">
      <w:r>
        <w:t>S</w:t>
      </w:r>
      <w:r w:rsidR="003C78BA">
        <w:t>ome s</w:t>
      </w:r>
      <w:r>
        <w:t>ervice providers previously noted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910"/>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911"/>
      </w:r>
    </w:p>
    <w:p w:rsidR="009A1A4E" w:rsidRDefault="009A1A4E" w:rsidP="00CC7A1C">
      <w:pPr>
        <w:pStyle w:val="ListParagraph"/>
        <w:numPr>
          <w:ilvl w:val="0"/>
          <w:numId w:val="24"/>
        </w:numPr>
      </w:pPr>
      <w:r>
        <w:t xml:space="preserve">We note that </w:t>
      </w:r>
      <w:r w:rsidR="003C78BA">
        <w:t xml:space="preserve">some </w:t>
      </w:r>
      <w:r>
        <w:t xml:space="preserve">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912"/>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913"/>
      </w:r>
      <w:r>
        <w:t xml:space="preserve"> They added that f</w:t>
      </w:r>
      <w:r w:rsidRPr="00615EDE">
        <w:t>orecasting stock returns and determining equilibrium expected returns (asset pricing) are two different tasks.</w:t>
      </w:r>
      <w:r>
        <w:rPr>
          <w:rStyle w:val="FootnoteReference"/>
        </w:rPr>
        <w:footnoteReference w:id="914"/>
      </w:r>
      <w:r w:rsidRPr="00615EDE">
        <w:t xml:space="preserve"> </w:t>
      </w:r>
    </w:p>
    <w:p w:rsidR="009A1A4E" w:rsidRPr="009A1A4E" w:rsidRDefault="009A1A4E" w:rsidP="00CC7A1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915"/>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BB18D4" w:rsidRDefault="00BB18D4" w:rsidP="00BB18D4">
      <w:pPr>
        <w:pStyle w:val="Heading8"/>
      </w:pPr>
      <w:bookmarkStart w:id="185" w:name="_Ref449007421"/>
      <w:bookmarkStart w:id="186" w:name="_Toc451943789"/>
      <w:bookmarkStart w:id="187" w:name="_Toc456686721"/>
      <w:bookmarkStart w:id="188" w:name="_Toc487037156"/>
      <w:r w:rsidRPr="00BB18D4">
        <w:t>Dividend growth model</w:t>
      </w:r>
      <w:bookmarkEnd w:id="185"/>
      <w:bookmarkEnd w:id="186"/>
      <w:bookmarkEnd w:id="187"/>
      <w:bookmarkEnd w:id="188"/>
    </w:p>
    <w:p w:rsidR="009A1A4E" w:rsidRDefault="009A1A4E" w:rsidP="00CC7A1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2C24D6">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A1A4E" w:rsidRPr="00957F0D" w:rsidRDefault="009A1A4E" w:rsidP="00CC7A1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A1A4E" w:rsidRPr="0010250E" w:rsidRDefault="009A1A4E" w:rsidP="009A1A4E">
      <w:pPr>
        <w:pStyle w:val="AERbulletlistfirststyle"/>
      </w:pPr>
      <w:r>
        <w:t>e</w:t>
      </w:r>
      <w:r w:rsidRPr="0010250E">
        <w:t>stimating the return on equity for the benchmark efficient entity</w:t>
      </w:r>
    </w:p>
    <w:p w:rsidR="009A1A4E" w:rsidRPr="0010250E" w:rsidRDefault="009A1A4E" w:rsidP="009A1A4E">
      <w:pPr>
        <w:pStyle w:val="AERbulletlistfirststyle"/>
      </w:pPr>
      <w:r>
        <w:t>p</w:t>
      </w:r>
      <w:r w:rsidRPr="0010250E">
        <w:t>erforming a cross check on whether other models (including the Sharpe-Lintner CAPM) are producing reasonable estimates of the return on equity.</w:t>
      </w:r>
    </w:p>
    <w:p w:rsidR="009A1A4E" w:rsidRPr="00957F0D" w:rsidRDefault="009A1A4E" w:rsidP="00CC7A1C">
      <w:pPr>
        <w:numPr>
          <w:ilvl w:val="0"/>
          <w:numId w:val="24"/>
        </w:numPr>
      </w:pPr>
      <w:r>
        <w:t>Our</w:t>
      </w:r>
      <w:r w:rsidRPr="00957F0D">
        <w:t xml:space="preserve"> reasons for </w:t>
      </w:r>
      <w:r>
        <w:t>this position</w:t>
      </w:r>
      <w:r w:rsidRPr="00957F0D">
        <w:t xml:space="preserve"> are:</w:t>
      </w:r>
    </w:p>
    <w:p w:rsidR="009A1A4E" w:rsidRPr="0010250E" w:rsidRDefault="009A1A4E" w:rsidP="009A1A4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916"/>
      </w:r>
      <w:r w:rsidRPr="0010250E">
        <w:t xml:space="preserve"> As such, there are practical difficulties in constructing credible datasets for implementing industry specific dividend growth models.</w:t>
      </w:r>
      <w:r w:rsidRPr="0010250E">
        <w:rPr>
          <w:rStyle w:val="FootnoteReference"/>
        </w:rPr>
        <w:footnoteReference w:id="917"/>
      </w:r>
      <w:r w:rsidRPr="0010250E">
        <w:t xml:space="preserve"> Also, there are too few Australian businesses to estimate dividend growth models on an individual business level.</w:t>
      </w:r>
      <w:r w:rsidRPr="0010250E">
        <w:rPr>
          <w:rStyle w:val="FootnoteReference"/>
        </w:rPr>
        <w:footnoteReference w:id="918"/>
      </w:r>
      <w:r w:rsidRPr="0010250E">
        <w:t xml:space="preserve"> However, a sufficiently robust data series exists for dividend yields for the Australian market as a whole.</w:t>
      </w:r>
    </w:p>
    <w:p w:rsidR="009A1A4E" w:rsidRPr="0010250E" w:rsidRDefault="009A1A4E" w:rsidP="009A1A4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919"/>
      </w:r>
      <w:r w:rsidRPr="0010250E">
        <w:t xml:space="preserve"> However, there are developed methods for estimating the long-term growth rate of dividends for the Australian market as a whole.</w:t>
      </w:r>
      <w:r w:rsidRPr="0010250E">
        <w:rPr>
          <w:rStyle w:val="FootnoteReference"/>
        </w:rPr>
        <w:footnoteReference w:id="920"/>
      </w:r>
      <w:r w:rsidRPr="0010250E">
        <w:t xml:space="preserve"> </w:t>
      </w:r>
    </w:p>
    <w:p w:rsidR="009A1A4E" w:rsidRPr="0010250E" w:rsidRDefault="009A1A4E" w:rsidP="009A1A4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921"/>
      </w:r>
    </w:p>
    <w:p w:rsidR="009A1A4E" w:rsidRPr="0010250E" w:rsidRDefault="009A1A4E" w:rsidP="009A1A4E">
      <w:pPr>
        <w:pStyle w:val="AERbulletlistfirststyle"/>
      </w:pPr>
      <w:r>
        <w:t>Dividend growth model estimates may be upwardly biased due to:</w:t>
      </w:r>
    </w:p>
    <w:p w:rsidR="009A1A4E" w:rsidRDefault="009A1A4E" w:rsidP="009A1A4E">
      <w:pPr>
        <w:pStyle w:val="AERbulletlistsecondstyle"/>
      </w:pPr>
      <w:r>
        <w:t>The well-understood upwards bias in a</w:t>
      </w:r>
      <w:r w:rsidRPr="00B4711B">
        <w:t>nalyst forecasts</w:t>
      </w:r>
      <w:r>
        <w:t>.</w:t>
      </w:r>
      <w:r w:rsidRPr="00B4711B">
        <w:rPr>
          <w:rStyle w:val="FootnoteReference"/>
        </w:rPr>
        <w:footnoteReference w:id="922"/>
      </w:r>
    </w:p>
    <w:p w:rsidR="009A1A4E" w:rsidRDefault="009A1A4E" w:rsidP="009A1A4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923"/>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924"/>
      </w:r>
    </w:p>
    <w:p w:rsidR="009A1A4E" w:rsidRDefault="009A1A4E" w:rsidP="009A1A4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25"/>
      </w:r>
      <w:r w:rsidRPr="0065391F">
        <w:rPr>
          <w:rStyle w:val="AERbody"/>
        </w:rPr>
        <w:t xml:space="preserve"> </w:t>
      </w:r>
    </w:p>
    <w:p w:rsidR="009A1A4E" w:rsidRPr="00B4711B" w:rsidRDefault="009A1A4E" w:rsidP="009A1A4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926"/>
      </w:r>
    </w:p>
    <w:p w:rsidR="009A1A4E" w:rsidRPr="002F6B48" w:rsidRDefault="009A1A4E" w:rsidP="009A1A4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A1A4E" w:rsidRDefault="009A1A4E" w:rsidP="009A1A4E">
      <w:r w:rsidRPr="00767D37">
        <w:t>We note much of th</w:t>
      </w:r>
      <w:r w:rsidR="003C78BA">
        <w:t>is</w:t>
      </w:r>
      <w:r w:rsidRPr="00767D37">
        <w:t xml:space="preserve"> material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927"/>
      </w:r>
      <w:r w:rsidRPr="00690E38">
        <w:t xml:space="preserve"> </w:t>
      </w:r>
      <w:r w:rsidR="009E2F4C">
        <w:t>They were</w:t>
      </w:r>
      <w:r>
        <w:t xml:space="preserve"> resubmitted for our decisions in May, July and August 2016.</w:t>
      </w:r>
    </w:p>
    <w:p w:rsidR="009A1A4E" w:rsidRDefault="009A1A4E" w:rsidP="009A1A4E">
      <w:r w:rsidRPr="00690E38">
        <w:t>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928"/>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929"/>
      </w:r>
      <w:r w:rsidRPr="00690E38">
        <w:t xml:space="preserve"> While we use the dividend growth model to inform the estimate of the market risk premium, we also take these concerns into account.</w:t>
      </w:r>
    </w:p>
    <w:p w:rsidR="009A1A4E" w:rsidRPr="00957F0D" w:rsidRDefault="009A1A4E" w:rsidP="00CC7A1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930"/>
      </w:r>
    </w:p>
    <w:p w:rsidR="009A1A4E" w:rsidRPr="00957F0D" w:rsidRDefault="009A1A4E" w:rsidP="009A1A4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A1A4E" w:rsidRPr="00957F0D" w:rsidRDefault="009A1A4E" w:rsidP="00CC7A1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931"/>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932"/>
      </w:r>
    </w:p>
    <w:p w:rsidR="009A1A4E" w:rsidRPr="00045ECA" w:rsidRDefault="009A1A4E" w:rsidP="00CC7A1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933"/>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934"/>
      </w:r>
      <w:r w:rsidRPr="00045ECA">
        <w:t xml:space="preserve"> </w:t>
      </w:r>
    </w:p>
    <w:p w:rsidR="009A1A4E" w:rsidRDefault="0089007A" w:rsidP="00CC7A1C">
      <w:pPr>
        <w:numPr>
          <w:ilvl w:val="0"/>
          <w:numId w:val="24"/>
        </w:numPr>
      </w:pPr>
      <w:r>
        <w:t xml:space="preserve">During our previous tranche of regulatory decisions, </w:t>
      </w:r>
      <w:r w:rsidR="003C78BA">
        <w:t>we did not receive</w:t>
      </w:r>
      <w:r w:rsidR="009A1A4E">
        <w:t xml:space="preserve"> any substantively new evidence to alleviate our concerns that the dividend growth model cannot reliably estimate return on equity for individual firms or sectors.</w:t>
      </w:r>
      <w:r w:rsidR="009A1A4E">
        <w:rPr>
          <w:rStyle w:val="FootnoteReference"/>
        </w:rPr>
        <w:footnoteReference w:id="935"/>
      </w:r>
      <w:r w:rsidR="009A1A4E">
        <w:t xml:space="preserve"> </w:t>
      </w:r>
      <w:r w:rsidR="003C78BA">
        <w:t>There was no</w:t>
      </w:r>
      <w:r w:rsidR="009A1A4E">
        <w:t xml:space="preserve"> compelling evidence that dividend growth model estimates of market risk premium are not upwardly biased. </w:t>
      </w:r>
      <w:r w:rsidR="003C78BA">
        <w:t>AusNet Services has</w:t>
      </w:r>
      <w:r>
        <w:t xml:space="preserve"> not provided any substantively new evidence.</w:t>
      </w:r>
      <w:r>
        <w:rPr>
          <w:rStyle w:val="FootnoteReference"/>
        </w:rPr>
        <w:footnoteReference w:id="936"/>
      </w:r>
    </w:p>
    <w:p w:rsidR="009A1A4E" w:rsidRPr="004D7F0F" w:rsidRDefault="009A1A4E" w:rsidP="00CC7A1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Partington and Satchell also share </w:t>
      </w:r>
      <w:r>
        <w:t>our</w:t>
      </w:r>
      <w:r w:rsidRPr="004D7F0F">
        <w:t xml:space="preserve"> concerns on these issues.</w:t>
      </w:r>
      <w:r w:rsidRPr="004D7F0F">
        <w:rPr>
          <w:rStyle w:val="FootnoteReference"/>
        </w:rPr>
        <w:footnoteReference w:id="937"/>
      </w:r>
    </w:p>
    <w:p w:rsidR="009A1A4E" w:rsidRDefault="009A1A4E" w:rsidP="00CC7A1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2C24D6">
        <w:t>D.4</w:t>
      </w:r>
      <w:r>
        <w:fldChar w:fldCharType="end"/>
      </w:r>
      <w:r>
        <w:t>.</w:t>
      </w:r>
    </w:p>
    <w:p w:rsidR="009A1A4E" w:rsidRPr="009A1A4E" w:rsidRDefault="009A1A4E" w:rsidP="009A1A4E">
      <w:r>
        <w:t>SFG's construction of the dividend growth model and approach to using the model to estimate return on equity</w:t>
      </w:r>
      <w:r w:rsidR="003C78BA">
        <w:t xml:space="preserve"> has been supported by some service providers in the past</w:t>
      </w:r>
      <w:r>
        <w:t>.</w:t>
      </w:r>
      <w:r w:rsidRPr="001C657E">
        <w:rPr>
          <w:rStyle w:val="FootnoteReference"/>
        </w:rPr>
        <w:t xml:space="preserve"> </w:t>
      </w:r>
      <w:r>
        <w:rPr>
          <w:rStyle w:val="FootnoteReference"/>
        </w:rPr>
        <w:footnoteReference w:id="938"/>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2C24D6">
        <w:t>B.4.1</w:t>
      </w:r>
      <w:r>
        <w:fldChar w:fldCharType="end"/>
      </w:r>
      <w:r>
        <w:t xml:space="preserve"> below.</w:t>
      </w:r>
    </w:p>
    <w:p w:rsidR="00BB18D4" w:rsidRDefault="00BB18D4" w:rsidP="00BB18D4">
      <w:pPr>
        <w:pStyle w:val="Heading9"/>
      </w:pPr>
      <w:bookmarkStart w:id="189" w:name="_Ref449021062"/>
      <w:bookmarkStart w:id="190" w:name="_Toc456686722"/>
      <w:bookmarkStart w:id="191" w:name="_Toc487037157"/>
      <w:r w:rsidRPr="00BB18D4">
        <w:t>SFG's construction of the dividend growth model</w:t>
      </w:r>
      <w:bookmarkEnd w:id="189"/>
      <w:bookmarkEnd w:id="190"/>
      <w:bookmarkEnd w:id="191"/>
    </w:p>
    <w:p w:rsidR="009A1A4E" w:rsidRDefault="009A1A4E" w:rsidP="00CC7A1C">
      <w:pPr>
        <w:numPr>
          <w:ilvl w:val="0"/>
          <w:numId w:val="24"/>
        </w:numPr>
      </w:pPr>
      <w:r>
        <w:t>SFG and several service providers</w:t>
      </w:r>
      <w:r w:rsidR="003C78BA">
        <w:t xml:space="preserve"> have</w:t>
      </w:r>
      <w:r>
        <w:t xml:space="preserve"> previously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939"/>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940"/>
      </w:r>
      <w:r w:rsidRPr="00B4711B">
        <w:t xml:space="preserve"> However, we consider SFG has overstated the ability of its </w:t>
      </w:r>
      <w:r>
        <w:t>dividend growth model</w:t>
      </w:r>
      <w:r w:rsidRPr="00B4711B">
        <w:t xml:space="preserve"> to provide robust return on equity estimates at the industry level.</w:t>
      </w:r>
    </w:p>
    <w:p w:rsidR="009A1A4E" w:rsidRDefault="009A1A4E" w:rsidP="00CC7A1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941"/>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A1A4E" w:rsidRPr="00941168" w:rsidRDefault="009A1A4E" w:rsidP="00CC7A1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942"/>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943"/>
      </w:r>
      <w:r w:rsidRPr="00941168">
        <w:t xml:space="preserve"> </w:t>
      </w:r>
    </w:p>
    <w:p w:rsidR="009A1A4E" w:rsidRPr="00941168" w:rsidRDefault="009A1A4E" w:rsidP="00CC7A1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A1A4E" w:rsidRDefault="009A1A4E" w:rsidP="009A1A4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9A1A4E" w:rsidRPr="001562D4" w:rsidRDefault="009A1A4E" w:rsidP="00CC7A1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44"/>
      </w:r>
    </w:p>
    <w:p w:rsidR="009A1A4E" w:rsidRPr="00B4711B" w:rsidRDefault="009A1A4E" w:rsidP="009A1A4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945"/>
      </w:r>
      <w:r w:rsidRPr="00B4711B">
        <w:t xml:space="preserve"> However, this perception of stability is subjective and we do not agree with it. </w:t>
      </w:r>
      <w:r>
        <w:fldChar w:fldCharType="begin"/>
      </w:r>
      <w:r>
        <w:instrText xml:space="preserve"> REF _Ref451895691 \h </w:instrText>
      </w:r>
      <w:r>
        <w:fldChar w:fldCharType="separate"/>
      </w:r>
      <w:r w:rsidR="002C24D6">
        <w:t xml:space="preserve">Figure </w:t>
      </w:r>
      <w:r w:rsidR="002C24D6">
        <w:rPr>
          <w:noProof/>
        </w:rPr>
        <w:t>3</w:t>
      </w:r>
      <w:r w:rsidR="002C24D6">
        <w:noBreakHyphen/>
      </w:r>
      <w:r w:rsidR="002C24D6">
        <w:rPr>
          <w:noProof/>
        </w:rPr>
        <w:t>6</w:t>
      </w:r>
      <w:r>
        <w:fldChar w:fldCharType="end"/>
      </w:r>
      <w:r>
        <w:t xml:space="preserve"> </w:t>
      </w:r>
      <w:r w:rsidRPr="00B4711B">
        <w:t>illustrates this point by showing three time series:</w:t>
      </w:r>
      <w:r w:rsidRPr="00B4711B">
        <w:rPr>
          <w:rStyle w:val="FootnoteReference"/>
        </w:rPr>
        <w:footnoteReference w:id="946"/>
      </w:r>
    </w:p>
    <w:p w:rsidR="009A1A4E" w:rsidRPr="0010250E" w:rsidRDefault="009A1A4E" w:rsidP="009A1A4E">
      <w:pPr>
        <w:pStyle w:val="AERbulletlistfirststyle"/>
      </w:pPr>
      <w:r w:rsidRPr="00B4711B">
        <w:t xml:space="preserve">the return on equity for the market determined by SFG's </w:t>
      </w:r>
      <w:r w:rsidRPr="0010250E">
        <w:t>model (blue line)</w:t>
      </w:r>
    </w:p>
    <w:p w:rsidR="009A1A4E" w:rsidRPr="0010250E" w:rsidRDefault="009A1A4E" w:rsidP="009A1A4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9A1A4E" w:rsidRPr="0010250E" w:rsidRDefault="009A1A4E" w:rsidP="009A1A4E">
      <w:pPr>
        <w:pStyle w:val="AERbulletlistfirststyle"/>
      </w:pPr>
      <w:r w:rsidRPr="00B4711B">
        <w:t xml:space="preserve">the return on equity for network businesses determined by directly applying SFG's </w:t>
      </w:r>
      <w:r w:rsidRPr="0010250E">
        <w:t>model (red line).</w:t>
      </w:r>
    </w:p>
    <w:p w:rsidR="009A1A4E" w:rsidRDefault="009A1A4E" w:rsidP="009A1A4E">
      <w:pPr>
        <w:pStyle w:val="Caption"/>
      </w:pPr>
      <w:bookmarkStart w:id="192" w:name="_Ref451895691"/>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6</w:t>
      </w:r>
      <w:r w:rsidR="002C24D6">
        <w:rPr>
          <w:noProof/>
        </w:rPr>
        <w:fldChar w:fldCharType="end"/>
      </w:r>
      <w:bookmarkEnd w:id="192"/>
      <w:r>
        <w:tab/>
      </w:r>
      <w:r w:rsidRPr="00B4711B">
        <w:t>Movements in SFG's dividend growth model</w:t>
      </w:r>
    </w:p>
    <w:p w:rsidR="009A1A4E" w:rsidRPr="00B4711B" w:rsidRDefault="009A1A4E" w:rsidP="00CC7A1C">
      <w:pPr>
        <w:numPr>
          <w:ilvl w:val="0"/>
          <w:numId w:val="24"/>
        </w:numPr>
      </w:pPr>
      <w:r w:rsidRPr="009A1A4E">
        <w:rPr>
          <w:noProof/>
          <w:lang w:eastAsia="en-AU"/>
        </w:rPr>
        <w:drawing>
          <wp:inline distT="0" distB="0" distL="0" distR="0" wp14:anchorId="238BB1AB" wp14:editId="412BC59D">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A1A4E" w:rsidRPr="00B4711B" w:rsidRDefault="009A1A4E" w:rsidP="009A1A4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947"/>
      </w:r>
    </w:p>
    <w:p w:rsidR="009A1A4E" w:rsidRPr="00B4711B" w:rsidRDefault="009A1A4E" w:rsidP="009A1A4E">
      <w:pPr>
        <w:pStyle w:val="AERtablesource"/>
      </w:pPr>
      <w:r w:rsidRPr="00B4711B">
        <w:t>Note:</w:t>
      </w:r>
      <w:r w:rsidRPr="00B4711B">
        <w:tab/>
        <w:t>SFG calls the market value return on equity, the 'cost of equity'. This is the concept we refer to throughout this decision as the 'return on equity'.</w:t>
      </w:r>
    </w:p>
    <w:p w:rsidR="009A1A4E" w:rsidRPr="00B4711B" w:rsidRDefault="009A1A4E" w:rsidP="009A1A4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A1A4E" w:rsidRPr="009A1A4E" w:rsidRDefault="009A1A4E" w:rsidP="00CC7A1C">
      <w:pPr>
        <w:numPr>
          <w:ilvl w:val="0"/>
          <w:numId w:val="24"/>
        </w:numPr>
      </w:pPr>
      <w:r>
        <w:fldChar w:fldCharType="begin"/>
      </w:r>
      <w:r>
        <w:instrText xml:space="preserve"> REF _Ref451895691 \h </w:instrText>
      </w:r>
      <w:r>
        <w:fldChar w:fldCharType="separate"/>
      </w:r>
      <w:r w:rsidR="002C24D6">
        <w:t xml:space="preserve">Figure </w:t>
      </w:r>
      <w:r w:rsidR="002C24D6">
        <w:rPr>
          <w:noProof/>
        </w:rPr>
        <w:t>3</w:t>
      </w:r>
      <w:r w:rsidR="002C24D6">
        <w:noBreakHyphen/>
      </w:r>
      <w:r w:rsidR="002C24D6">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BB18D4" w:rsidRPr="00BB18D4" w:rsidRDefault="00BB18D4" w:rsidP="00BB18D4">
      <w:pPr>
        <w:pStyle w:val="Heading8"/>
      </w:pPr>
      <w:bookmarkStart w:id="193" w:name="_Ref449018117"/>
      <w:bookmarkStart w:id="194" w:name="_Toc451943790"/>
      <w:bookmarkStart w:id="195" w:name="_Toc456686723"/>
      <w:bookmarkStart w:id="196" w:name="_Toc487037158"/>
      <w:r w:rsidRPr="00BB18D4">
        <w:t>Wright CAPM and historical CAPM</w:t>
      </w:r>
      <w:bookmarkEnd w:id="193"/>
      <w:bookmarkEnd w:id="194"/>
      <w:bookmarkEnd w:id="195"/>
      <w:bookmarkEnd w:id="196"/>
    </w:p>
    <w:p w:rsidR="00C33F1F" w:rsidRDefault="00C33F1F" w:rsidP="00CC7A1C">
      <w:pPr>
        <w:numPr>
          <w:ilvl w:val="0"/>
          <w:numId w:val="24"/>
        </w:numPr>
      </w:pPr>
      <w:bookmarkStart w:id="197" w:name="_Toc443923196"/>
      <w:bookmarkStart w:id="198" w:name="_Toc452629085"/>
      <w:bookmarkStart w:id="199" w:name="_Toc456686724"/>
      <w:bookmarkEnd w:id="132"/>
      <w:bookmarkEnd w:id="133"/>
      <w:bookmarkEnd w:id="134"/>
      <w:bookmarkEnd w:id="135"/>
      <w:bookmarkEnd w:id="136"/>
      <w:bookmarkEnd w:id="137"/>
      <w:bookmarkEnd w:id="138"/>
      <w:bookmarkEnd w:id="139"/>
      <w:bookmarkEnd w:id="140"/>
      <w:bookmarkEnd w:id="141"/>
      <w:bookmarkEnd w:id="142"/>
      <w:bookmarkEnd w:id="143"/>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33F1F" w:rsidRDefault="00C33F1F" w:rsidP="00CC7A1C">
      <w:pPr>
        <w:numPr>
          <w:ilvl w:val="0"/>
          <w:numId w:val="24"/>
        </w:numPr>
      </w:pPr>
      <m:oMath>
        <m:r>
          <w:rPr>
            <w:rFonts w:ascii="Cambria Math" w:hAnsi="Cambria Math"/>
          </w:rPr>
          <m:t>ke=rf+βe×(rm-rf)</m:t>
        </m:r>
      </m:oMath>
    </w:p>
    <w:p w:rsidR="00C33F1F" w:rsidRPr="0082305A" w:rsidRDefault="00C33F1F" w:rsidP="00C33F1F">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33F1F" w:rsidRPr="0082305A" w:rsidRDefault="00C33F1F" w:rsidP="00C33F1F">
      <w:pPr>
        <w:pStyle w:val="AERtablesource"/>
      </w:pPr>
      <w:r>
        <w:tab/>
      </w:r>
      <m:oMath>
        <m:r>
          <w:rPr>
            <w:rFonts w:ascii="Cambria Math" w:hAnsi="Cambria Math"/>
          </w:rPr>
          <m:t>rf</m:t>
        </m:r>
      </m:oMath>
      <w:r w:rsidRPr="0082305A">
        <w:t xml:space="preserve"> is the risk free rate</w:t>
      </w:r>
    </w:p>
    <w:p w:rsidR="00C33F1F" w:rsidRPr="0082305A" w:rsidRDefault="00C33F1F" w:rsidP="00C33F1F">
      <w:pPr>
        <w:pStyle w:val="AERtablesource"/>
      </w:pPr>
      <w:r>
        <w:tab/>
      </w:r>
      <m:oMath>
        <m:r>
          <w:rPr>
            <w:rFonts w:ascii="Cambria Math" w:hAnsi="Cambria Math"/>
          </w:rPr>
          <m:t>βe</m:t>
        </m:r>
      </m:oMath>
      <w:r w:rsidRPr="0082305A">
        <w:t xml:space="preserve"> is the equity beta</w:t>
      </w:r>
    </w:p>
    <w:p w:rsidR="00C33F1F" w:rsidRDefault="00C33F1F" w:rsidP="00C33F1F">
      <w:pPr>
        <w:pStyle w:val="AERtablesource"/>
      </w:pPr>
      <w:r>
        <w:tab/>
      </w:r>
      <m:oMath>
        <m:r>
          <w:rPr>
            <w:rFonts w:ascii="Cambria Math" w:hAnsi="Cambria Math"/>
          </w:rPr>
          <m:t>rm</m:t>
        </m:r>
      </m:oMath>
      <w:r w:rsidRPr="0082305A">
        <w:t xml:space="preserve"> is the expected return on the market</w:t>
      </w:r>
    </w:p>
    <w:p w:rsidR="00C33F1F" w:rsidRDefault="00C33F1F" w:rsidP="00CC7A1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948"/>
      </w:r>
      <w:r>
        <w:t xml:space="preserve"> </w:t>
      </w:r>
    </w:p>
    <w:p w:rsidR="008B296E" w:rsidRDefault="008B296E" w:rsidP="008B296E">
      <w:pPr>
        <w:numPr>
          <w:ilvl w:val="0"/>
          <w:numId w:val="24"/>
        </w:numPr>
      </w:pPr>
      <w:r>
        <w:t>APTPPL and APA estimated the market risk premium as the difference between the current risk free rate and the long term historical average of the return on market.</w:t>
      </w:r>
      <w:r>
        <w:rPr>
          <w:rStyle w:val="FootnoteReference"/>
        </w:rPr>
        <w:footnoteReference w:id="949"/>
      </w:r>
      <w:r>
        <w:t xml:space="preserve"> </w:t>
      </w:r>
    </w:p>
    <w:p w:rsidR="008B296E" w:rsidRDefault="008B296E" w:rsidP="008B296E">
      <w:pPr>
        <w:numPr>
          <w:ilvl w:val="0"/>
          <w:numId w:val="24"/>
        </w:numPr>
      </w:pPr>
      <w:r w:rsidRPr="00F9248D">
        <w:t>We note APTPPL</w:t>
      </w:r>
      <w:r>
        <w:t xml:space="preserve"> and APA </w:t>
      </w:r>
      <w:r w:rsidRPr="00F9248D">
        <w:t xml:space="preserve">dispute that </w:t>
      </w:r>
      <w:r>
        <w:t>they</w:t>
      </w:r>
      <w:r w:rsidRPr="00F9248D">
        <w:t xml:space="preserve"> use the Wright </w:t>
      </w:r>
      <w:r>
        <w:t>CAPM</w:t>
      </w:r>
      <w:r w:rsidRPr="00F9248D">
        <w:t>. However,</w:t>
      </w:r>
      <w:r>
        <w:t xml:space="preserve"> they use historical data to estimate the return on the market and prevailing data to estimate the risk free rate. Their use of the long term average of market returns is based on the ERA's observation about the Wright approach being mean reverting.</w:t>
      </w:r>
      <w:r>
        <w:rPr>
          <w:rStyle w:val="FootnoteReference"/>
        </w:rPr>
        <w:footnoteReference w:id="950"/>
      </w:r>
      <w:r>
        <w:t xml:space="preserve"> Their approach implies a perfectly negative relationship between movements in the risk free rate and the market risk premium which is similar to that under the Wright CAPM. They also use our Wright CAPM's return on market estimate to determine the market risk premium.</w:t>
      </w:r>
    </w:p>
    <w:p w:rsidR="009F580B" w:rsidRDefault="00FC5A25" w:rsidP="008B296E">
      <w:pPr>
        <w:numPr>
          <w:ilvl w:val="0"/>
          <w:numId w:val="24"/>
        </w:numPr>
      </w:pPr>
      <w:r>
        <w:t>Partington and Satchell ha</w:t>
      </w:r>
      <w:r w:rsidR="00792C71">
        <w:t>ve</w:t>
      </w:r>
      <w:r>
        <w:t xml:space="preserve"> </w:t>
      </w:r>
      <w:r w:rsidR="00792C71">
        <w:t xml:space="preserve">also </w:t>
      </w:r>
      <w:r>
        <w:t>observed inconsistencies in APA's proposal where it adopts aspects of the Wright approach</w:t>
      </w:r>
      <w:r w:rsidR="00792C71">
        <w:t xml:space="preserve"> despite claiming otherwise.</w:t>
      </w:r>
      <w:r w:rsidR="009F580B">
        <w:t xml:space="preserve"> For example:</w:t>
      </w:r>
      <w:r>
        <w:rPr>
          <w:rStyle w:val="FootnoteReference"/>
        </w:rPr>
        <w:footnoteReference w:id="951"/>
      </w:r>
    </w:p>
    <w:p w:rsidR="009F580B" w:rsidRDefault="009F580B" w:rsidP="00013867">
      <w:pPr>
        <w:pStyle w:val="AERbulletlistfirststyle"/>
      </w:pPr>
      <w:r>
        <w:t>APA assumes stability of the</w:t>
      </w:r>
      <w:r w:rsidR="00910B99">
        <w:t xml:space="preserve"> market rate of return over time.</w:t>
      </w:r>
    </w:p>
    <w:p w:rsidR="00FC5A25" w:rsidRDefault="009F580B" w:rsidP="00013867">
      <w:pPr>
        <w:pStyle w:val="AERbulletlistfirststyle"/>
      </w:pPr>
      <w:r>
        <w:t>APA assumes there is an inverse relatonship between the market rate of retrun and the intererst rate.</w:t>
      </w:r>
      <w:r w:rsidR="00792C71">
        <w:t xml:space="preserve"> </w:t>
      </w:r>
    </w:p>
    <w:p w:rsidR="008B296E" w:rsidRDefault="008B296E" w:rsidP="008B296E">
      <w:pPr>
        <w:numPr>
          <w:ilvl w:val="0"/>
          <w:numId w:val="24"/>
        </w:numPr>
      </w:pPr>
      <w:r>
        <w:t>As a result, we consider that APTPPL's and APA's approach shares similarities to a Wright CAPM and is at the very least a historical/alternative specification of the CAPM (if not a Wright CAPM). Many other service providers previously proposed using the underlying premise of the Wright CAPM and historical CAPM– that the market return is relatively constant – when estimating market risk premium.</w:t>
      </w:r>
      <w:r w:rsidRPr="007472EA">
        <w:rPr>
          <w:rStyle w:val="FootnoteReference"/>
        </w:rPr>
        <w:footnoteReference w:id="952"/>
      </w:r>
    </w:p>
    <w:p w:rsidR="00C33F1F" w:rsidRPr="00957F0D" w:rsidRDefault="00C33F1F" w:rsidP="00CC7A1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33F1F" w:rsidRPr="00F63640" w:rsidRDefault="00C33F1F" w:rsidP="00C33F1F">
      <w:pPr>
        <w:pStyle w:val="AERbulletlistfirststyle"/>
      </w:pPr>
      <w:r>
        <w:t>e</w:t>
      </w:r>
      <w:r w:rsidRPr="00957F0D">
        <w:t>stimating</w:t>
      </w:r>
      <w:r w:rsidRPr="00F63640">
        <w:t xml:space="preserve"> the return on equity for the benchmark efficient entity</w:t>
      </w:r>
    </w:p>
    <w:p w:rsidR="00C33F1F" w:rsidRPr="00F63640" w:rsidRDefault="00C33F1F" w:rsidP="00C33F1F">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C33F1F" w:rsidRPr="00957F0D" w:rsidRDefault="00C33F1F" w:rsidP="00CC7A1C">
      <w:pPr>
        <w:numPr>
          <w:ilvl w:val="0"/>
          <w:numId w:val="24"/>
        </w:numPr>
      </w:pPr>
      <w:r>
        <w:t>Our</w:t>
      </w:r>
      <w:r w:rsidRPr="00957F0D">
        <w:t xml:space="preserve"> reasons for </w:t>
      </w:r>
      <w:r>
        <w:t>this position</w:t>
      </w:r>
      <w:r w:rsidRPr="00957F0D">
        <w:t xml:space="preserve"> are:</w:t>
      </w:r>
    </w:p>
    <w:p w:rsidR="00C33F1F" w:rsidRPr="00F63640" w:rsidRDefault="00C33F1F" w:rsidP="00C33F1F">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953"/>
      </w:r>
    </w:p>
    <w:p w:rsidR="00C33F1F" w:rsidRPr="00F63640" w:rsidRDefault="00C33F1F" w:rsidP="00C33F1F">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54"/>
      </w:r>
    </w:p>
    <w:p w:rsidR="00C33F1F" w:rsidRPr="00F63640" w:rsidRDefault="00C33F1F" w:rsidP="00C33F1F">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955"/>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956"/>
      </w:r>
    </w:p>
    <w:p w:rsidR="00C33F1F" w:rsidRDefault="00C33F1F" w:rsidP="00C33F1F">
      <w:pPr>
        <w:pStyle w:val="AERbulletlistfirststyle"/>
      </w:pPr>
      <w:r>
        <w:t>M</w:t>
      </w:r>
      <w:r w:rsidRPr="00F63640">
        <w:t>arket practitioners, academics or regulators do not generally accept these models.</w:t>
      </w:r>
      <w:r w:rsidRPr="00F63640">
        <w:rPr>
          <w:rStyle w:val="FootnoteReference"/>
        </w:rPr>
        <w:footnoteReference w:id="957"/>
      </w:r>
      <w:r>
        <w:t xml:space="preserve"> For example, an analysis of 78 suitable independent valuation reports over May 2013 to January 2016 indicates there are no reports that appear to use the Wright CAPM.</w:t>
      </w:r>
    </w:p>
    <w:p w:rsidR="00C33F1F" w:rsidRPr="00957F0D" w:rsidRDefault="00C33F1F" w:rsidP="00C33F1F">
      <w:r w:rsidRPr="00957F0D">
        <w:t xml:space="preserve">Handley considered the Wright </w:t>
      </w:r>
      <w:r>
        <w:t>CAPM</w:t>
      </w:r>
      <w:r w:rsidRPr="00957F0D">
        <w:t xml:space="preserve"> </w:t>
      </w:r>
      <w:r>
        <w:t>and</w:t>
      </w:r>
      <w:r w:rsidRPr="00957F0D">
        <w:t xml:space="preserve"> stated:</w:t>
      </w:r>
      <w:r>
        <w:rPr>
          <w:rStyle w:val="FootnoteReference"/>
        </w:rPr>
        <w:footnoteReference w:id="958"/>
      </w:r>
    </w:p>
    <w:p w:rsidR="00C33F1F" w:rsidRPr="00957F0D" w:rsidRDefault="00C33F1F" w:rsidP="00C33F1F">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959"/>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33F1F" w:rsidRPr="00957F0D" w:rsidRDefault="00C33F1F" w:rsidP="00C33F1F">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960"/>
      </w:r>
    </w:p>
    <w:p w:rsidR="00C33F1F" w:rsidRPr="00957F0D" w:rsidRDefault="00C33F1F" w:rsidP="00C33F1F">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33F1F" w:rsidRDefault="00C33F1F" w:rsidP="00CC7A1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33F1F" w:rsidRDefault="00C33F1F" w:rsidP="00CC7A1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961"/>
      </w:r>
    </w:p>
    <w:p w:rsidR="001043A2" w:rsidRDefault="001043A2" w:rsidP="00CC7A1C">
      <w:pPr>
        <w:numPr>
          <w:ilvl w:val="0"/>
          <w:numId w:val="24"/>
        </w:numPr>
      </w:pPr>
      <w:r>
        <w:t>AusNet resubmitted that the Wright CAPM is relevant to the estimation of the market risk premium, rather than the overall return on equity.</w:t>
      </w:r>
      <w:r>
        <w:rPr>
          <w:rStyle w:val="FootnoteReference"/>
        </w:rPr>
        <w:footnoteReference w:id="962"/>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43A2" w:rsidRDefault="001043A2" w:rsidP="001043A2">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963"/>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43A2" w:rsidRPr="0010250E" w:rsidRDefault="001043A2" w:rsidP="001043A2">
      <w:r w:rsidRPr="00F9248D">
        <w:t>Partington and Satchell, in advised that the 'Wright approach has no support based on any clear evidence in the Australian context'.</w:t>
      </w:r>
      <w:r w:rsidRPr="00F9248D">
        <w:rPr>
          <w:rStyle w:val="FootnoteReference"/>
        </w:rPr>
        <w:footnoteReference w:id="964"/>
      </w:r>
    </w:p>
    <w:p w:rsidR="009A1A4E" w:rsidRPr="0010250E" w:rsidRDefault="00792C71" w:rsidP="009A1A4E">
      <w:r>
        <w:t>Further, Partington and Satchell observed the Wright approach leads to 'implausible' estimates of the market risk premium</w:t>
      </w:r>
      <w:r w:rsidR="005836E9">
        <w:t xml:space="preserve"> (due to its unlikely assumptions) </w:t>
      </w:r>
      <w:r w:rsidR="00910B99">
        <w:t>which</w:t>
      </w:r>
      <w:r w:rsidR="005836E9">
        <w:t xml:space="preserve"> 'seems unlikely</w:t>
      </w:r>
      <w:r w:rsidR="00910B99">
        <w:t>' wh</w:t>
      </w:r>
      <w:r w:rsidR="005836E9">
        <w:t>en market volatility is particularly low as it currently stands.</w:t>
      </w:r>
      <w:r w:rsidR="005836E9">
        <w:rPr>
          <w:rStyle w:val="FootnoteReference"/>
        </w:rPr>
        <w:footnoteReference w:id="965"/>
      </w:r>
      <w:r w:rsidR="005836E9">
        <w:t xml:space="preserve"> </w:t>
      </w:r>
    </w:p>
    <w:p w:rsidR="00BB18D4" w:rsidRPr="00BB18D4" w:rsidRDefault="00BB18D4" w:rsidP="00BB18D4">
      <w:pPr>
        <w:pStyle w:val="Heading7"/>
      </w:pPr>
      <w:bookmarkStart w:id="200" w:name="_Ref484769014"/>
      <w:bookmarkStart w:id="201" w:name="_Toc487037159"/>
      <w:r w:rsidRPr="00BB18D4">
        <w:t>Historical stock returns</w:t>
      </w:r>
      <w:bookmarkEnd w:id="197"/>
      <w:bookmarkEnd w:id="198"/>
      <w:bookmarkEnd w:id="199"/>
      <w:bookmarkEnd w:id="200"/>
      <w:bookmarkEnd w:id="201"/>
    </w:p>
    <w:p w:rsidR="00BB18D4" w:rsidRPr="00BB18D4" w:rsidRDefault="00BB18D4" w:rsidP="00BB18D4">
      <w:r w:rsidRPr="00BB18D4">
        <w:t>This appendix examines realised returns to Australian listed equity (stocks) as a proxy for the historical return on the portfolio of all equity in the market. We examine both total returns and excess returns. Excess returns are the realised returns</w:t>
      </w:r>
      <w:r w:rsidRPr="00BB18D4">
        <w:rPr>
          <w:rStyle w:val="FootnoteReference"/>
        </w:rPr>
        <w:footnoteReference w:id="966"/>
      </w:r>
      <w:r w:rsidRPr="00BB18D4">
        <w:t xml:space="preserve"> that stocks have earned in excess of the returns on government bonds with a ten-year term-to-maturity.</w:t>
      </w:r>
    </w:p>
    <w:p w:rsidR="00BB18D4" w:rsidRPr="00BB18D4" w:rsidRDefault="00BB18D4" w:rsidP="00BB18D4">
      <w:pPr>
        <w:rPr>
          <w:rStyle w:val="AERbody"/>
        </w:rPr>
      </w:pPr>
      <w:r w:rsidRPr="00BB18D4">
        <w:rPr>
          <w:rStyle w:val="AERbody"/>
        </w:rPr>
        <w:t>Our dataset and methodology is based on Brailsford, Handley, and Maheswaran (Brailsford et al).</w:t>
      </w:r>
      <w:r w:rsidRPr="00BB18D4">
        <w:rPr>
          <w:rStyle w:val="AERsuperscript"/>
        </w:rPr>
        <w:footnoteReference w:id="967"/>
      </w:r>
      <w:r w:rsidRPr="00BB18D4">
        <w:rPr>
          <w:rStyle w:val="AERbody"/>
        </w:rPr>
        <w:t xml:space="preserve"> A detailed discussion on data and methodology can be found in Brailsford et al, our Guideline, and attachment 3 to our </w:t>
      </w:r>
      <w:r w:rsidR="00A75594">
        <w:rPr>
          <w:rStyle w:val="AERbody"/>
        </w:rPr>
        <w:t>draft</w:t>
      </w:r>
      <w:r w:rsidR="00A75594" w:rsidRPr="00BB18D4">
        <w:rPr>
          <w:rStyle w:val="AERbody"/>
        </w:rPr>
        <w:t xml:space="preserve"> </w:t>
      </w:r>
      <w:r w:rsidRPr="00BB18D4">
        <w:rPr>
          <w:rStyle w:val="AERbody"/>
        </w:rPr>
        <w:t xml:space="preserve">decision for AusNet Services' 2016-20 distribution determination. </w:t>
      </w:r>
    </w:p>
    <w:p w:rsidR="00BB18D4" w:rsidRPr="00BB18D4" w:rsidRDefault="00BB18D4" w:rsidP="00BB18D4">
      <w:r w:rsidRPr="00BB18D4">
        <w:t>In the remainder of this section we examine:</w:t>
      </w:r>
    </w:p>
    <w:p w:rsidR="00BB18D4" w:rsidRPr="00BB18D4" w:rsidRDefault="00BB18D4" w:rsidP="00BB18D4">
      <w:pPr>
        <w:pStyle w:val="AERbulletlistfirststyle"/>
      </w:pPr>
      <w:r w:rsidRPr="00BB18D4">
        <w:t>Prevailing estimates for both excess returns and total returns.</w:t>
      </w:r>
    </w:p>
    <w:p w:rsidR="00BB18D4" w:rsidRPr="00BB18D4" w:rsidRDefault="00BB18D4" w:rsidP="00BB18D4">
      <w:pPr>
        <w:pStyle w:val="AERbulletlistfirststyle"/>
      </w:pPr>
      <w:r w:rsidRPr="00BB18D4">
        <w:t>The relative merits of arithmetic and geometric averages of historical returns.</w:t>
      </w:r>
    </w:p>
    <w:p w:rsidR="00BB18D4" w:rsidRPr="00BB18D4" w:rsidRDefault="00BB18D4" w:rsidP="00BB18D4">
      <w:pPr>
        <w:pStyle w:val="AERbulletlistfirststyle"/>
      </w:pPr>
      <w:r w:rsidRPr="00BB18D4">
        <w:t xml:space="preserve">The relative merits of the ASX's adjustment and NERA's adjustment to historical stock returns data. </w:t>
      </w:r>
    </w:p>
    <w:p w:rsidR="00BB18D4" w:rsidRPr="00BB18D4" w:rsidRDefault="00BB18D4" w:rsidP="00CC7A1C">
      <w:pPr>
        <w:pStyle w:val="Heading8"/>
        <w:numPr>
          <w:ilvl w:val="1"/>
          <w:numId w:val="29"/>
        </w:numPr>
      </w:pPr>
      <w:bookmarkStart w:id="202" w:name="_Toc443923197"/>
      <w:bookmarkStart w:id="203" w:name="_Ref444735329"/>
      <w:bookmarkStart w:id="204" w:name="_Toc451938977"/>
      <w:bookmarkStart w:id="205" w:name="_Toc456686725"/>
      <w:bookmarkStart w:id="206" w:name="_Toc487037160"/>
      <w:r w:rsidRPr="00BB18D4">
        <w:t>Prevailing estimates: excess returns</w:t>
      </w:r>
      <w:bookmarkEnd w:id="202"/>
      <w:bookmarkEnd w:id="203"/>
      <w:bookmarkEnd w:id="204"/>
      <w:bookmarkEnd w:id="205"/>
      <w:bookmarkEnd w:id="206"/>
    </w:p>
    <w:bookmarkStart w:id="207" w:name="_Ref432619921"/>
    <w:p w:rsidR="005143A8" w:rsidRPr="00BB18D4" w:rsidRDefault="002F4EEF" w:rsidP="005143A8">
      <w:r>
        <w:fldChar w:fldCharType="begin"/>
      </w:r>
      <w:r>
        <w:instrText xml:space="preserve"> REF _Ref484769382 \h </w:instrText>
      </w:r>
      <w:r>
        <w:fldChar w:fldCharType="separate"/>
      </w:r>
      <w:r w:rsidR="002C24D6" w:rsidRPr="00BB18D4">
        <w:t xml:space="preserve">Table </w:t>
      </w:r>
      <w:r w:rsidR="002C24D6">
        <w:rPr>
          <w:noProof/>
        </w:rPr>
        <w:t>3</w:t>
      </w:r>
      <w:r w:rsidR="002C24D6">
        <w:noBreakHyphen/>
      </w:r>
      <w:r w:rsidR="002C24D6">
        <w:rPr>
          <w:noProof/>
        </w:rPr>
        <w:t>21</w:t>
      </w:r>
      <w:r>
        <w:fldChar w:fldCharType="end"/>
      </w:r>
      <w:r w:rsidR="005143A8" w:rsidRPr="00BB18D4">
        <w:t xml:space="preserve"> sets out our estimates of historical excess returns, measured using both arithmetic and geometric averages, and estimated over different sample periods up until the 2015 calendar year end.</w:t>
      </w:r>
      <w:r w:rsidR="005143A8" w:rsidRPr="00BB18D4">
        <w:rPr>
          <w:rStyle w:val="FootnoteReference"/>
        </w:rPr>
        <w:footnoteReference w:id="968"/>
      </w:r>
      <w:r w:rsidR="005143A8" w:rsidRPr="00BB18D4">
        <w:t xml:space="preserve"> Arithmetic average measures range between </w:t>
      </w:r>
      <w:r w:rsidR="007A06BC">
        <w:t xml:space="preserve">5.8 and 6.4 </w:t>
      </w:r>
      <w:r w:rsidR="005143A8" w:rsidRPr="00BB18D4">
        <w:t xml:space="preserve">per cent and geometric average measures range between </w:t>
      </w:r>
      <w:r w:rsidR="007A06BC">
        <w:t>4.1 and 4.9</w:t>
      </w:r>
      <w:r w:rsidR="005143A8" w:rsidRPr="00BB18D4">
        <w:t xml:space="preserve"> per cent.  </w:t>
      </w:r>
    </w:p>
    <w:p w:rsidR="00BB18D4" w:rsidRPr="00BB18D4" w:rsidRDefault="00BB18D4" w:rsidP="00BB18D4">
      <w:pPr>
        <w:pStyle w:val="Caption"/>
        <w:rPr>
          <w:rStyle w:val="Strong"/>
        </w:rPr>
      </w:pPr>
      <w:bookmarkStart w:id="208" w:name="_Ref484769382"/>
      <w:r w:rsidRPr="00BB18D4">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21</w:t>
      </w:r>
      <w:r w:rsidR="002C24D6">
        <w:rPr>
          <w:noProof/>
        </w:rPr>
        <w:fldChar w:fldCharType="end"/>
      </w:r>
      <w:bookmarkEnd w:id="207"/>
      <w:bookmarkEnd w:id="208"/>
      <w:r w:rsidRPr="00BB18D4">
        <w:tab/>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5143A8" w:rsidRPr="00F7507F" w:rsidTr="00E4541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BB18D4" w:rsidRDefault="005143A8" w:rsidP="005143A8">
            <w:pPr>
              <w:rPr>
                <w:rStyle w:val="Strong"/>
              </w:rPr>
            </w:pPr>
            <w:r w:rsidRPr="00BB18D4">
              <w:rPr>
                <w:rStyle w:val="Strong"/>
              </w:rPr>
              <w:t>Sampling period</w:t>
            </w:r>
          </w:p>
        </w:tc>
        <w:tc>
          <w:tcPr>
            <w:tcW w:w="1667" w:type="pct"/>
            <w:noWrap/>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Arithmetic average</w:t>
            </w:r>
          </w:p>
        </w:tc>
        <w:tc>
          <w:tcPr>
            <w:tcW w:w="1667" w:type="pct"/>
            <w:noWrap/>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Geometric average</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1883–201</w:t>
            </w:r>
            <w:r w:rsidRPr="005143A8">
              <w:t>6</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6.3</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4.9</w:t>
            </w:r>
          </w:p>
        </w:tc>
      </w:tr>
      <w:tr w:rsidR="005143A8" w:rsidRPr="00F7507F" w:rsidTr="00E454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1937–201</w:t>
            </w:r>
            <w:r w:rsidRPr="005143A8">
              <w:t>6</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5.9</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4.1</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1958–201</w:t>
            </w:r>
            <w:r w:rsidRPr="005143A8">
              <w:t>6</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6.4</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4.1</w:t>
            </w:r>
          </w:p>
        </w:tc>
      </w:tr>
      <w:tr w:rsidR="005143A8" w:rsidRPr="00F7507F" w:rsidTr="00E454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1980–201</w:t>
            </w:r>
            <w:r w:rsidRPr="005143A8">
              <w:t>6</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6.3</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4.1</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1988–201</w:t>
            </w:r>
            <w:r w:rsidRPr="005143A8">
              <w:t>6</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5.8</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4.3</w:t>
            </w:r>
          </w:p>
        </w:tc>
      </w:tr>
    </w:tbl>
    <w:p w:rsidR="005143A8" w:rsidRDefault="005143A8" w:rsidP="00BB18D4">
      <w:pPr>
        <w:pStyle w:val="AERtablesource"/>
      </w:pPr>
    </w:p>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w:t>
      </w:r>
      <w:r w:rsidR="005143A8">
        <w:t>, p. 6. AER update for 2012–2016</w:t>
      </w:r>
      <w:r w:rsidRPr="00BB18D4">
        <w:t xml:space="preserve"> market data.</w:t>
      </w:r>
    </w:p>
    <w:p w:rsidR="00BB18D4" w:rsidRPr="00BB18D4" w:rsidRDefault="00BB18D4" w:rsidP="00BB18D4">
      <w:pPr>
        <w:pStyle w:val="AERtablesource"/>
      </w:pPr>
      <w:r w:rsidRPr="00BB18D4">
        <w:t xml:space="preserve">Notes: </w:t>
      </w:r>
      <w:r w:rsidRPr="00BB18D4">
        <w:tab/>
        <w:t>Based on a theta of 0.6.</w:t>
      </w:r>
    </w:p>
    <w:p w:rsidR="00BB18D4" w:rsidRPr="00BB18D4" w:rsidRDefault="00BB18D4" w:rsidP="00BB18D4">
      <w:pPr>
        <w:pStyle w:val="Heading8"/>
      </w:pPr>
      <w:bookmarkStart w:id="209" w:name="_Toc443923198"/>
      <w:bookmarkStart w:id="210" w:name="_Ref444735331"/>
      <w:bookmarkStart w:id="211" w:name="_Ref445926700"/>
      <w:bookmarkStart w:id="212" w:name="_Ref449053064"/>
      <w:bookmarkStart w:id="213" w:name="_Toc451938978"/>
      <w:bookmarkStart w:id="214" w:name="_Toc456686726"/>
      <w:bookmarkStart w:id="215" w:name="_Toc487037161"/>
      <w:r w:rsidRPr="00BB18D4">
        <w:t>Prevailing estimates: total returns</w:t>
      </w:r>
      <w:bookmarkEnd w:id="209"/>
      <w:bookmarkEnd w:id="210"/>
      <w:bookmarkEnd w:id="211"/>
      <w:bookmarkEnd w:id="212"/>
      <w:bookmarkEnd w:id="213"/>
      <w:bookmarkEnd w:id="214"/>
      <w:bookmarkEnd w:id="215"/>
    </w:p>
    <w:bookmarkStart w:id="216" w:name="_Ref417570520"/>
    <w:p w:rsidR="005143A8" w:rsidRPr="00BB18D4" w:rsidRDefault="002F4EEF" w:rsidP="005143A8">
      <w:r>
        <w:fldChar w:fldCharType="begin"/>
      </w:r>
      <w:r>
        <w:instrText xml:space="preserve"> REF _Ref484769396 \h </w:instrText>
      </w:r>
      <w:r>
        <w:fldChar w:fldCharType="separate"/>
      </w:r>
      <w:r w:rsidR="002C24D6" w:rsidRPr="00BB18D4">
        <w:t xml:space="preserve">Table </w:t>
      </w:r>
      <w:r w:rsidR="002C24D6">
        <w:rPr>
          <w:noProof/>
        </w:rPr>
        <w:t>3</w:t>
      </w:r>
      <w:r w:rsidR="002C24D6">
        <w:noBreakHyphen/>
      </w:r>
      <w:r w:rsidR="002C24D6">
        <w:rPr>
          <w:noProof/>
        </w:rPr>
        <w:t>22</w:t>
      </w:r>
      <w:r>
        <w:fldChar w:fldCharType="end"/>
      </w:r>
      <w:r w:rsidR="005143A8" w:rsidRPr="00BB18D4">
        <w:t xml:space="preserve"> sets out our estimates of historical returns on the market portfolio. The nominal return ranges from </w:t>
      </w:r>
      <w:r w:rsidR="007A06BC">
        <w:t>10.0 to 12.5.</w:t>
      </w:r>
      <w:r w:rsidR="005143A8" w:rsidRPr="00BB18D4">
        <w:t xml:space="preserve"> We use a range because the estimated return on the market will vary depending on the time period used.</w:t>
      </w:r>
      <w:r w:rsidR="005143A8" w:rsidRPr="00BB18D4">
        <w:rPr>
          <w:rStyle w:val="FootnoteReference"/>
        </w:rPr>
        <w:footnoteReference w:id="969"/>
      </w:r>
    </w:p>
    <w:p w:rsidR="00BB18D4" w:rsidRPr="00BB18D4" w:rsidRDefault="00BB18D4" w:rsidP="00BB18D4">
      <w:pPr>
        <w:pStyle w:val="Caption"/>
        <w:rPr>
          <w:rStyle w:val="Strong"/>
        </w:rPr>
      </w:pPr>
      <w:bookmarkStart w:id="217" w:name="_Ref484769396"/>
      <w:r w:rsidRPr="00BB18D4">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22</w:t>
      </w:r>
      <w:r w:rsidR="002C24D6">
        <w:rPr>
          <w:noProof/>
        </w:rPr>
        <w:fldChar w:fldCharType="end"/>
      </w:r>
      <w:bookmarkEnd w:id="216"/>
      <w:bookmarkEnd w:id="217"/>
      <w:r w:rsidRPr="00BB18D4">
        <w:tab/>
        <w:t>Historical returns on the market portfolio (per cent)</w:t>
      </w:r>
    </w:p>
    <w:tbl>
      <w:tblPr>
        <w:tblStyle w:val="AERtable-numbers"/>
        <w:tblW w:w="8755" w:type="dxa"/>
        <w:tblLook w:val="04A0" w:firstRow="1" w:lastRow="0" w:firstColumn="1" w:lastColumn="0" w:noHBand="0" w:noVBand="1"/>
      </w:tblPr>
      <w:tblGrid>
        <w:gridCol w:w="1909"/>
        <w:gridCol w:w="3423"/>
        <w:gridCol w:w="3423"/>
      </w:tblGrid>
      <w:tr w:rsidR="005143A8" w:rsidRPr="00B9584E" w:rsidTr="00E45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Sampling period</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Market return (real)</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Market return (nominal)</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1883–2015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8.6</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11.3</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1937–2015</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7.3</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10.0</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1958–2015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8.8</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11.5</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1980–2015</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9.8</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12.5</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1988–2015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9.1</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11.8</w:t>
            </w:r>
          </w:p>
        </w:tc>
      </w:tr>
    </w:tbl>
    <w:p w:rsidR="005143A8" w:rsidRDefault="005143A8" w:rsidP="00BB18D4">
      <w:pPr>
        <w:pStyle w:val="AERtablesource"/>
      </w:pPr>
    </w:p>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w:t>
      </w:r>
      <w:r w:rsidR="005143A8">
        <w:t>, p. 6. AER update for 2012–2016</w:t>
      </w:r>
      <w:r w:rsidRPr="00BB18D4">
        <w:t xml:space="preserve"> market data.</w:t>
      </w:r>
    </w:p>
    <w:p w:rsidR="00BB18D4" w:rsidRPr="00BB18D4" w:rsidRDefault="00BB18D4" w:rsidP="00BB18D4">
      <w:pPr>
        <w:pStyle w:val="AERtablesource"/>
      </w:pPr>
      <w:r w:rsidRPr="00BB18D4">
        <w:t>Notes</w:t>
      </w:r>
      <w:r w:rsidRPr="00BB18D4">
        <w:tab/>
        <w:t xml:space="preserve">Historical market returns are estimated using arithmetic averages, assuming a theta value of 0.6, and assuming an inflation rate of 2.5 per cent. Nominal figures calculated by the AER using the Fisher equation: </w:t>
      </w:r>
    </w:p>
    <w:p w:rsidR="00BB18D4" w:rsidRPr="00BB18D4" w:rsidRDefault="00BB18D4" w:rsidP="00BB18D4">
      <w:pPr>
        <w:pStyle w:val="AERtablesource"/>
      </w:pPr>
      <w:r w:rsidRPr="00BB18D4">
        <w:tab/>
        <w:t>1+i=(1+r)×(1+</w:t>
      </w:r>
      <w:r w:rsidRPr="00BB18D4">
        <w:rPr>
          <w:rFonts w:hint="eastAsia"/>
        </w:rPr>
        <w:t>π</w:t>
      </w:r>
      <w:r w:rsidRPr="00BB18D4">
        <w:t xml:space="preserve">) where r denotes the real return, i denotes the nominal return and </w:t>
      </w:r>
      <w:r w:rsidRPr="00BB18D4">
        <w:rPr>
          <w:rFonts w:hint="eastAsia"/>
        </w:rPr>
        <w:t>π</w:t>
      </w:r>
      <w:r w:rsidRPr="00BB18D4">
        <w:t xml:space="preserve"> denotes the inflation rate.</w:t>
      </w:r>
    </w:p>
    <w:p w:rsidR="005143A8" w:rsidRPr="00BB18D4" w:rsidRDefault="005143A8" w:rsidP="005143A8">
      <w:bookmarkStart w:id="218" w:name="_Ref443916669"/>
      <w:r w:rsidRPr="00BB18D4">
        <w:t>We estimate a return on equity under the Wright CAPM</w:t>
      </w:r>
      <w:r w:rsidRPr="00BB18D4">
        <w:rPr>
          <w:rStyle w:val="FootnoteReference"/>
        </w:rPr>
        <w:footnoteReference w:id="970"/>
      </w:r>
      <w:r w:rsidRPr="00BB18D4">
        <w:t xml:space="preserve"> by combining the historical nominal market return with our prevailing risk free rate estimate</w:t>
      </w:r>
      <w:r w:rsidRPr="00BB18D4">
        <w:rPr>
          <w:rStyle w:val="FootnoteReference"/>
        </w:rPr>
        <w:footnoteReference w:id="971"/>
      </w:r>
      <w:r w:rsidRPr="00BB18D4">
        <w:t xml:space="preserve"> and equity beta estimates.</w:t>
      </w:r>
      <w:r w:rsidRPr="00BB18D4">
        <w:rPr>
          <w:rStyle w:val="FootnoteReference"/>
        </w:rPr>
        <w:footnoteReference w:id="972"/>
      </w:r>
      <w:r w:rsidRPr="00BB18D4">
        <w:t xml:space="preserve"> As shown in</w:t>
      </w:r>
      <w:r w:rsidR="002F4EEF">
        <w:t xml:space="preserve"> </w:t>
      </w:r>
      <w:r w:rsidR="002F4EEF">
        <w:fldChar w:fldCharType="begin"/>
      </w:r>
      <w:r w:rsidR="002F4EEF">
        <w:instrText xml:space="preserve"> REF _Ref484769411 \h </w:instrText>
      </w:r>
      <w:r w:rsidR="002F4EEF">
        <w:fldChar w:fldCharType="separate"/>
      </w:r>
      <w:r w:rsidR="002C24D6" w:rsidRPr="00BB18D4">
        <w:t xml:space="preserve">Table </w:t>
      </w:r>
      <w:r w:rsidR="002C24D6">
        <w:rPr>
          <w:noProof/>
        </w:rPr>
        <w:t>3</w:t>
      </w:r>
      <w:r w:rsidR="002C24D6">
        <w:noBreakHyphen/>
      </w:r>
      <w:r w:rsidR="002C24D6">
        <w:rPr>
          <w:noProof/>
        </w:rPr>
        <w:t>23</w:t>
      </w:r>
      <w:r w:rsidR="002F4EEF">
        <w:fldChar w:fldCharType="end"/>
      </w:r>
      <w:r w:rsidRPr="00BB18D4">
        <w:t xml:space="preserve">, our estimated range for equity beta and market return results in Wright CAPM return on equity estimates ranging from </w:t>
      </w:r>
      <w:r w:rsidR="007A06BC">
        <w:t>5.5 to 9.6</w:t>
      </w:r>
    </w:p>
    <w:p w:rsidR="0054334C" w:rsidRDefault="0054334C" w:rsidP="00BB18D4">
      <w:pPr>
        <w:pStyle w:val="Caption"/>
      </w:pPr>
    </w:p>
    <w:p w:rsidR="0054334C" w:rsidRDefault="0054334C" w:rsidP="00BB18D4">
      <w:pPr>
        <w:pStyle w:val="Caption"/>
      </w:pPr>
    </w:p>
    <w:p w:rsidR="00BB18D4" w:rsidRDefault="00BB18D4" w:rsidP="00BB18D4">
      <w:pPr>
        <w:pStyle w:val="Heading8"/>
      </w:pPr>
      <w:bookmarkStart w:id="219" w:name="_Toc443923200"/>
      <w:bookmarkStart w:id="220" w:name="_Ref448320174"/>
      <w:bookmarkStart w:id="221" w:name="_Toc451938979"/>
      <w:bookmarkStart w:id="222" w:name="_Toc456686727"/>
      <w:bookmarkStart w:id="223" w:name="_Toc487037162"/>
      <w:bookmarkEnd w:id="218"/>
      <w:r w:rsidRPr="00BB18D4">
        <w:t>Arithmetic and geometric averages</w:t>
      </w:r>
      <w:bookmarkEnd w:id="219"/>
      <w:bookmarkEnd w:id="220"/>
      <w:bookmarkEnd w:id="221"/>
      <w:bookmarkEnd w:id="222"/>
      <w:bookmarkEnd w:id="223"/>
    </w:p>
    <w:p w:rsidR="0054334C" w:rsidRPr="00BB18D4" w:rsidRDefault="0054334C" w:rsidP="0054334C">
      <w:pPr>
        <w:pStyle w:val="Caption"/>
        <w:rPr>
          <w:rStyle w:val="Strong"/>
        </w:rPr>
      </w:pPr>
      <w:bookmarkStart w:id="224" w:name="_Ref484769411"/>
      <w:r w:rsidRPr="00BB18D4">
        <w:t xml:space="preserve">Table </w:t>
      </w:r>
      <w:r w:rsidRPr="0054334C">
        <w:fldChar w:fldCharType="begin"/>
      </w:r>
      <w:r>
        <w:instrText xml:space="preserve"> STYLEREF 1 \s </w:instrText>
      </w:r>
      <w:r w:rsidRPr="0054334C">
        <w:fldChar w:fldCharType="separate"/>
      </w:r>
      <w:r w:rsidR="002C24D6">
        <w:rPr>
          <w:noProof/>
        </w:rPr>
        <w:t>3</w:t>
      </w:r>
      <w:r w:rsidRPr="0054334C">
        <w:fldChar w:fldCharType="end"/>
      </w:r>
      <w:r>
        <w:noBreakHyphen/>
      </w:r>
      <w:r w:rsidRPr="0054334C">
        <w:fldChar w:fldCharType="begin"/>
      </w:r>
      <w:r>
        <w:instrText xml:space="preserve"> SEQ Table \* ARABIC \s 1 </w:instrText>
      </w:r>
      <w:r w:rsidRPr="0054334C">
        <w:fldChar w:fldCharType="separate"/>
      </w:r>
      <w:r w:rsidR="002C24D6">
        <w:rPr>
          <w:noProof/>
        </w:rPr>
        <w:t>23</w:t>
      </w:r>
      <w:r w:rsidRPr="0054334C">
        <w:fldChar w:fldCharType="end"/>
      </w:r>
      <w:bookmarkEnd w:id="224"/>
      <w:r w:rsidRPr="00BB18D4">
        <w:tab/>
        <w:t>Wright CAPM return on equity (per cent)</w:t>
      </w:r>
    </w:p>
    <w:tbl>
      <w:tblPr>
        <w:tblStyle w:val="AERtable-numbers"/>
        <w:tblW w:w="8755" w:type="dxa"/>
        <w:tblLook w:val="04A0" w:firstRow="1" w:lastRow="0" w:firstColumn="1" w:lastColumn="0" w:noHBand="0" w:noVBand="1"/>
      </w:tblPr>
      <w:tblGrid>
        <w:gridCol w:w="1909"/>
        <w:gridCol w:w="3423"/>
        <w:gridCol w:w="3423"/>
      </w:tblGrid>
      <w:tr w:rsidR="005143A8" w:rsidRPr="00B9584E" w:rsidTr="00E45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143A8" w:rsidRPr="005143A8" w:rsidRDefault="005143A8" w:rsidP="005143A8">
            <w:r w:rsidRPr="00BB18D4">
              <w:t>AER equity beta estimate</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Wright CAPM return on equity based on 10.0 market return</w:t>
            </w:r>
          </w:p>
        </w:tc>
        <w:tc>
          <w:tcPr>
            <w:tcW w:w="3423" w:type="dxa"/>
          </w:tcPr>
          <w:p w:rsidR="005143A8" w:rsidRPr="00BB18D4" w:rsidRDefault="005143A8" w:rsidP="00371670">
            <w:pPr>
              <w:cnfStyle w:val="100000000000" w:firstRow="1" w:lastRow="0" w:firstColumn="0" w:lastColumn="0" w:oddVBand="0" w:evenVBand="0" w:oddHBand="0" w:evenHBand="0" w:firstRowFirstColumn="0" w:firstRowLastColumn="0" w:lastRowFirstColumn="0" w:lastRowLastColumn="0"/>
            </w:pPr>
            <w:r w:rsidRPr="00BB18D4">
              <w:t>Wright CAPM return on equity based on 12.</w:t>
            </w:r>
            <w:r w:rsidR="00371670">
              <w:t>5</w:t>
            </w:r>
            <w:r w:rsidRPr="00BB18D4">
              <w:t xml:space="preserve"> market return</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0.4</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5.6</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6.6</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0.7</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7.8</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9.5</w:t>
            </w:r>
          </w:p>
        </w:tc>
      </w:tr>
    </w:tbl>
    <w:p w:rsidR="005143A8" w:rsidRPr="00BB18D4" w:rsidRDefault="005143A8" w:rsidP="005143A8">
      <w:pPr>
        <w:pStyle w:val="AERtablesource"/>
      </w:pPr>
      <w:r w:rsidRPr="00BB18D4">
        <w:t>Source:</w:t>
      </w:r>
      <w:r w:rsidRPr="00BB18D4">
        <w:tab/>
        <w:t>AER analysis.</w:t>
      </w:r>
    </w:p>
    <w:p w:rsidR="005143A8" w:rsidRPr="005143A8" w:rsidRDefault="005143A8" w:rsidP="005143A8">
      <w:pPr>
        <w:pStyle w:val="AERtablesource"/>
      </w:pPr>
      <w:r w:rsidRPr="00BB18D4">
        <w:t>Notes:</w:t>
      </w:r>
      <w:r w:rsidRPr="00BB18D4">
        <w:tab/>
      </w:r>
      <w:r w:rsidR="007A06BC">
        <w:t>Based on a placeholder risk free rate estimate of 2.6 per cent.</w:t>
      </w:r>
    </w:p>
    <w:p w:rsidR="00BB18D4" w:rsidRPr="00BB18D4" w:rsidRDefault="00BB18D4" w:rsidP="00BB18D4">
      <w:r w:rsidRPr="00BB18D4">
        <w:t>Historical excess market returns are sensitive to the method of averaging returns over multiple periods. The arithmetic average return is the simple average annual return. The geometric average return is the average compounded annual return.</w:t>
      </w:r>
      <w:r w:rsidRPr="00BB18D4">
        <w:rPr>
          <w:rStyle w:val="FootnoteReference"/>
        </w:rPr>
        <w:footnoteReference w:id="973"/>
      </w:r>
    </w:p>
    <w:p w:rsidR="00BB18D4" w:rsidRPr="00BB18D4" w:rsidRDefault="00BB18D4" w:rsidP="00BB18D4">
      <w:r w:rsidRPr="00BB18D4">
        <w:t>In estimating the market risk premium, we have regard to both arithmetic and geometric average historical excess returns. We set out our reasoning in our final decision for Jemena Gas Networks (JGN), and this material remains relevant.</w:t>
      </w:r>
      <w:r w:rsidRPr="00BB18D4">
        <w:rPr>
          <w:rStyle w:val="FootnoteReference"/>
        </w:rPr>
        <w:footnoteReference w:id="974"/>
      </w:r>
      <w:r w:rsidRPr="00BB18D4">
        <w:t xml:space="preserve"> We also note that Partington and Satchell support our position to have regard to both types of average historical excess returns.</w:t>
      </w:r>
      <w:r w:rsidRPr="00BB18D4">
        <w:rPr>
          <w:rStyle w:val="FootnoteReference"/>
        </w:rPr>
        <w:footnoteReference w:id="975"/>
      </w:r>
      <w:r w:rsidRPr="00BB18D4">
        <w:t xml:space="preserve"> Overall, our decision is informed by the following considerations:</w:t>
      </w:r>
    </w:p>
    <w:p w:rsidR="00BB18D4" w:rsidRPr="00BB18D4" w:rsidRDefault="00BB18D4" w:rsidP="00BB18D4">
      <w:pPr>
        <w:pStyle w:val="AERbulletlistfirststyle"/>
      </w:pPr>
      <w:r w:rsidRPr="00BB18D4">
        <w:t>We consider the arithmetic average of 10-yearly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B18D4">
        <w:rPr>
          <w:rStyle w:val="FootnoteReference"/>
        </w:rPr>
        <w:footnoteReference w:id="976"/>
      </w:r>
    </w:p>
    <w:p w:rsidR="00BB18D4" w:rsidRPr="00BB18D4" w:rsidRDefault="00BB18D4" w:rsidP="00BB18D4">
      <w:pPr>
        <w:pStyle w:val="AERbulletlistfirststyle"/>
      </w:pPr>
      <w:r w:rsidRPr="00BB18D4">
        <w:t>We have previously considered arithmetic and geometric averages relevant when estimating a 10 year forward looking market risk premium using historical annual excess returns.</w:t>
      </w:r>
      <w:r w:rsidRPr="00BB18D4">
        <w:rPr>
          <w:rStyle w:val="FootnoteReference"/>
        </w:rPr>
        <w:footnoteReference w:id="977"/>
      </w:r>
      <w:r w:rsidRPr="00BB18D4">
        <w:t xml:space="preserve"> The Tribunal found no error with this approach.</w:t>
      </w:r>
      <w:r w:rsidRPr="00BB18D4">
        <w:rPr>
          <w:rStyle w:val="FootnoteReference"/>
        </w:rPr>
        <w:footnoteReference w:id="978"/>
      </w:r>
    </w:p>
    <w:p w:rsidR="00BB18D4" w:rsidRPr="00BB18D4" w:rsidRDefault="00BB18D4" w:rsidP="00BB18D4">
      <w:pPr>
        <w:pStyle w:val="AERbulletlistfirststyle"/>
      </w:pPr>
      <w:r w:rsidRPr="00BB18D4">
        <w:t>In their 2014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sidRPr="00BB18D4">
        <w:rPr>
          <w:rStyle w:val="FootnoteReference"/>
        </w:rPr>
        <w:footnoteReference w:id="979"/>
      </w:r>
      <w:r w:rsidRPr="00BB18D4">
        <w:t xml:space="preserve"> While we do not adopt this approach, this indicates that experts and other regulators consider geometric averages valuable.</w:t>
      </w:r>
    </w:p>
    <w:p w:rsidR="00BB18D4" w:rsidRPr="00BB18D4" w:rsidRDefault="00BB18D4" w:rsidP="00BB18D4">
      <w:pPr>
        <w:pStyle w:val="AERbulletlistfirststyle"/>
      </w:pPr>
      <w:r w:rsidRPr="00BB18D4">
        <w:t>McKenzie, Partington, and Satchell recommended the consideration of both arithmetic and geometric averages, tempered by an understanding of their inherent biases.</w:t>
      </w:r>
      <w:r w:rsidRPr="00BB18D4">
        <w:rPr>
          <w:rStyle w:val="FootnoteReference"/>
        </w:rPr>
        <w:footnoteReference w:id="980"/>
      </w:r>
    </w:p>
    <w:p w:rsidR="00BB18D4" w:rsidRPr="00BB18D4" w:rsidRDefault="00BB18D4" w:rsidP="00BB18D4">
      <w:r w:rsidRPr="00BB18D4">
        <w:t>In a series of reports, NERA recommended we give no weight to geometric average historical excess returns.</w:t>
      </w:r>
      <w:r w:rsidRPr="00BB18D4">
        <w:rPr>
          <w:rStyle w:val="FootnoteReference"/>
        </w:rPr>
        <w:footnoteReference w:id="981"/>
      </w:r>
      <w:r w:rsidRPr="00BB18D4">
        <w:t xml:space="preserve"> In June 2015, NERA submitted a further report on this issue.</w:t>
      </w:r>
      <w:r w:rsidRPr="00BB18D4">
        <w:rPr>
          <w:rStyle w:val="FootnoteReference"/>
        </w:rPr>
        <w:footnoteReference w:id="982"/>
      </w:r>
      <w:r w:rsidRPr="00BB18D4">
        <w:t xml:space="preserve"> In January 2016, HoustonKemp submitted a similar report to NERA that also recommended that no weight be given to geometric average historical excess returns.</w:t>
      </w:r>
      <w:r w:rsidRPr="00BB18D4">
        <w:rPr>
          <w:rStyle w:val="FootnoteReference"/>
        </w:rPr>
        <w:footnoteReference w:id="983"/>
      </w:r>
      <w:r w:rsidRPr="00BB18D4">
        <w:t xml:space="preserve"> </w:t>
      </w:r>
    </w:p>
    <w:p w:rsidR="00BB18D4" w:rsidRPr="00BB18D4" w:rsidRDefault="00BB18D4" w:rsidP="00BB18D4">
      <w:r w:rsidRPr="00BB18D4">
        <w:t>We consider NERA and HoustonKemp's submissions take a narrow view of the issue. As Partington and Satchell stated in their October 2015 report:</w:t>
      </w:r>
      <w:r w:rsidRPr="00BB18D4">
        <w:rPr>
          <w:rStyle w:val="FootnoteReference"/>
        </w:rPr>
        <w:footnoteReference w:id="984"/>
      </w:r>
    </w:p>
    <w:p w:rsidR="00BB18D4" w:rsidRPr="00BB18D4" w:rsidRDefault="00BB18D4" w:rsidP="00BB18D4">
      <w:pPr>
        <w:pStyle w:val="AERquote"/>
      </w:pPr>
      <w:r w:rsidRPr="00BB18D4">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B18D4" w:rsidRPr="00BB18D4" w:rsidRDefault="00BB18D4" w:rsidP="00BB18D4">
      <w:r w:rsidRPr="00BB18D4">
        <w:t>There remains uncertainty over whether an arithmetic or geometric average (or some combination of the two) of historical excess returns provides a better estimate of expected excess returns. The answer to NERA's concern whether geometric or arithmetic averages are better is unclear and not settled amongst academics. Both methods have limitations. This is well summarised by Partington and Satchell:</w:t>
      </w:r>
      <w:r w:rsidRPr="00BB18D4">
        <w:rPr>
          <w:rStyle w:val="FootnoteReference"/>
        </w:rPr>
        <w:footnoteReference w:id="985"/>
      </w:r>
    </w:p>
    <w:p w:rsidR="00BB18D4" w:rsidRPr="00BB18D4" w:rsidRDefault="00BB18D4" w:rsidP="00BB18D4">
      <w:pPr>
        <w:pStyle w:val="AERquote"/>
      </w:pPr>
      <w:r w:rsidRPr="00BB18D4">
        <w:t xml:space="preserve">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 </w:t>
      </w:r>
    </w:p>
    <w:p w:rsidR="00BB18D4" w:rsidRPr="00BB18D4" w:rsidRDefault="00BB18D4" w:rsidP="00BB18D4">
      <w:r w:rsidRPr="00BB18D4">
        <w:t>In their 2012 report, McKenzie and Partington provided numerous references to academic studies that support this view.</w:t>
      </w:r>
      <w:r w:rsidRPr="00BB18D4">
        <w:rPr>
          <w:rStyle w:val="FootnoteReference"/>
        </w:rPr>
        <w:footnoteReference w:id="986"/>
      </w:r>
      <w:r w:rsidRPr="00BB18D4">
        <w:t xml:space="preserve"> They considered that unbiasedness is only one desirable property of an estimator. Another consideration is efficiency, and 'the question then becomes one of trading off bias and efficiency'.</w:t>
      </w:r>
      <w:r w:rsidRPr="00BB18D4">
        <w:rPr>
          <w:rStyle w:val="FootnoteReference"/>
        </w:rPr>
        <w:footnoteReference w:id="987"/>
      </w:r>
      <w:r w:rsidRPr="00BB18D4">
        <w:t xml:space="preserve"> We agree with this view. </w:t>
      </w:r>
    </w:p>
    <w:p w:rsidR="00BB18D4" w:rsidRPr="00BB18D4" w:rsidRDefault="00BB18D4" w:rsidP="00BB18D4">
      <w:r w:rsidRPr="00BB18D4">
        <w:t>Moreover, in their October 2015 report, Partington and Satchell demonstrate that, even in the restricted case that NERA presents, the geometric average can be a superior estimator.</w:t>
      </w:r>
      <w:r w:rsidRPr="00BB18D4">
        <w:rPr>
          <w:rStyle w:val="FootnoteReference"/>
        </w:rPr>
        <w:footnoteReference w:id="988"/>
      </w:r>
      <w:r w:rsidRPr="00BB18D4">
        <w:t xml:space="preserve"> </w:t>
      </w:r>
    </w:p>
    <w:p w:rsidR="00BB18D4" w:rsidRPr="00BB18D4" w:rsidRDefault="00BB18D4" w:rsidP="00BB18D4">
      <w:r w:rsidRPr="00BB18D4">
        <w:t>HoustonKemp submitted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a large gross return, provide an unbiased estimator.</w:t>
      </w:r>
      <w:r w:rsidRPr="00BB18D4">
        <w:rPr>
          <w:rStyle w:val="FootnoteReference"/>
        </w:rPr>
        <w:footnoteReference w:id="989"/>
      </w:r>
      <w:r w:rsidRPr="00BB18D4">
        <w:t xml:space="preserve"> </w:t>
      </w:r>
    </w:p>
    <w:p w:rsidR="00BB18D4" w:rsidRPr="00BB18D4" w:rsidRDefault="00BB18D4" w:rsidP="00BB18D4">
      <w:r w:rsidRPr="00BB18D4">
        <w:t>We consider that HouseKemp's 2016 report has incorrectly considered Partington and Satchell's results on geometric and arithmetic mean returns.  This is well summarised by Partington and Satchell:</w:t>
      </w:r>
      <w:r w:rsidRPr="00BB18D4">
        <w:rPr>
          <w:rStyle w:val="FootnoteReference"/>
        </w:rPr>
        <w:footnoteReference w:id="990"/>
      </w:r>
    </w:p>
    <w:p w:rsidR="00BB18D4" w:rsidRPr="00BB18D4" w:rsidRDefault="00BB18D4" w:rsidP="00BB18D4">
      <w:pPr>
        <w:pStyle w:val="AERquote"/>
      </w:pPr>
      <w:r w:rsidRPr="00BB18D4">
        <w:t>"We are interested in the term exp(</w:t>
      </w:r>
      <m:oMath>
        <m:r>
          <w:rPr>
            <w:rFonts w:ascii="Cambria Math" w:hAnsi="Cambria Math"/>
          </w:rPr>
          <m:t>μ)-1</m:t>
        </m:r>
      </m:oMath>
      <w:r w:rsidRPr="00BB18D4">
        <w:t xml:space="preserve">; which we call the implied arithmetic rate of return. If we knew that the true geometric rate of return is </w:t>
      </w:r>
      <m:oMath>
        <m:r>
          <w:rPr>
            <w:rFonts w:ascii="Cambria Math" w:hAnsi="Cambria Math"/>
          </w:rPr>
          <m:t>μ</m:t>
        </m:r>
      </m:oMath>
      <w:r w:rsidRPr="00BB18D4">
        <w:t xml:space="preserve"> then the true arithmetic rate of return is exp(</w:t>
      </w:r>
      <m:oMath>
        <m:r>
          <w:rPr>
            <w:rFonts w:ascii="Cambria Math" w:hAnsi="Cambria Math"/>
          </w:rPr>
          <m:t>μ)-1</m:t>
        </m:r>
      </m:oMath>
      <w:r w:rsidRPr="00BB18D4">
        <w:t>. This is a property of the parameters of our model and, as yet, involves no notion of expectations of estimators, contrary to any assertions by HoustonKemp. We then consider the extent to which estimators, based on the arithmetic mean and the geometric mean over or under estimate exp(</w:t>
      </w:r>
      <m:oMath>
        <m:r>
          <w:rPr>
            <w:rFonts w:ascii="Cambria Math" w:hAnsi="Cambria Math"/>
          </w:rPr>
          <m:t>μ)-1</m:t>
        </m:r>
      </m:oMath>
      <w:r w:rsidRPr="00BB18D4">
        <w:t>. We showed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independent of the sample size so it is always biased upwards relative to exp(</w:t>
      </w:r>
      <m:oMath>
        <m:r>
          <w:rPr>
            <w:rFonts w:ascii="Cambria Math" w:hAnsi="Cambria Math"/>
          </w:rPr>
          <m:t>μ)-1</m:t>
        </m:r>
      </m:oMath>
      <w:r w:rsidRPr="00BB18D4">
        <w:t>. 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where T is the size of the sample. This is biased upwards relative to exp(</w:t>
      </w:r>
      <m:oMath>
        <m:r>
          <w:rPr>
            <w:rFonts w:ascii="Cambria Math" w:hAnsi="Cambria Math"/>
          </w:rPr>
          <m:t>μ)-1</m:t>
        </m:r>
      </m:oMath>
      <w:r w:rsidRPr="00BB18D4">
        <w:t>; but the bias disappears as T gets large. HoustonKemp arrive at the same formula, see equation (23), page 36, but then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The report then asserts that the bias, relative to the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is increasing in T. The HoustonKemp analysis is simply irrelevant."</w:t>
      </w:r>
    </w:p>
    <w:p w:rsidR="00BB18D4" w:rsidRPr="00BB18D4" w:rsidRDefault="00BB18D4" w:rsidP="00BB18D4">
      <w:r w:rsidRPr="00BB18D4">
        <w:t>NERA has questioned the relevance of the Akgiray (1989) and the Jacquier, Kane and Marcus (2003) articles referenced by Partington and Satchell.</w:t>
      </w:r>
      <w:r w:rsidRPr="00BB18D4">
        <w:rPr>
          <w:rStyle w:val="FootnoteReference"/>
        </w:rPr>
        <w:footnoteReference w:id="991"/>
      </w:r>
      <w:r w:rsidRPr="00BB18D4">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B18D4" w:rsidRPr="00BB18D4" w:rsidRDefault="00BB18D4" w:rsidP="00BB18D4">
      <w:r w:rsidRPr="00BB18D4">
        <w:t>Frontier Economics have also submitted that  no weight should be given to geometric average historical excess returns.</w:t>
      </w:r>
      <w:r w:rsidRPr="00BB18D4">
        <w:rPr>
          <w:rStyle w:val="FootnoteReference"/>
        </w:rPr>
        <w:footnoteReference w:id="992"/>
      </w:r>
      <w:r w:rsidRPr="00BB18D4">
        <w:rPr>
          <w:rStyle w:val="FootnoteReference"/>
        </w:rPr>
        <w:t xml:space="preserve"> </w:t>
      </w:r>
      <w:r w:rsidRPr="00BB18D4">
        <w:t>Frontier stated that geometric averages do not provide an appropriate estimate of the expected return for the purpose of estimating the market risk premium, notably when forming a range for historical return estimates based on arithmetic averages.</w:t>
      </w:r>
      <w:r w:rsidRPr="00BB18D4">
        <w:rPr>
          <w:rStyle w:val="FootnoteReference"/>
        </w:rPr>
        <w:footnoteReference w:id="993"/>
      </w:r>
      <w:r w:rsidRPr="00BB18D4">
        <w:t xml:space="preserve"> This reiterates views from previous reports and submissions from Frontier, SFG and </w:t>
      </w:r>
      <w:r w:rsidR="003C78BA">
        <w:t xml:space="preserve">some </w:t>
      </w:r>
      <w:r w:rsidRPr="00BB18D4">
        <w:t>service providers</w:t>
      </w:r>
      <w:r w:rsidR="003C78BA">
        <w:t xml:space="preserve"> in past determination processes</w:t>
      </w:r>
      <w:r w:rsidRPr="00BB18D4">
        <w:t>.</w:t>
      </w:r>
      <w:r w:rsidRPr="00BB18D4">
        <w:rPr>
          <w:rStyle w:val="FootnoteReference"/>
        </w:rPr>
        <w:footnoteReference w:id="994"/>
      </w:r>
      <w:r w:rsidRPr="00BB18D4">
        <w:t xml:space="preserve"> </w:t>
      </w:r>
      <w:r w:rsidR="009E2F4C">
        <w:t>The new report</w:t>
      </w:r>
      <w:r w:rsidRPr="00BB18D4">
        <w:t xml:space="preserve"> do</w:t>
      </w:r>
      <w:r w:rsidR="009E2F4C">
        <w:t>es</w:t>
      </w:r>
      <w:r w:rsidRPr="00BB18D4">
        <w:t xml:space="preserve"> not provide new evidence except to cite the AER's own concerns with relying solely on the geometric averages as a forward looking estimate of the market risk premium.</w:t>
      </w:r>
      <w:r w:rsidRPr="00BB18D4">
        <w:rPr>
          <w:rStyle w:val="FootnoteReference"/>
        </w:rPr>
        <w:footnoteReference w:id="995"/>
      </w:r>
    </w:p>
    <w:p w:rsidR="00BB18D4" w:rsidRPr="00BB18D4" w:rsidRDefault="00BB18D4" w:rsidP="00BB18D4">
      <w:r w:rsidRPr="00BB18D4">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 especially considering the weight of evidence we have provided in previous decisions.</w:t>
      </w:r>
      <w:r w:rsidRPr="00BB18D4">
        <w:rPr>
          <w:rStyle w:val="FootnoteReference"/>
        </w:rPr>
        <w:footnoteReference w:id="996"/>
      </w:r>
      <w:r w:rsidRPr="00BB18D4">
        <w:t xml:space="preserve"> We agree with Partington and Satchell's conclusion (a reiteration of McKenzie and Partington's 2012 conclusion) that:</w:t>
      </w:r>
      <w:r w:rsidRPr="00BB18D4">
        <w:rPr>
          <w:rStyle w:val="FootnoteReference"/>
        </w:rPr>
        <w:footnoteReference w:id="997"/>
      </w:r>
    </w:p>
    <w:p w:rsidR="00BB18D4" w:rsidRPr="00BB18D4" w:rsidRDefault="00BB18D4" w:rsidP="00BB18D4">
      <w:pPr>
        <w:pStyle w:val="AERquote"/>
      </w:pPr>
      <w:r w:rsidRPr="00BB18D4">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B18D4" w:rsidRPr="00BB18D4" w:rsidRDefault="00BB18D4" w:rsidP="00BB18D4"/>
    <w:p w:rsidR="00BB18D4" w:rsidRDefault="00BB18D4" w:rsidP="00BB18D4">
      <w:pPr>
        <w:pStyle w:val="Heading7"/>
      </w:pPr>
      <w:bookmarkStart w:id="225" w:name="_Toc443923203"/>
      <w:bookmarkStart w:id="226" w:name="_Ref451685164"/>
      <w:bookmarkStart w:id="227" w:name="_Toc452629086"/>
      <w:bookmarkStart w:id="228" w:name="_Toc456686729"/>
      <w:bookmarkStart w:id="229" w:name="_Ref478395910"/>
      <w:bookmarkStart w:id="230" w:name="_Ref478396177"/>
      <w:bookmarkStart w:id="231" w:name="_Toc487037163"/>
      <w:r w:rsidRPr="00BB18D4">
        <w:t>AER's dividend growth model</w:t>
      </w:r>
      <w:bookmarkEnd w:id="225"/>
      <w:bookmarkEnd w:id="226"/>
      <w:bookmarkEnd w:id="227"/>
      <w:bookmarkEnd w:id="228"/>
      <w:bookmarkEnd w:id="229"/>
      <w:bookmarkEnd w:id="230"/>
      <w:bookmarkEnd w:id="231"/>
    </w:p>
    <w:p w:rsidR="009F0858" w:rsidRPr="00B4711B" w:rsidRDefault="009F0858" w:rsidP="00CC7A1C">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98"/>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99"/>
      </w:r>
      <w:r>
        <w:t xml:space="preserve"> However, we consider that limited reliance should be placed on estimates from dividend growth models. </w:t>
      </w:r>
    </w:p>
    <w:p w:rsidR="009F0858" w:rsidRPr="00B4711B" w:rsidRDefault="009F0858" w:rsidP="00CC7A1C">
      <w:pPr>
        <w:numPr>
          <w:ilvl w:val="0"/>
          <w:numId w:val="24"/>
        </w:numPr>
      </w:pPr>
      <w:r w:rsidRPr="00B4711B">
        <w:t>In this appendix we set out:</w:t>
      </w:r>
    </w:p>
    <w:p w:rsidR="009F0858" w:rsidRPr="00B4711B" w:rsidRDefault="009F0858" w:rsidP="009F0858">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9F0858" w:rsidRPr="00B4711B" w:rsidRDefault="009F0858" w:rsidP="009F0858">
      <w:pPr>
        <w:pStyle w:val="AERbulletlistfirststyle"/>
      </w:pPr>
      <w:r w:rsidRPr="00B4711B">
        <w:t>Sensitivity analysis surrounding our prevailing estimates.</w:t>
      </w:r>
    </w:p>
    <w:p w:rsidR="009F0858" w:rsidRPr="00B4711B" w:rsidRDefault="009F0858" w:rsidP="009F0858">
      <w:pPr>
        <w:pStyle w:val="AERbulletlistfirststyle"/>
      </w:pPr>
      <w:r w:rsidRPr="00B4711B">
        <w:t xml:space="preserve">Our preferred construction of the </w:t>
      </w:r>
      <w:r>
        <w:t>dividend growth model</w:t>
      </w:r>
      <w:r w:rsidRPr="00B4711B">
        <w:t>.</w:t>
      </w:r>
    </w:p>
    <w:p w:rsidR="009F0858" w:rsidRPr="00B4711B" w:rsidRDefault="009F0858" w:rsidP="009F0858">
      <w:pPr>
        <w:pStyle w:val="AERbulletlistfirststyle"/>
      </w:pPr>
      <w:r>
        <w:t>Limitations with the use of dividend growth models due to potential upward bias</w:t>
      </w:r>
      <w:r w:rsidRPr="00B4711B">
        <w:t xml:space="preserve">. </w:t>
      </w:r>
    </w:p>
    <w:p w:rsidR="009F0858" w:rsidRDefault="009F0858" w:rsidP="00CC7A1C">
      <w:pPr>
        <w:pStyle w:val="Heading8"/>
        <w:numPr>
          <w:ilvl w:val="1"/>
          <w:numId w:val="28"/>
        </w:numPr>
      </w:pPr>
      <w:bookmarkStart w:id="232" w:name="_Toc443923204"/>
      <w:bookmarkStart w:id="233" w:name="_Toc451938982"/>
      <w:bookmarkStart w:id="234" w:name="_Toc456686730"/>
      <w:bookmarkStart w:id="235" w:name="_Toc487037164"/>
      <w:r w:rsidRPr="00B4711B">
        <w:t>Prevailing estimates</w:t>
      </w:r>
      <w:bookmarkEnd w:id="232"/>
      <w:bookmarkEnd w:id="233"/>
      <w:bookmarkEnd w:id="234"/>
      <w:bookmarkEnd w:id="235"/>
      <w:r w:rsidRPr="00B4711B">
        <w:t xml:space="preserve"> </w:t>
      </w:r>
    </w:p>
    <w:p w:rsidR="009F0858" w:rsidRPr="00B4711B" w:rsidRDefault="009F0858" w:rsidP="009F0858">
      <w:r w:rsidRPr="00B4711B">
        <w:t xml:space="preserve">Results in </w:t>
      </w:r>
      <w:r>
        <w:fldChar w:fldCharType="begin"/>
      </w:r>
      <w:r>
        <w:instrText xml:space="preserve"> REF _Ref445384078 \h </w:instrText>
      </w:r>
      <w:r>
        <w:fldChar w:fldCharType="separate"/>
      </w:r>
      <w:r w:rsidR="002C24D6" w:rsidRPr="00C2709F">
        <w:t xml:space="preserve">Table </w:t>
      </w:r>
      <w:r w:rsidR="002C24D6">
        <w:rPr>
          <w:noProof/>
        </w:rPr>
        <w:t>3</w:t>
      </w:r>
      <w:r w:rsidR="002C24D6">
        <w:noBreakHyphen/>
      </w:r>
      <w:r w:rsidR="002C24D6">
        <w:rPr>
          <w:noProof/>
        </w:rPr>
        <w:t>24</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54334C">
        <w:t>April</w:t>
      </w:r>
      <w:r w:rsidR="00321540">
        <w:t xml:space="preserve"> 2017</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321540">
        <w:rPr>
          <w:rStyle w:val="AERbody"/>
        </w:rPr>
        <w:t>6.</w:t>
      </w:r>
      <w:r w:rsidR="0054334C">
        <w:rPr>
          <w:rStyle w:val="AERbody"/>
        </w:rPr>
        <w:t>53</w:t>
      </w:r>
      <w:r w:rsidRPr="00B4711B">
        <w:rPr>
          <w:rStyle w:val="AERbody"/>
        </w:rPr>
        <w:t xml:space="preserve"> to </w:t>
      </w:r>
      <w:r w:rsidR="00321540">
        <w:rPr>
          <w:rStyle w:val="AERbody"/>
        </w:rPr>
        <w:t>7.</w:t>
      </w:r>
      <w:r w:rsidR="0054334C">
        <w:rPr>
          <w:rStyle w:val="AERbody"/>
        </w:rPr>
        <w:t>80</w:t>
      </w:r>
      <w:r w:rsidRPr="00B4711B">
        <w:rPr>
          <w:rStyle w:val="AERbody"/>
        </w:rPr>
        <w:t xml:space="preserve"> per </w:t>
      </w:r>
      <w:r w:rsidRPr="00B4711B">
        <w:t>cent.</w:t>
      </w:r>
      <w:r w:rsidRPr="00890846">
        <w:t xml:space="preserve"> </w:t>
      </w:r>
    </w:p>
    <w:p w:rsidR="009F0858" w:rsidRDefault="009F0858" w:rsidP="009F0858">
      <w:pPr>
        <w:pStyle w:val="Caption"/>
      </w:pPr>
      <w:bookmarkStart w:id="236" w:name="_Ref445384078"/>
      <w:bookmarkStart w:id="237" w:name="_Ref443651296"/>
      <w:r w:rsidRPr="00C2709F">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24</w:t>
      </w:r>
      <w:r w:rsidR="002C24D6">
        <w:rPr>
          <w:noProof/>
        </w:rPr>
        <w:fldChar w:fldCharType="end"/>
      </w:r>
      <w:bookmarkEnd w:id="236"/>
      <w:r w:rsidRPr="00C2709F">
        <w:t xml:space="preserve"> </w:t>
      </w:r>
      <w:r w:rsidRPr="00C2709F">
        <w:tab/>
      </w:r>
      <w:r>
        <w:t>Market risk premium estimates under dividend growth models</w:t>
      </w:r>
      <w:r w:rsidRPr="00C2709F">
        <w:t xml:space="preserve"> (per cent)</w:t>
      </w:r>
      <w:r w:rsidRPr="00C2709F" w:rsidDel="00184676">
        <w:t xml:space="preserve"> </w:t>
      </w:r>
      <w:bookmarkEnd w:id="237"/>
    </w:p>
    <w:tbl>
      <w:tblPr>
        <w:tblStyle w:val="AERtable-text0"/>
        <w:tblW w:w="0" w:type="auto"/>
        <w:tblLook w:val="04A0" w:firstRow="1" w:lastRow="0" w:firstColumn="1" w:lastColumn="0" w:noHBand="0" w:noVBand="1"/>
      </w:tblPr>
      <w:tblGrid>
        <w:gridCol w:w="2897"/>
        <w:gridCol w:w="2898"/>
        <w:gridCol w:w="2898"/>
      </w:tblGrid>
      <w:tr w:rsidR="00054E05" w:rsidTr="00054E05">
        <w:trPr>
          <w:cnfStyle w:val="100000000000" w:firstRow="1" w:lastRow="0" w:firstColumn="0" w:lastColumn="0" w:oddVBand="0" w:evenVBand="0" w:oddHBand="0" w:evenHBand="0" w:firstRowFirstColumn="0" w:firstRowLastColumn="0" w:lastRowFirstColumn="0" w:lastRowLastColumn="0"/>
        </w:trPr>
        <w:tc>
          <w:tcPr>
            <w:tcW w:w="2897" w:type="dxa"/>
          </w:tcPr>
          <w:p w:rsidR="00054E05" w:rsidRPr="00054E05" w:rsidRDefault="00054E05" w:rsidP="00054E05">
            <w:r w:rsidRPr="00B4711B">
              <w:t xml:space="preserve">Growth rate </w:t>
            </w:r>
          </w:p>
        </w:tc>
        <w:tc>
          <w:tcPr>
            <w:tcW w:w="2898" w:type="dxa"/>
          </w:tcPr>
          <w:p w:rsidR="00054E05" w:rsidRPr="00054E05" w:rsidRDefault="00054E05" w:rsidP="00054E05">
            <w:r w:rsidRPr="00B4711B">
              <w:t>Two stage model</w:t>
            </w:r>
          </w:p>
        </w:tc>
        <w:tc>
          <w:tcPr>
            <w:tcW w:w="2898" w:type="dxa"/>
          </w:tcPr>
          <w:p w:rsidR="00054E05" w:rsidRPr="00054E05" w:rsidRDefault="00054E05" w:rsidP="00054E05">
            <w:r w:rsidRPr="00B4711B">
              <w:t>Three stage model</w:t>
            </w:r>
          </w:p>
        </w:tc>
      </w:tr>
      <w:tr w:rsidR="00054E05" w:rsidTr="00054E05">
        <w:tc>
          <w:tcPr>
            <w:tcW w:w="2897" w:type="dxa"/>
          </w:tcPr>
          <w:p w:rsidR="00054E05" w:rsidRPr="00054E05" w:rsidRDefault="00054E05" w:rsidP="00054E05">
            <w:r w:rsidRPr="001F22B0">
              <w:t>3.8</w:t>
            </w:r>
          </w:p>
        </w:tc>
        <w:tc>
          <w:tcPr>
            <w:tcW w:w="2898" w:type="dxa"/>
          </w:tcPr>
          <w:p w:rsidR="00054E05" w:rsidRPr="00054E05" w:rsidRDefault="00054E05" w:rsidP="00054E05">
            <w:r>
              <w:t>6</w:t>
            </w:r>
            <w:r w:rsidRPr="00054E05">
              <w:t>.</w:t>
            </w:r>
            <w:r w:rsidR="00E45414">
              <w:t>56</w:t>
            </w:r>
          </w:p>
        </w:tc>
        <w:tc>
          <w:tcPr>
            <w:tcW w:w="2898" w:type="dxa"/>
          </w:tcPr>
          <w:p w:rsidR="00054E05" w:rsidRPr="00054E05" w:rsidRDefault="00054E05" w:rsidP="00054E05">
            <w:r>
              <w:t>6</w:t>
            </w:r>
            <w:r w:rsidRPr="00054E05">
              <w:t>.</w:t>
            </w:r>
            <w:r w:rsidR="00E45414">
              <w:t>53</w:t>
            </w:r>
          </w:p>
        </w:tc>
      </w:tr>
      <w:tr w:rsidR="00054E05" w:rsidTr="00054E05">
        <w:trPr>
          <w:cnfStyle w:val="000000010000" w:firstRow="0" w:lastRow="0" w:firstColumn="0" w:lastColumn="0" w:oddVBand="0" w:evenVBand="0" w:oddHBand="0" w:evenHBand="1" w:firstRowFirstColumn="0" w:firstRowLastColumn="0" w:lastRowFirstColumn="0" w:lastRowLastColumn="0"/>
        </w:trPr>
        <w:tc>
          <w:tcPr>
            <w:tcW w:w="2897" w:type="dxa"/>
          </w:tcPr>
          <w:p w:rsidR="00054E05" w:rsidRPr="00054E05" w:rsidRDefault="00054E05" w:rsidP="00054E05">
            <w:r w:rsidRPr="001F22B0">
              <w:t>4.6</w:t>
            </w:r>
          </w:p>
        </w:tc>
        <w:tc>
          <w:tcPr>
            <w:tcW w:w="2898" w:type="dxa"/>
          </w:tcPr>
          <w:p w:rsidR="00054E05" w:rsidRPr="00054E05" w:rsidRDefault="00054E05" w:rsidP="00054E05">
            <w:r>
              <w:t>7</w:t>
            </w:r>
            <w:r w:rsidRPr="00054E05">
              <w:t>.</w:t>
            </w:r>
            <w:r w:rsidR="00E45414">
              <w:t>33</w:t>
            </w:r>
          </w:p>
        </w:tc>
        <w:tc>
          <w:tcPr>
            <w:tcW w:w="2898" w:type="dxa"/>
          </w:tcPr>
          <w:p w:rsidR="00054E05" w:rsidRPr="00054E05" w:rsidRDefault="00054E05" w:rsidP="00054E05">
            <w:r>
              <w:t>7</w:t>
            </w:r>
            <w:r w:rsidRPr="00054E05">
              <w:t>.</w:t>
            </w:r>
            <w:r w:rsidR="00E45414">
              <w:t>17</w:t>
            </w:r>
          </w:p>
        </w:tc>
      </w:tr>
      <w:tr w:rsidR="00054E05" w:rsidTr="00054E05">
        <w:tc>
          <w:tcPr>
            <w:tcW w:w="2897" w:type="dxa"/>
          </w:tcPr>
          <w:p w:rsidR="00054E05" w:rsidRPr="00054E05" w:rsidRDefault="00054E05" w:rsidP="00054E05">
            <w:r w:rsidRPr="001F22B0">
              <w:t>5.1</w:t>
            </w:r>
          </w:p>
        </w:tc>
        <w:tc>
          <w:tcPr>
            <w:tcW w:w="2898" w:type="dxa"/>
          </w:tcPr>
          <w:p w:rsidR="00054E05" w:rsidRPr="00054E05" w:rsidRDefault="00054E05" w:rsidP="00054E05">
            <w:r>
              <w:t>7</w:t>
            </w:r>
            <w:r w:rsidRPr="00054E05">
              <w:t>.</w:t>
            </w:r>
            <w:r w:rsidR="00E45414">
              <w:t>80</w:t>
            </w:r>
          </w:p>
        </w:tc>
        <w:tc>
          <w:tcPr>
            <w:tcW w:w="2898" w:type="dxa"/>
          </w:tcPr>
          <w:p w:rsidR="00054E05" w:rsidRPr="00054E05" w:rsidRDefault="00054E05" w:rsidP="00054E05">
            <w:r>
              <w:t>7</w:t>
            </w:r>
            <w:r w:rsidRPr="00054E05">
              <w:t>.5</w:t>
            </w:r>
            <w:r w:rsidR="00E45414">
              <w:t>7</w:t>
            </w:r>
          </w:p>
        </w:tc>
      </w:tr>
    </w:tbl>
    <w:p w:rsidR="009F0858" w:rsidRPr="00B4711B" w:rsidRDefault="009F0858" w:rsidP="009F0858">
      <w:pPr>
        <w:pStyle w:val="AERtablesource"/>
      </w:pPr>
      <w:r w:rsidRPr="00B4711B">
        <w:t xml:space="preserve">Source: </w:t>
      </w:r>
      <w:r w:rsidRPr="00B4711B">
        <w:tab/>
        <w:t>Bloomberg, AER analysis.</w:t>
      </w:r>
      <w:r w:rsidRPr="00B4711B">
        <w:tab/>
      </w:r>
    </w:p>
    <w:p w:rsidR="009F0858" w:rsidRPr="00B4711B" w:rsidRDefault="009F0858" w:rsidP="009F0858">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w:t>
      </w:r>
      <w:r w:rsidR="00A16CC8">
        <w:t>AusNet Services</w:t>
      </w:r>
      <w:r w:rsidR="00054E05">
        <w:t>'</w:t>
      </w:r>
      <w:r>
        <w:t xml:space="preserve"> 2016-20 distribution determination</w:t>
      </w:r>
      <w:r w:rsidRPr="00B4711B">
        <w:t>. Market risk premium estimates are based on an assumed theta of 0.6, and a 2 month average (</w:t>
      </w:r>
      <w:r w:rsidR="00E45414">
        <w:t>March</w:t>
      </w:r>
      <w:r w:rsidR="00054E05">
        <w:t xml:space="preserve"> - </w:t>
      </w:r>
      <w:r w:rsidR="00E45414">
        <w:t>April</w:t>
      </w:r>
      <w:r w:rsidR="00054E05">
        <w:t xml:space="preserve"> 2017</w:t>
      </w:r>
      <w:r w:rsidRPr="00B4711B">
        <w:t>) of analysts' dividend forecasts.</w:t>
      </w:r>
    </w:p>
    <w:p w:rsidR="009F0858" w:rsidRPr="009F0858" w:rsidRDefault="009F0858" w:rsidP="00A164C0"/>
    <w:p w:rsidR="009F0858" w:rsidRDefault="009F0858" w:rsidP="009F0858">
      <w:pPr>
        <w:pStyle w:val="Heading8"/>
      </w:pPr>
      <w:bookmarkStart w:id="238" w:name="_Ref443651537"/>
      <w:bookmarkStart w:id="239" w:name="_Toc443923205"/>
      <w:bookmarkStart w:id="240" w:name="_Toc451938983"/>
      <w:bookmarkStart w:id="241" w:name="_Toc456686731"/>
      <w:bookmarkStart w:id="242" w:name="_Toc487037165"/>
      <w:r w:rsidRPr="00B4711B">
        <w:t>Sensitivity analysis</w:t>
      </w:r>
      <w:bookmarkEnd w:id="238"/>
      <w:bookmarkEnd w:id="239"/>
      <w:bookmarkEnd w:id="240"/>
      <w:bookmarkEnd w:id="241"/>
      <w:bookmarkEnd w:id="242"/>
    </w:p>
    <w:p w:rsidR="009F0858" w:rsidRPr="00B4711B" w:rsidRDefault="009F0858" w:rsidP="00CC7A1C">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F0858" w:rsidRPr="00B4711B" w:rsidRDefault="009F0858" w:rsidP="009F0858">
      <w:pPr>
        <w:pStyle w:val="AERbulletlistfirststyle"/>
      </w:pPr>
      <w:r>
        <w:t>L</w:t>
      </w:r>
      <w:r w:rsidRPr="00B4711B">
        <w:t>ong term dividend growth rate</w:t>
      </w:r>
      <w:r>
        <w:t>.</w:t>
      </w:r>
      <w:r w:rsidRPr="00B4711B">
        <w:t xml:space="preserve"> </w:t>
      </w:r>
    </w:p>
    <w:p w:rsidR="009F0858" w:rsidRPr="00B4711B" w:rsidRDefault="009F0858" w:rsidP="009F0858">
      <w:pPr>
        <w:pStyle w:val="AERbulletlistfirststyle"/>
      </w:pPr>
      <w:r>
        <w:t>P</w:t>
      </w:r>
      <w:r w:rsidRPr="00B4711B">
        <w:t>eriod estimates are averaged over</w:t>
      </w:r>
      <w:r>
        <w:t>.</w:t>
      </w:r>
    </w:p>
    <w:p w:rsidR="009F0858" w:rsidRPr="00B4711B" w:rsidRDefault="009F0858" w:rsidP="009F0858">
      <w:pPr>
        <w:pStyle w:val="AERbulletlistfirststyle"/>
      </w:pPr>
      <w:r>
        <w:t>U</w:t>
      </w:r>
      <w:r w:rsidRPr="00B4711B">
        <w:t>se of analyst forecasts, which are likely to be biased.</w:t>
      </w:r>
    </w:p>
    <w:p w:rsidR="009F0858" w:rsidRPr="00B4711B" w:rsidRDefault="009F0858" w:rsidP="009F0858">
      <w:r>
        <w:t>For further discussion of these issues see se</w:t>
      </w:r>
      <w:r w:rsidRPr="00B4711B">
        <w:t>ction</w:t>
      </w:r>
      <w:r>
        <w:t xml:space="preserve"> </w:t>
      </w:r>
      <w:r>
        <w:fldChar w:fldCharType="begin"/>
      </w:r>
      <w:r>
        <w:instrText xml:space="preserve"> REF _Ref446260197 \r \h </w:instrText>
      </w:r>
      <w:r>
        <w:fldChar w:fldCharType="separate"/>
      </w:r>
      <w:r w:rsidR="002C24D6">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2C24D6" w:rsidRPr="00C2709F">
        <w:t xml:space="preserve">Table </w:t>
      </w:r>
      <w:r w:rsidR="002C24D6">
        <w:rPr>
          <w:noProof/>
        </w:rPr>
        <w:t>3</w:t>
      </w:r>
      <w:r w:rsidR="002C24D6">
        <w:noBreakHyphen/>
      </w:r>
      <w:r w:rsidR="002C24D6">
        <w:rPr>
          <w:noProof/>
        </w:rPr>
        <w:t>25</w:t>
      </w:r>
      <w:r>
        <w:fldChar w:fldCharType="end"/>
      </w:r>
      <w:r w:rsidRPr="00B4711B">
        <w:t xml:space="preserve">. </w:t>
      </w:r>
    </w:p>
    <w:p w:rsidR="009F0858" w:rsidRPr="00DB0499" w:rsidRDefault="009F0858" w:rsidP="009F0858">
      <w:pPr>
        <w:pStyle w:val="Caption"/>
      </w:pPr>
      <w:bookmarkStart w:id="243" w:name="_Ref445384013"/>
      <w:bookmarkStart w:id="244" w:name="_Ref443651335"/>
      <w:r w:rsidRPr="00C2709F">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25</w:t>
      </w:r>
      <w:r w:rsidR="002C24D6">
        <w:rPr>
          <w:noProof/>
        </w:rPr>
        <w:fldChar w:fldCharType="end"/>
      </w:r>
      <w:bookmarkEnd w:id="243"/>
      <w:r w:rsidRPr="00C2709F">
        <w:t xml:space="preserve"> </w:t>
      </w:r>
      <w:r w:rsidRPr="00C2709F">
        <w:tab/>
      </w:r>
      <w:r>
        <w:t>Sensitivities in the dividend growth model</w:t>
      </w:r>
      <w:r w:rsidRPr="00C2709F">
        <w:t xml:space="preserve"> (per cent)</w:t>
      </w:r>
      <w:r w:rsidRPr="00C2709F" w:rsidDel="00184676">
        <w:t xml:space="preserve"> </w:t>
      </w:r>
      <w:bookmarkEnd w:id="244"/>
    </w:p>
    <w:tbl>
      <w:tblPr>
        <w:tblStyle w:val="AERtable-numbers"/>
        <w:tblW w:w="5000" w:type="pct"/>
        <w:tblLook w:val="04A0" w:firstRow="1" w:lastRow="0" w:firstColumn="1" w:lastColumn="0" w:noHBand="0" w:noVBand="1"/>
      </w:tblPr>
      <w:tblGrid>
        <w:gridCol w:w="4236"/>
        <w:gridCol w:w="1866"/>
        <w:gridCol w:w="2591"/>
      </w:tblGrid>
      <w:tr w:rsidR="00054E05" w:rsidTr="00A23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054E05" w:rsidRPr="00054E05" w:rsidRDefault="00054E05" w:rsidP="00054E05">
            <w:r w:rsidRPr="00B4711B">
              <w:t>Sensitivity</w:t>
            </w:r>
          </w:p>
        </w:tc>
        <w:tc>
          <w:tcPr>
            <w:tcW w:w="1073"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Baseline</w:t>
            </w:r>
          </w:p>
          <w:p w:rsidR="00054E05" w:rsidRPr="00054E05" w:rsidRDefault="00054E05" w:rsidP="00054E05">
            <w:r w:rsidRPr="00B4711B">
              <w:tab/>
              <w:t xml:space="preserve">4.6% long-term growth rate </w:t>
            </w:r>
          </w:p>
          <w:p w:rsidR="00054E05" w:rsidRPr="00054E05" w:rsidRDefault="00054E05" w:rsidP="00054E05">
            <w:r w:rsidRPr="00B4711B">
              <w:tab/>
            </w:r>
            <w:r w:rsidRPr="00054E05">
              <w:t>2 month average to end March 2017</w:t>
            </w:r>
          </w:p>
          <w:p w:rsidR="00054E05" w:rsidRPr="00054E05" w:rsidRDefault="00054E05" w:rsidP="00054E05">
            <w:r w:rsidRPr="00B4711B">
              <w:tab/>
              <w:t>unadjusted analysts' forecasts</w:t>
            </w:r>
          </w:p>
        </w:tc>
        <w:tc>
          <w:tcPr>
            <w:tcW w:w="1073" w:type="pct"/>
            <w:tcBorders>
              <w:top w:val="nil"/>
              <w:left w:val="nil"/>
              <w:bottom w:val="single" w:sz="4" w:space="0" w:color="365F91"/>
              <w:right w:val="nil"/>
            </w:tcBorders>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7.33</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.1</w:t>
            </w:r>
            <w:r w:rsidR="00E45414">
              <w:t>7</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054E05" w:rsidRPr="00054E05" w:rsidRDefault="00054E05" w:rsidP="00054E05">
            <w:r w:rsidRPr="00B4711B">
              <w:t xml:space="preserve">5.1% long-term growth </w:t>
            </w:r>
            <w:r w:rsidRPr="00054E05">
              <w:t>rate</w:t>
            </w:r>
          </w:p>
        </w:tc>
        <w:tc>
          <w:tcPr>
            <w:tcW w:w="1073"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w:t>
            </w:r>
            <w:r w:rsidR="00E45414">
              <w:t>80</w:t>
            </w:r>
          </w:p>
        </w:tc>
        <w:tc>
          <w:tcPr>
            <w:tcW w:w="1490"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.5</w:t>
            </w:r>
            <w:r w:rsidR="00E45414">
              <w:t>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054E05" w:rsidRPr="00054E05" w:rsidRDefault="00054E05" w:rsidP="00054E05">
            <w:r w:rsidRPr="00B4711B">
              <w:t>3.78% long-term growth rate</w:t>
            </w:r>
          </w:p>
        </w:tc>
        <w:tc>
          <w:tcPr>
            <w:tcW w:w="1073" w:type="pct"/>
            <w:tcBorders>
              <w:top w:val="nil"/>
              <w:left w:val="nil"/>
              <w:bottom w:val="single" w:sz="4" w:space="0" w:color="365F91"/>
              <w:right w:val="nil"/>
            </w:tcBorders>
          </w:tcPr>
          <w:p w:rsidR="00054E05" w:rsidRPr="00054E05" w:rsidRDefault="00054E05" w:rsidP="00E45414">
            <w:pPr>
              <w:cnfStyle w:val="000000000000" w:firstRow="0" w:lastRow="0" w:firstColumn="0" w:lastColumn="0" w:oddVBand="0" w:evenVBand="0" w:oddHBand="0" w:evenHBand="0" w:firstRowFirstColumn="0" w:firstRowLastColumn="0" w:lastRowFirstColumn="0" w:lastRowLastColumn="0"/>
            </w:pPr>
            <w:r>
              <w:t>6</w:t>
            </w:r>
            <w:r w:rsidRPr="00054E05">
              <w:t>.</w:t>
            </w:r>
            <w:r w:rsidR="00E45414">
              <w:t>56</w:t>
            </w:r>
          </w:p>
        </w:tc>
        <w:tc>
          <w:tcPr>
            <w:tcW w:w="1490" w:type="pct"/>
            <w:tcBorders>
              <w:top w:val="nil"/>
              <w:left w:val="nil"/>
              <w:bottom w:val="single" w:sz="4" w:space="0" w:color="365F91"/>
              <w:right w:val="nil"/>
            </w:tcBorders>
          </w:tcPr>
          <w:p w:rsidR="00054E05" w:rsidRPr="00054E05" w:rsidRDefault="00054E05" w:rsidP="00E45414">
            <w:pPr>
              <w:cnfStyle w:val="000000000000" w:firstRow="0" w:lastRow="0" w:firstColumn="0" w:lastColumn="0" w:oddVBand="0" w:evenVBand="0" w:oddHBand="0" w:evenHBand="0" w:firstRowFirstColumn="0" w:firstRowLastColumn="0" w:lastRowFirstColumn="0" w:lastRowLastColumn="0"/>
            </w:pPr>
            <w:r>
              <w:t>6</w:t>
            </w:r>
            <w:r w:rsidRPr="00054E05">
              <w:t>.</w:t>
            </w:r>
            <w:r w:rsidR="00E45414">
              <w:t>53</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054E05" w:rsidRPr="00054E05" w:rsidRDefault="00054E05" w:rsidP="00E45414">
            <w:r w:rsidRPr="00B4711B">
              <w:t xml:space="preserve">6 months to end </w:t>
            </w:r>
            <w:r w:rsidR="00E45414">
              <w:t>April</w:t>
            </w:r>
            <w:r w:rsidR="00E45414" w:rsidRPr="00054E05">
              <w:t xml:space="preserve"> </w:t>
            </w:r>
            <w:r w:rsidRPr="00054E05">
              <w:t>2017</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7.42</w:t>
            </w:r>
          </w:p>
        </w:tc>
        <w:tc>
          <w:tcPr>
            <w:tcW w:w="1490"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7.40</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E45414">
            <w:r w:rsidRPr="00B4711B">
              <w:t xml:space="preserve">12 months to end </w:t>
            </w:r>
            <w:r w:rsidR="00E45414">
              <w:t>April</w:t>
            </w:r>
            <w:r w:rsidR="00E45414" w:rsidRPr="00054E05">
              <w:t xml:space="preserve"> </w:t>
            </w:r>
            <w:r w:rsidRPr="00054E05">
              <w:t>2017</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.8</w:t>
            </w:r>
            <w:r w:rsidR="00E45414">
              <w:t>3</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w:t>
            </w:r>
            <w:r w:rsidR="00E45414">
              <w:t>89</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Analysts' </w:t>
            </w:r>
            <w:r w:rsidRPr="00054E05">
              <w:t>forecast  + 10%</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7.89</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w:t>
            </w:r>
            <w:r w:rsidR="00E45414">
              <w:t>57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Analysts' forecast  - 10%</w:t>
            </w:r>
          </w:p>
        </w:tc>
        <w:tc>
          <w:tcPr>
            <w:tcW w:w="1073" w:type="pct"/>
            <w:tcBorders>
              <w:top w:val="nil"/>
              <w:left w:val="nil"/>
              <w:bottom w:val="single" w:sz="4" w:space="0" w:color="365F91"/>
              <w:right w:val="nil"/>
            </w:tcBorders>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6.78</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.6</w:t>
            </w:r>
            <w:r w:rsidR="00E45414">
              <w:t>3</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Combined - </w:t>
            </w:r>
            <w:r w:rsidRPr="00054E05">
              <w:t>low</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6.00</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5.9</w:t>
            </w:r>
            <w:r w:rsidR="00E45414">
              <w:t>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Combined - high</w:t>
            </w:r>
          </w:p>
        </w:tc>
        <w:tc>
          <w:tcPr>
            <w:tcW w:w="1073" w:type="pct"/>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8</w:t>
            </w:r>
            <w:r w:rsidRPr="00054E05">
              <w:t>.</w:t>
            </w:r>
            <w:r w:rsidR="00E45414">
              <w:t>88</w:t>
            </w:r>
          </w:p>
        </w:tc>
        <w:tc>
          <w:tcPr>
            <w:tcW w:w="1490" w:type="pct"/>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8.86</w:t>
            </w:r>
          </w:p>
        </w:tc>
      </w:tr>
    </w:tbl>
    <w:p w:rsidR="00054E05" w:rsidRPr="00B4711B" w:rsidRDefault="00054E05" w:rsidP="00054E05">
      <w:pPr>
        <w:pStyle w:val="AERtablesource"/>
      </w:pPr>
      <w:r w:rsidRPr="00B4711B">
        <w:t xml:space="preserve">Source: </w:t>
      </w:r>
      <w:r w:rsidRPr="00B4711B">
        <w:tab/>
        <w:t>Bloomberg, AER analysis.</w:t>
      </w:r>
    </w:p>
    <w:p w:rsidR="00054E05" w:rsidRPr="00B4711B" w:rsidRDefault="00054E05" w:rsidP="00054E05">
      <w:pPr>
        <w:pStyle w:val="AERtablesource"/>
      </w:pPr>
      <w:r w:rsidRPr="00B4711B">
        <w:t>Notes:</w:t>
      </w:r>
      <w:r w:rsidRPr="00B4711B">
        <w:tab/>
        <w:t>All market risk premium estimates are based on an assumed theta of 0.6.</w:t>
      </w:r>
    </w:p>
    <w:p w:rsidR="00054E05" w:rsidRPr="00B4711B" w:rsidRDefault="00054E05" w:rsidP="00054E05">
      <w:pPr>
        <w:pStyle w:val="AERtablesource"/>
      </w:pPr>
      <w:r w:rsidRPr="00B4711B">
        <w:tab/>
        <w:t>Combined -</w:t>
      </w:r>
      <w:r>
        <w:t xml:space="preserve"> low is based on 3.78% growth, 2</w:t>
      </w:r>
      <w:r w:rsidRPr="00B4711B">
        <w:t xml:space="preserve"> month averaging, analysts' forecasts - 10%.</w:t>
      </w:r>
    </w:p>
    <w:p w:rsidR="00054E05" w:rsidRPr="00054E05" w:rsidRDefault="00054E05" w:rsidP="00054E05">
      <w:pPr>
        <w:pStyle w:val="AERtablesource"/>
      </w:pPr>
      <w:r w:rsidRPr="00B4711B">
        <w:tab/>
        <w:t xml:space="preserve">Combined - high is based on 5.1% growth, </w:t>
      </w:r>
      <w:r>
        <w:t>1</w:t>
      </w:r>
      <w:r w:rsidRPr="00B4711B">
        <w:t>2 month averaging, analysts' forecasts + 10%.</w:t>
      </w:r>
    </w:p>
    <w:p w:rsidR="009F0858" w:rsidRPr="0046661C" w:rsidRDefault="009F0858" w:rsidP="009F0858">
      <w:pPr>
        <w:pStyle w:val="TOC1"/>
      </w:pPr>
      <w:r>
        <w:t>Long-term</w:t>
      </w:r>
      <w:r w:rsidRPr="0046661C">
        <w:t xml:space="preserve"> dividend</w:t>
      </w:r>
      <w:r>
        <w:t xml:space="preserve"> growth rate</w:t>
      </w:r>
      <w:r w:rsidRPr="0046661C">
        <w:t xml:space="preserve">  </w:t>
      </w:r>
    </w:p>
    <w:p w:rsidR="009F0858" w:rsidRDefault="009F0858" w:rsidP="009F0858">
      <w:r w:rsidRPr="00B4711B">
        <w:t xml:space="preserve">We </w:t>
      </w:r>
      <w:r>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1000"/>
      </w:r>
      <w:r w:rsidRPr="00B4711B">
        <w:t xml:space="preserve"> </w:t>
      </w:r>
      <w:r>
        <w:t xml:space="preserve">While </w:t>
      </w:r>
      <w:r w:rsidRPr="00B4711B">
        <w:t xml:space="preserve">the top of Lally's range </w:t>
      </w:r>
      <w:r>
        <w:t xml:space="preserve">is </w:t>
      </w:r>
      <w:r w:rsidRPr="00B4711B">
        <w:t>5.1</w:t>
      </w:r>
      <w:r>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1001"/>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1002"/>
      </w:r>
    </w:p>
    <w:p w:rsidR="009F0858" w:rsidRPr="00B4711B" w:rsidRDefault="009F0858" w:rsidP="009F0858">
      <w:r w:rsidRPr="00B4711B">
        <w:t xml:space="preserve">We have not changed our approach set out in the Guideline. We do not adopt a lower long term dividend growth rate. </w:t>
      </w:r>
    </w:p>
    <w:p w:rsidR="009F0858" w:rsidRPr="0046661C" w:rsidRDefault="009F0858" w:rsidP="00CC7A1C">
      <w:pPr>
        <w:pStyle w:val="TOC1"/>
        <w:numPr>
          <w:ilvl w:val="0"/>
          <w:numId w:val="24"/>
        </w:numPr>
      </w:pPr>
      <w:r>
        <w:t>Averaging period</w:t>
      </w:r>
    </w:p>
    <w:p w:rsidR="009F0858" w:rsidRPr="00B4711B" w:rsidRDefault="009F0858" w:rsidP="00CC7A1C">
      <w:pPr>
        <w:numPr>
          <w:ilvl w:val="0"/>
          <w:numId w:val="24"/>
        </w:numPr>
      </w:pPr>
      <w:r w:rsidRPr="00B4711B">
        <w:t xml:space="preserve">We based our </w:t>
      </w:r>
      <w:r>
        <w:t>dividend growth model</w:t>
      </w:r>
      <w:r w:rsidRPr="00B4711B">
        <w:t xml:space="preserve"> estimate on data over </w:t>
      </w:r>
      <w:r w:rsidR="00321540">
        <w:t>the February and March 2017</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F0858" w:rsidRPr="00B4711B" w:rsidRDefault="009F0858" w:rsidP="00CC7A1C">
      <w:pPr>
        <w:numPr>
          <w:ilvl w:val="0"/>
          <w:numId w:val="24"/>
        </w:numPr>
      </w:pPr>
      <w:r w:rsidRPr="00B4711B">
        <w:t>As seen in</w:t>
      </w:r>
      <w:r>
        <w:t xml:space="preserve"> </w:t>
      </w:r>
      <w:r>
        <w:fldChar w:fldCharType="begin"/>
      </w:r>
      <w:r>
        <w:instrText xml:space="preserve"> REF _Ref445384013 \h </w:instrText>
      </w:r>
      <w:r>
        <w:fldChar w:fldCharType="separate"/>
      </w:r>
      <w:r w:rsidR="002C24D6" w:rsidRPr="00C2709F">
        <w:t xml:space="preserve">Table </w:t>
      </w:r>
      <w:r w:rsidR="002C24D6">
        <w:rPr>
          <w:noProof/>
        </w:rPr>
        <w:t>3</w:t>
      </w:r>
      <w:r w:rsidR="002C24D6">
        <w:noBreakHyphen/>
      </w:r>
      <w:r w:rsidR="002C24D6">
        <w:rPr>
          <w:noProof/>
        </w:rPr>
        <w:t>25</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1003"/>
      </w:r>
      <w:r w:rsidRPr="00B4711B">
        <w:t xml:space="preserve"> Having regard to McKenzie and Partington's advice, we also consider a 12 month averaging period.</w:t>
      </w:r>
      <w:r>
        <w:rPr>
          <w:rStyle w:val="FootnoteReference"/>
        </w:rPr>
        <w:footnoteReference w:id="1004"/>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1005"/>
      </w:r>
      <w:r w:rsidRPr="00B4711B">
        <w:t xml:space="preserve"> </w:t>
      </w:r>
      <w:r>
        <w:t>Partington and Satchell continue to note this limitation in their latest advice.</w:t>
      </w:r>
      <w:r>
        <w:rPr>
          <w:rStyle w:val="FootnoteReference"/>
        </w:rPr>
        <w:footnoteReference w:id="1006"/>
      </w:r>
    </w:p>
    <w:p w:rsidR="009F0858" w:rsidRPr="00B4711B" w:rsidRDefault="009F0858" w:rsidP="00CC7A1C">
      <w:pPr>
        <w:numPr>
          <w:ilvl w:val="0"/>
          <w:numId w:val="24"/>
        </w:numPr>
      </w:pPr>
      <w:r w:rsidRPr="00B4711B">
        <w:t xml:space="preserve">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9F0858" w:rsidRDefault="009F0858" w:rsidP="009F0858">
      <w:pPr>
        <w:pStyle w:val="Heading8"/>
      </w:pPr>
      <w:bookmarkStart w:id="245" w:name="_Ref448787515"/>
      <w:bookmarkStart w:id="246" w:name="_Toc451938984"/>
      <w:bookmarkStart w:id="247" w:name="_Toc456686732"/>
      <w:bookmarkStart w:id="248" w:name="_Toc487037166"/>
      <w:r w:rsidRPr="00B4711B">
        <w:t>Preferred construction of the dividend growth model</w:t>
      </w:r>
      <w:bookmarkEnd w:id="245"/>
      <w:bookmarkEnd w:id="246"/>
      <w:bookmarkEnd w:id="247"/>
      <w:bookmarkEnd w:id="248"/>
    </w:p>
    <w:p w:rsidR="009F0858" w:rsidRPr="00B4711B" w:rsidRDefault="009F0858" w:rsidP="009F0858">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1007"/>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F0858" w:rsidRPr="00B4711B" w:rsidRDefault="002C24D6" w:rsidP="009F085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F0858" w:rsidRPr="00B4711B" w:rsidRDefault="009F0858" w:rsidP="009F0858">
      <w:pPr>
        <w:pStyle w:val="AERtablesource"/>
      </w:pPr>
      <w:r w:rsidRPr="00B4711B">
        <w:t>Where:</w:t>
      </w:r>
      <w:r w:rsidRPr="00B4711B">
        <w:tab/>
        <w:t>Pc is the current price of equity, for which we use the S&amp;P/ASX 200 index as the proxy</w:t>
      </w:r>
    </w:p>
    <w:p w:rsidR="009F0858" w:rsidRPr="00B4711B" w:rsidRDefault="009F0858" w:rsidP="009F0858">
      <w:pPr>
        <w:pStyle w:val="AERtablesource"/>
      </w:pPr>
      <w:r w:rsidRPr="00B4711B">
        <w:tab/>
        <w:t>E(Dc) is expected dividends per share for the current financial year</w:t>
      </w:r>
      <w:r w:rsidRPr="00B4711B">
        <w:rPr>
          <w:rStyle w:val="FootnoteReference"/>
        </w:rPr>
        <w:footnoteReference w:id="1008"/>
      </w:r>
    </w:p>
    <w:p w:rsidR="009F0858" w:rsidRPr="00B4711B" w:rsidRDefault="009F0858" w:rsidP="009F0858">
      <w:pPr>
        <w:pStyle w:val="AERtablesource"/>
      </w:pPr>
      <w:r w:rsidRPr="00B4711B">
        <w:tab/>
        <w:t>E(Dt) is expected dividends per share for the financial year t years after the current financial year</w:t>
      </w:r>
    </w:p>
    <w:p w:rsidR="009F0858" w:rsidRPr="00B4711B" w:rsidRDefault="009F0858" w:rsidP="009F0858">
      <w:pPr>
        <w:pStyle w:val="AERtablesource"/>
      </w:pPr>
      <w:r w:rsidRPr="00B4711B">
        <w:tab/>
        <w:t>m is the fraction of the current financial year remaining, expressed as a decimal point</w:t>
      </w:r>
    </w:p>
    <w:p w:rsidR="009F0858" w:rsidRPr="00B4711B" w:rsidRDefault="009F0858" w:rsidP="009F0858">
      <w:pPr>
        <w:pStyle w:val="AERtablesource"/>
      </w:pPr>
      <w:r w:rsidRPr="00B4711B">
        <w:tab/>
        <w:t>N is the time period after which dividend growth reverts to its long-term rate (for the two stage model, N = 2, for the three stage model N = 9)</w:t>
      </w:r>
    </w:p>
    <w:p w:rsidR="009F0858" w:rsidRPr="00B4711B" w:rsidRDefault="009F0858" w:rsidP="009F0858">
      <w:pPr>
        <w:pStyle w:val="AERtablesource"/>
      </w:pPr>
      <w:r w:rsidRPr="00B4711B">
        <w:tab/>
        <w:t xml:space="preserve">g is the expected long term growth rate in nominal dividends per share. For this parameter, we use a range of 4.0 to 5.1 per cent, with a point estimate of 4.6 per cent. </w:t>
      </w:r>
    </w:p>
    <w:p w:rsidR="009F0858" w:rsidRPr="00B4711B" w:rsidRDefault="009F0858" w:rsidP="00CC7A1C">
      <w:pPr>
        <w:numPr>
          <w:ilvl w:val="0"/>
          <w:numId w:val="24"/>
        </w:numPr>
      </w:pPr>
      <w:r w:rsidRPr="00B4711B">
        <w:t xml:space="preserve">We adopt two versions of a simple standard </w:t>
      </w:r>
      <w:r>
        <w:t>dividend growth model</w:t>
      </w:r>
      <w:r w:rsidRPr="00B4711B">
        <w:t>:</w:t>
      </w:r>
    </w:p>
    <w:p w:rsidR="009F0858" w:rsidRPr="00B4711B" w:rsidRDefault="009F0858" w:rsidP="009F0858">
      <w:pPr>
        <w:pStyle w:val="AERbulletlistfirststyle"/>
      </w:pPr>
      <w:r w:rsidRPr="00B4711B">
        <w:t xml:space="preserve">A two stage </w:t>
      </w:r>
      <w:r>
        <w:t>model</w:t>
      </w:r>
      <w:r w:rsidRPr="00B4711B">
        <w:t>, which assumes that dividends grow at the long term growth rate following the dividend forecast period.</w:t>
      </w:r>
    </w:p>
    <w:p w:rsidR="009F0858" w:rsidRPr="00B4711B" w:rsidRDefault="009F0858" w:rsidP="009F0858">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9F0858" w:rsidRPr="00B4711B" w:rsidRDefault="009F0858" w:rsidP="009F0858">
      <w:r w:rsidRPr="00B4711B">
        <w:t xml:space="preserve">Our </w:t>
      </w:r>
      <w:r>
        <w:t>dividend growth models</w:t>
      </w:r>
      <w:r w:rsidRPr="00B4711B">
        <w:t xml:space="preserve"> also display the following characteristics:</w:t>
      </w:r>
    </w:p>
    <w:p w:rsidR="009F0858" w:rsidRPr="00B4711B" w:rsidRDefault="009F0858" w:rsidP="009F0858">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of the daily data.</w:t>
      </w:r>
    </w:p>
    <w:p w:rsidR="009F0858" w:rsidRPr="00B4711B" w:rsidRDefault="009F0858" w:rsidP="009F0858">
      <w:pPr>
        <w:pStyle w:val="AERbulletlistfirststyle"/>
      </w:pPr>
      <w:r w:rsidRPr="00B4711B">
        <w:t xml:space="preserve">They </w:t>
      </w:r>
      <w:r>
        <w:t>use market prices for the ASX 200</w:t>
      </w:r>
      <w:r>
        <w:rPr>
          <w:rStyle w:val="FootnoteReference"/>
        </w:rPr>
        <w:footnoteReference w:id="1009"/>
      </w:r>
      <w:r w:rsidRPr="00B4711B">
        <w:t>.</w:t>
      </w:r>
    </w:p>
    <w:p w:rsidR="009F0858" w:rsidRPr="00B4711B" w:rsidRDefault="009F0858" w:rsidP="009F0858">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1010"/>
      </w:r>
    </w:p>
    <w:p w:rsidR="009F0858" w:rsidRPr="00B4711B" w:rsidRDefault="009F0858" w:rsidP="009F0858">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1011"/>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1012"/>
      </w:r>
      <w:r w:rsidRPr="00B4711B">
        <w:t xml:space="preserve"> which have not persuaded us to depart.</w:t>
      </w:r>
      <w:r w:rsidRPr="00B4711B">
        <w:rPr>
          <w:rStyle w:val="FootnoteReference"/>
        </w:rPr>
        <w:footnoteReference w:id="1013"/>
      </w:r>
      <w:r w:rsidRPr="00B4711B">
        <w:t xml:space="preserve"> Further, experts have critically reviewed</w:t>
      </w:r>
      <w:r w:rsidRPr="00B4711B">
        <w:rPr>
          <w:rStyle w:val="FootnoteReference"/>
        </w:rPr>
        <w:footnoteReference w:id="1014"/>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1015"/>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our preliminary decision on AusNet Services' 2016-20 distribution determination.</w:t>
      </w:r>
    </w:p>
    <w:p w:rsidR="009F0858" w:rsidRDefault="009F0858" w:rsidP="009F0858">
      <w:r>
        <w:t>We note that AusNet Services used the AER's construction of the dividend growth model</w:t>
      </w:r>
      <w:r>
        <w:rPr>
          <w:rStyle w:val="FootnoteReference"/>
        </w:rPr>
        <w:footnoteReference w:id="1016"/>
      </w:r>
      <w:r>
        <w:t xml:space="preserve"> in its multi-model approach to estimating its proposed market risk premium.</w:t>
      </w:r>
      <w:r>
        <w:rPr>
          <w:rStyle w:val="FootnoteReference"/>
        </w:rPr>
        <w:footnoteReference w:id="1017"/>
      </w:r>
      <w:r>
        <w:t xml:space="preserve"> We observe a similar approach in AusNet Services’ revised revenue proposal for its transmission services where it uses the AER’s construction of the 3-stage model modified to set the theta to 0.</w:t>
      </w:r>
      <w:r w:rsidR="005B313B">
        <w:t>3</w:t>
      </w:r>
      <w:r>
        <w:t>5 and no downward adjustment to the long-run GDP growth.</w:t>
      </w:r>
      <w:r>
        <w:rPr>
          <w:rStyle w:val="FootnoteReference"/>
        </w:rPr>
        <w:footnoteReference w:id="1018"/>
      </w:r>
    </w:p>
    <w:p w:rsidR="009F0858" w:rsidRPr="009F0858" w:rsidRDefault="009F0858" w:rsidP="00A164C0">
      <w:r>
        <w:t xml:space="preserve">Service providers have in the past proposed the use of SFG's dividend growth model. </w:t>
      </w:r>
    </w:p>
    <w:p w:rsidR="009F0858" w:rsidRPr="00B4711B" w:rsidRDefault="009F0858" w:rsidP="009F0858">
      <w:pPr>
        <w:pStyle w:val="Heading8"/>
      </w:pPr>
      <w:bookmarkStart w:id="249" w:name="_Ref446260197"/>
      <w:bookmarkStart w:id="250" w:name="_Toc451938985"/>
      <w:bookmarkStart w:id="251" w:name="_Toc456686733"/>
      <w:bookmarkStart w:id="252" w:name="_Toc487037167"/>
      <w:r>
        <w:t>Sources of potential upward bias</w:t>
      </w:r>
      <w:bookmarkEnd w:id="249"/>
      <w:bookmarkEnd w:id="250"/>
      <w:bookmarkEnd w:id="251"/>
      <w:bookmarkEnd w:id="252"/>
    </w:p>
    <w:p w:rsidR="009F0858" w:rsidRDefault="009F0858" w:rsidP="009F0858">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1019"/>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9F0858" w:rsidRDefault="009F0858" w:rsidP="009F0858">
      <w:pPr>
        <w:pStyle w:val="TOC1"/>
      </w:pPr>
      <w:bookmarkStart w:id="253" w:name="_Toc443923219"/>
      <w:r w:rsidRPr="0046661C">
        <w:t>Slow-changing dividends</w:t>
      </w:r>
      <w:bookmarkEnd w:id="253"/>
      <w:r w:rsidRPr="0046661C">
        <w:t xml:space="preserve">  </w:t>
      </w:r>
    </w:p>
    <w:p w:rsidR="009F0858" w:rsidRPr="0065391F" w:rsidRDefault="009F0858" w:rsidP="009F0858">
      <w:r w:rsidRPr="00B4711B">
        <w:t>Dividends are a smoothed version of both free cash flow to equity and profits.</w:t>
      </w:r>
      <w:r w:rsidRPr="00B4711B">
        <w:rPr>
          <w:rStyle w:val="FootnoteReference"/>
        </w:rPr>
        <w:footnoteReference w:id="1020"/>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1021"/>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1022"/>
      </w:r>
      <w:r w:rsidRPr="0065391F">
        <w:t xml:space="preserve"> </w:t>
      </w:r>
    </w:p>
    <w:p w:rsidR="009F0858" w:rsidRDefault="009F0858" w:rsidP="009F0858">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F0858" w:rsidRDefault="009F0858" w:rsidP="009F0858">
      <w:r>
        <w:t>Frontier submitted that this theoretical possibility is not material in current circumstances. Frontier submitted that:</w:t>
      </w:r>
      <w:r>
        <w:rPr>
          <w:rStyle w:val="FootnoteReference"/>
        </w:rPr>
        <w:footnoteReference w:id="1023"/>
      </w:r>
    </w:p>
    <w:p w:rsidR="009F0858" w:rsidRDefault="009F0858" w:rsidP="009F0858">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C5833" w:rsidRPr="00D93D9B" w:rsidRDefault="009F0858" w:rsidP="00EC5833">
      <w:pPr>
        <w:rPr>
          <w:rStyle w:val="AERbody"/>
        </w:rPr>
      </w:pPr>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1024"/>
      </w:r>
      <w:r w:rsidR="00EC5833" w:rsidRPr="00D93D9B">
        <w:rPr>
          <w:rStyle w:val="AERbody"/>
        </w:rPr>
        <w:t>Frontier responded to our concerns</w:t>
      </w:r>
      <w:r w:rsidR="00EC5833">
        <w:rPr>
          <w:rStyle w:val="AERbody"/>
        </w:rPr>
        <w:t xml:space="preserve"> about the dividend growth model's use in estimating the market risk premium</w:t>
      </w:r>
      <w:r w:rsidR="00EC5833" w:rsidRPr="00D93D9B">
        <w:rPr>
          <w:rStyle w:val="AERbody"/>
        </w:rPr>
        <w:t xml:space="preserve"> by noting that it is 'highly unlikely for analysts to forecast dividend growth based on strong earnings over the short term if they considered those dividends to be unsustainable in the longer term'.</w:t>
      </w:r>
      <w:r w:rsidR="00EC5833">
        <w:rPr>
          <w:rStyle w:val="FootnoteReference"/>
        </w:rPr>
        <w:footnoteReference w:id="1025"/>
      </w:r>
    </w:p>
    <w:p w:rsidR="00EC5833" w:rsidRPr="00D93D9B" w:rsidRDefault="00EC5833" w:rsidP="00EC5833">
      <w:pPr>
        <w:rPr>
          <w:rStyle w:val="AERbody"/>
        </w:rPr>
      </w:pPr>
      <w:r w:rsidRPr="00D93D9B">
        <w:rPr>
          <w:rStyle w:val="AERbody"/>
        </w:rPr>
        <w:t xml:space="preserve">We note that dividends may be forecasted to increase for a number of reasons, including absence of satisfactory projects for reinvestment of earnings, and not necessarily related to strong earnings. </w:t>
      </w:r>
      <w:r w:rsidR="009E2F4C">
        <w:rPr>
          <w:rStyle w:val="AERbody"/>
        </w:rPr>
        <w:t>I</w:t>
      </w:r>
      <w:r w:rsidRPr="00D93D9B">
        <w:rPr>
          <w:rStyle w:val="AERbody"/>
        </w:rPr>
        <w:t>t is not apparent that there is or will be strong earnings growth. In the RBA chart, while forecast earnings per share in 2016–17 is above that of 2015–16</w:t>
      </w:r>
      <w:r>
        <w:rPr>
          <w:rStyle w:val="AERbody"/>
        </w:rPr>
        <w:t xml:space="preserve"> as Frontier points out</w:t>
      </w:r>
      <w:r w:rsidRPr="00D93D9B">
        <w:rPr>
          <w:rStyle w:val="AERbody"/>
        </w:rPr>
        <w:t>, both slow over time which has been the pattern since 2011–12.</w:t>
      </w:r>
      <w:r>
        <w:rPr>
          <w:rStyle w:val="FootnoteReference"/>
        </w:rPr>
        <w:footnoteReference w:id="1026"/>
      </w:r>
      <w:r w:rsidRPr="00D93D9B">
        <w:rPr>
          <w:rStyle w:val="AERbody"/>
        </w:rPr>
        <w:t xml:space="preserve"> We do not consider that this is indicative or supportive of strong earnings growth. </w:t>
      </w:r>
    </w:p>
    <w:p w:rsidR="009F0858" w:rsidRPr="00BA300D" w:rsidRDefault="00EC5833" w:rsidP="00A164C0">
      <w:r w:rsidRPr="00D93D9B">
        <w:rPr>
          <w:rStyle w:val="AERbody"/>
        </w:rPr>
        <w:t xml:space="preserve">Frontier </w:t>
      </w:r>
      <w:r>
        <w:rPr>
          <w:rStyle w:val="AERbody"/>
        </w:rPr>
        <w:t>added</w:t>
      </w:r>
      <w:r w:rsidRPr="00D93D9B">
        <w:rPr>
          <w:rStyle w:val="AERbody"/>
        </w:rPr>
        <w:t xml:space="preserve"> that there is no evidence to indicate 'future dividends were likely to fall so materially as to make the current dividend unsustainable'.</w:t>
      </w:r>
      <w:r>
        <w:rPr>
          <w:rStyle w:val="FootnoteReference"/>
        </w:rPr>
        <w:footnoteReference w:id="1027"/>
      </w:r>
      <w:r w:rsidRPr="00D93D9B">
        <w:rPr>
          <w:rStyle w:val="AERbody"/>
        </w:rPr>
        <w:t xml:space="preserve"> We note that dividends can be stylised as a function of earning and given information suggests material declines in earnings per share</w:t>
      </w:r>
      <w:r>
        <w:rPr>
          <w:rStyle w:val="AERbody"/>
        </w:rPr>
        <w:t>.</w:t>
      </w:r>
      <w:r>
        <w:rPr>
          <w:rStyle w:val="FootnoteReference"/>
        </w:rPr>
        <w:footnoteReference w:id="1028"/>
      </w:r>
      <w:r w:rsidRPr="00D93D9B">
        <w:rPr>
          <w:rStyle w:val="AERbody"/>
        </w:rPr>
        <w:t xml:space="preserve"> </w:t>
      </w:r>
      <w:r w:rsidRPr="00DD6215">
        <w:t xml:space="preserve"> </w:t>
      </w:r>
      <w:r>
        <w:t xml:space="preserve">We also note that the </w:t>
      </w:r>
      <w:r w:rsidRPr="00691150">
        <w:t xml:space="preserve">chartpack relates to one-year forecasts </w:t>
      </w:r>
      <w:r>
        <w:t>which would not provide conclusive evidence consistent with our 10-year time frame</w:t>
      </w:r>
      <w:r w:rsidRPr="00691150">
        <w:t>.</w:t>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Analyst forecasts are well understood to be upward</w:t>
      </w:r>
      <w:r>
        <w:t>ly</w:t>
      </w:r>
      <w:r w:rsidRPr="00B4711B">
        <w:t xml:space="preserve"> biased.</w:t>
      </w:r>
      <w:r w:rsidRPr="00B4711B">
        <w:rPr>
          <w:rStyle w:val="FootnoteReference"/>
        </w:rPr>
        <w:footnoteReference w:id="1029"/>
      </w:r>
      <w:r w:rsidRPr="00B4711B">
        <w:t xml:space="preserve"> McKenzie and Partington also consider that analysts’ forecasts are slow to adjust to changing information.</w:t>
      </w:r>
      <w:r w:rsidRPr="00B4711B">
        <w:rPr>
          <w:rStyle w:val="FootnoteReference"/>
        </w:rPr>
        <w:footnoteReference w:id="1030"/>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BC7472" w:rsidRDefault="009F0858" w:rsidP="009F0858">
      <w:r>
        <w:t xml:space="preserve">We note that Frontier has not provided any evidence that bias has not increased. </w:t>
      </w:r>
      <w:r w:rsidR="00E574A3">
        <w:t xml:space="preserve">In response, </w:t>
      </w:r>
      <w:r w:rsidR="00B60505">
        <w:t>F</w:t>
      </w:r>
      <w:r w:rsidR="00BC7472">
        <w:t xml:space="preserve">rontier </w:t>
      </w:r>
      <w:r w:rsidR="00B60505">
        <w:t xml:space="preserve">estimated </w:t>
      </w:r>
      <w:r w:rsidR="00FE51DA">
        <w:t xml:space="preserve">that </w:t>
      </w:r>
      <w:r w:rsidR="00B60505">
        <w:t>actual earnings for ASX-20 firms is slightly above (2.37 per cent) the forecast and stated that this is inconsistent with the proposition that forecast earnings are becoming more optimistic over time</w:t>
      </w:r>
      <w:r w:rsidR="00BC7472">
        <w:t>.</w:t>
      </w:r>
      <w:r w:rsidR="00B60505">
        <w:rPr>
          <w:rStyle w:val="FootnoteReference"/>
        </w:rPr>
        <w:footnoteReference w:id="1031"/>
      </w:r>
    </w:p>
    <w:p w:rsidR="009F0858" w:rsidRDefault="009F0858" w:rsidP="009F0858">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B60505" w:rsidRPr="00CE0902" w:rsidRDefault="009F0858" w:rsidP="00CC7A1C">
      <w:pPr>
        <w:numPr>
          <w:ilvl w:val="0"/>
          <w:numId w:val="24"/>
        </w:numPr>
      </w:pPr>
      <w:r>
        <w:t>Further, we do not hold a view either way about whether bias has increased or not. However, Frontier refers to a report by JP Morgan that notes that current price-to-earnings ratios</w:t>
      </w:r>
      <w:r>
        <w:rPr>
          <w:rStyle w:val="FootnoteReference"/>
        </w:rPr>
        <w:footnoteReference w:id="1032"/>
      </w:r>
      <w:r>
        <w:t xml:space="preserve"> could be evidence that the prevailing </w:t>
      </w:r>
      <w:r w:rsidRPr="00C365B3">
        <w:t>market is now more sceptical of analysts’ forecasts than they have been in the past</w:t>
      </w:r>
      <w:r>
        <w:t>.</w:t>
      </w:r>
      <w:r>
        <w:rPr>
          <w:rStyle w:val="FootnoteReference"/>
        </w:rPr>
        <w:footnoteReference w:id="1033"/>
      </w:r>
      <w:r w:rsidRPr="00D03E8B">
        <w:t xml:space="preserve"> </w:t>
      </w:r>
      <w:r>
        <w:t xml:space="preserve">That is, </w:t>
      </w:r>
      <w:r w:rsidRPr="00C365B3">
        <w:t>bias (or at least the market’s perception of bias) may have increased</w:t>
      </w:r>
      <w:r>
        <w:t xml:space="preserve">. </w:t>
      </w:r>
      <w:r w:rsidR="00B60505">
        <w:t>We also have reservations a</w:t>
      </w:r>
      <w:r w:rsidR="008423B5">
        <w:t>bout a survey from only 20 firms.</w:t>
      </w:r>
      <w:r w:rsidR="00B60505">
        <w:t xml:space="preserve"> Partington and Satchell </w:t>
      </w:r>
      <w:r w:rsidR="008423B5">
        <w:t xml:space="preserve">advised that they would </w:t>
      </w:r>
      <w:r w:rsidR="00B60505">
        <w:t>"place little weight on a non-random sample of twenty firms and one year's observations" when assessing the reliability of analyst's forecasts.</w:t>
      </w:r>
      <w:r w:rsidR="00B60505">
        <w:rPr>
          <w:rStyle w:val="FootnoteReference"/>
        </w:rPr>
        <w:footnoteReference w:id="1034"/>
      </w:r>
    </w:p>
    <w:p w:rsidR="0048197D" w:rsidRDefault="0048197D" w:rsidP="00CC7A1C">
      <w:pPr>
        <w:numPr>
          <w:ilvl w:val="0"/>
          <w:numId w:val="24"/>
        </w:numPr>
      </w:pPr>
      <w:r>
        <w:t>Frontier submitted that the AER should focus on estimating the implied return that equates the dividend forecast to the actual stock price, and not on the dividend forecast that the AER thinks the market should have used.</w:t>
      </w:r>
      <w:r>
        <w:rPr>
          <w:rStyle w:val="FootnoteReference"/>
        </w:rPr>
        <w:footnoteReference w:id="1035"/>
      </w:r>
    </w:p>
    <w:p w:rsidR="00827E36" w:rsidRPr="00827E36" w:rsidRDefault="0048197D" w:rsidP="00CC7A1C">
      <w:pPr>
        <w:pStyle w:val="ListParagraph"/>
        <w:numPr>
          <w:ilvl w:val="0"/>
          <w:numId w:val="24"/>
        </w:numPr>
      </w:pPr>
      <w:r>
        <w:t>We remain of the view that i</w:t>
      </w:r>
      <w:r w:rsidRPr="00952754">
        <w:t>f analysts’ dividend and price forecasts are biased, it is also plausible that the analysts’ implied return on equity is biased.</w:t>
      </w:r>
      <w:r w:rsidRPr="00B4711B">
        <w:t xml:space="preserve"> </w:t>
      </w:r>
      <w:r w:rsidR="00827E36" w:rsidRPr="00827E36">
        <w:t xml:space="preserve">Partington and Satchell </w:t>
      </w:r>
      <w:r w:rsidR="00827E36">
        <w:t>agree with us and noted that 'i</w:t>
      </w:r>
      <w:r w:rsidR="00827E36" w:rsidRPr="00827E36">
        <w:t>f we assume the market is unbiased, then the AER are correct in observing that any upward bias in analysts’ forecasts will result in a higher implied return on the market for a given method of inferring that implied return</w:t>
      </w:r>
      <w:r w:rsidR="00827E36">
        <w:t>'.</w:t>
      </w:r>
      <w:r w:rsidR="00827E36">
        <w:rPr>
          <w:rStyle w:val="FootnoteReference"/>
        </w:rPr>
        <w:footnoteReference w:id="1036"/>
      </w:r>
    </w:p>
    <w:p w:rsidR="009F0858" w:rsidRDefault="0048197D" w:rsidP="00CC7A1C">
      <w:pPr>
        <w:numPr>
          <w:ilvl w:val="0"/>
          <w:numId w:val="24"/>
        </w:numPr>
      </w:pPr>
      <w:r w:rsidRPr="00B4711B">
        <w:t>McKenzie and Partington also consider that analysts’ forecasts are slow to adjust to changing information.</w:t>
      </w:r>
      <w:r w:rsidRPr="00B4711B">
        <w:rPr>
          <w:rStyle w:val="FootnoteReference"/>
        </w:rPr>
        <w:footnoteReference w:id="1037"/>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F0858" w:rsidRPr="0046661C" w:rsidRDefault="009F0858" w:rsidP="00CC7A1C">
      <w:pPr>
        <w:pStyle w:val="TOC1"/>
        <w:numPr>
          <w:ilvl w:val="0"/>
          <w:numId w:val="24"/>
        </w:numPr>
      </w:pPr>
      <w:r>
        <w:t>Dividends as a proxy for free cash flow to equity</w:t>
      </w:r>
    </w:p>
    <w:p w:rsidR="009F0858" w:rsidRPr="009F0858" w:rsidRDefault="009F0858" w:rsidP="00CC7A1C">
      <w:pPr>
        <w:pStyle w:val="ListParagraph"/>
        <w:numPr>
          <w:ilvl w:val="0"/>
          <w:numId w:val="24"/>
        </w:numPr>
        <w:rPr>
          <w:rStyle w:val="AERbody"/>
        </w:rPr>
      </w:pPr>
      <w:r w:rsidRPr="009F0858">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sidRPr="009F0858">
        <w:rPr>
          <w:rStyle w:val="FootnoteReference"/>
        </w:rPr>
        <w:footnoteReference w:id="1038"/>
      </w:r>
    </w:p>
    <w:p w:rsidR="009F0858" w:rsidRDefault="00EC5833" w:rsidP="00CC7A1C">
      <w:pPr>
        <w:pStyle w:val="AERbulletlistfirststyle"/>
        <w:numPr>
          <w:ilvl w:val="0"/>
          <w:numId w:val="24"/>
        </w:numPr>
      </w:pPr>
      <w:r>
        <w:t>Partington and Satchell</w:t>
      </w:r>
      <w:r w:rsidRPr="00772B77">
        <w:t xml:space="preserve"> has advised the need for a downward adjustment</w:t>
      </w:r>
      <w:r>
        <w:t xml:space="preserve"> to the growth rate</w:t>
      </w:r>
      <w:r w:rsidRPr="00772B77">
        <w:t xml:space="preserve">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039"/>
      </w:r>
      <w:r w:rsidRPr="00772B77">
        <w:t xml:space="preserve"> We agree and consider that the downward adjustment remains appropriate.</w:t>
      </w:r>
      <w:r>
        <w:t xml:space="preserve"> </w:t>
      </w:r>
    </w:p>
    <w:p w:rsidR="009F0858" w:rsidRPr="0046661C" w:rsidRDefault="009F0858" w:rsidP="009F0858">
      <w:pPr>
        <w:pStyle w:val="TOC1"/>
      </w:pPr>
      <w:r>
        <w:t>Low risk free rate and term structure for equity</w:t>
      </w:r>
    </w:p>
    <w:p w:rsidR="009F0858" w:rsidRPr="0065391F" w:rsidRDefault="009F0858" w:rsidP="009F0858">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1040"/>
      </w:r>
      <w:r w:rsidRPr="0065391F">
        <w:rPr>
          <w:rStyle w:val="AERbody"/>
        </w:rPr>
        <w:t xml:space="preserve"> We consider it useful to be aware of this potential bias. This is consistent with McKenzie and Partington’s advice:</w:t>
      </w:r>
      <w:r w:rsidRPr="00F37CD8">
        <w:rPr>
          <w:rStyle w:val="FootnoteReference"/>
        </w:rPr>
        <w:footnoteReference w:id="1041"/>
      </w:r>
    </w:p>
    <w:p w:rsidR="009F0858" w:rsidRPr="00B4711B" w:rsidRDefault="009F0858" w:rsidP="009F0858">
      <w:pPr>
        <w:pStyle w:val="AERquote"/>
      </w:pPr>
      <w:r w:rsidRPr="00B4711B">
        <w:t>we do recommend that it be borne in mind that the existence of a term structure could materially change cost of equity estimates from the DGM.</w:t>
      </w:r>
    </w:p>
    <w:p w:rsidR="009F0858" w:rsidRPr="00B4711B" w:rsidRDefault="009F0858" w:rsidP="009F0858"/>
    <w:p w:rsidR="009F0858" w:rsidRPr="009F0858" w:rsidRDefault="009F0858" w:rsidP="00A164C0"/>
    <w:p w:rsidR="009F0858" w:rsidRPr="009F0858" w:rsidRDefault="009F0858" w:rsidP="00A164C0"/>
    <w:p w:rsidR="006A3314" w:rsidRDefault="006A3314" w:rsidP="006A3314">
      <w:pPr>
        <w:pStyle w:val="Heading7"/>
      </w:pPr>
      <w:bookmarkStart w:id="254" w:name="_Ref451685221"/>
      <w:bookmarkStart w:id="255" w:name="_Ref451685409"/>
      <w:bookmarkStart w:id="256" w:name="_Toc452629087"/>
      <w:bookmarkStart w:id="257" w:name="_Toc456686734"/>
      <w:bookmarkStart w:id="258" w:name="_Toc487037168"/>
      <w:r>
        <w:t>Return on equity conditioning variables</w:t>
      </w:r>
      <w:bookmarkEnd w:id="254"/>
      <w:bookmarkEnd w:id="255"/>
      <w:bookmarkEnd w:id="256"/>
      <w:bookmarkEnd w:id="257"/>
      <w:bookmarkEnd w:id="258"/>
    </w:p>
    <w:p w:rsidR="00E45414" w:rsidRPr="00D7763D" w:rsidRDefault="00E45414" w:rsidP="00E45414">
      <w:pPr>
        <w:numPr>
          <w:ilvl w:val="0"/>
          <w:numId w:val="24"/>
        </w:numPr>
      </w:pPr>
      <w:bookmarkStart w:id="259" w:name="_Toc443923225"/>
      <w:bookmarkStart w:id="260" w:name="_Toc451938987"/>
      <w:bookmarkStart w:id="261" w:name="_Toc456686735"/>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1042"/>
      </w:r>
      <w:r w:rsidRPr="00D7763D">
        <w:t xml:space="preserve"> However, </w:t>
      </w:r>
      <w:r>
        <w:t>we consider that this</w:t>
      </w:r>
      <w:r w:rsidRPr="00D7763D">
        <w:t xml:space="preserve"> information is relevant and may be useful for indicating changes in </w:t>
      </w:r>
      <w:r>
        <w:t>prevailing</w:t>
      </w:r>
      <w:r w:rsidRPr="00D7763D">
        <w:t xml:space="preserve"> market conditions. </w:t>
      </w:r>
    </w:p>
    <w:p w:rsidR="00E45414" w:rsidRPr="00C4668D" w:rsidRDefault="00E45414" w:rsidP="00E45414">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t>Some s</w:t>
      </w:r>
      <w:r w:rsidRPr="00C4668D">
        <w:t>ervice providers have also proposed the use of price</w:t>
      </w:r>
      <w:r>
        <w:t>-to-</w:t>
      </w:r>
      <w:r w:rsidRPr="00C4668D">
        <w:t>earnings ratios, and we consider</w:t>
      </w:r>
      <w:r>
        <w:t>ed</w:t>
      </w:r>
      <w:r w:rsidRPr="00C4668D">
        <w:t xml:space="preserve"> these </w:t>
      </w:r>
      <w:r>
        <w:t>in the 'Price-to-earnings ratios' section above</w:t>
      </w:r>
      <w:r w:rsidRPr="00C4668D">
        <w:t>.</w:t>
      </w:r>
      <w:r>
        <w:t xml:space="preserve"> In the Guideline we also stated that we would use yield spreads to inform our overall return on equity estimate.</w:t>
      </w:r>
    </w:p>
    <w:p w:rsidR="00E45414" w:rsidRDefault="00E45414" w:rsidP="00E4541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w:t>
      </w:r>
      <w:r>
        <w:t xml:space="preserve">some </w:t>
      </w:r>
      <w:r w:rsidRPr="00D7763D">
        <w:t>service providers relied upon this evidence.</w:t>
      </w:r>
      <w:r w:rsidRPr="00D7763D">
        <w:rPr>
          <w:rStyle w:val="FootnoteReference"/>
        </w:rPr>
        <w:footnoteReference w:id="1043"/>
      </w:r>
      <w:r w:rsidRPr="00D7763D">
        <w:t xml:space="preserve"> However, when implied volatility estimates fell in 2013, </w:t>
      </w:r>
      <w:r>
        <w:t xml:space="preserve">other </w:t>
      </w:r>
      <w:r w:rsidRPr="00D7763D">
        <w:t>service providers did not propose we consider this evidence.</w:t>
      </w:r>
      <w:r w:rsidRPr="00D7763D">
        <w:rPr>
          <w:rStyle w:val="FootnoteReference"/>
        </w:rPr>
        <w:footnoteReference w:id="1044"/>
      </w:r>
      <w:r w:rsidRPr="00D7763D">
        <w:t xml:space="preserve"> </w:t>
      </w:r>
    </w:p>
    <w:p w:rsidR="00E45414" w:rsidRPr="00D7763D" w:rsidRDefault="00426D6F" w:rsidP="00E45414">
      <w:r>
        <w:t>APTPPL</w:t>
      </w:r>
      <w:r w:rsidR="00E45414">
        <w:t>, in their most recent submission, put forward that no reliance should be placed on the conditioning variables in the absence of formal econometric mapping to a point estimate. However they feel that if they are to be used, they point to a higher market risk premium than the AER estimated given indications of a stable return on equity indicated.</w:t>
      </w:r>
      <w:r w:rsidR="00E45414">
        <w:rPr>
          <w:rStyle w:val="FootnoteReference"/>
        </w:rPr>
        <w:footnoteReference w:id="1045"/>
      </w:r>
      <w:r w:rsidR="00E45414">
        <w:t xml:space="preserve"> </w:t>
      </w:r>
    </w:p>
    <w:p w:rsidR="00E45414" w:rsidRDefault="00E45414" w:rsidP="00E45414">
      <w:r w:rsidRPr="00D7763D">
        <w:t xml:space="preserve">For the reasons set out below, we consider that, overall, the conditioning variables </w:t>
      </w:r>
      <w:r>
        <w:t>appear to have experienced moderate short term movement. Consideration of the dividend yields and corporate bond spreads show slight increases.</w:t>
      </w:r>
      <w:r>
        <w:rPr>
          <w:rStyle w:val="FootnoteReference"/>
        </w:rPr>
        <w:footnoteReference w:id="1046"/>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1047"/>
      </w:r>
      <w:r>
        <w:t xml:space="preserve"> The implied volatility index has seen a steady decline over the past twelve months.</w:t>
      </w:r>
      <w:r>
        <w:rPr>
          <w:rStyle w:val="FootnoteReference"/>
        </w:rPr>
        <w:footnoteReference w:id="1048"/>
      </w:r>
      <w:r>
        <w:t xml:space="preserve"> Taken together, we see no significant trend to </w:t>
      </w:r>
      <w:r w:rsidRPr="00D51EE9">
        <w:t>support any further change</w:t>
      </w:r>
      <w:r>
        <w:t xml:space="preserve">s to our approach. </w:t>
      </w:r>
    </w:p>
    <w:p w:rsidR="00E45414" w:rsidRPr="00D7763D" w:rsidRDefault="00E45414" w:rsidP="00E45414">
      <w:r>
        <w:t xml:space="preserve">Moreover, it appears that </w:t>
      </w:r>
      <w:r w:rsidRPr="00D7763D">
        <w:t xml:space="preserve">conditioning variables </w:t>
      </w:r>
      <w:r>
        <w:t xml:space="preserve">are </w:t>
      </w:r>
      <w:r w:rsidRPr="00D7763D">
        <w:t>close to</w:t>
      </w:r>
      <w:r w:rsidR="00426D6F">
        <w:t xml:space="preserve"> or below</w:t>
      </w:r>
      <w:r w:rsidRPr="00D7763D">
        <w:t xml:space="preserve">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00426D6F">
        <w:t xml:space="preserve"> but have since declined below the long term average</w:t>
      </w:r>
      <w:r w:rsidRPr="00D7763D">
        <w:t xml:space="preserve">. </w:t>
      </w:r>
      <w:r w:rsidR="00426D6F">
        <w:t>W</w:t>
      </w:r>
      <w:r w:rsidRPr="00D7763D">
        <w:t xml:space="preserve">e consider there is </w:t>
      </w:r>
      <w:r>
        <w:t>in</w:t>
      </w:r>
      <w:r w:rsidRPr="00D7763D">
        <w:t xml:space="preserve">sufficient evidence of a sustained trend away from their long term averages. </w:t>
      </w:r>
    </w:p>
    <w:p w:rsidR="00E45414" w:rsidRPr="00D7763D" w:rsidRDefault="00E45414" w:rsidP="00E4541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6A3314" w:rsidRPr="006A3314" w:rsidRDefault="006A3314" w:rsidP="00CC7A1C">
      <w:pPr>
        <w:pStyle w:val="Heading8"/>
        <w:numPr>
          <w:ilvl w:val="1"/>
          <w:numId w:val="30"/>
        </w:numPr>
      </w:pPr>
      <w:bookmarkStart w:id="262" w:name="_Toc487037169"/>
      <w:r>
        <w:t>Implied volatility</w:t>
      </w:r>
      <w:bookmarkEnd w:id="259"/>
      <w:bookmarkEnd w:id="260"/>
      <w:bookmarkEnd w:id="261"/>
      <w:bookmarkEnd w:id="262"/>
    </w:p>
    <w:p w:rsidR="00E45414" w:rsidRPr="002A6C79" w:rsidRDefault="00E45414" w:rsidP="00E45414">
      <w:pPr>
        <w:numPr>
          <w:ilvl w:val="0"/>
          <w:numId w:val="24"/>
        </w:numPr>
      </w:pPr>
      <w:bookmarkStart w:id="263" w:name="_Ref433023909"/>
      <w:r w:rsidRPr="002A6C79">
        <w:t>The implied volatility approach assumes that the market risk premium is the price of risk multiplied by the volume of risk (volatility).</w:t>
      </w:r>
      <w:r w:rsidRPr="002A6C79">
        <w:rPr>
          <w:rStyle w:val="FootnoteReference"/>
        </w:rPr>
        <w:footnoteReference w:id="1049"/>
      </w:r>
      <w:r w:rsidRPr="002A6C79">
        <w:t xml:space="preserve"> </w:t>
      </w:r>
      <w:r w:rsidRPr="002A6C79">
        <w:fldChar w:fldCharType="begin"/>
      </w:r>
      <w:r w:rsidRPr="002A6C79">
        <w:instrText xml:space="preserve"> REF _Ref456703448 \h </w:instrText>
      </w:r>
      <w:r w:rsidRPr="002A6C79">
        <w:fldChar w:fldCharType="separate"/>
      </w:r>
      <w:r w:rsidR="002C24D6" w:rsidRPr="00866A7A">
        <w:t xml:space="preserve">Figure </w:t>
      </w:r>
      <w:r w:rsidR="002C24D6">
        <w:rPr>
          <w:noProof/>
        </w:rPr>
        <w:t>3</w:t>
      </w:r>
      <w:r w:rsidR="002C24D6">
        <w:noBreakHyphen/>
      </w:r>
      <w:r w:rsidR="002C24D6">
        <w:rPr>
          <w:noProof/>
        </w:rPr>
        <w:t>7</w:t>
      </w:r>
      <w:r w:rsidRPr="002A6C79">
        <w:fldChar w:fldCharType="end"/>
      </w:r>
      <w:r w:rsidRPr="002A6C79">
        <w:t xml:space="preserve"> shows volume of risk in the market portfolio estimated using the implied volatility index.</w:t>
      </w:r>
    </w:p>
    <w:p w:rsidR="00E45414" w:rsidRPr="002A6C79" w:rsidRDefault="00E45414" w:rsidP="00E45414">
      <w:r w:rsidRPr="002A6C79">
        <w:t>Implied volatility was high during the global financial crisis and the height of the European debt crisis. However, recent implied volatility levels have generally been below the long run average of 18.</w:t>
      </w:r>
      <w:r>
        <w:t>1</w:t>
      </w:r>
      <w:r w:rsidRPr="002A6C79">
        <w:t xml:space="preserve"> per cent (measured from the start of the data series in 1997). We note that after a spike in volatility levels in mid to late 2015 levels have fallen again to below the long term average</w:t>
      </w:r>
      <w:r>
        <w:t>. This downward trend has continued for around the past twelve months, indicating it is a sustained movement away from the long run average.</w:t>
      </w:r>
    </w:p>
    <w:p w:rsidR="00E45414" w:rsidRDefault="00E45414" w:rsidP="00E45414">
      <w:r w:rsidRPr="002A6C79">
        <w:fldChar w:fldCharType="begin"/>
      </w:r>
      <w:r w:rsidRPr="002A6C79">
        <w:instrText xml:space="preserve"> REF _Ref456703448 \h </w:instrText>
      </w:r>
      <w:r w:rsidRPr="002A6C79">
        <w:fldChar w:fldCharType="separate"/>
      </w:r>
      <w:r w:rsidR="002C24D6" w:rsidRPr="00866A7A">
        <w:t xml:space="preserve">Figure </w:t>
      </w:r>
      <w:r w:rsidR="002C24D6">
        <w:rPr>
          <w:noProof/>
        </w:rPr>
        <w:t>3</w:t>
      </w:r>
      <w:r w:rsidR="002C24D6">
        <w:noBreakHyphen/>
      </w:r>
      <w:r w:rsidR="002C24D6">
        <w:rPr>
          <w:noProof/>
        </w:rPr>
        <w:t>7</w:t>
      </w:r>
      <w:r w:rsidRPr="002A6C79">
        <w:fldChar w:fldCharType="end"/>
      </w:r>
      <w:r w:rsidRPr="002A6C79">
        <w:t xml:space="preserve"> shows the value of this measure of implied volatility relative to its long run average level since the start of the data series in 1997 to </w:t>
      </w:r>
      <w:r>
        <w:t>28 April 2017</w:t>
      </w:r>
      <w:r w:rsidRPr="002A6C79">
        <w:rPr>
          <w:rStyle w:val="AERbody"/>
        </w:rPr>
        <w:t>.</w:t>
      </w:r>
      <w:r>
        <w:rPr>
          <w:rStyle w:val="AERbody"/>
        </w:rPr>
        <w:t xml:space="preserve"> We observe that </w:t>
      </w:r>
      <w:r w:rsidRPr="002A6C79">
        <w:t xml:space="preserve">the volatility index </w:t>
      </w:r>
      <w:r>
        <w:t>appears to show a downward trend:</w:t>
      </w:r>
    </w:p>
    <w:p w:rsidR="00E45414" w:rsidRDefault="00E45414" w:rsidP="00E45414">
      <w:pPr>
        <w:pStyle w:val="AERbulletlistfirststyle"/>
      </w:pPr>
      <w:r>
        <w:t xml:space="preserve">The index </w:t>
      </w:r>
      <w:r w:rsidRPr="002A6C79">
        <w:t xml:space="preserve">was </w:t>
      </w:r>
      <w:r>
        <w:t>14.3</w:t>
      </w:r>
      <w:r w:rsidRPr="002A6C79">
        <w:t xml:space="preserve"> per cent</w:t>
      </w:r>
      <w:r>
        <w:t xml:space="preserve"> if</w:t>
      </w:r>
      <w:r>
        <w:rPr>
          <w:rStyle w:val="AERbody"/>
        </w:rPr>
        <w:t xml:space="preserve"> a</w:t>
      </w:r>
      <w:r>
        <w:t>veraging o</w:t>
      </w:r>
      <w:r w:rsidRPr="002A6C79">
        <w:t xml:space="preserve">ver the year ending </w:t>
      </w:r>
      <w:r>
        <w:t>28 April 2017</w:t>
      </w:r>
      <w:r w:rsidRPr="002A6C79">
        <w:t xml:space="preserve">. </w:t>
      </w:r>
      <w:r w:rsidRPr="0083744B">
        <w:t xml:space="preserve"> </w:t>
      </w:r>
      <w:r w:rsidRPr="002A6C79">
        <w:t xml:space="preserve"> </w:t>
      </w:r>
    </w:p>
    <w:p w:rsidR="00E45414" w:rsidRDefault="00E45414" w:rsidP="00E45414">
      <w:pPr>
        <w:pStyle w:val="AERbulletlistfirststyle"/>
      </w:pPr>
      <w:r>
        <w:t>The index was 12.5</w:t>
      </w:r>
      <w:r w:rsidRPr="002A6C79">
        <w:t xml:space="preserve"> per cent</w:t>
      </w:r>
      <w:r>
        <w:t xml:space="preserve"> over</w:t>
      </w:r>
      <w:r w:rsidR="00686D7A">
        <w:t xml:space="preserve"> the placeholder</w:t>
      </w:r>
      <w:r w:rsidRPr="002A6C79">
        <w:t xml:space="preserve"> risk free rate</w:t>
      </w:r>
      <w:r>
        <w:t xml:space="preserve"> averaging period (29 March 2017 to 28 April 2017)</w:t>
      </w:r>
      <w:r w:rsidRPr="002A6C79">
        <w:t>.</w:t>
      </w:r>
    </w:p>
    <w:p w:rsidR="00813684" w:rsidRDefault="00E45414" w:rsidP="00E45414">
      <w:pPr>
        <w:pStyle w:val="AERbulletlistfirststyle"/>
      </w:pPr>
      <w:r>
        <w:t>T</w:t>
      </w:r>
      <w:r w:rsidRPr="002A6C79">
        <w:t xml:space="preserve">he index was </w:t>
      </w:r>
      <w:r>
        <w:t>11.4</w:t>
      </w:r>
      <w:r w:rsidRPr="002A6C79">
        <w:t xml:space="preserve"> per cent</w:t>
      </w:r>
      <w:r>
        <w:t xml:space="preserve"> o</w:t>
      </w:r>
      <w:r w:rsidRPr="002A6C79">
        <w:t xml:space="preserve">n </w:t>
      </w:r>
      <w:r>
        <w:t>28 April 2017</w:t>
      </w:r>
      <w:r w:rsidRPr="002A6C79">
        <w:t xml:space="preserve">. </w:t>
      </w:r>
      <w:r>
        <w:t xml:space="preserve"> </w:t>
      </w:r>
    </w:p>
    <w:p w:rsidR="00E45414" w:rsidRDefault="00E45414" w:rsidP="00013867">
      <w:pPr>
        <w:pStyle w:val="AERbulletlistfirststyle"/>
        <w:numPr>
          <w:ilvl w:val="0"/>
          <w:numId w:val="0"/>
        </w:numPr>
        <w:rPr>
          <w:rStyle w:val="AERbody"/>
          <w:rFonts w:cstheme="minorBidi"/>
        </w:rPr>
      </w:pPr>
      <w:r w:rsidRPr="002A6C79">
        <w:rPr>
          <w:rStyle w:val="AERbody"/>
        </w:rPr>
        <w:t xml:space="preserve">Overall, despite this downward trend over the past year, </w:t>
      </w:r>
      <w:r w:rsidR="00813684">
        <w:t xml:space="preserve">it is not clear there </w:t>
      </w:r>
      <w:r w:rsidR="00813684" w:rsidRPr="00813684">
        <w:t>is a sustained movement away from the long term average</w:t>
      </w:r>
      <w:r w:rsidR="00813684">
        <w:t>.</w:t>
      </w:r>
    </w:p>
    <w:p w:rsidR="00E45414" w:rsidRPr="00E45414" w:rsidRDefault="00E45414" w:rsidP="00013867">
      <w:pPr>
        <w:pStyle w:val="AERbulletlistfirststyle"/>
      </w:pPr>
      <w:r>
        <w:rPr>
          <w:rStyle w:val="AERbody"/>
        </w:rPr>
        <w:tab/>
      </w:r>
      <w:r w:rsidRPr="00E45414">
        <w:rPr>
          <w:rStyle w:val="AERbody"/>
        </w:rPr>
        <w:t>Partington and Satchell also feel that this decline in the Implied Volatility could have downward pressure on the Market Risk Premium. In their most recent report to the AER they stated:</w:t>
      </w:r>
    </w:p>
    <w:p w:rsidR="006A3314" w:rsidRDefault="00E45414" w:rsidP="006A3314">
      <w:pPr>
        <w:rPr>
          <w:rStyle w:val="AERbody"/>
        </w:rPr>
      </w:pPr>
      <w:r>
        <w:t>“Currently the ASX VIX index, a measure of market volatility, has been trading at an implied standard deviation of returns on the market of around 12% per annum. This is a particularly low level of volatility as a value of about 20% per annum, would be considered a normal level of volatility…</w:t>
      </w:r>
      <w:r w:rsidRPr="0021370E">
        <w:t xml:space="preserve"> </w:t>
      </w:r>
      <w:r>
        <w:t>It seems an unlikely outcome to have a relatively high market risk premium when market volatility is particularly low.”</w:t>
      </w:r>
      <w:r>
        <w:rPr>
          <w:rStyle w:val="FootnoteReference"/>
        </w:rPr>
        <w:footnoteReference w:id="1050"/>
      </w:r>
    </w:p>
    <w:p w:rsidR="006A3314" w:rsidRPr="00866A7A" w:rsidRDefault="006A3314" w:rsidP="006A3314">
      <w:pPr>
        <w:pStyle w:val="Caption"/>
      </w:pPr>
      <w:bookmarkStart w:id="264" w:name="_Ref456703448"/>
      <w:r w:rsidRPr="00866A7A">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7</w:t>
      </w:r>
      <w:r w:rsidR="002C24D6">
        <w:rPr>
          <w:noProof/>
        </w:rPr>
        <w:fldChar w:fldCharType="end"/>
      </w:r>
      <w:bookmarkEnd w:id="263"/>
      <w:bookmarkEnd w:id="264"/>
      <w:r w:rsidRPr="00866A7A">
        <w:tab/>
        <w:t>Implied volatility (VIX) over time</w:t>
      </w:r>
    </w:p>
    <w:p w:rsidR="008B3AE9" w:rsidRPr="00866A7A" w:rsidRDefault="006A3314" w:rsidP="008B3AE9">
      <w:pPr>
        <w:numPr>
          <w:ilvl w:val="0"/>
          <w:numId w:val="24"/>
        </w:numPr>
      </w:pPr>
      <w:r w:rsidRPr="00CD667A">
        <w:t xml:space="preserve"> </w:t>
      </w:r>
      <w:r w:rsidR="008B3AE9" w:rsidRPr="008B3AE9">
        <w:rPr>
          <w:noProof/>
          <w:lang w:eastAsia="en-AU"/>
        </w:rPr>
        <w:drawing>
          <wp:inline distT="0" distB="0" distL="0" distR="0" wp14:anchorId="32AF4C64" wp14:editId="0A126E6D">
            <wp:extent cx="5382895" cy="2487864"/>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2487864"/>
                    </a:xfrm>
                    <a:prstGeom prst="rect">
                      <a:avLst/>
                    </a:prstGeom>
                  </pic:spPr>
                </pic:pic>
              </a:graphicData>
            </a:graphic>
          </wp:inline>
        </w:drawing>
      </w:r>
    </w:p>
    <w:p w:rsidR="006A3314" w:rsidRDefault="008B3AE9" w:rsidP="00813684">
      <w:pPr>
        <w:pStyle w:val="AERtablesource"/>
      </w:pPr>
      <w:r w:rsidRPr="00866A7A">
        <w:t xml:space="preserve">Source: </w:t>
      </w:r>
      <w:r w:rsidRPr="00866A7A">
        <w:tab/>
      </w:r>
      <w:r>
        <w:t xml:space="preserve">AER analysis; </w:t>
      </w:r>
      <w:r w:rsidRPr="00866A7A">
        <w:t>ASX200 VIX volatility index, sourced via Bloomberg co</w:t>
      </w:r>
      <w:r>
        <w:t>de</w:t>
      </w:r>
      <w:r w:rsidRPr="00866A7A">
        <w:t xml:space="preserve"> AS51VIX from 2/1/2008 and </w:t>
      </w:r>
      <w:r>
        <w:t xml:space="preserve">code </w:t>
      </w:r>
      <w:r w:rsidRPr="00866A7A">
        <w:t>CITJAVIX prior to 2/1/2008.</w:t>
      </w:r>
      <w:r>
        <w:t xml:space="preserve"> </w:t>
      </w:r>
    </w:p>
    <w:p w:rsidR="006A3314" w:rsidRDefault="006A3314" w:rsidP="006A3314">
      <w:pPr>
        <w:pStyle w:val="Heading8"/>
      </w:pPr>
      <w:bookmarkStart w:id="265" w:name="_Toc443923226"/>
      <w:bookmarkStart w:id="266" w:name="_Toc451938988"/>
      <w:bookmarkStart w:id="267" w:name="_Toc456686736"/>
      <w:bookmarkStart w:id="268" w:name="_Toc487037170"/>
      <w:r>
        <w:t>Dividend yields</w:t>
      </w:r>
      <w:bookmarkEnd w:id="265"/>
      <w:bookmarkEnd w:id="266"/>
      <w:bookmarkEnd w:id="267"/>
      <w:bookmarkEnd w:id="268"/>
    </w:p>
    <w:p w:rsidR="008B3AE9" w:rsidRDefault="008B3AE9" w:rsidP="008B3AE9">
      <w:pPr>
        <w:numPr>
          <w:ilvl w:val="0"/>
          <w:numId w:val="24"/>
        </w:numPr>
      </w:pPr>
      <w:bookmarkStart w:id="269" w:name="_Ref400009547"/>
      <w:bookmarkStart w:id="270" w:name="_Ref417224600"/>
      <w:bookmarkStart w:id="271" w:name="_Ref433023708"/>
      <w:bookmarkStart w:id="272" w:name="_Ref456702693"/>
      <w:r w:rsidRPr="00866A7A">
        <w:t xml:space="preserve">We use dividend yields as a directional indicator of the </w:t>
      </w:r>
      <w:r>
        <w:t>market risk premium</w:t>
      </w:r>
      <w:r w:rsidRPr="00866A7A">
        <w:t>.</w:t>
      </w:r>
      <w:r w:rsidRPr="00866A7A">
        <w:rPr>
          <w:rStyle w:val="FootnoteReference"/>
        </w:rPr>
        <w:footnoteReference w:id="1051"/>
      </w:r>
      <w:r w:rsidRPr="00866A7A">
        <w:t xml:space="preserve"> We consider this information by comparing current dividend yields with the average dividend yield through time.</w:t>
      </w:r>
      <w:r w:rsidRPr="00866A7A">
        <w:rPr>
          <w:rStyle w:val="FootnoteReference"/>
        </w:rPr>
        <w:footnoteReference w:id="1052"/>
      </w:r>
      <w:r w:rsidRPr="00866A7A">
        <w:t xml:space="preserve"> </w:t>
      </w:r>
      <w:r w:rsidR="002F4EEF">
        <w:fldChar w:fldCharType="begin"/>
      </w:r>
      <w:r w:rsidR="002F4EEF">
        <w:instrText xml:space="preserve"> REF _Ref484769439 \h </w:instrText>
      </w:r>
      <w:r w:rsidR="002F4EEF">
        <w:fldChar w:fldCharType="separate"/>
      </w:r>
      <w:r w:rsidR="002C24D6" w:rsidRPr="00866A7A">
        <w:t xml:space="preserve">Figure </w:t>
      </w:r>
      <w:r w:rsidR="002C24D6">
        <w:rPr>
          <w:noProof/>
        </w:rPr>
        <w:t>3</w:t>
      </w:r>
      <w:r w:rsidR="002C24D6">
        <w:noBreakHyphen/>
      </w:r>
      <w:r w:rsidR="002C24D6">
        <w:rPr>
          <w:noProof/>
        </w:rPr>
        <w:t>8</w:t>
      </w:r>
      <w:r w:rsidR="002F4EEF">
        <w:fldChar w:fldCharType="end"/>
      </w:r>
      <w:r>
        <w:t xml:space="preserve"> </w:t>
      </w:r>
      <w:r w:rsidRPr="00866A7A">
        <w:t>shows dividend yields against their historical average</w:t>
      </w:r>
      <w:r>
        <w:t xml:space="preserve"> up to </w:t>
      </w:r>
      <w:r w:rsidRPr="00A771E1">
        <w:t>28 April 2017</w:t>
      </w:r>
      <w:r>
        <w:t>.</w:t>
      </w:r>
    </w:p>
    <w:p w:rsidR="008B3AE9" w:rsidRDefault="002F4EEF" w:rsidP="008B3AE9">
      <w:r>
        <w:fldChar w:fldCharType="begin"/>
      </w:r>
      <w:r>
        <w:instrText xml:space="preserve"> REF _Ref484769439 \h </w:instrText>
      </w:r>
      <w:r>
        <w:fldChar w:fldCharType="separate"/>
      </w:r>
      <w:r w:rsidR="002C24D6" w:rsidRPr="00866A7A">
        <w:t xml:space="preserve">Figure </w:t>
      </w:r>
      <w:r w:rsidR="002C24D6">
        <w:rPr>
          <w:noProof/>
        </w:rPr>
        <w:t>3</w:t>
      </w:r>
      <w:r w:rsidR="002C24D6">
        <w:noBreakHyphen/>
      </w:r>
      <w:r w:rsidR="002C24D6">
        <w:rPr>
          <w:noProof/>
        </w:rPr>
        <w:t>8</w:t>
      </w:r>
      <w:r>
        <w:fldChar w:fldCharType="end"/>
      </w:r>
      <w:r>
        <w:t xml:space="preserve"> </w:t>
      </w:r>
      <w:r w:rsidR="008B3AE9" w:rsidRPr="00866A7A">
        <w:t xml:space="preserve">shows dividend yields are </w:t>
      </w:r>
      <w:r w:rsidR="008B3AE9">
        <w:t>currently slightly below their long term average</w:t>
      </w:r>
      <w:r w:rsidR="005139FA">
        <w:t xml:space="preserve"> of 4.25 (meaured from 3rd April 2017)</w:t>
      </w:r>
      <w:r w:rsidR="008B3AE9">
        <w:t>. This decrease occurred during 2016 and appears to offset the increase from 2015. It is unclear whether this downward trend will continue however there is no strong evidence to suggest a sustained movement away from the long term average.</w:t>
      </w:r>
    </w:p>
    <w:p w:rsidR="006A3314" w:rsidRPr="00866A7A" w:rsidRDefault="006A3314" w:rsidP="006A3314">
      <w:pPr>
        <w:pStyle w:val="Caption"/>
      </w:pPr>
      <w:bookmarkStart w:id="273" w:name="_Ref484769439"/>
      <w:bookmarkStart w:id="274" w:name="_Ref484769431"/>
      <w:bookmarkEnd w:id="269"/>
      <w:bookmarkEnd w:id="270"/>
      <w:r w:rsidRPr="00866A7A">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8</w:t>
      </w:r>
      <w:r w:rsidR="002C24D6">
        <w:rPr>
          <w:noProof/>
        </w:rPr>
        <w:fldChar w:fldCharType="end"/>
      </w:r>
      <w:bookmarkEnd w:id="271"/>
      <w:bookmarkEnd w:id="272"/>
      <w:bookmarkEnd w:id="273"/>
      <w:r w:rsidRPr="00866A7A">
        <w:tab/>
        <w:t>Dividend yields</w:t>
      </w:r>
      <w:bookmarkEnd w:id="274"/>
    </w:p>
    <w:p w:rsidR="006A3314" w:rsidRDefault="006A3314" w:rsidP="00CC7A1C">
      <w:pPr>
        <w:numPr>
          <w:ilvl w:val="0"/>
          <w:numId w:val="24"/>
        </w:numPr>
      </w:pPr>
    </w:p>
    <w:p w:rsidR="008B3AE9" w:rsidRPr="00866A7A" w:rsidRDefault="008B3AE9" w:rsidP="008B3AE9">
      <w:pPr>
        <w:numPr>
          <w:ilvl w:val="0"/>
          <w:numId w:val="24"/>
        </w:numPr>
      </w:pPr>
      <w:r w:rsidRPr="008B3AE9">
        <w:rPr>
          <w:noProof/>
          <w:lang w:eastAsia="en-AU"/>
        </w:rPr>
        <w:drawing>
          <wp:inline distT="0" distB="0" distL="0" distR="0" wp14:anchorId="57DD2403" wp14:editId="59BB6C3E">
            <wp:extent cx="5382895" cy="285707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2857075"/>
                    </a:xfrm>
                    <a:prstGeom prst="rect">
                      <a:avLst/>
                    </a:prstGeom>
                  </pic:spPr>
                </pic:pic>
              </a:graphicData>
            </a:graphic>
          </wp:inline>
        </w:drawing>
      </w:r>
    </w:p>
    <w:p w:rsidR="008B3AE9" w:rsidRPr="008B3AE9" w:rsidRDefault="008B3AE9" w:rsidP="00813684">
      <w:pPr>
        <w:pStyle w:val="AERtablesource"/>
      </w:pPr>
      <w:r w:rsidRPr="00866A7A">
        <w:t>Source:</w:t>
      </w:r>
      <w:r w:rsidRPr="00866A7A">
        <w:tab/>
        <w:t>Bloomberg</w:t>
      </w:r>
      <w:r>
        <w:t xml:space="preserve"> AS51 Index</w:t>
      </w:r>
      <w:r w:rsidRPr="00866A7A">
        <w:t>, AER analysis.</w:t>
      </w:r>
    </w:p>
    <w:p w:rsidR="006A3314" w:rsidRDefault="006A3314" w:rsidP="006A3314">
      <w:pPr>
        <w:pStyle w:val="Heading8"/>
      </w:pPr>
      <w:bookmarkStart w:id="275" w:name="_Toc443923227"/>
      <w:bookmarkStart w:id="276" w:name="_Ref449052987"/>
      <w:r>
        <w:t xml:space="preserve"> </w:t>
      </w:r>
      <w:bookmarkStart w:id="277" w:name="_Ref451685642"/>
      <w:bookmarkStart w:id="278" w:name="_Toc451938989"/>
      <w:bookmarkStart w:id="279" w:name="_Toc456686737"/>
      <w:bookmarkStart w:id="280" w:name="_Toc487037171"/>
      <w:r>
        <w:t>Yield spreads</w:t>
      </w:r>
      <w:bookmarkEnd w:id="275"/>
      <w:bookmarkEnd w:id="276"/>
      <w:bookmarkEnd w:id="277"/>
      <w:bookmarkEnd w:id="278"/>
      <w:bookmarkEnd w:id="279"/>
      <w:bookmarkEnd w:id="280"/>
    </w:p>
    <w:p w:rsidR="008B3AE9" w:rsidRPr="00033144" w:rsidRDefault="008B3AE9" w:rsidP="008B3AE9">
      <w:pPr>
        <w:numPr>
          <w:ilvl w:val="0"/>
          <w:numId w:val="24"/>
        </w:numPr>
      </w:pPr>
      <w:bookmarkStart w:id="281" w:name="_Ref433023804"/>
      <w:bookmarkStart w:id="282" w:name="_Ref433023841"/>
      <w:r w:rsidRPr="00033144">
        <w:t>Yield spreads are the difference between the yields on different assets, typically debt instruments. We examine two categories of yield spreads:</w:t>
      </w:r>
    </w:p>
    <w:p w:rsidR="008B3AE9" w:rsidRPr="00A71C54" w:rsidRDefault="008B3AE9" w:rsidP="008B3AE9">
      <w:pPr>
        <w:pStyle w:val="AERbulletlistfirststyle"/>
      </w:pPr>
      <w:r w:rsidRPr="00033144">
        <w:t>Credit spreads, used to inform our market risk premium estimate.</w:t>
      </w:r>
    </w:p>
    <w:p w:rsidR="008B3AE9" w:rsidRPr="00A71C54" w:rsidRDefault="008B3AE9" w:rsidP="008B3AE9">
      <w:pPr>
        <w:pStyle w:val="AERbulletlistfirststyle"/>
      </w:pPr>
      <w:r w:rsidRPr="00033144">
        <w:t>The spread between our equity risk premium and debt risk premium, used to inform our overall return on equity estimate.</w:t>
      </w:r>
    </w:p>
    <w:p w:rsidR="008B3AE9" w:rsidRPr="00033144" w:rsidRDefault="008B3AE9" w:rsidP="008B3AE9">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1053"/>
      </w:r>
      <w:r w:rsidRPr="00033144">
        <w:t xml:space="preserve"> We consider this information can be used to indicate changes in market conditions. That is, to indicate whether spreads are widening, stabilising or narrowing.</w:t>
      </w:r>
    </w:p>
    <w:p w:rsidR="008B3AE9" w:rsidRPr="00033144" w:rsidRDefault="002F4EEF" w:rsidP="008B3AE9">
      <w:pPr>
        <w:numPr>
          <w:ilvl w:val="0"/>
          <w:numId w:val="24"/>
        </w:numPr>
      </w:pPr>
      <w:r>
        <w:fldChar w:fldCharType="begin"/>
      </w:r>
      <w:r>
        <w:instrText xml:space="preserve"> REF _Ref484769468 \h </w:instrText>
      </w:r>
      <w:r>
        <w:fldChar w:fldCharType="separate"/>
      </w:r>
      <w:r w:rsidR="002C24D6" w:rsidRPr="00033144">
        <w:t xml:space="preserve">Figure </w:t>
      </w:r>
      <w:r w:rsidR="002C24D6">
        <w:rPr>
          <w:noProof/>
        </w:rPr>
        <w:t>3</w:t>
      </w:r>
      <w:r w:rsidR="002C24D6">
        <w:noBreakHyphen/>
      </w:r>
      <w:r w:rsidR="002C24D6">
        <w:rPr>
          <w:noProof/>
        </w:rPr>
        <w:t>9</w:t>
      </w:r>
      <w:r>
        <w:fldChar w:fldCharType="end"/>
      </w:r>
      <w:r>
        <w:t xml:space="preserve"> </w:t>
      </w:r>
      <w:r w:rsidR="008B3AE9" w:rsidRPr="00033144">
        <w:t xml:space="preserve">shows credit spreads for A-rated, AA-rated, and BBB-rated corporate debt instruments over yields on Australian government securities. These credit spreads were showing a clear downward trend from approximately 2012 before widening slightly in recent times. </w:t>
      </w:r>
    </w:p>
    <w:p w:rsidR="008B3AE9" w:rsidRPr="00033144" w:rsidRDefault="008B3AE9" w:rsidP="008B3AE9">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6A3314" w:rsidRPr="00033144" w:rsidRDefault="006A3314" w:rsidP="006A3314">
      <w:pPr>
        <w:pStyle w:val="Caption"/>
        <w:rPr>
          <w:rStyle w:val="Strong"/>
        </w:rPr>
      </w:pPr>
      <w:bookmarkStart w:id="283" w:name="_Ref484769468"/>
      <w:r w:rsidRPr="00033144">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9</w:t>
      </w:r>
      <w:r w:rsidR="002C24D6">
        <w:rPr>
          <w:noProof/>
        </w:rPr>
        <w:fldChar w:fldCharType="end"/>
      </w:r>
      <w:bookmarkEnd w:id="281"/>
      <w:bookmarkEnd w:id="283"/>
      <w:r w:rsidRPr="00033144">
        <w:tab/>
        <w:t>Australian bond spreads over government yields</w:t>
      </w:r>
    </w:p>
    <w:p w:rsidR="008B3AE9" w:rsidRPr="00033144" w:rsidRDefault="008B3AE9" w:rsidP="008B3AE9">
      <w:pPr>
        <w:numPr>
          <w:ilvl w:val="0"/>
          <w:numId w:val="24"/>
        </w:numPr>
      </w:pPr>
      <w:bookmarkStart w:id="284" w:name="_Ref456702743"/>
      <w:r w:rsidRPr="008B3AE9">
        <w:rPr>
          <w:noProof/>
          <w:lang w:eastAsia="en-AU"/>
        </w:rPr>
        <w:drawing>
          <wp:inline distT="0" distB="0" distL="0" distR="0" wp14:anchorId="07B3EAF8" wp14:editId="1C49EEEF">
            <wp:extent cx="3811219" cy="34732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08450" cy="3470756"/>
                    </a:xfrm>
                    <a:prstGeom prst="rect">
                      <a:avLst/>
                    </a:prstGeom>
                  </pic:spPr>
                </pic:pic>
              </a:graphicData>
            </a:graphic>
          </wp:inline>
        </w:drawing>
      </w:r>
    </w:p>
    <w:p w:rsidR="008B3AE9" w:rsidRPr="00033144" w:rsidRDefault="008B3AE9" w:rsidP="008B3AE9">
      <w:pPr>
        <w:pStyle w:val="AERtablesource"/>
        <w:rPr>
          <w:rStyle w:val="AERtexthighlight"/>
        </w:rPr>
      </w:pPr>
      <w:r w:rsidRPr="00033144">
        <w:t xml:space="preserve">Source: </w:t>
      </w:r>
      <w:r w:rsidRPr="00033144">
        <w:tab/>
      </w:r>
      <w:r>
        <w:t>RBA, Chart Pack, May 2017</w:t>
      </w:r>
      <w:r w:rsidRPr="00033144">
        <w:t xml:space="preserve">. </w:t>
      </w:r>
    </w:p>
    <w:p w:rsidR="008B3AE9" w:rsidRPr="00033144" w:rsidRDefault="008B3AE9" w:rsidP="008B3AE9">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8B3AE9" w:rsidRPr="00033144" w:rsidRDefault="002F4EEF" w:rsidP="008B3AE9">
      <w:r>
        <w:fldChar w:fldCharType="begin"/>
      </w:r>
      <w:r>
        <w:instrText xml:space="preserve"> REF _Ref484769494 \h </w:instrText>
      </w:r>
      <w:r>
        <w:fldChar w:fldCharType="separate"/>
      </w:r>
      <w:r w:rsidR="002C24D6" w:rsidRPr="00FA1E95">
        <w:t xml:space="preserve">Figure </w:t>
      </w:r>
      <w:r w:rsidR="002C24D6">
        <w:rPr>
          <w:noProof/>
        </w:rPr>
        <w:t>3</w:t>
      </w:r>
      <w:r w:rsidR="002C24D6">
        <w:noBreakHyphen/>
      </w:r>
      <w:r w:rsidR="002C24D6">
        <w:rPr>
          <w:noProof/>
        </w:rPr>
        <w:t>10</w:t>
      </w:r>
      <w:r>
        <w:fldChar w:fldCharType="end"/>
      </w:r>
      <w:r>
        <w:t xml:space="preserve"> </w:t>
      </w:r>
      <w:r w:rsidR="008B3AE9" w:rsidRPr="00033144">
        <w:t xml:space="preserve">shows the spread between state government debt and Australian government debt up to </w:t>
      </w:r>
      <w:r>
        <w:t>28 April 2017</w:t>
      </w:r>
      <w:r w:rsidR="008B3AE9" w:rsidRPr="00033144">
        <w:t xml:space="preserve">. This uses maturities of three years as more data are available. </w:t>
      </w:r>
      <w:r w:rsidR="00B40200">
        <w:fldChar w:fldCharType="begin"/>
      </w:r>
      <w:r w:rsidR="00B40200">
        <w:instrText xml:space="preserve"> REF _Ref484769494 \h </w:instrText>
      </w:r>
      <w:r w:rsidR="00B40200">
        <w:fldChar w:fldCharType="separate"/>
      </w:r>
      <w:r w:rsidR="002C24D6" w:rsidRPr="00FA1E95">
        <w:t xml:space="preserve">Figure </w:t>
      </w:r>
      <w:r w:rsidR="002C24D6">
        <w:rPr>
          <w:noProof/>
        </w:rPr>
        <w:t>3</w:t>
      </w:r>
      <w:r w:rsidR="002C24D6">
        <w:noBreakHyphen/>
      </w:r>
      <w:r w:rsidR="002C24D6">
        <w:rPr>
          <w:noProof/>
        </w:rPr>
        <w:t>10</w:t>
      </w:r>
      <w:r w:rsidR="00B40200">
        <w:fldChar w:fldCharType="end"/>
      </w:r>
      <w:r w:rsidR="00B40200">
        <w:t xml:space="preserve"> </w:t>
      </w:r>
      <w:r w:rsidR="008B3AE9" w:rsidRPr="00033144">
        <w:t xml:space="preserve">shows that credit spreads were falling since late 2012, and are now around their pre-2007 levels with no discernible trend. </w:t>
      </w:r>
    </w:p>
    <w:p w:rsidR="006A3314" w:rsidRDefault="006A3314" w:rsidP="008B3AE9">
      <w:pPr>
        <w:pStyle w:val="Caption"/>
      </w:pPr>
      <w:bookmarkStart w:id="285" w:name="_Ref484769494"/>
      <w:r w:rsidRPr="00FA1E95">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10</w:t>
      </w:r>
      <w:r w:rsidR="002C24D6">
        <w:rPr>
          <w:noProof/>
        </w:rPr>
        <w:fldChar w:fldCharType="end"/>
      </w:r>
      <w:bookmarkEnd w:id="282"/>
      <w:bookmarkEnd w:id="284"/>
      <w:bookmarkEnd w:id="285"/>
      <w:r w:rsidRPr="00FA1E95">
        <w:tab/>
        <w:t>State government bond spreads over government yields</w:t>
      </w:r>
      <w:bookmarkStart w:id="286" w:name="_Ref417589908"/>
    </w:p>
    <w:p w:rsidR="008B3AE9" w:rsidRPr="00FA1E95" w:rsidRDefault="00813684" w:rsidP="00813684">
      <w:pPr>
        <w:pStyle w:val="Caption"/>
      </w:pPr>
      <w:r w:rsidRPr="00813684">
        <w:rPr>
          <w:noProof/>
          <w:lang w:eastAsia="en-AU"/>
        </w:rPr>
        <w:drawing>
          <wp:inline distT="0" distB="0" distL="0" distR="0" wp14:anchorId="5B5FFB33" wp14:editId="0C34AC19">
            <wp:extent cx="5382895" cy="3080212"/>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3080212"/>
                    </a:xfrm>
                    <a:prstGeom prst="rect">
                      <a:avLst/>
                    </a:prstGeom>
                  </pic:spPr>
                </pic:pic>
              </a:graphicData>
            </a:graphic>
          </wp:inline>
        </w:drawing>
      </w:r>
    </w:p>
    <w:p w:rsidR="008B3AE9" w:rsidRPr="00FA1E95" w:rsidRDefault="008B3AE9" w:rsidP="008B3AE9">
      <w:pPr>
        <w:pStyle w:val="AERtablesource"/>
      </w:pPr>
      <w:r w:rsidRPr="00FA1E95">
        <w:t xml:space="preserve">Source: </w:t>
      </w:r>
      <w:r w:rsidRPr="00FA1E95">
        <w:tab/>
        <w:t xml:space="preserve">AER analysis, RBA F.2 interest rate statistics. </w:t>
      </w:r>
    </w:p>
    <w:p w:rsidR="008B3AE9" w:rsidRPr="00033144" w:rsidRDefault="008B3AE9" w:rsidP="008B3AE9">
      <w:pPr>
        <w:rPr>
          <w:rStyle w:val="AERbody"/>
        </w:rPr>
      </w:pPr>
      <w:r w:rsidRPr="00033144">
        <w:rPr>
          <w:rStyle w:val="AERbody"/>
        </w:rPr>
        <w:t>On the comparison between the return on equity and return on debt, we consider that prevailing debt market conditions provide support for the view that:</w:t>
      </w:r>
    </w:p>
    <w:p w:rsidR="008B3AE9" w:rsidRPr="00A71C54" w:rsidRDefault="008B3AE9" w:rsidP="008B3AE9">
      <w:pPr>
        <w:pStyle w:val="AERbulletlistfirststyle"/>
      </w:pPr>
      <w:r w:rsidRPr="00033144">
        <w:t>our estimated return on equity is not below efficient financing costs</w:t>
      </w:r>
      <w:r w:rsidRPr="00A71C54">
        <w:rPr>
          <w:rStyle w:val="FootnoteReference"/>
        </w:rPr>
        <w:footnoteReference w:id="1054"/>
      </w:r>
    </w:p>
    <w:p w:rsidR="008B3AE9" w:rsidRPr="00A71C54" w:rsidRDefault="00484671" w:rsidP="008B3AE9">
      <w:pPr>
        <w:pStyle w:val="AERbulletlistfirststyle"/>
      </w:pPr>
      <w:r>
        <w:t>APTPPL's</w:t>
      </w:r>
      <w:r w:rsidRPr="00A71C54">
        <w:t xml:space="preserve"> </w:t>
      </w:r>
      <w:r w:rsidR="008B3AE9" w:rsidRPr="00A71C54">
        <w:t>proposed return on equity is likely to exceed efficient financing costs.</w:t>
      </w:r>
    </w:p>
    <w:p w:rsidR="008B3AE9" w:rsidRPr="00033144" w:rsidRDefault="008B3AE9" w:rsidP="008B3AE9">
      <w:pPr>
        <w:numPr>
          <w:ilvl w:val="0"/>
          <w:numId w:val="24"/>
        </w:numPr>
      </w:pPr>
      <w:r w:rsidRPr="00033144">
        <w:t xml:space="preserve">The current debt market is indicating a premium over the risk free rate of about </w:t>
      </w:r>
      <w:r w:rsidR="00F77568">
        <w:t>2.21</w:t>
      </w:r>
      <w:r w:rsidRPr="00033144">
        <w:t xml:space="preserve"> per cent.</w:t>
      </w:r>
      <w:r w:rsidRPr="00033144">
        <w:rPr>
          <w:rStyle w:val="FootnoteReference"/>
        </w:rPr>
        <w:footnoteReference w:id="1055"/>
      </w:r>
      <w:r w:rsidRPr="00033144">
        <w:t xml:space="preserve"> This compares to our foundation model equity premium over the risk free rate of 4.55 per cent (given a market risk premium of 6.5 per cent and a beta of 0.7). </w:t>
      </w:r>
      <w:r>
        <w:fldChar w:fldCharType="begin"/>
      </w:r>
      <w:r>
        <w:instrText xml:space="preserve"> REF _Ref456700933 \h </w:instrText>
      </w:r>
      <w:r>
        <w:fldChar w:fldCharType="separate"/>
      </w:r>
      <w:r w:rsidR="002C24D6">
        <w:t xml:space="preserve">Figure </w:t>
      </w:r>
      <w:r w:rsidR="002C24D6">
        <w:rPr>
          <w:noProof/>
        </w:rPr>
        <w:t>3</w:t>
      </w:r>
      <w:r w:rsidR="002C24D6">
        <w:noBreakHyphen/>
      </w:r>
      <w:r w:rsidR="002C24D6">
        <w:rPr>
          <w:noProof/>
        </w:rPr>
        <w:t>11</w:t>
      </w:r>
      <w:r>
        <w:fldChar w:fldCharType="end"/>
      </w:r>
      <w:r>
        <w:t xml:space="preserve"> </w:t>
      </w:r>
      <w:r w:rsidRPr="00033144">
        <w:t xml:space="preserve">shows the current and historical debt risk premium and our foundation model equity risk premium. </w:t>
      </w:r>
      <w:r w:rsidR="00AD75F7">
        <w:t xml:space="preserve">APTPPL </w:t>
      </w:r>
      <w:r>
        <w:t>proposed</w:t>
      </w:r>
      <w:r w:rsidRPr="00033144">
        <w:t xml:space="preserve"> an equity risk premium of </w:t>
      </w:r>
      <w:r w:rsidR="00AD75F7">
        <w:t>6.45</w:t>
      </w:r>
      <w:r w:rsidRPr="00033144">
        <w:t xml:space="preserve"> per cent.</w:t>
      </w:r>
      <w:r w:rsidRPr="00033144">
        <w:rPr>
          <w:rStyle w:val="FootnoteReference"/>
        </w:rPr>
        <w:footnoteReference w:id="1056"/>
      </w:r>
    </w:p>
    <w:p w:rsidR="008B3AE9" w:rsidRPr="008B3AE9" w:rsidRDefault="008B3AE9" w:rsidP="008B3AE9"/>
    <w:p w:rsidR="008B3AE9" w:rsidRDefault="006A3314" w:rsidP="008B3AE9">
      <w:pPr>
        <w:pStyle w:val="Caption"/>
      </w:pPr>
      <w:bookmarkStart w:id="287" w:name="_Ref456700933"/>
      <w:bookmarkEnd w:id="286"/>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11</w:t>
      </w:r>
      <w:r w:rsidR="002C24D6">
        <w:rPr>
          <w:noProof/>
        </w:rPr>
        <w:fldChar w:fldCharType="end"/>
      </w:r>
      <w:bookmarkEnd w:id="287"/>
      <w:r>
        <w:t xml:space="preserve"> </w:t>
      </w:r>
      <w:r w:rsidRPr="00E4520A">
        <w:t>Comparison of equity risk premium and indicative debt risk premiums</w:t>
      </w:r>
      <w:bookmarkStart w:id="288" w:name="_Ref444730279"/>
    </w:p>
    <w:p w:rsidR="008B3AE9" w:rsidRPr="003C3515" w:rsidRDefault="008B3AE9" w:rsidP="008B3AE9">
      <w:r w:rsidRPr="008B3AE9">
        <w:rPr>
          <w:noProof/>
          <w:lang w:eastAsia="en-AU"/>
        </w:rPr>
        <w:drawing>
          <wp:inline distT="0" distB="0" distL="0" distR="0" wp14:anchorId="5BBAE304" wp14:editId="2BA4098A">
            <wp:extent cx="5731510" cy="297842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978426"/>
                    </a:xfrm>
                    <a:prstGeom prst="rect">
                      <a:avLst/>
                    </a:prstGeom>
                  </pic:spPr>
                </pic:pic>
              </a:graphicData>
            </a:graphic>
          </wp:inline>
        </w:drawing>
      </w:r>
    </w:p>
    <w:p w:rsidR="008B3AE9" w:rsidRPr="00033144" w:rsidRDefault="008B3AE9" w:rsidP="008B3AE9">
      <w:pPr>
        <w:pStyle w:val="AERtablesource"/>
      </w:pPr>
      <w:r w:rsidRPr="00033144">
        <w:t>Source:</w:t>
      </w:r>
      <w:r w:rsidRPr="00033144">
        <w:tab/>
        <w:t>AER analysis, RBA interest rates statistics, Bloomberg data.</w:t>
      </w:r>
    </w:p>
    <w:p w:rsidR="008B3AE9" w:rsidRPr="00033144" w:rsidRDefault="008B3AE9" w:rsidP="008B3AE9">
      <w:pPr>
        <w:numPr>
          <w:ilvl w:val="0"/>
          <w:numId w:val="24"/>
        </w:numPr>
      </w:pPr>
      <w:r w:rsidRPr="00033144">
        <w:t xml:space="preserve">We do not consider that the current </w:t>
      </w:r>
      <w:r>
        <w:t>2</w:t>
      </w:r>
      <w:r w:rsidR="00F64702">
        <w:t>2</w:t>
      </w:r>
      <w:r w:rsidR="00DE2C9D">
        <w:t>1</w:t>
      </w:r>
      <w:r w:rsidRPr="00033144">
        <w:t xml:space="preserve"> basis points difference between the equity risk premium allowed in this decision and debt risk premiums</w:t>
      </w:r>
      <w:r w:rsidRPr="00033144">
        <w:rPr>
          <w:rStyle w:val="FootnoteReference"/>
        </w:rPr>
        <w:footnoteReference w:id="1057"/>
      </w:r>
      <w:r w:rsidRPr="00033144">
        <w:t xml:space="preserve"> to be too low, on the basis of:</w:t>
      </w:r>
    </w:p>
    <w:p w:rsidR="008B3AE9" w:rsidRPr="00A71C54" w:rsidRDefault="008B3AE9" w:rsidP="008B3AE9">
      <w:pPr>
        <w:pStyle w:val="AERbulletlistfirststyle"/>
      </w:pPr>
      <w:r w:rsidRPr="00033144">
        <w:t>the low risk nature of a benchmark efficient entity as outlined above</w:t>
      </w:r>
    </w:p>
    <w:p w:rsidR="008B3AE9" w:rsidRPr="00A71C54" w:rsidRDefault="008B3AE9" w:rsidP="008B3AE9">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1058"/>
      </w:r>
    </w:p>
    <w:p w:rsidR="008B3AE9" w:rsidRPr="00033144" w:rsidRDefault="008B3AE9" w:rsidP="008B3AE9">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1059"/>
      </w:r>
    </w:p>
    <w:p w:rsidR="008B3AE9" w:rsidRPr="00033144" w:rsidRDefault="008B3AE9" w:rsidP="008B3AE9">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8B3AE9" w:rsidRPr="00033144" w:rsidRDefault="008B3AE9" w:rsidP="008B3AE9">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1060"/>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1061"/>
      </w:r>
    </w:p>
    <w:p w:rsidR="008B3AE9" w:rsidRPr="00033144" w:rsidRDefault="008B3AE9" w:rsidP="008B3AE9">
      <w:r w:rsidRPr="00033144">
        <w:t xml:space="preserve">We note that the overall directional evidence shows that debt risk </w:t>
      </w:r>
      <w:r>
        <w:t>decreased during the middle of 2016 but then increased towards the end of the year</w:t>
      </w:r>
      <w:r w:rsidRPr="00033144">
        <w:t xml:space="preserve">, </w:t>
      </w:r>
      <w:r>
        <w:t>keeping them</w:t>
      </w:r>
      <w:r w:rsidRPr="00033144">
        <w:t xml:space="preserve"> below the levels in December 2013 (when our Rate of Return Guideline was published), as shown in</w:t>
      </w:r>
      <w:r>
        <w:t xml:space="preserve"> </w:t>
      </w:r>
      <w:r>
        <w:fldChar w:fldCharType="begin"/>
      </w:r>
      <w:r>
        <w:instrText xml:space="preserve"> REF _Ref456700933 \h </w:instrText>
      </w:r>
      <w:r>
        <w:fldChar w:fldCharType="separate"/>
      </w:r>
      <w:r w:rsidR="002C24D6">
        <w:t xml:space="preserve">Figure </w:t>
      </w:r>
      <w:r w:rsidR="002C24D6">
        <w:rPr>
          <w:noProof/>
        </w:rPr>
        <w:t>3</w:t>
      </w:r>
      <w:r w:rsidR="002C24D6">
        <w:noBreakHyphen/>
      </w:r>
      <w:r w:rsidR="002C24D6">
        <w:rPr>
          <w:noProof/>
        </w:rPr>
        <w:t>11</w:t>
      </w:r>
      <w:r>
        <w:fldChar w:fldCharType="end"/>
      </w:r>
      <w:r>
        <w:t xml:space="preserve">. </w:t>
      </w:r>
    </w:p>
    <w:p w:rsidR="008B3AE9" w:rsidRPr="00033144" w:rsidRDefault="008B3AE9" w:rsidP="008B3AE9">
      <w:r w:rsidRPr="00033144">
        <w:t>We have also examined estimates from broker reports of the spread between debt and equity risk premiums for comparable businesses (see</w:t>
      </w:r>
      <w:r w:rsidR="00B40200">
        <w:t xml:space="preserve"> </w:t>
      </w:r>
      <w:r w:rsidR="00B40200">
        <w:fldChar w:fldCharType="begin"/>
      </w:r>
      <w:r w:rsidR="00B40200">
        <w:instrText xml:space="preserve"> REF _Ref484769553 \h </w:instrText>
      </w:r>
      <w:r w:rsidR="00B40200">
        <w:fldChar w:fldCharType="separate"/>
      </w:r>
      <w:r w:rsidR="002C24D6" w:rsidRPr="00033144">
        <w:t xml:space="preserve">Figure </w:t>
      </w:r>
      <w:r w:rsidR="002C24D6">
        <w:rPr>
          <w:noProof/>
        </w:rPr>
        <w:t>3</w:t>
      </w:r>
      <w:r w:rsidR="002C24D6">
        <w:noBreakHyphen/>
      </w:r>
      <w:r w:rsidR="002C24D6">
        <w:rPr>
          <w:noProof/>
        </w:rPr>
        <w:t>12</w:t>
      </w:r>
      <w:r w:rsidR="00B40200">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6A3314" w:rsidRDefault="006A3314" w:rsidP="008B3AE9">
      <w:pPr>
        <w:pStyle w:val="Caption"/>
      </w:pPr>
      <w:bookmarkStart w:id="289" w:name="_Ref484769553"/>
      <w:r w:rsidRPr="00033144">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12</w:t>
      </w:r>
      <w:r w:rsidR="002C24D6">
        <w:rPr>
          <w:noProof/>
        </w:rPr>
        <w:fldChar w:fldCharType="end"/>
      </w:r>
      <w:bookmarkEnd w:id="288"/>
      <w:bookmarkEnd w:id="289"/>
      <w:r w:rsidRPr="00033144">
        <w:tab/>
        <w:t>Difference between equity and debt premiums in broker reports</w:t>
      </w:r>
    </w:p>
    <w:p w:rsidR="006A3314" w:rsidRDefault="00B05B6C" w:rsidP="006A3314">
      <w:r w:rsidRPr="00B05B6C">
        <w:t xml:space="preserve"> </w:t>
      </w:r>
    </w:p>
    <w:p w:rsidR="000601FC" w:rsidRPr="00033144" w:rsidRDefault="000601FC" w:rsidP="006A3314">
      <w:r w:rsidRPr="000601FC">
        <w:rPr>
          <w:noProof/>
          <w:lang w:eastAsia="en-AU"/>
        </w:rPr>
        <w:drawing>
          <wp:inline distT="0" distB="0" distL="0" distR="0" wp14:anchorId="4F0EBAFD" wp14:editId="03285D2C">
            <wp:extent cx="5382895" cy="3541284"/>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2895" cy="3541284"/>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of various relevant broker reports, RBA and Bloomberg data.</w:t>
      </w:r>
    </w:p>
    <w:p w:rsidR="006A3314" w:rsidRPr="00033144" w:rsidRDefault="006A3314" w:rsidP="006A331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6A3314" w:rsidRPr="00033144" w:rsidRDefault="006A3314" w:rsidP="006A331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6A3314" w:rsidRPr="00F409A8" w:rsidRDefault="006A3314" w:rsidP="006A3314">
      <w:pPr>
        <w:pStyle w:val="Caption"/>
      </w:pPr>
    </w:p>
    <w:p w:rsidR="006A3314" w:rsidRDefault="006A3314" w:rsidP="006A3314"/>
    <w:p w:rsidR="006A3314" w:rsidRDefault="006A3314" w:rsidP="006A3314"/>
    <w:p w:rsidR="006A3314" w:rsidRDefault="006A3314" w:rsidP="006A3314">
      <w:pPr>
        <w:pStyle w:val="Heading7"/>
      </w:pPr>
      <w:bookmarkStart w:id="290" w:name="_Toc452629088"/>
      <w:bookmarkStart w:id="291" w:name="_Toc456686738"/>
      <w:bookmarkStart w:id="292" w:name="_Ref484768892"/>
      <w:bookmarkStart w:id="293" w:name="_Ref484769029"/>
      <w:bookmarkStart w:id="294" w:name="_Ref485635043"/>
      <w:bookmarkStart w:id="295" w:name="_Toc487037172"/>
      <w:r>
        <w:t>Other practitioner's return on equity estimates</w:t>
      </w:r>
      <w:bookmarkEnd w:id="290"/>
      <w:bookmarkEnd w:id="291"/>
      <w:bookmarkEnd w:id="292"/>
      <w:bookmarkEnd w:id="293"/>
      <w:bookmarkEnd w:id="294"/>
      <w:bookmarkEnd w:id="295"/>
    </w:p>
    <w:p w:rsidR="008B3AE9" w:rsidRPr="008F4F73" w:rsidRDefault="008B3AE9" w:rsidP="008B3AE9">
      <w:pPr>
        <w:numPr>
          <w:ilvl w:val="0"/>
          <w:numId w:val="24"/>
        </w:numPr>
      </w:pPr>
      <w:bookmarkStart w:id="296" w:name="_Toc443923230"/>
      <w:bookmarkStart w:id="297" w:name="_Ref446272549"/>
      <w:bookmarkStart w:id="298" w:name="_Toc451943806"/>
      <w:bookmarkStart w:id="299" w:name="_Toc456686739"/>
      <w:r w:rsidRPr="008F4F73">
        <w:t xml:space="preserve">Other market practitioners may, in the course of their operations, produce return on equity estimates for entities with a similar degree of risk as </w:t>
      </w:r>
      <w:r w:rsidR="005B1D7B">
        <w:t>APTPPL</w:t>
      </w:r>
      <w:r w:rsidRPr="008F4F73">
        <w:t xml:space="preserve">. Other practitioners may also produce estimates of input parameters required in the Sharpe-Lintner CAPM (our foundation model). These estimates may be relevant material that can inform our return on equity estimation. </w:t>
      </w:r>
    </w:p>
    <w:p w:rsidR="008B3AE9" w:rsidRPr="008F4F73" w:rsidRDefault="008B3AE9" w:rsidP="008B3AE9">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8B3AE9" w:rsidRPr="008F4F73" w:rsidRDefault="008B3AE9" w:rsidP="008B3AE9">
      <w:r w:rsidRPr="008F4F73">
        <w:t xml:space="preserve">We have focused on return on equity estimates for companies with a similar degree of non-diversifiable risks as </w:t>
      </w:r>
      <w:r w:rsidR="005B1D7B">
        <w:t>APTPPL</w:t>
      </w:r>
      <w:r w:rsidR="005B1D7B" w:rsidRPr="00B01FE9">
        <w:t xml:space="preserve"> </w:t>
      </w:r>
      <w:r w:rsidRPr="008F4F73">
        <w:t xml:space="preserve">in providing </w:t>
      </w:r>
      <w:r w:rsidR="005A5876">
        <w:t>reference</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5A5876">
        <w:t>APTPPL</w:t>
      </w:r>
      <w:r w:rsidRPr="00B01FE9">
        <w:t xml:space="preserve"> </w:t>
      </w:r>
      <w:r w:rsidRPr="008F4F73">
        <w:t xml:space="preserve">in relation to the provision of </w:t>
      </w:r>
      <w:r w:rsidR="005A5876" w:rsidRPr="008F4F73">
        <w:t>r</w:t>
      </w:r>
      <w:r w:rsidR="005A5876">
        <w:t>eference</w:t>
      </w:r>
      <w:r w:rsidR="005A5876" w:rsidRPr="008F4F73">
        <w:t xml:space="preserve"> </w:t>
      </w:r>
      <w:r w:rsidRPr="008F4F73">
        <w:t>services.</w:t>
      </w:r>
    </w:p>
    <w:p w:rsidR="008B3AE9" w:rsidRDefault="008B3AE9" w:rsidP="008B3AE9">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1062"/>
      </w:r>
    </w:p>
    <w:p w:rsidR="008B3AE9" w:rsidRDefault="008B3AE9" w:rsidP="008B3AE9">
      <w:r>
        <w:t>Some service providers</w:t>
      </w:r>
      <w:r w:rsidRPr="008F4F73">
        <w:t xml:space="preserve"> </w:t>
      </w:r>
      <w:r>
        <w:t xml:space="preserve">have </w:t>
      </w:r>
      <w:r w:rsidRPr="008F4F73">
        <w:t>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1063"/>
      </w:r>
      <w:r w:rsidRPr="008F4F73">
        <w:t xml:space="preserve"> We note that some estimates from other market practitioners—including from survey respondents, brokers and valuers—may be affected to some extent by 'herding' behaviour.</w:t>
      </w:r>
      <w:r w:rsidRPr="008F4F73">
        <w:rPr>
          <w:rStyle w:val="FootnoteReference"/>
        </w:rPr>
        <w:footnoteReference w:id="1064"/>
      </w:r>
      <w:r w:rsidRPr="008F4F73">
        <w:t xml:space="preserve"> We continue to consider that it is relevant for us to have some regard to these estimates, as long as we remain aware of their limitations.</w:t>
      </w:r>
    </w:p>
    <w:p w:rsidR="006A3314" w:rsidRDefault="006A3314" w:rsidP="00CC7A1C">
      <w:pPr>
        <w:pStyle w:val="Heading8"/>
        <w:numPr>
          <w:ilvl w:val="1"/>
          <w:numId w:val="31"/>
        </w:numPr>
      </w:pPr>
      <w:bookmarkStart w:id="300" w:name="_Toc487037173"/>
      <w:r>
        <w:t>Prevailing estimates: surveys</w:t>
      </w:r>
      <w:bookmarkEnd w:id="296"/>
      <w:bookmarkEnd w:id="297"/>
      <w:bookmarkEnd w:id="298"/>
      <w:bookmarkEnd w:id="299"/>
      <w:bookmarkEnd w:id="300"/>
    </w:p>
    <w:p w:rsidR="008B3AE9" w:rsidRPr="00954DE4" w:rsidRDefault="008B3AE9" w:rsidP="008B3AE9">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8B3AE9" w:rsidRPr="00954DE4" w:rsidRDefault="008B3AE9" w:rsidP="008B3AE9">
      <w:r>
        <w:fldChar w:fldCharType="begin"/>
      </w:r>
      <w:r>
        <w:instrText xml:space="preserve"> REF _Ref432620068 \h </w:instrText>
      </w:r>
      <w:r>
        <w:fldChar w:fldCharType="separate"/>
      </w:r>
      <w:r w:rsidR="002C24D6">
        <w:t xml:space="preserve">Table </w:t>
      </w:r>
      <w:r w:rsidR="002C24D6">
        <w:rPr>
          <w:noProof/>
        </w:rPr>
        <w:t>3</w:t>
      </w:r>
      <w:r w:rsidR="002C24D6">
        <w:noBreakHyphen/>
      </w:r>
      <w:r w:rsidR="002C24D6">
        <w:rPr>
          <w:noProof/>
        </w:rPr>
        <w:t>26</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8B3AE9" w:rsidRPr="006F371E" w:rsidRDefault="008B3AE9" w:rsidP="008B3AE9">
      <w:pPr>
        <w:pStyle w:val="Caption"/>
      </w:pPr>
      <w:bookmarkStart w:id="301" w:name="_Ref432620068"/>
      <w:r>
        <w:t xml:space="preserve">Table </w:t>
      </w:r>
      <w:r w:rsidRPr="008B3AE9">
        <w:fldChar w:fldCharType="begin"/>
      </w:r>
      <w:r>
        <w:instrText xml:space="preserve"> STYLEREF 1 \s </w:instrText>
      </w:r>
      <w:r w:rsidRPr="008B3AE9">
        <w:fldChar w:fldCharType="separate"/>
      </w:r>
      <w:r w:rsidR="002C24D6">
        <w:rPr>
          <w:noProof/>
        </w:rPr>
        <w:t>3</w:t>
      </w:r>
      <w:r w:rsidRPr="008B3AE9">
        <w:fldChar w:fldCharType="end"/>
      </w:r>
      <w:r>
        <w:noBreakHyphen/>
      </w:r>
      <w:r w:rsidRPr="008B3AE9">
        <w:fldChar w:fldCharType="begin"/>
      </w:r>
      <w:r>
        <w:instrText xml:space="preserve"> SEQ Table \* ARABIC \s 1 </w:instrText>
      </w:r>
      <w:r w:rsidRPr="008B3AE9">
        <w:fldChar w:fldCharType="separate"/>
      </w:r>
      <w:r w:rsidR="002C24D6">
        <w:rPr>
          <w:noProof/>
        </w:rPr>
        <w:t>26</w:t>
      </w:r>
      <w:r w:rsidRPr="008B3AE9">
        <w:fldChar w:fldCharType="end"/>
      </w:r>
      <w:bookmarkEnd w:id="301"/>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8B3AE9" w:rsidRPr="00286F47" w:rsidTr="00C92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Survey</w:t>
            </w:r>
          </w:p>
        </w:tc>
        <w:tc>
          <w:tcPr>
            <w:tcW w:w="1890"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Mean</w:t>
            </w:r>
            <w:r w:rsidRPr="008B3AE9">
              <w:t xml:space="preserve"> (%)</w:t>
            </w:r>
          </w:p>
        </w:tc>
        <w:tc>
          <w:tcPr>
            <w:tcW w:w="1355"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Median</w:t>
            </w:r>
            <w:r w:rsidRPr="008B3AE9">
              <w:t xml:space="preserve"> (%)</w:t>
            </w:r>
          </w:p>
        </w:tc>
        <w:tc>
          <w:tcPr>
            <w:tcW w:w="1388"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Mode</w:t>
            </w:r>
            <w:r w:rsidRPr="008B3AE9">
              <w:t xml:space="preserve"> (%)</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Fernandez</w:t>
            </w:r>
            <w:r w:rsidRPr="008B3AE9">
              <w:t xml:space="preserve"> et al (2013)</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KPMG (2013)</w:t>
            </w:r>
            <w:r w:rsidRPr="008B3AE9">
              <w:rPr>
                <w:rStyle w:val="AERsuperscript"/>
              </w:rPr>
              <w:t>a</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Fernandez et</w:t>
            </w:r>
            <w:r w:rsidRPr="008B3AE9">
              <w:t xml:space="preserve"> al (2013)</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 and Hickling (2013)</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 xml:space="preserve">Fernandez </w:t>
            </w:r>
            <w:r w:rsidRPr="008B3AE9">
              <w:t>et al (2014)</w:t>
            </w:r>
            <w:r w:rsidRPr="008B3AE9">
              <w:rPr>
                <w:rStyle w:val="AERsuperscript"/>
              </w:rPr>
              <w:t xml:space="preserve"> b</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w:t>
            </w:r>
            <w:r w:rsidRPr="008B3AE9">
              <w:t xml:space="preserve"> and Hickling (2014)</w:t>
            </w:r>
            <w:r w:rsidRPr="008B3AE9">
              <w:rPr>
                <w:rStyle w:val="AERsuperscript"/>
              </w:rPr>
              <w:t xml:space="preserve"> c</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 xml:space="preserve">Fernandez et al </w:t>
            </w:r>
            <w:r w:rsidRPr="008B3AE9">
              <w:t>(2015)</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KPMG (2015)</w:t>
            </w:r>
            <w:r w:rsidRPr="008B3AE9">
              <w:rPr>
                <w:rStyle w:val="AERsuperscript"/>
              </w:rPr>
              <w:t xml:space="preserve"> d</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 and Carruther (2015)</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29</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4.9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Fernandez et al (2016)</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87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N/A</w:t>
            </w:r>
          </w:p>
        </w:tc>
      </w:tr>
      <w:tr w:rsidR="00813684" w:rsidTr="00C926DB">
        <w:tc>
          <w:tcPr>
            <w:cnfStyle w:val="001000000000" w:firstRow="0" w:lastRow="0" w:firstColumn="1" w:lastColumn="0" w:oddVBand="0" w:evenVBand="0" w:oddHBand="0" w:evenHBand="0" w:firstRowFirstColumn="0" w:firstRowLastColumn="0" w:lastRowFirstColumn="0" w:lastRowLastColumn="0"/>
            <w:tcW w:w="2603" w:type="dxa"/>
          </w:tcPr>
          <w:p w:rsidR="00813684" w:rsidRPr="00813684" w:rsidRDefault="00813684" w:rsidP="00813684">
            <w:r>
              <w:t>Carruther (2016)</w:t>
            </w:r>
          </w:p>
        </w:tc>
        <w:tc>
          <w:tcPr>
            <w:tcW w:w="1890"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24</w:t>
            </w:r>
          </w:p>
        </w:tc>
        <w:tc>
          <w:tcPr>
            <w:tcW w:w="1457"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5.3</w:t>
            </w:r>
          </w:p>
        </w:tc>
        <w:tc>
          <w:tcPr>
            <w:tcW w:w="1355"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N/A</w:t>
            </w:r>
          </w:p>
        </w:tc>
      </w:tr>
    </w:tbl>
    <w:p w:rsidR="008B3AE9" w:rsidRDefault="008B3AE9" w:rsidP="008B3AE9">
      <w:pPr>
        <w:pStyle w:val="AERtablesource"/>
      </w:pPr>
      <w:r>
        <w:t>Sources:  Several survey reports.</w:t>
      </w:r>
      <w:r>
        <w:rPr>
          <w:rStyle w:val="FootnoteReference"/>
        </w:rPr>
        <w:footnoteReference w:id="1065"/>
      </w:r>
    </w:p>
    <w:p w:rsidR="008B3AE9" w:rsidRDefault="008B3AE9" w:rsidP="008B3AE9">
      <w:pPr>
        <w:pStyle w:val="AERtablesource"/>
      </w:pPr>
      <w:r w:rsidRPr="003723C8">
        <w:t xml:space="preserve">Notes: </w:t>
      </w:r>
      <w:r w:rsidRPr="003723C8">
        <w:tab/>
      </w:r>
      <w:r>
        <w:t>a) While this survey had 23 market participants, 19 specified what market risk premium they used.</w:t>
      </w:r>
    </w:p>
    <w:p w:rsidR="008B3AE9" w:rsidRDefault="008B3AE9" w:rsidP="008B3AE9">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8B3AE9" w:rsidRDefault="008B3AE9" w:rsidP="008B3AE9">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8B3AE9" w:rsidRPr="00B74249" w:rsidRDefault="008B3AE9" w:rsidP="008B3AE9">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8B3AE9" w:rsidRDefault="008B3AE9" w:rsidP="008B3AE9">
      <w:pPr>
        <w:rPr>
          <w:rStyle w:val="AERbody"/>
        </w:rPr>
      </w:pPr>
      <w:r>
        <w:rPr>
          <w:rStyle w:val="AERbody"/>
        </w:rPr>
        <w:t>Several factors should be considered when examining survey evidence:</w:t>
      </w:r>
      <w:r>
        <w:rPr>
          <w:rStyle w:val="FootnoteReference"/>
        </w:rPr>
        <w:footnoteReference w:id="1066"/>
      </w:r>
    </w:p>
    <w:p w:rsidR="008B3AE9" w:rsidRPr="006C49DC" w:rsidRDefault="008B3AE9" w:rsidP="008B3AE9">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1067"/>
      </w:r>
      <w:r w:rsidRPr="006C49DC">
        <w:t xml:space="preserve">  </w:t>
      </w:r>
    </w:p>
    <w:p w:rsidR="008B3AE9" w:rsidRPr="006C49DC" w:rsidRDefault="008B3AE9" w:rsidP="008B3AE9">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1068"/>
      </w:r>
    </w:p>
    <w:p w:rsidR="008B3AE9" w:rsidRPr="006C49DC" w:rsidRDefault="008B3AE9" w:rsidP="008B3AE9">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8B3AE9" w:rsidRPr="006C49DC" w:rsidRDefault="008B3AE9" w:rsidP="008B3AE9">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1069"/>
      </w:r>
      <w:r w:rsidRPr="006C49DC">
        <w:t xml:space="preserve"> </w:t>
      </w:r>
    </w:p>
    <w:p w:rsidR="008B3AE9" w:rsidRDefault="008B3AE9" w:rsidP="008B3AE9">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2C24D6">
        <w:t xml:space="preserve">Table </w:t>
      </w:r>
      <w:r w:rsidR="002C24D6">
        <w:rPr>
          <w:noProof/>
        </w:rPr>
        <w:t>3</w:t>
      </w:r>
      <w:r w:rsidR="002C24D6">
        <w:noBreakHyphen/>
      </w:r>
      <w:r w:rsidR="002C24D6">
        <w:rPr>
          <w:noProof/>
        </w:rPr>
        <w:t>26</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1070"/>
      </w:r>
      <w:r>
        <w:t xml:space="preserve"> </w:t>
      </w:r>
    </w:p>
    <w:p w:rsidR="008B3AE9" w:rsidRPr="00C852A1" w:rsidRDefault="008B3AE9" w:rsidP="008B3AE9">
      <w:r>
        <w:t>AusNet Services has re</w:t>
      </w:r>
      <w:r w:rsidRPr="00C852A1">
        <w:t xml:space="preserve">submitted that survey evidence </w:t>
      </w:r>
      <w:r>
        <w:t>should not be considered given methodological shortcomings (such as the content and relevance of the questions and potential bias in the survey groups).</w:t>
      </w:r>
      <w:r>
        <w:rPr>
          <w:rStyle w:val="FootnoteReference"/>
        </w:rPr>
        <w:footnoteReference w:id="1071"/>
      </w:r>
      <w:r>
        <w:t xml:space="preserve"> </w:t>
      </w:r>
      <w:r w:rsidRPr="00C852A1">
        <w:t xml:space="preserve">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8B3AE9" w:rsidRDefault="008B3AE9" w:rsidP="008B3AE9">
      <w:r w:rsidRPr="00C852A1">
        <w:t xml:space="preserve">Several service providers </w:t>
      </w:r>
      <w:r>
        <w:t>previously</w:t>
      </w:r>
      <w:r w:rsidRPr="00C852A1">
        <w:t xml:space="preserve"> submitted that the surveys we use do not appear to </w:t>
      </w:r>
      <w:r>
        <w:t>comply</w:t>
      </w:r>
      <w:r w:rsidRPr="00C852A1">
        <w:t xml:space="preserve"> with the Federal Court guidelines for conducting surveys.</w:t>
      </w:r>
      <w:r w:rsidRPr="00C852A1">
        <w:rPr>
          <w:rStyle w:val="FootnoteReference"/>
        </w:rPr>
        <w:footnoteReference w:id="1072"/>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8B3AE9" w:rsidRPr="008B3AE9" w:rsidRDefault="008B3AE9" w:rsidP="008B3AE9"/>
    <w:p w:rsidR="006A3314" w:rsidRPr="008F4F73" w:rsidRDefault="006A3314" w:rsidP="006A3314">
      <w:pPr>
        <w:pStyle w:val="Heading8"/>
      </w:pPr>
      <w:bookmarkStart w:id="302" w:name="_Ref445898024"/>
      <w:bookmarkStart w:id="303" w:name="_Toc451943807"/>
      <w:bookmarkStart w:id="304" w:name="_Toc456686740"/>
      <w:bookmarkStart w:id="305" w:name="_Toc487037174"/>
      <w:r w:rsidRPr="008F4F73">
        <w:t>Prevailing estimates: broker reports</w:t>
      </w:r>
      <w:bookmarkEnd w:id="302"/>
      <w:bookmarkEnd w:id="303"/>
      <w:bookmarkEnd w:id="304"/>
      <w:bookmarkEnd w:id="305"/>
    </w:p>
    <w:bookmarkStart w:id="306" w:name="_Ref444708458"/>
    <w:p w:rsidR="008B3AE9" w:rsidRPr="003C2547" w:rsidRDefault="008B3AE9" w:rsidP="008B3AE9">
      <w:pPr>
        <w:numPr>
          <w:ilvl w:val="0"/>
          <w:numId w:val="24"/>
        </w:numPr>
        <w:rPr>
          <w:rStyle w:val="AERtextblue"/>
        </w:rPr>
      </w:pPr>
      <w:r w:rsidRPr="003C2547">
        <w:fldChar w:fldCharType="begin"/>
      </w:r>
      <w:r w:rsidRPr="003C2547">
        <w:instrText xml:space="preserve"> REF _Ref443644282 \h </w:instrText>
      </w:r>
      <w:r w:rsidRPr="003C2547">
        <w:fldChar w:fldCharType="separate"/>
      </w:r>
      <w:r w:rsidR="002C24D6" w:rsidRPr="003C2547">
        <w:t xml:space="preserve">Table </w:t>
      </w:r>
      <w:r w:rsidR="002C24D6">
        <w:rPr>
          <w:noProof/>
        </w:rPr>
        <w:t>3</w:t>
      </w:r>
      <w:r w:rsidR="002C24D6">
        <w:noBreakHyphen/>
      </w:r>
      <w:r w:rsidR="002C24D6">
        <w:rPr>
          <w:noProof/>
        </w:rPr>
        <w:t>27</w:t>
      </w:r>
      <w:r w:rsidRPr="003C2547">
        <w:fldChar w:fldCharType="end"/>
      </w:r>
      <w:r w:rsidRPr="003C2547">
        <w:t xml:space="preserve"> shows the estimates of return on equity and premium above the risk free rate contained in broker reports which we have examined since our draft decision.</w:t>
      </w:r>
      <w:r w:rsidRPr="003C2547">
        <w:rPr>
          <w:rStyle w:val="FootnoteReference"/>
        </w:rPr>
        <w:footnoteReference w:id="1073"/>
      </w:r>
    </w:p>
    <w:p w:rsidR="008B3AE9" w:rsidRDefault="008B3AE9" w:rsidP="008B3AE9">
      <w:pPr>
        <w:pStyle w:val="Caption"/>
        <w:numPr>
          <w:ilvl w:val="0"/>
          <w:numId w:val="24"/>
        </w:numPr>
      </w:pPr>
      <w:bookmarkStart w:id="307" w:name="_Ref443644282"/>
      <w:r w:rsidRPr="003C2547">
        <w:t xml:space="preserve">Table </w:t>
      </w:r>
      <w:r w:rsidRPr="008B3AE9">
        <w:fldChar w:fldCharType="begin"/>
      </w:r>
      <w:r>
        <w:instrText xml:space="preserve"> STYLEREF 1 \s </w:instrText>
      </w:r>
      <w:r w:rsidRPr="008B3AE9">
        <w:fldChar w:fldCharType="separate"/>
      </w:r>
      <w:r w:rsidR="002C24D6">
        <w:rPr>
          <w:noProof/>
        </w:rPr>
        <w:t>3</w:t>
      </w:r>
      <w:r w:rsidRPr="008B3AE9">
        <w:fldChar w:fldCharType="end"/>
      </w:r>
      <w:r>
        <w:noBreakHyphen/>
      </w:r>
      <w:r w:rsidRPr="008B3AE9">
        <w:fldChar w:fldCharType="begin"/>
      </w:r>
      <w:r>
        <w:instrText xml:space="preserve"> SEQ Table \* ARABIC \s 1 </w:instrText>
      </w:r>
      <w:r w:rsidRPr="008B3AE9">
        <w:fldChar w:fldCharType="separate"/>
      </w:r>
      <w:r w:rsidR="002C24D6">
        <w:rPr>
          <w:noProof/>
        </w:rPr>
        <w:t>27</w:t>
      </w:r>
      <w:r w:rsidRPr="008B3AE9">
        <w:fldChar w:fldCharType="end"/>
      </w:r>
      <w:bookmarkEnd w:id="307"/>
      <w:r w:rsidRPr="003C2547">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0601FC" w:rsidTr="00060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601FC" w:rsidRPr="003C2547" w:rsidRDefault="000601FC" w:rsidP="000601FC"/>
        </w:tc>
        <w:tc>
          <w:tcPr>
            <w:tcW w:w="1275" w:type="dxa"/>
          </w:tcPr>
          <w:p w:rsidR="000601FC" w:rsidRPr="003C2547" w:rsidRDefault="000601FC" w:rsidP="000601FC">
            <w:pPr>
              <w:cnfStyle w:val="100000000000" w:firstRow="1" w:lastRow="0" w:firstColumn="0" w:lastColumn="0" w:oddVBand="0" w:evenVBand="0" w:oddHBand="0" w:evenHBand="0" w:firstRowFirstColumn="0" w:firstRowLastColumn="0" w:lastRowFirstColumn="0" w:lastRowLastColumn="0"/>
            </w:pPr>
          </w:p>
        </w:tc>
        <w:tc>
          <w:tcPr>
            <w:tcW w:w="1418" w:type="dxa"/>
            <w:hideMark/>
          </w:tcPr>
          <w:p w:rsidR="000601FC" w:rsidRPr="000601FC" w:rsidRDefault="000601FC" w:rsidP="000601FC">
            <w:pPr>
              <w:cnfStyle w:val="100000000000" w:firstRow="1" w:lastRow="0" w:firstColumn="0" w:lastColumn="0" w:oddVBand="0" w:evenVBand="0" w:oddHBand="0" w:evenHBand="0" w:firstRowFirstColumn="0" w:firstRowLastColumn="0" w:lastRowFirstColumn="0" w:lastRowLastColumn="0"/>
            </w:pPr>
            <w:r w:rsidRPr="003C2547">
              <w:t>Return on equity</w:t>
            </w:r>
          </w:p>
        </w:tc>
        <w:tc>
          <w:tcPr>
            <w:tcW w:w="1497" w:type="dxa"/>
            <w:hideMark/>
          </w:tcPr>
          <w:p w:rsidR="000601FC" w:rsidRPr="000601FC" w:rsidRDefault="000601FC" w:rsidP="000601FC">
            <w:pPr>
              <w:cnfStyle w:val="100000000000" w:firstRow="1" w:lastRow="0" w:firstColumn="0" w:lastColumn="0" w:oddVBand="0" w:evenVBand="0" w:oddHBand="0" w:evenHBand="0" w:firstRowFirstColumn="0" w:firstRowLastColumn="0" w:lastRowFirstColumn="0" w:lastRowLastColumn="0"/>
            </w:pPr>
            <w:r w:rsidRPr="003C2547">
              <w:t>Equity risk premium</w:t>
            </w:r>
          </w:p>
        </w:tc>
      </w:tr>
      <w:tr w:rsidR="000601FC" w:rsidTr="000601FC">
        <w:tc>
          <w:tcPr>
            <w:cnfStyle w:val="001000000000" w:firstRow="0" w:lastRow="0" w:firstColumn="1" w:lastColumn="0" w:oddVBand="0" w:evenVBand="0" w:oddHBand="0" w:evenHBand="0" w:firstRowFirstColumn="0" w:firstRowLastColumn="0" w:lastRowFirstColumn="0" w:lastRowLastColumn="0"/>
            <w:tcW w:w="4503" w:type="dxa"/>
            <w:hideMark/>
          </w:tcPr>
          <w:p w:rsidR="000601FC" w:rsidRPr="000601FC" w:rsidRDefault="000601FC" w:rsidP="000601FC">
            <w:r w:rsidRPr="003C2547">
              <w:t>Broker estimate—no imputation adjustment</w:t>
            </w:r>
          </w:p>
        </w:tc>
        <w:tc>
          <w:tcPr>
            <w:tcW w:w="1275" w:type="dxa"/>
            <w:hideMark/>
          </w:tcPr>
          <w:p w:rsidR="000601FC" w:rsidRPr="000601FC" w:rsidRDefault="000601FC" w:rsidP="000601FC">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hideMark/>
          </w:tcPr>
          <w:p w:rsidR="000601FC" w:rsidRPr="000601FC" w:rsidRDefault="000601FC" w:rsidP="000601FC">
            <w:pPr>
              <w:cnfStyle w:val="000000000000" w:firstRow="0" w:lastRow="0" w:firstColumn="0" w:lastColumn="0" w:oddVBand="0" w:evenVBand="0" w:oddHBand="0" w:evenHBand="0" w:firstRowFirstColumn="0" w:firstRowLastColumn="0" w:lastRowFirstColumn="0" w:lastRowLastColumn="0"/>
            </w:pPr>
            <w:r>
              <w:t>6</w:t>
            </w:r>
            <w:r w:rsidRPr="000601FC">
              <w:t>.8</w:t>
            </w:r>
          </w:p>
        </w:tc>
        <w:tc>
          <w:tcPr>
            <w:tcW w:w="1497" w:type="dxa"/>
            <w:hideMark/>
          </w:tcPr>
          <w:p w:rsidR="000601FC" w:rsidRPr="000601FC" w:rsidRDefault="000601FC" w:rsidP="000601FC">
            <w:pPr>
              <w:cnfStyle w:val="000000000000" w:firstRow="0" w:lastRow="0" w:firstColumn="0" w:lastColumn="0" w:oddVBand="0" w:evenVBand="0" w:oddHBand="0" w:evenHBand="0" w:firstRowFirstColumn="0" w:firstRowLastColumn="0" w:lastRowFirstColumn="0" w:lastRowLastColumn="0"/>
            </w:pPr>
            <w:r>
              <w:t>3</w:t>
            </w:r>
            <w:r w:rsidRPr="000601FC">
              <w:t>.5</w:t>
            </w:r>
          </w:p>
        </w:tc>
      </w:tr>
      <w:tr w:rsidR="000601FC" w:rsidTr="00060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rsidR="000601FC" w:rsidRPr="000601FC" w:rsidRDefault="000601FC" w:rsidP="000601FC">
            <w:r w:rsidRPr="003C2547">
              <w:t>Broker estimate—no imputation adjustment</w:t>
            </w:r>
          </w:p>
        </w:tc>
        <w:tc>
          <w:tcPr>
            <w:tcW w:w="1275" w:type="dxa"/>
            <w:hideMark/>
          </w:tcPr>
          <w:p w:rsidR="000601FC" w:rsidRPr="000601FC" w:rsidRDefault="000601FC" w:rsidP="000601FC">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hideMark/>
          </w:tcPr>
          <w:p w:rsidR="000601FC" w:rsidRPr="000601FC" w:rsidRDefault="000601FC" w:rsidP="000601FC">
            <w:pPr>
              <w:cnfStyle w:val="000000010000" w:firstRow="0" w:lastRow="0" w:firstColumn="0" w:lastColumn="0" w:oddVBand="0" w:evenVBand="0" w:oddHBand="0" w:evenHBand="1" w:firstRowFirstColumn="0" w:firstRowLastColumn="0" w:lastRowFirstColumn="0" w:lastRowLastColumn="0"/>
            </w:pPr>
            <w:r>
              <w:t>9.4</w:t>
            </w:r>
          </w:p>
        </w:tc>
        <w:tc>
          <w:tcPr>
            <w:tcW w:w="1497" w:type="dxa"/>
            <w:hideMark/>
          </w:tcPr>
          <w:p w:rsidR="000601FC" w:rsidRPr="000601FC" w:rsidRDefault="000601FC" w:rsidP="000601FC">
            <w:pPr>
              <w:cnfStyle w:val="000000010000" w:firstRow="0" w:lastRow="0" w:firstColumn="0" w:lastColumn="0" w:oddVBand="0" w:evenVBand="0" w:oddHBand="0" w:evenHBand="1" w:firstRowFirstColumn="0" w:firstRowLastColumn="0" w:lastRowFirstColumn="0" w:lastRowLastColumn="0"/>
            </w:pPr>
            <w:r>
              <w:t>5.3</w:t>
            </w:r>
          </w:p>
        </w:tc>
      </w:tr>
      <w:tr w:rsidR="000601FC" w:rsidTr="000601FC">
        <w:tc>
          <w:tcPr>
            <w:cnfStyle w:val="001000000000" w:firstRow="0" w:lastRow="0" w:firstColumn="1" w:lastColumn="0" w:oddVBand="0" w:evenVBand="0" w:oddHBand="0" w:evenHBand="0" w:firstRowFirstColumn="0" w:firstRowLastColumn="0" w:lastRowFirstColumn="0" w:lastRowLastColumn="0"/>
            <w:tcW w:w="4503" w:type="dxa"/>
            <w:hideMark/>
          </w:tcPr>
          <w:p w:rsidR="000601FC" w:rsidRPr="000601FC" w:rsidRDefault="000601FC" w:rsidP="000601FC">
            <w:r w:rsidRPr="003C2547">
              <w:t xml:space="preserve">Broker estimate—adjusted </w:t>
            </w:r>
            <w:r w:rsidRPr="000601FC">
              <w:t>for imputation</w:t>
            </w:r>
          </w:p>
        </w:tc>
        <w:tc>
          <w:tcPr>
            <w:tcW w:w="1275" w:type="dxa"/>
            <w:hideMark/>
          </w:tcPr>
          <w:p w:rsidR="000601FC" w:rsidRPr="000601FC" w:rsidRDefault="000601FC" w:rsidP="000601FC">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hideMark/>
          </w:tcPr>
          <w:p w:rsidR="000601FC" w:rsidRPr="000601FC" w:rsidRDefault="000601FC" w:rsidP="000601FC">
            <w:pPr>
              <w:cnfStyle w:val="000000000000" w:firstRow="0" w:lastRow="0" w:firstColumn="0" w:lastColumn="0" w:oddVBand="0" w:evenVBand="0" w:oddHBand="0" w:evenHBand="0" w:firstRowFirstColumn="0" w:firstRowLastColumn="0" w:lastRowFirstColumn="0" w:lastRowLastColumn="0"/>
            </w:pPr>
            <w:r>
              <w:t>7.</w:t>
            </w:r>
            <w:r w:rsidRPr="000601FC">
              <w:t>4</w:t>
            </w:r>
          </w:p>
        </w:tc>
        <w:tc>
          <w:tcPr>
            <w:tcW w:w="1497" w:type="dxa"/>
            <w:hideMark/>
          </w:tcPr>
          <w:p w:rsidR="000601FC" w:rsidRPr="000601FC" w:rsidRDefault="000601FC" w:rsidP="000601FC">
            <w:pPr>
              <w:cnfStyle w:val="000000000000" w:firstRow="0" w:lastRow="0" w:firstColumn="0" w:lastColumn="0" w:oddVBand="0" w:evenVBand="0" w:oddHBand="0" w:evenHBand="0" w:firstRowFirstColumn="0" w:firstRowLastColumn="0" w:lastRowFirstColumn="0" w:lastRowLastColumn="0"/>
            </w:pPr>
            <w:r w:rsidRPr="003C2547">
              <w:t>4.</w:t>
            </w:r>
            <w:r w:rsidRPr="000601FC">
              <w:t>1</w:t>
            </w:r>
          </w:p>
        </w:tc>
      </w:tr>
      <w:tr w:rsidR="000601FC" w:rsidTr="00060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rsidR="000601FC" w:rsidRPr="000601FC" w:rsidRDefault="000601FC" w:rsidP="000601FC">
            <w:r w:rsidRPr="003C2547">
              <w:t xml:space="preserve">Broker estimate—adjusted for </w:t>
            </w:r>
            <w:r w:rsidRPr="000601FC">
              <w:t>imputation</w:t>
            </w:r>
          </w:p>
        </w:tc>
        <w:tc>
          <w:tcPr>
            <w:tcW w:w="1275" w:type="dxa"/>
            <w:hideMark/>
          </w:tcPr>
          <w:p w:rsidR="000601FC" w:rsidRPr="000601FC" w:rsidRDefault="000601FC" w:rsidP="000601FC">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hideMark/>
          </w:tcPr>
          <w:p w:rsidR="000601FC" w:rsidRPr="000601FC" w:rsidRDefault="000601FC" w:rsidP="000601FC">
            <w:pPr>
              <w:cnfStyle w:val="000000010000" w:firstRow="0" w:lastRow="0" w:firstColumn="0" w:lastColumn="0" w:oddVBand="0" w:evenVBand="0" w:oddHBand="0" w:evenHBand="1" w:firstRowFirstColumn="0" w:firstRowLastColumn="0" w:lastRowFirstColumn="0" w:lastRowLastColumn="0"/>
            </w:pPr>
            <w:r>
              <w:t>10</w:t>
            </w:r>
          </w:p>
        </w:tc>
        <w:tc>
          <w:tcPr>
            <w:tcW w:w="1497" w:type="dxa"/>
            <w:hideMark/>
          </w:tcPr>
          <w:p w:rsidR="000601FC" w:rsidRPr="000601FC" w:rsidRDefault="000601FC" w:rsidP="000601FC">
            <w:pPr>
              <w:cnfStyle w:val="000000010000" w:firstRow="0" w:lastRow="0" w:firstColumn="0" w:lastColumn="0" w:oddVBand="0" w:evenVBand="0" w:oddHBand="0" w:evenHBand="1" w:firstRowFirstColumn="0" w:firstRowLastColumn="0" w:lastRowFirstColumn="0" w:lastRowLastColumn="0"/>
            </w:pPr>
            <w:r>
              <w:t>6.1</w:t>
            </w:r>
          </w:p>
        </w:tc>
      </w:tr>
    </w:tbl>
    <w:p w:rsidR="008B3AE9" w:rsidRPr="003C2547" w:rsidRDefault="008B3AE9" w:rsidP="008B3AE9">
      <w:pPr>
        <w:pStyle w:val="AERtablesource"/>
        <w:numPr>
          <w:ilvl w:val="0"/>
          <w:numId w:val="24"/>
        </w:numPr>
      </w:pPr>
      <w:r w:rsidRPr="003C2547">
        <w:t>Source:</w:t>
      </w:r>
      <w:r w:rsidRPr="003C2547">
        <w:tab/>
        <w:t xml:space="preserve">AER analysis of broker reports, dated 1 </w:t>
      </w:r>
      <w:r>
        <w:t>October</w:t>
      </w:r>
      <w:r w:rsidRPr="003C2547">
        <w:t xml:space="preserve"> 2016 to </w:t>
      </w:r>
      <w:r>
        <w:t>28 April 2017</w:t>
      </w:r>
      <w:r w:rsidRPr="003C2547">
        <w:t xml:space="preserve"> by Credit Suisse, JP Morgan, Morgan Stanley, and Macquarie Bank that include a valuation for AusNet Services, Spark Infrastructure, APA Group, and/or DUET Group.</w:t>
      </w:r>
    </w:p>
    <w:p w:rsidR="008B3AE9" w:rsidRPr="00594C61" w:rsidRDefault="008B3AE9" w:rsidP="00272584">
      <w:pPr>
        <w:pStyle w:val="ListContinue"/>
        <w:ind w:left="0"/>
        <w:rPr>
          <w:rStyle w:val="AERbody"/>
          <w:rFonts w:eastAsia="Calibri" w:cs="Times New Roman"/>
          <w:szCs w:val="20"/>
          <w:lang w:eastAsia="en-AU"/>
        </w:rPr>
      </w:pPr>
      <w:r w:rsidRPr="003C2547">
        <w:t>The equity risk premium from the AER's foundation model of 4.55 per cent is within the range of premiums recently estimated by brokers, even when these estimates are adjusted for imputation.</w:t>
      </w:r>
      <w:r>
        <w:t xml:space="preserve"> </w:t>
      </w:r>
      <w:r w:rsidR="00AD75F7">
        <w:t xml:space="preserve">APTPPL’s </w:t>
      </w:r>
      <w:r>
        <w:t xml:space="preserve">proposed equity risk premium of </w:t>
      </w:r>
      <w:r w:rsidR="00AD75F7">
        <w:t>6.45</w:t>
      </w:r>
      <w:r>
        <w:t xml:space="preserve"> per cent is </w:t>
      </w:r>
      <w:r w:rsidR="00AD75F7">
        <w:t xml:space="preserve">above </w:t>
      </w:r>
      <w:r>
        <w:t xml:space="preserve">the upper bound of the range of premiums recently estimated by brokers. </w:t>
      </w:r>
      <w:r w:rsidRPr="003C2547">
        <w:t xml:space="preserve">  </w:t>
      </w:r>
    </w:p>
    <w:p w:rsidR="008B3AE9" w:rsidRPr="008F4F73" w:rsidRDefault="008B3AE9" w:rsidP="008B3AE9">
      <w:r w:rsidRPr="008F4F73">
        <w:t>Directionally, as shown in</w:t>
      </w:r>
      <w:r w:rsidR="00B40200">
        <w:t xml:space="preserve"> </w:t>
      </w:r>
      <w:r w:rsidR="00B40200">
        <w:fldChar w:fldCharType="begin"/>
      </w:r>
      <w:r w:rsidR="00B40200">
        <w:instrText xml:space="preserve"> REF _Ref484769566 \h </w:instrText>
      </w:r>
      <w:r w:rsidR="00B40200">
        <w:fldChar w:fldCharType="separate"/>
      </w:r>
      <w:r w:rsidR="002C24D6" w:rsidRPr="008F4F73">
        <w:t xml:space="preserve">Figure </w:t>
      </w:r>
      <w:r w:rsidR="002C24D6">
        <w:rPr>
          <w:noProof/>
        </w:rPr>
        <w:t>3</w:t>
      </w:r>
      <w:r w:rsidR="002C24D6">
        <w:noBreakHyphen/>
      </w:r>
      <w:r w:rsidR="002C24D6">
        <w:rPr>
          <w:noProof/>
        </w:rPr>
        <w:t>13</w:t>
      </w:r>
      <w:r w:rsidR="00B40200">
        <w:fldChar w:fldCharType="end"/>
      </w:r>
      <w:r w:rsidRPr="008F4F73">
        <w:t xml:space="preserve">, </w:t>
      </w:r>
      <w:r>
        <w:t xml:space="preserve">the ERP has remained within similar parameters for the duration of 2016 which was a movement upwards from 2015 levels. </w:t>
      </w:r>
      <w:r w:rsidRPr="008F4F73">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A3314" w:rsidRPr="008F4F73" w:rsidRDefault="006A3314" w:rsidP="00CC7A1C">
      <w:pPr>
        <w:pStyle w:val="Caption"/>
        <w:numPr>
          <w:ilvl w:val="0"/>
          <w:numId w:val="24"/>
        </w:numPr>
      </w:pPr>
      <w:bookmarkStart w:id="308" w:name="_Ref484769566"/>
      <w:r w:rsidRPr="008F4F73">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13</w:t>
      </w:r>
      <w:r w:rsidR="002C24D6">
        <w:rPr>
          <w:noProof/>
        </w:rPr>
        <w:fldChar w:fldCharType="end"/>
      </w:r>
      <w:bookmarkEnd w:id="306"/>
      <w:bookmarkEnd w:id="308"/>
      <w:r w:rsidRPr="008F4F73">
        <w:tab/>
        <w:t>Equity risk premium estimates from broker reports</w:t>
      </w:r>
    </w:p>
    <w:p w:rsidR="006A3314" w:rsidRDefault="00B05B6C" w:rsidP="006A3314">
      <w:r w:rsidRPr="00B05B6C">
        <w:t xml:space="preserve"> </w:t>
      </w:r>
    </w:p>
    <w:p w:rsidR="000601FC" w:rsidRPr="008F4F73" w:rsidRDefault="008820F0" w:rsidP="006A3314">
      <w:pPr>
        <w:rPr>
          <w:rStyle w:val="AERtextblue"/>
        </w:rPr>
      </w:pPr>
      <w:r w:rsidRPr="008820F0">
        <w:rPr>
          <w:noProof/>
          <w:lang w:eastAsia="en-AU"/>
        </w:rPr>
        <w:drawing>
          <wp:inline distT="0" distB="0" distL="0" distR="0" wp14:anchorId="73B1DF71" wp14:editId="09D5EF56">
            <wp:extent cx="5382895" cy="347270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3472701"/>
                    </a:xfrm>
                    <a:prstGeom prst="rect">
                      <a:avLst/>
                    </a:prstGeom>
                  </pic:spPr>
                </pic:pic>
              </a:graphicData>
            </a:graphic>
          </wp:inline>
        </w:drawing>
      </w:r>
    </w:p>
    <w:p w:rsidR="008B3AE9" w:rsidRPr="008F4F73" w:rsidRDefault="008B3AE9" w:rsidP="008B3AE9">
      <w:pPr>
        <w:pStyle w:val="AERtablesource"/>
      </w:pPr>
      <w:bookmarkStart w:id="309" w:name="_Ref445926689"/>
      <w:r w:rsidRPr="008F4F73">
        <w:t>Source:</w:t>
      </w:r>
      <w:r w:rsidRPr="008F4F73">
        <w:tab/>
        <w:t>AER analysis of broker reports by Credit Suisse, JP Morgan, Morgan Stanley, and Macquarie Bank that include a valuation for AusNet Services, Spark Infrastructure, APA Group, and/or DUET Group.</w:t>
      </w:r>
    </w:p>
    <w:p w:rsidR="006A3314" w:rsidRPr="008F4F73" w:rsidRDefault="006A3314" w:rsidP="006A3314">
      <w:pPr>
        <w:pStyle w:val="AERtablesource"/>
      </w:pPr>
      <w:r w:rsidRPr="008F4F73">
        <w:t>Notes:</w:t>
      </w:r>
      <w:r w:rsidRPr="008F4F73">
        <w:tab/>
        <w:t>Average broker ERP is the mean of estimates from all brokers and for all busin</w:t>
      </w:r>
      <w:r>
        <w:t>esses available at the time.</w:t>
      </w:r>
      <w:r w:rsidRPr="008F4F73">
        <w:t xml:space="preserve"> </w:t>
      </w:r>
    </w:p>
    <w:p w:rsidR="006A3314" w:rsidRPr="008F4F73" w:rsidRDefault="006A3314" w:rsidP="006A3314">
      <w:pPr>
        <w:pStyle w:val="Heading8"/>
      </w:pPr>
      <w:bookmarkStart w:id="310" w:name="_Ref451416171"/>
      <w:bookmarkStart w:id="311" w:name="_Toc451943808"/>
      <w:bookmarkStart w:id="312" w:name="_Toc456686741"/>
      <w:bookmarkStart w:id="313" w:name="_Toc487037175"/>
      <w:r w:rsidRPr="008F4F73">
        <w:t>Prevailing estimates: valuation reports</w:t>
      </w:r>
      <w:bookmarkEnd w:id="309"/>
      <w:bookmarkEnd w:id="310"/>
      <w:bookmarkEnd w:id="311"/>
      <w:bookmarkEnd w:id="312"/>
      <w:bookmarkEnd w:id="313"/>
    </w:p>
    <w:bookmarkStart w:id="314" w:name="_Ref417589947"/>
    <w:bookmarkStart w:id="315" w:name="_Ref448176907"/>
    <w:p w:rsidR="008B3AE9" w:rsidRPr="008F4F73" w:rsidRDefault="00B40200" w:rsidP="008B3AE9">
      <w:pPr>
        <w:numPr>
          <w:ilvl w:val="0"/>
          <w:numId w:val="24"/>
        </w:numPr>
      </w:pPr>
      <w:r>
        <w:fldChar w:fldCharType="begin"/>
      </w:r>
      <w:r>
        <w:instrText xml:space="preserve"> REF _Ref484769581 \h </w:instrText>
      </w:r>
      <w:r>
        <w:fldChar w:fldCharType="separate"/>
      </w:r>
      <w:r w:rsidR="002C24D6" w:rsidRPr="008F4F73">
        <w:t xml:space="preserve">Figure </w:t>
      </w:r>
      <w:r w:rsidR="002C24D6">
        <w:rPr>
          <w:noProof/>
        </w:rPr>
        <w:t>3</w:t>
      </w:r>
      <w:r w:rsidR="002C24D6">
        <w:noBreakHyphen/>
      </w:r>
      <w:r w:rsidR="002C24D6">
        <w:rPr>
          <w:noProof/>
        </w:rPr>
        <w:t>14</w:t>
      </w:r>
      <w:r>
        <w:fldChar w:fldCharType="end"/>
      </w:r>
      <w:r>
        <w:t xml:space="preserve"> </w:t>
      </w:r>
      <w:r w:rsidR="008B3AE9" w:rsidRPr="008F4F73">
        <w:t>outlines the range of return on equity and equity risk premium estimates from relevant independent valuation reports. We consider that the number of reports is too low and the concentration of reports among only a few valuers is too high to be able to place significant reliance on the evidence from valuation reports.</w:t>
      </w:r>
      <w:r w:rsidR="008B3AE9" w:rsidRPr="008F4F73">
        <w:rPr>
          <w:rStyle w:val="FootnoteReference"/>
        </w:rPr>
        <w:footnoteReference w:id="1074"/>
      </w:r>
    </w:p>
    <w:p w:rsidR="006A3314" w:rsidRPr="008F4F73" w:rsidRDefault="006A3314" w:rsidP="006A3314">
      <w:pPr>
        <w:pStyle w:val="Caption"/>
      </w:pPr>
      <w:bookmarkStart w:id="316" w:name="_Ref484769581"/>
      <w:r w:rsidRPr="008F4F73">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14</w:t>
      </w:r>
      <w:r w:rsidR="002C24D6">
        <w:rPr>
          <w:noProof/>
        </w:rPr>
        <w:fldChar w:fldCharType="end"/>
      </w:r>
      <w:bookmarkEnd w:id="314"/>
      <w:bookmarkEnd w:id="315"/>
      <w:bookmarkEnd w:id="316"/>
      <w:r w:rsidRPr="008F4F73">
        <w:tab/>
        <w:t xml:space="preserve">Equity risk premium from relevant </w:t>
      </w:r>
      <w:r>
        <w:t>valuation</w:t>
      </w:r>
      <w:r w:rsidRPr="008F4F73">
        <w:t xml:space="preserve"> reports over time</w:t>
      </w:r>
    </w:p>
    <w:p w:rsidR="008601AE" w:rsidRPr="008601AE" w:rsidRDefault="008B3AE9" w:rsidP="00B91232">
      <w:r w:rsidRPr="008B3AE9">
        <w:rPr>
          <w:noProof/>
          <w:lang w:eastAsia="en-AU"/>
        </w:rPr>
        <w:drawing>
          <wp:inline distT="0" distB="0" distL="0" distR="0" wp14:anchorId="4D5AAE2C" wp14:editId="2AD8B324">
            <wp:extent cx="5382895" cy="318706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3187065"/>
                    </a:xfrm>
                    <a:prstGeom prst="rect">
                      <a:avLst/>
                    </a:prstGeom>
                  </pic:spPr>
                </pic:pic>
              </a:graphicData>
            </a:graphic>
          </wp:inline>
        </w:drawing>
      </w:r>
    </w:p>
    <w:p w:rsidR="006A3314" w:rsidRPr="008F4F73" w:rsidRDefault="006A3314" w:rsidP="006A3314">
      <w:pPr>
        <w:pStyle w:val="AERtablesource"/>
      </w:pPr>
      <w:r w:rsidRPr="008F4F73">
        <w:t>Source:</w:t>
      </w:r>
      <w:r w:rsidRPr="008F4F73">
        <w:tab/>
        <w:t xml:space="preserve">AER analysis of reports from the Thomson Reuters Connect4 database </w:t>
      </w:r>
    </w:p>
    <w:p w:rsidR="006A3314" w:rsidRPr="008F4F73" w:rsidRDefault="006A3314" w:rsidP="006A3314">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8B3AE9" w:rsidRPr="008F4F73" w:rsidRDefault="008B3AE9" w:rsidP="008B3AE9">
      <w:pPr>
        <w:pStyle w:val="ListParagraph"/>
        <w:numPr>
          <w:ilvl w:val="0"/>
          <w:numId w:val="24"/>
        </w:numPr>
      </w:pPr>
      <w:r w:rsidRPr="008F4F73">
        <w:t>There have been only 1</w:t>
      </w:r>
      <w:r>
        <w:t>9</w:t>
      </w:r>
      <w:r w:rsidRPr="008F4F73">
        <w:t xml:space="preserve"> relevant independent valuation reports spanning a period going back to 1991.</w:t>
      </w:r>
      <w:r w:rsidRPr="008F4F73">
        <w:rPr>
          <w:rStyle w:val="AERsuperscript"/>
        </w:rPr>
        <w:footnoteReference w:id="1075"/>
      </w:r>
      <w:r w:rsidRPr="008F4F73">
        <w:t xml:space="preserve"> Only 1</w:t>
      </w:r>
      <w:r>
        <w:t>3</w:t>
      </w:r>
      <w:r w:rsidRPr="008F4F73">
        <w:t xml:space="preserve"> reports included a discounted cash flow analysis with information on a return on equity estimate. These 1</w:t>
      </w:r>
      <w:r>
        <w:t>3</w:t>
      </w:r>
      <w:r w:rsidRPr="008F4F73">
        <w:t xml:space="preserve"> reports were provided by only </w:t>
      </w:r>
      <w:r>
        <w:t>four</w:t>
      </w:r>
      <w:r w:rsidRPr="008F4F73">
        <w:t xml:space="preserve"> independent valuation firms, with 9 of the 1</w:t>
      </w:r>
      <w:r>
        <w:t>3</w:t>
      </w:r>
      <w:r w:rsidRPr="008F4F73">
        <w:t xml:space="preserve"> reports being provided by Grant Samuel &amp; Associates.</w:t>
      </w:r>
    </w:p>
    <w:p w:rsidR="008B3AE9" w:rsidRDefault="008B3AE9" w:rsidP="008B3AE9">
      <w:pPr>
        <w:numPr>
          <w:ilvl w:val="0"/>
          <w:numId w:val="24"/>
        </w:numPr>
      </w:pPr>
      <w:r w:rsidRPr="008F4F73">
        <w:t>We note that the ranges for return on equity and equity risk premium estimates contained in</w:t>
      </w:r>
      <w:r w:rsidR="00B40200">
        <w:t xml:space="preserve"> </w:t>
      </w:r>
      <w:r w:rsidR="00315F1C">
        <w:fldChar w:fldCharType="begin"/>
      </w:r>
      <w:r w:rsidR="00315F1C">
        <w:instrText xml:space="preserve"> REF _Ref484769581 \h </w:instrText>
      </w:r>
      <w:r w:rsidR="00315F1C">
        <w:fldChar w:fldCharType="separate"/>
      </w:r>
      <w:r w:rsidR="002C24D6" w:rsidRPr="008F4F73">
        <w:t xml:space="preserve">Figure </w:t>
      </w:r>
      <w:r w:rsidR="002C24D6">
        <w:rPr>
          <w:noProof/>
        </w:rPr>
        <w:t>3</w:t>
      </w:r>
      <w:r w:rsidR="002C24D6">
        <w:noBreakHyphen/>
      </w:r>
      <w:r w:rsidR="002C24D6">
        <w:rPr>
          <w:noProof/>
        </w:rPr>
        <w:t>14</w:t>
      </w:r>
      <w:r w:rsidR="00315F1C">
        <w:fldChar w:fldCharType="end"/>
      </w:r>
      <w:r w:rsidRPr="008F4F73">
        <w:t xml:space="preserve"> include the final values used in the independent valuation reports and reflect any uplifts applied. However, as noted in</w:t>
      </w:r>
      <w:r w:rsidR="00B40200">
        <w:t xml:space="preserve"> </w:t>
      </w:r>
      <w:r w:rsidR="00315F1C">
        <w:fldChar w:fldCharType="begin"/>
      </w:r>
      <w:r w:rsidR="00315F1C">
        <w:instrText xml:space="preserve"> REF _Ref484769962 \h </w:instrText>
      </w:r>
      <w:r w:rsidR="00315F1C">
        <w:fldChar w:fldCharType="separate"/>
      </w:r>
      <w:r w:rsidR="002C24D6" w:rsidRPr="0087746B">
        <w:t xml:space="preserve">Table </w:t>
      </w:r>
      <w:r w:rsidR="002C24D6">
        <w:rPr>
          <w:noProof/>
        </w:rPr>
        <w:t>3</w:t>
      </w:r>
      <w:r w:rsidR="002C24D6">
        <w:noBreakHyphen/>
      </w:r>
      <w:r w:rsidR="002C24D6">
        <w:rPr>
          <w:noProof/>
        </w:rPr>
        <w:t>6</w:t>
      </w:r>
      <w:r w:rsidR="00315F1C">
        <w:fldChar w:fldCharType="end"/>
      </w:r>
      <w:r w:rsidR="00315F1C">
        <w:t xml:space="preserve"> </w:t>
      </w:r>
      <w:r w:rsidRPr="008F4F73">
        <w:t>we have concerns about the applicability of these uplifts to the allowed rate of return objective.</w:t>
      </w:r>
      <w:r w:rsidRPr="008F4F73">
        <w:rPr>
          <w:rStyle w:val="FootnoteReference"/>
        </w:rPr>
        <w:footnoteReference w:id="1076"/>
      </w:r>
      <w:r w:rsidRPr="008F4F73">
        <w:t xml:space="preserve"> We also have concerns that the adjustment for dividend imputation may not be appropriate (see</w:t>
      </w:r>
      <w:r w:rsidR="00B40200">
        <w:t xml:space="preserve"> </w:t>
      </w:r>
      <w:r w:rsidRPr="008F4F73">
        <w:t>). The risk premium appropriately reflecting dividend imputation is likely somewhere between the adjusted and unadjusted premiums, but we are unable to distil a precise estimate due to a lack of transparency in valuation reports.</w:t>
      </w:r>
    </w:p>
    <w:p w:rsidR="008B3AE9" w:rsidRDefault="008B3AE9" w:rsidP="008B3AE9">
      <w:r>
        <w:t>The most recent report for a regulated energy business is KPMG’s report for DUET released on 7 March 2017. This report indicates</w:t>
      </w:r>
      <w:r w:rsidRPr="008F4F73">
        <w:t xml:space="preserve"> an equity risk premium of </w:t>
      </w:r>
      <w:r>
        <w:t>4.44</w:t>
      </w:r>
      <w:r w:rsidRPr="008F4F73">
        <w:t xml:space="preserve"> to 4.</w:t>
      </w:r>
      <w:r>
        <w:t>6</w:t>
      </w:r>
      <w:r w:rsidRPr="008F4F73">
        <w:t>2 per cent (without adjust</w:t>
      </w:r>
      <w:r>
        <w:t>ment for dividend imputation</w:t>
      </w:r>
      <w:r w:rsidRPr="008F4F73">
        <w:t xml:space="preserve">). </w:t>
      </w:r>
    </w:p>
    <w:p w:rsidR="008B3AE9" w:rsidRPr="008F4F73" w:rsidRDefault="008B3AE9" w:rsidP="008B3AE9">
      <w:pPr>
        <w:numPr>
          <w:ilvl w:val="0"/>
          <w:numId w:val="24"/>
        </w:numPr>
      </w:pPr>
      <w:r>
        <w:t>We find this to be consistent with our foundation model estimate of 4.55 per cent. Prior to the DUET report, the most recent</w:t>
      </w:r>
      <w:r w:rsidRPr="008F4F73">
        <w:t xml:space="preserve"> report for a regulated energy network business </w:t>
      </w:r>
      <w:r>
        <w:t>wa</w:t>
      </w:r>
      <w:r w:rsidRPr="008F4F73">
        <w:t>s Grant Samuel’s report for Envestra on 4 March 2014. We find that this evidence does not support a move away from our foundation model estimate of 4.55 per cent. We note that:</w:t>
      </w:r>
    </w:p>
    <w:p w:rsidR="008B3AE9" w:rsidRPr="006C49DC" w:rsidRDefault="008B3AE9" w:rsidP="008B3AE9">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8B3AE9" w:rsidRPr="006C49DC" w:rsidRDefault="008B3AE9" w:rsidP="008B3AE9">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1077"/>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1078"/>
      </w:r>
    </w:p>
    <w:p w:rsidR="006A3314" w:rsidRPr="008F4F73" w:rsidRDefault="008B3AE9" w:rsidP="008B3AE9">
      <w:pPr>
        <w:pStyle w:val="ListParagraph"/>
        <w:numPr>
          <w:ilvl w:val="0"/>
          <w:numId w:val="24"/>
        </w:numPr>
        <w:rPr>
          <w:rStyle w:val="AERtextblue"/>
        </w:rPr>
      </w:pPr>
      <w:r w:rsidRPr="008F4F73">
        <w:t xml:space="preserve">In </w:t>
      </w:r>
      <w:r>
        <w:t>response to our previous decisions</w:t>
      </w:r>
      <w:r w:rsidRPr="008F4F73">
        <w:t xml:space="preserve">, </w:t>
      </w:r>
      <w:r>
        <w:t>some service providers</w:t>
      </w:r>
      <w:r w:rsidRPr="008F4F73">
        <w:t xml:space="preserve"> submitted that it is not clear how we arrived at our imputation-adjusted equity risk premium range.</w:t>
      </w:r>
      <w:r w:rsidRPr="008F4F73">
        <w:rPr>
          <w:rStyle w:val="FootnoteReference"/>
        </w:rPr>
        <w:footnoteReference w:id="1079"/>
      </w:r>
      <w:r w:rsidRPr="008F4F73">
        <w:t xml:space="preserve"> This range was calculated using the premiums implied by the low (high) equity beta estimate given by the independent valuer for the bottom (top) of the range for each independent valuation report.</w:t>
      </w:r>
      <w:r w:rsidR="006A3314" w:rsidRPr="008F4F73">
        <w:t xml:space="preserve"> </w:t>
      </w:r>
    </w:p>
    <w:p w:rsidR="006A3314" w:rsidRPr="008F4F73" w:rsidRDefault="006A3314" w:rsidP="006A3314">
      <w:pPr>
        <w:pStyle w:val="Heading8"/>
      </w:pPr>
      <w:bookmarkStart w:id="317" w:name="_Ref451416189"/>
      <w:bookmarkStart w:id="318" w:name="_Toc451943809"/>
      <w:bookmarkStart w:id="319" w:name="_Toc456686742"/>
      <w:bookmarkStart w:id="320" w:name="_Toc443923234"/>
      <w:bookmarkStart w:id="321" w:name="_Toc487037176"/>
      <w:r w:rsidRPr="008F4F73">
        <w:t>Prevailing estimates: other regulators</w:t>
      </w:r>
      <w:bookmarkEnd w:id="317"/>
      <w:bookmarkEnd w:id="318"/>
      <w:bookmarkEnd w:id="319"/>
      <w:bookmarkEnd w:id="321"/>
    </w:p>
    <w:p w:rsidR="008B3AE9" w:rsidRPr="008F4F73" w:rsidRDefault="008B3AE9" w:rsidP="008B3AE9">
      <w:pPr>
        <w:numPr>
          <w:ilvl w:val="0"/>
          <w:numId w:val="24"/>
        </w:numPr>
      </w:pPr>
      <w:bookmarkStart w:id="322" w:name="_Ref444707385"/>
      <w:r w:rsidRPr="008F4F73">
        <w:t xml:space="preserve">The estimates of return on equity from other regulators' decisions (dated between </w:t>
      </w:r>
      <w:r>
        <w:t>August</w:t>
      </w:r>
      <w:r w:rsidRPr="008F4F73">
        <w:t xml:space="preserve"> 2016</w:t>
      </w:r>
      <w:r>
        <w:t xml:space="preserve"> and April 2017</w:t>
      </w:r>
      <w:r w:rsidRPr="008F4F73">
        <w:t>) range from 6.</w:t>
      </w:r>
      <w:r>
        <w:t>66 to 10.5</w:t>
      </w:r>
      <w:r w:rsidRPr="008F4F73">
        <w:t xml:space="preserve"> per cent. The premium above the risk free rate from these return on equity estimates decisions ranges from </w:t>
      </w:r>
      <w:r w:rsidR="006102B5">
        <w:t>3.9</w:t>
      </w:r>
      <w:r w:rsidRPr="008F4F73">
        <w:t xml:space="preserve"> to </w:t>
      </w:r>
      <w:r w:rsidR="003362E7">
        <w:t>7.3</w:t>
      </w:r>
      <w:r>
        <w:t xml:space="preserve"> </w:t>
      </w:r>
      <w:r w:rsidRPr="008F4F73">
        <w:t>per cent.</w:t>
      </w:r>
      <w:r w:rsidRPr="008F4F73">
        <w:rPr>
          <w:rStyle w:val="FootnoteReference"/>
        </w:rPr>
        <w:footnoteReference w:id="1080"/>
      </w:r>
      <w:r w:rsidRPr="008F4F73">
        <w:t xml:space="preserve"> </w:t>
      </w:r>
    </w:p>
    <w:p w:rsidR="008B3AE9" w:rsidRPr="008F4F73" w:rsidRDefault="008B3AE9" w:rsidP="008B3AE9">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1081"/>
      </w:r>
      <w:r w:rsidRPr="008F4F73">
        <w:t xml:space="preserve"> as shown in</w:t>
      </w:r>
      <w:r w:rsidR="00BB5A25">
        <w:t xml:space="preserve"> Figure 3-15.</w:t>
      </w:r>
      <w:r w:rsidRPr="008F4F73">
        <w:rPr>
          <w:rStyle w:val="FootnoteReference"/>
        </w:rPr>
        <w:footnoteReference w:id="1082"/>
      </w:r>
      <w:r w:rsidRPr="008F4F73">
        <w:t xml:space="preserve"> </w:t>
      </w:r>
    </w:p>
    <w:p w:rsidR="006A3314" w:rsidRPr="008F4F73" w:rsidRDefault="006A3314" w:rsidP="00CC7A1C">
      <w:pPr>
        <w:pStyle w:val="Caption"/>
        <w:numPr>
          <w:ilvl w:val="0"/>
          <w:numId w:val="24"/>
        </w:numPr>
      </w:pPr>
      <w:bookmarkStart w:id="323" w:name="_Ref484770020"/>
      <w:r w:rsidRPr="008F4F73">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15</w:t>
      </w:r>
      <w:r w:rsidR="002C24D6">
        <w:rPr>
          <w:noProof/>
        </w:rPr>
        <w:fldChar w:fldCharType="end"/>
      </w:r>
      <w:bookmarkEnd w:id="322"/>
      <w:bookmarkEnd w:id="323"/>
      <w:r w:rsidRPr="008F4F73">
        <w:tab/>
        <w:t>Equity risk premium estimates from other regulators' decisions</w:t>
      </w:r>
    </w:p>
    <w:p w:rsidR="006A3314" w:rsidRPr="008F4F73" w:rsidRDefault="006A3314" w:rsidP="006A3314">
      <w:r w:rsidRPr="0068661A">
        <w:t xml:space="preserve"> </w:t>
      </w:r>
      <w:r w:rsidR="00B05B6C" w:rsidRPr="00B05B6C">
        <w:t xml:space="preserve"> </w:t>
      </w:r>
      <w:r w:rsidR="006102B5" w:rsidRPr="006102B5">
        <w:t xml:space="preserve"> </w:t>
      </w:r>
      <w:r w:rsidR="004A13E0" w:rsidRPr="004A13E0">
        <w:rPr>
          <w:noProof/>
          <w:lang w:eastAsia="en-AU"/>
        </w:rPr>
        <w:drawing>
          <wp:inline distT="0" distB="0" distL="0" distR="0" wp14:anchorId="565D27CC" wp14:editId="4ECC8E08">
            <wp:extent cx="5382895" cy="3180476"/>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2895" cy="3180476"/>
                    </a:xfrm>
                    <a:prstGeom prst="rect">
                      <a:avLst/>
                    </a:prstGeom>
                  </pic:spPr>
                </pic:pic>
              </a:graphicData>
            </a:graphic>
          </wp:inline>
        </w:drawing>
      </w:r>
    </w:p>
    <w:p w:rsidR="006A3314" w:rsidRPr="008F4F73" w:rsidRDefault="006A3314" w:rsidP="006A3314">
      <w:r w:rsidRPr="006A3314">
        <w:rPr>
          <w:noProof/>
          <w:lang w:eastAsia="en-AU"/>
        </w:rPr>
        <w:drawing>
          <wp:inline distT="0" distB="0" distL="0" distR="0" wp14:anchorId="1871A957" wp14:editId="5B7A3FAD">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2895" cy="172700"/>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5661F5" w:rsidRPr="005661F5" w:rsidRDefault="005661F5" w:rsidP="005661F5">
      <w:pPr>
        <w:pStyle w:val="ListParagraph"/>
        <w:numPr>
          <w:ilvl w:val="0"/>
          <w:numId w:val="24"/>
        </w:numPr>
      </w:pPr>
      <w:bookmarkStart w:id="324" w:name="_Ref449019545"/>
      <w:r w:rsidRPr="005661F5">
        <w:t xml:space="preserve">The estimates of the market risk premium from other regulators' decisions (dated between August 2016 and April 2017) range from 6 to </w:t>
      </w:r>
      <w:r w:rsidR="008820F0">
        <w:t>7.55</w:t>
      </w:r>
      <w:r w:rsidRPr="005661F5">
        <w:t xml:space="preserve"> per cent.</w:t>
      </w:r>
      <w:r w:rsidRPr="005661F5">
        <w:rPr>
          <w:rStyle w:val="FootnoteReference"/>
        </w:rPr>
        <w:footnoteReference w:id="1083"/>
      </w:r>
      <w:r w:rsidRPr="005661F5">
        <w:t xml:space="preserve"> </w:t>
      </w:r>
      <w:r w:rsidR="00315F1C">
        <w:fldChar w:fldCharType="begin"/>
      </w:r>
      <w:r w:rsidR="00315F1C">
        <w:instrText xml:space="preserve"> REF _Ref484770046 \h </w:instrText>
      </w:r>
      <w:r w:rsidR="00315F1C">
        <w:fldChar w:fldCharType="separate"/>
      </w:r>
      <w:r w:rsidR="002C24D6" w:rsidRPr="008F4F73">
        <w:t xml:space="preserve">Figure </w:t>
      </w:r>
      <w:r w:rsidR="002C24D6">
        <w:rPr>
          <w:noProof/>
        </w:rPr>
        <w:t>3</w:t>
      </w:r>
      <w:r w:rsidR="002C24D6">
        <w:noBreakHyphen/>
      </w:r>
      <w:r w:rsidR="002C24D6">
        <w:rPr>
          <w:noProof/>
        </w:rPr>
        <w:t>16</w:t>
      </w:r>
      <w:r w:rsidR="00315F1C">
        <w:fldChar w:fldCharType="end"/>
      </w:r>
      <w:r w:rsidR="00315F1C">
        <w:t xml:space="preserve"> </w:t>
      </w:r>
      <w:r w:rsidRPr="005661F5">
        <w:t>shows that our estimate (6.5 per cent) of the market risk premium is consistent with the range of estimates from other regulators over time.</w:t>
      </w:r>
    </w:p>
    <w:p w:rsidR="006A3314" w:rsidRPr="008F4F73" w:rsidRDefault="006A3314" w:rsidP="00CC7A1C">
      <w:pPr>
        <w:pStyle w:val="Caption"/>
        <w:numPr>
          <w:ilvl w:val="0"/>
          <w:numId w:val="24"/>
        </w:numPr>
      </w:pPr>
      <w:bookmarkStart w:id="325" w:name="_Ref484770046"/>
      <w:r w:rsidRPr="008F4F73">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w:instrText>
      </w:r>
      <w:r w:rsidR="002C24D6">
        <w:instrText xml:space="preserve"> \s 1 </w:instrText>
      </w:r>
      <w:r w:rsidR="002C24D6">
        <w:fldChar w:fldCharType="separate"/>
      </w:r>
      <w:r w:rsidR="002C24D6">
        <w:rPr>
          <w:noProof/>
        </w:rPr>
        <w:t>16</w:t>
      </w:r>
      <w:r w:rsidR="002C24D6">
        <w:rPr>
          <w:noProof/>
        </w:rPr>
        <w:fldChar w:fldCharType="end"/>
      </w:r>
      <w:bookmarkEnd w:id="324"/>
      <w:bookmarkEnd w:id="325"/>
      <w:r w:rsidRPr="008F4F73">
        <w:tab/>
        <w:t>Market risk premium estimates from other regulators' decisions</w:t>
      </w:r>
    </w:p>
    <w:p w:rsidR="006A3314" w:rsidRDefault="00B05B6C" w:rsidP="006A3314">
      <w:r w:rsidRPr="00B05B6C">
        <w:t xml:space="preserve"> </w:t>
      </w:r>
      <w:r w:rsidR="004A13E0" w:rsidRPr="004A13E0">
        <w:rPr>
          <w:noProof/>
          <w:lang w:eastAsia="en-AU"/>
        </w:rPr>
        <w:drawing>
          <wp:inline distT="0" distB="0" distL="0" distR="0" wp14:anchorId="7BE9BE37" wp14:editId="5133332C">
            <wp:extent cx="5382895" cy="312918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82895" cy="3129188"/>
                    </a:xfrm>
                    <a:prstGeom prst="rect">
                      <a:avLst/>
                    </a:prstGeom>
                  </pic:spPr>
                </pic:pic>
              </a:graphicData>
            </a:graphic>
          </wp:inline>
        </w:drawing>
      </w:r>
      <w:r w:rsidR="006A3314" w:rsidRPr="008F4F73">
        <w:tab/>
      </w:r>
      <w:r w:rsidR="006A3314" w:rsidRPr="006A3314">
        <w:rPr>
          <w:noProof/>
          <w:lang w:eastAsia="en-AU"/>
        </w:rPr>
        <w:drawing>
          <wp:inline distT="0" distB="0" distL="0" distR="0" wp14:anchorId="343F0E1B" wp14:editId="720CE398">
            <wp:extent cx="5382895" cy="172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2895" cy="172085"/>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6A3314" w:rsidRDefault="006A3314" w:rsidP="006A3314"/>
    <w:p w:rsidR="006A3314" w:rsidRDefault="006A3314" w:rsidP="006E5878">
      <w:pPr>
        <w:pStyle w:val="Heading8"/>
      </w:pPr>
      <w:bookmarkStart w:id="326" w:name="_Toc443923237"/>
      <w:bookmarkStart w:id="327" w:name="_Ref445933050"/>
      <w:bookmarkStart w:id="328" w:name="_Ref446278671"/>
      <w:bookmarkStart w:id="329" w:name="_Ref446280177"/>
      <w:bookmarkStart w:id="330" w:name="_Ref449020986"/>
      <w:bookmarkStart w:id="331" w:name="_Toc451333507"/>
      <w:bookmarkStart w:id="332" w:name="_Toc451943810"/>
      <w:bookmarkStart w:id="333" w:name="_Toc456686743"/>
      <w:bookmarkStart w:id="334" w:name="_Ref480805208"/>
      <w:bookmarkStart w:id="335" w:name="_Ref480805939"/>
      <w:bookmarkStart w:id="336" w:name="_Toc487037177"/>
      <w:bookmarkEnd w:id="320"/>
      <w:r w:rsidRPr="008F4F73">
        <w:t xml:space="preserve">Relationship between risk free rate and market risk premium in </w:t>
      </w:r>
      <w:r w:rsidRPr="006C49DC">
        <w:t>valuation reports</w:t>
      </w:r>
      <w:bookmarkEnd w:id="326"/>
      <w:bookmarkEnd w:id="327"/>
      <w:bookmarkEnd w:id="328"/>
      <w:bookmarkEnd w:id="329"/>
      <w:bookmarkEnd w:id="330"/>
      <w:bookmarkEnd w:id="331"/>
      <w:bookmarkEnd w:id="332"/>
      <w:bookmarkEnd w:id="333"/>
      <w:bookmarkEnd w:id="334"/>
      <w:bookmarkEnd w:id="335"/>
      <w:bookmarkEnd w:id="336"/>
    </w:p>
    <w:p w:rsidR="005661F5" w:rsidRPr="00C63A90" w:rsidRDefault="005661F5" w:rsidP="005661F5">
      <w:r>
        <w:rPr>
          <w:rStyle w:val="AERbody"/>
        </w:rPr>
        <w:t>Some s</w:t>
      </w:r>
      <w:r w:rsidRPr="00C63A90">
        <w:rPr>
          <w:rStyle w:val="AERbody"/>
        </w:rPr>
        <w:t>ervice providers</w:t>
      </w:r>
      <w:r w:rsidRPr="00C63A90">
        <w:t xml:space="preserve"> </w:t>
      </w:r>
      <w:r>
        <w:t xml:space="preserve">have previously </w:t>
      </w:r>
      <w:r w:rsidRPr="00C63A90">
        <w:t>submitted that independent valuation reports provide evidence of an inverse relationship between the risk free rate and the market risk premium.</w:t>
      </w:r>
      <w:r w:rsidRPr="00C63A90">
        <w:rPr>
          <w:rStyle w:val="FootnoteReference"/>
        </w:rPr>
        <w:footnoteReference w:id="1084"/>
      </w:r>
      <w:r w:rsidRPr="00C63A90">
        <w:t xml:space="preserve"> In addition to reports by Incenta and NERA considered in our October and November 2015 decisions, the HoustonKemp report considered in the April and May 2016 decisions submits that there is a statistically significant inverse relationship between the government bond yield and the market risk premium that is applied by independent expert valuation professionals.</w:t>
      </w:r>
      <w:r w:rsidRPr="00C63A90">
        <w:rPr>
          <w:rStyle w:val="FootnoteReference"/>
        </w:rPr>
        <w:footnoteReference w:id="1085"/>
      </w:r>
    </w:p>
    <w:p w:rsidR="005661F5" w:rsidRPr="00C63A90" w:rsidRDefault="005661F5" w:rsidP="005661F5">
      <w:pPr>
        <w:numPr>
          <w:ilvl w:val="0"/>
          <w:numId w:val="24"/>
        </w:numPr>
      </w:pPr>
      <w:r w:rsidRPr="00C63A90">
        <w:t>As stated in previous decisions we consider that there is not sufficient evidence to establish the existence of such a relationship in valuers' estimates, because:</w:t>
      </w:r>
    </w:p>
    <w:p w:rsidR="005661F5" w:rsidRPr="00C63A90" w:rsidRDefault="005661F5" w:rsidP="005661F5">
      <w:pPr>
        <w:pStyle w:val="AERbulletlistfirststyle"/>
      </w:pPr>
      <w:r w:rsidRPr="00C63A90">
        <w:t>Incenta's sample is too small to support a reliable inference.</w:t>
      </w:r>
    </w:p>
    <w:p w:rsidR="005661F5" w:rsidRPr="00C63A90" w:rsidRDefault="005661F5" w:rsidP="005661F5">
      <w:pPr>
        <w:pStyle w:val="AERbulletlistfirststyle"/>
      </w:pPr>
      <w:r w:rsidRPr="00C63A90">
        <w:t>NERA's regression results are driven by its unsupported assumption that any difference between a valuer's stated risk free rate and the prevailing yield on Commonwealth government securities is to be taken as part of their adopted market risk premium.</w:t>
      </w:r>
    </w:p>
    <w:p w:rsidR="005661F5" w:rsidRPr="00C63A90" w:rsidRDefault="005661F5" w:rsidP="005661F5">
      <w:r w:rsidRPr="00C63A90">
        <w:t xml:space="preserve">As HoustonKemp's analysis uses the same methods to that of NERA, our assessment of NERA's analysis in our October and November 2015 decisions are equally applicable to it. </w:t>
      </w:r>
      <w:r w:rsidRPr="00C63A90">
        <w:rPr>
          <w:rStyle w:val="AERbody"/>
        </w:rPr>
        <w:t>These reasons were supported by Partington and Satchell.</w:t>
      </w:r>
      <w:r w:rsidRPr="00C63A90">
        <w:rPr>
          <w:rStyle w:val="FootnoteReference"/>
        </w:rPr>
        <w:footnoteReference w:id="1086"/>
      </w:r>
      <w:r w:rsidRPr="00C63A90">
        <w:rPr>
          <w:rStyle w:val="AERbody"/>
        </w:rPr>
        <w:t xml:space="preserve"> </w:t>
      </w:r>
    </w:p>
    <w:p w:rsidR="006A3314" w:rsidRPr="006A3314" w:rsidRDefault="006A3314" w:rsidP="006A3314"/>
    <w:p w:rsidR="00B047E3" w:rsidRDefault="00B047E3" w:rsidP="004D6A10">
      <w:pPr>
        <w:rPr>
          <w:rStyle w:val="AERbody"/>
        </w:rPr>
      </w:pPr>
    </w:p>
    <w:p w:rsidR="0070354B" w:rsidRDefault="0070354B" w:rsidP="0070354B">
      <w:pPr>
        <w:pStyle w:val="Heading7"/>
      </w:pPr>
      <w:bookmarkStart w:id="337" w:name="_Ref478460051"/>
      <w:bookmarkStart w:id="338" w:name="_Toc487037178"/>
      <w:r>
        <w:t>Empirical estimates of equity beta</w:t>
      </w:r>
      <w:bookmarkEnd w:id="337"/>
      <w:bookmarkEnd w:id="338"/>
    </w:p>
    <w:p w:rsidR="00352220" w:rsidRDefault="00352220" w:rsidP="00CC7A1C">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87"/>
      </w:r>
      <w:r>
        <w:t xml:space="preserve"> </w:t>
      </w:r>
    </w:p>
    <w:p w:rsidR="00352220" w:rsidRDefault="00352220" w:rsidP="00CC7A1C">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352220" w:rsidRDefault="00352220" w:rsidP="00CC7A1C">
      <w:pPr>
        <w:numPr>
          <w:ilvl w:val="0"/>
          <w:numId w:val="24"/>
        </w:numPr>
      </w:pPr>
      <w:r>
        <w:t>As discussed in section</w:t>
      </w:r>
      <w:r w:rsidR="00FE0217">
        <w:t xml:space="preserve"> </w:t>
      </w:r>
      <w:r w:rsidR="00711D8E">
        <w:fldChar w:fldCharType="begin"/>
      </w:r>
      <w:r w:rsidR="00711D8E">
        <w:instrText xml:space="preserve"> REF _Ref430958591 \r \h </w:instrText>
      </w:r>
      <w:r w:rsidR="00711D8E">
        <w:fldChar w:fldCharType="separate"/>
      </w:r>
      <w:r w:rsidR="002C24D6">
        <w:t>3.4.1</w:t>
      </w:r>
      <w:r w:rsidR="00711D8E">
        <w:fldChar w:fldCharType="end"/>
      </w:r>
      <w:r>
        <w:t xml:space="preserve">, empirical estimates using a comparator set of listed Australian energy network firms from Henry's 2014 report are the main determinants of our equity beta estimate for a benchmark efficient entity with a similar degree of risk as </w:t>
      </w:r>
      <w:r w:rsidR="005B1D7B">
        <w:t>APTPPL</w:t>
      </w:r>
      <w:r w:rsidR="00A870F7">
        <w:t xml:space="preserve"> </w:t>
      </w:r>
      <w:r>
        <w:t>in providing re</w:t>
      </w:r>
      <w:r w:rsidR="002A1687">
        <w:t>ference</w:t>
      </w:r>
      <w:r>
        <w:t xml:space="preserve">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r w:rsidRPr="002A2A95">
        <w:t xml:space="preserve"> </w:t>
      </w:r>
    </w:p>
    <w:p w:rsidR="001537E5" w:rsidRDefault="001537E5" w:rsidP="001537E5">
      <w:pPr>
        <w:numPr>
          <w:ilvl w:val="0"/>
          <w:numId w:val="24"/>
        </w:numPr>
      </w:pPr>
      <w:r>
        <w:t xml:space="preserve">We note (and accept) </w:t>
      </w:r>
      <w:r w:rsidR="00711D8E">
        <w:t>AGN's</w:t>
      </w:r>
      <w:r w:rsidR="00FE0217">
        <w:t>, AusNet's and Multinet's</w:t>
      </w:r>
      <w:r w:rsidR="00711D8E">
        <w:t xml:space="preserve"> </w:t>
      </w:r>
      <w:r>
        <w:t>proposal to adopt our Guideline equity beta of 0.7.</w:t>
      </w:r>
      <w:r>
        <w:rPr>
          <w:rStyle w:val="FootnoteReference"/>
        </w:rPr>
        <w:footnoteReference w:id="1088"/>
      </w:r>
      <w:r w:rsidR="00FE0217" w:rsidRPr="00FE0217">
        <w:rPr>
          <w:rStyle w:val="FootnoteReference"/>
        </w:rPr>
        <w:t xml:space="preserve"> </w:t>
      </w:r>
    </w:p>
    <w:p w:rsidR="00352220" w:rsidRDefault="00352220" w:rsidP="00CC7A1C">
      <w:pPr>
        <w:numPr>
          <w:ilvl w:val="0"/>
          <w:numId w:val="24"/>
        </w:numPr>
      </w:pPr>
      <w:r>
        <w:t xml:space="preserve">However </w:t>
      </w:r>
      <w:r w:rsidR="00FE0217">
        <w:t>all three service providers</w:t>
      </w:r>
      <w:r>
        <w:t xml:space="preserve"> submitted a CEG report  that suggested a higher value based on updating and extending Henry's empirical Australian estimates.</w:t>
      </w:r>
      <w:r>
        <w:rPr>
          <w:rStyle w:val="FootnoteReference"/>
        </w:rPr>
        <w:footnoteReference w:id="1089"/>
      </w:r>
      <w:r>
        <w:t xml:space="preserve"> We responded to this material in section </w:t>
      </w:r>
      <w:r w:rsidR="00FD0D38">
        <w:fldChar w:fldCharType="begin"/>
      </w:r>
      <w:r w:rsidR="00FD0D38">
        <w:instrText xml:space="preserve"> REF _Ref430958591 \r \h </w:instrText>
      </w:r>
      <w:r w:rsidR="00FD0D38">
        <w:fldChar w:fldCharType="separate"/>
      </w:r>
      <w:r w:rsidR="002C24D6">
        <w:t>3.4.1</w:t>
      </w:r>
      <w:r w:rsidR="00FD0D38">
        <w:fldChar w:fldCharType="end"/>
      </w:r>
      <w:r w:rsidR="00FD0D38">
        <w:t xml:space="preserve"> </w:t>
      </w:r>
      <w:r>
        <w:t>and discuss them in more detail in this appendix. 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AusNet Services in providing regulated services. We consider this information provides some support for an equity beta point estimate towards the upper end of the range.</w:t>
      </w:r>
    </w:p>
    <w:p w:rsidR="00F1059D" w:rsidRDefault="00F1059D" w:rsidP="00CC7A1C">
      <w:pPr>
        <w:numPr>
          <w:ilvl w:val="0"/>
          <w:numId w:val="24"/>
        </w:numPr>
      </w:pPr>
      <w:r>
        <w:t xml:space="preserve">We </w:t>
      </w:r>
      <w:r w:rsidR="00FD0D38">
        <w:t xml:space="preserve">note (and </w:t>
      </w:r>
      <w:r>
        <w:t>reject</w:t>
      </w:r>
      <w:r w:rsidR="00FD0D38">
        <w:t>) APA and APTPPL's proposal for an equity beta of 0.8. APTPPL submitted a Frontier report (dated December 2016) with more recent estimates of the equity.</w:t>
      </w:r>
      <w:r w:rsidR="00FD0D38">
        <w:rPr>
          <w:rStyle w:val="FootnoteReference"/>
        </w:rPr>
        <w:footnoteReference w:id="1090"/>
      </w:r>
      <w:r w:rsidR="00FD0D38">
        <w:t xml:space="preserve"> We responded to the two service providers' material in </w:t>
      </w:r>
      <w:r w:rsidR="00FD0D38">
        <w:fldChar w:fldCharType="begin"/>
      </w:r>
      <w:r w:rsidR="00FD0D38">
        <w:instrText xml:space="preserve"> REF _Ref430958591 \r \h </w:instrText>
      </w:r>
      <w:r w:rsidR="00FD0D38">
        <w:fldChar w:fldCharType="separate"/>
      </w:r>
      <w:r w:rsidR="002C24D6">
        <w:t>3.4.1</w:t>
      </w:r>
      <w:r w:rsidR="00FD0D38">
        <w:fldChar w:fldCharType="end"/>
      </w:r>
      <w:r w:rsidR="00FD0D38">
        <w:t xml:space="preserve">. </w:t>
      </w:r>
    </w:p>
    <w:p w:rsidR="00352220" w:rsidRDefault="00352220" w:rsidP="00CC7A1C">
      <w:pPr>
        <w:numPr>
          <w:ilvl w:val="0"/>
          <w:numId w:val="24"/>
        </w:numPr>
      </w:pPr>
      <w:r>
        <w:t>This appendix sets out:</w:t>
      </w:r>
    </w:p>
    <w:p w:rsidR="00352220" w:rsidRDefault="00352220" w:rsidP="00352220">
      <w:pPr>
        <w:pStyle w:val="AERbulletlistfirststyle"/>
        <w:rPr>
          <w:rStyle w:val="AERbody"/>
        </w:rPr>
      </w:pPr>
      <w:r>
        <w:rPr>
          <w:rStyle w:val="AERbody"/>
        </w:rPr>
        <w:t>the Australian and international empirical estimates we consider in this decision</w:t>
      </w:r>
    </w:p>
    <w:p w:rsidR="00352220" w:rsidRDefault="00352220" w:rsidP="00352220">
      <w:pPr>
        <w:pStyle w:val="AERbulletlistfirststyle"/>
        <w:rPr>
          <w:rStyle w:val="AERbody"/>
        </w:rPr>
      </w:pPr>
      <w:r>
        <w:rPr>
          <w:rStyle w:val="AERbody"/>
        </w:rPr>
        <w:t>the comparator set we use for our empirical analysis and our reasons for using this comparator set.</w:t>
      </w:r>
    </w:p>
    <w:p w:rsidR="00352220" w:rsidRPr="00352220" w:rsidRDefault="00352220" w:rsidP="00CC7A1C">
      <w:pPr>
        <w:pStyle w:val="Heading8"/>
        <w:numPr>
          <w:ilvl w:val="1"/>
          <w:numId w:val="32"/>
        </w:numPr>
      </w:pPr>
      <w:bookmarkStart w:id="339" w:name="_Ref446255169"/>
      <w:bookmarkStart w:id="340" w:name="_Toc451938999"/>
      <w:bookmarkStart w:id="341" w:name="_Toc487037179"/>
      <w:r>
        <w:t>Australian e</w:t>
      </w:r>
      <w:r w:rsidRPr="00352220">
        <w:t>mpirical estimates from Henry's 2014 report</w:t>
      </w:r>
      <w:bookmarkEnd w:id="339"/>
      <w:bookmarkEnd w:id="340"/>
      <w:bookmarkEnd w:id="341"/>
    </w:p>
    <w:p w:rsidR="00352220" w:rsidRDefault="00352220" w:rsidP="00CC7A1C">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91"/>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92"/>
      </w:r>
    </w:p>
    <w:p w:rsidR="00352220" w:rsidRPr="00C01E61" w:rsidRDefault="00352220" w:rsidP="00CC7A1C">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2C24D6">
        <w:t>G.4.1</w:t>
      </w:r>
      <w:r>
        <w:fldChar w:fldCharType="end"/>
      </w:r>
      <w:r>
        <w:t>)</w:t>
      </w:r>
      <w:r w:rsidRPr="00C01E61">
        <w:t xml:space="preserve">, using </w:t>
      </w:r>
      <w:r>
        <w:t xml:space="preserve">available </w:t>
      </w:r>
      <w:r w:rsidRPr="00C01E61">
        <w:t>data from 29 May 1992 to 28 June 2013.</w:t>
      </w:r>
      <w:r>
        <w:rPr>
          <w:rStyle w:val="FootnoteReference"/>
        </w:rPr>
        <w:footnoteReference w:id="1093"/>
      </w:r>
      <w:r w:rsidRPr="00C01E61">
        <w:t xml:space="preserve"> </w:t>
      </w:r>
      <w:r>
        <w:t>Based on our detailed discussion of methodological choices in recent decisions,</w:t>
      </w:r>
      <w:r>
        <w:rPr>
          <w:rStyle w:val="FootnoteReference"/>
        </w:rPr>
        <w:footnoteReference w:id="1094"/>
      </w:r>
      <w:r>
        <w:t xml:space="preserve"> w</w:t>
      </w:r>
      <w:r w:rsidRPr="00C01E61">
        <w:t>e consider the most useful empirical estimates:</w:t>
      </w:r>
    </w:p>
    <w:p w:rsidR="00352220" w:rsidRPr="001F00F1" w:rsidRDefault="00352220" w:rsidP="0035222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352220" w:rsidRPr="001F00F1" w:rsidRDefault="00352220" w:rsidP="00352220">
      <w:pPr>
        <w:pStyle w:val="AERbulletlistfirststyle"/>
      </w:pPr>
      <w:r w:rsidRPr="00517D1B">
        <w:t>are measured over multiple estimation periods</w:t>
      </w:r>
      <w:r>
        <w:t xml:space="preserve"> </w:t>
      </w:r>
    </w:p>
    <w:p w:rsidR="00352220" w:rsidRDefault="00352220" w:rsidP="00352220">
      <w:pPr>
        <w:pStyle w:val="AERbulletlistfirststyle"/>
      </w:pPr>
      <w:r w:rsidRPr="00517D1B">
        <w:t>use weekly return intervals (with monthly returns used as a robustness check)</w:t>
      </w:r>
    </w:p>
    <w:p w:rsidR="00352220" w:rsidRPr="001F00F1" w:rsidRDefault="00352220" w:rsidP="00352220">
      <w:pPr>
        <w:pStyle w:val="AERbulletlistfirststyle"/>
      </w:pPr>
      <w:r>
        <w:t>use the Brealey–Myers formula</w:t>
      </w:r>
      <w:r w:rsidRPr="00517D1B">
        <w:t xml:space="preserve"> </w:t>
      </w:r>
      <w:r>
        <w:t>to de- and re-lever raw</w:t>
      </w:r>
      <w:r>
        <w:rPr>
          <w:rStyle w:val="FootnoteReference"/>
        </w:rPr>
        <w:footnoteReference w:id="1095"/>
      </w:r>
      <w:r>
        <w:t xml:space="preserve"> estimates to a benchmark gearing of 60 per cent, although we consider both raw and re-levered estimates </w:t>
      </w:r>
    </w:p>
    <w:p w:rsidR="00352220" w:rsidRPr="001F00F1" w:rsidRDefault="00352220" w:rsidP="00352220">
      <w:pPr>
        <w:pStyle w:val="AERbulletlistfirststyle"/>
      </w:pPr>
      <w:r w:rsidRPr="00517D1B">
        <w:t>are based on averages of individual firm estimates and fixed weight portfolios (equal weighting and value weighting)</w:t>
      </w:r>
    </w:p>
    <w:p w:rsidR="00352220" w:rsidRDefault="00352220" w:rsidP="00352220">
      <w:pPr>
        <w:pStyle w:val="AERbulletlistfirststyle"/>
      </w:pPr>
      <w:r w:rsidRPr="00517D1B">
        <w:t>do not apply a Blume or Vasicek adjustment</w:t>
      </w:r>
      <w:r w:rsidRPr="001F00F1">
        <w:t>.</w:t>
      </w:r>
      <w:r w:rsidRPr="001F00F1">
        <w:rPr>
          <w:rStyle w:val="FootnoteReference"/>
        </w:rPr>
        <w:footnoteReference w:id="1096"/>
      </w:r>
    </w:p>
    <w:p w:rsidR="00352220" w:rsidRPr="00D70AB3" w:rsidRDefault="00352220" w:rsidP="00CC7A1C">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2C24D6">
        <w:t xml:space="preserve">Table </w:t>
      </w:r>
      <w:r w:rsidR="002C24D6">
        <w:rPr>
          <w:noProof/>
        </w:rPr>
        <w:t>3</w:t>
      </w:r>
      <w:r w:rsidR="002C24D6">
        <w:noBreakHyphen/>
      </w:r>
      <w:r w:rsidR="002C24D6">
        <w:rPr>
          <w:noProof/>
        </w:rPr>
        <w:t>28</w:t>
      </w:r>
      <w:r>
        <w:fldChar w:fldCharType="end"/>
      </w:r>
      <w:r>
        <w:t xml:space="preserve"> and </w:t>
      </w:r>
      <w:r>
        <w:fldChar w:fldCharType="begin"/>
      </w:r>
      <w:r>
        <w:instrText xml:space="preserve"> REF  _Ref446197176 \* Lower \h </w:instrText>
      </w:r>
      <w:r>
        <w:fldChar w:fldCharType="separate"/>
      </w:r>
      <w:r w:rsidR="002C24D6">
        <w:t xml:space="preserve">table </w:t>
      </w:r>
      <w:r w:rsidR="002C24D6">
        <w:rPr>
          <w:noProof/>
        </w:rPr>
        <w:t>3</w:t>
      </w:r>
      <w:r w:rsidR="002C24D6">
        <w:noBreakHyphen/>
      </w:r>
      <w:r w:rsidR="002C24D6">
        <w:rPr>
          <w:noProof/>
        </w:rPr>
        <w:t>29</w:t>
      </w:r>
      <w:r>
        <w:fldChar w:fldCharType="end"/>
      </w:r>
      <w:r>
        <w:t xml:space="preserve"> set out </w:t>
      </w:r>
      <w:r w:rsidRPr="00D70AB3">
        <w:t>Henry's re-levered OLS equity beta estimates for the individual comparator firms (averaged across firms) and fixed weight portfolios respectively. The results show that:</w:t>
      </w:r>
    </w:p>
    <w:p w:rsidR="00352220" w:rsidRPr="001F00F1" w:rsidRDefault="00352220" w:rsidP="0035222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97"/>
      </w:r>
      <w:r w:rsidRPr="001F00F1">
        <w:t xml:space="preserve"> </w:t>
      </w:r>
    </w:p>
    <w:p w:rsidR="00352220" w:rsidRPr="001F00F1" w:rsidRDefault="00352220" w:rsidP="0035222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98"/>
      </w:r>
    </w:p>
    <w:p w:rsidR="00352220" w:rsidRDefault="00352220" w:rsidP="00352220">
      <w:pPr>
        <w:pStyle w:val="Caption"/>
      </w:pPr>
      <w:bookmarkStart w:id="342" w:name="_Ref446197185"/>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28</w:t>
      </w:r>
      <w:r w:rsidR="002C24D6">
        <w:rPr>
          <w:noProof/>
        </w:rPr>
        <w:fldChar w:fldCharType="end"/>
      </w:r>
      <w:bookmarkEnd w:id="342"/>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352220" w:rsidTr="009D1AA8">
        <w:trPr>
          <w:cnfStyle w:val="100000000000" w:firstRow="1" w:lastRow="0" w:firstColumn="0" w:lastColumn="0" w:oddVBand="0" w:evenVBand="0" w:oddHBand="0" w:evenHBand="0" w:firstRowFirstColumn="0" w:firstRowLastColumn="0" w:lastRowFirstColumn="0" w:lastRowLastColumn="0"/>
        </w:trPr>
        <w:tc>
          <w:tcPr>
            <w:tcW w:w="2093" w:type="dxa"/>
          </w:tcPr>
          <w:p w:rsidR="00352220" w:rsidRPr="00352220" w:rsidRDefault="00352220" w:rsidP="00352220">
            <w:r>
              <w:t>Issue</w:t>
            </w:r>
          </w:p>
        </w:tc>
        <w:tc>
          <w:tcPr>
            <w:tcW w:w="2360" w:type="dxa"/>
          </w:tcPr>
          <w:p w:rsidR="00352220" w:rsidRPr="00352220" w:rsidRDefault="00352220" w:rsidP="00352220">
            <w:r>
              <w:t>Longest available period</w:t>
            </w:r>
          </w:p>
        </w:tc>
        <w:tc>
          <w:tcPr>
            <w:tcW w:w="2459" w:type="dxa"/>
          </w:tcPr>
          <w:p w:rsidR="00352220" w:rsidRPr="00352220" w:rsidRDefault="00352220" w:rsidP="00352220">
            <w:r>
              <w:t>2002 to 2013 (excluding GFC)</w:t>
            </w:r>
          </w:p>
        </w:tc>
        <w:tc>
          <w:tcPr>
            <w:tcW w:w="1781" w:type="dxa"/>
          </w:tcPr>
          <w:p w:rsidR="00352220" w:rsidRPr="00352220" w:rsidRDefault="00352220" w:rsidP="00352220">
            <w:r>
              <w:t xml:space="preserve">Last five years </w:t>
            </w:r>
            <w:r w:rsidRPr="00352220">
              <w:rPr>
                <w:rStyle w:val="FootnoteReference"/>
              </w:rPr>
              <w:t>(a)</w:t>
            </w:r>
          </w:p>
        </w:tc>
      </w:tr>
      <w:tr w:rsidR="00352220" w:rsidTr="009D1AA8">
        <w:tc>
          <w:tcPr>
            <w:tcW w:w="2093" w:type="dxa"/>
          </w:tcPr>
          <w:p w:rsidR="00352220" w:rsidRPr="00352220" w:rsidRDefault="00352220" w:rsidP="00352220">
            <w:r>
              <w:t>Re-levered OLS estimates</w:t>
            </w:r>
          </w:p>
        </w:tc>
        <w:tc>
          <w:tcPr>
            <w:tcW w:w="2360" w:type="dxa"/>
          </w:tcPr>
          <w:p w:rsidR="00352220" w:rsidRPr="00352220" w:rsidRDefault="00352220" w:rsidP="00352220">
            <w:r>
              <w:t>0.52</w:t>
            </w:r>
          </w:p>
        </w:tc>
        <w:tc>
          <w:tcPr>
            <w:tcW w:w="2459" w:type="dxa"/>
          </w:tcPr>
          <w:p w:rsidR="00352220" w:rsidRPr="00352220" w:rsidRDefault="00352220" w:rsidP="00352220">
            <w:r>
              <w:t>0.56</w:t>
            </w:r>
          </w:p>
        </w:tc>
        <w:tc>
          <w:tcPr>
            <w:tcW w:w="1781" w:type="dxa"/>
          </w:tcPr>
          <w:p w:rsidR="00352220" w:rsidRPr="00352220" w:rsidRDefault="00352220" w:rsidP="00352220">
            <w:r>
              <w:t>0.46</w:t>
            </w:r>
          </w:p>
        </w:tc>
      </w:tr>
    </w:tbl>
    <w:p w:rsidR="00352220" w:rsidRPr="0070354B" w:rsidRDefault="00352220" w:rsidP="00352220">
      <w:pPr>
        <w:pStyle w:val="AERtablesource"/>
      </w:pPr>
      <w:r w:rsidRPr="00C01E61">
        <w:t>Source:</w:t>
      </w:r>
      <w:r w:rsidRPr="00C01E61">
        <w:tab/>
      </w:r>
      <w:r w:rsidRPr="0070354B">
        <w:t xml:space="preserve">AER analysis; Henry, </w:t>
      </w:r>
      <w:r w:rsidRPr="0070354B">
        <w:rPr>
          <w:rStyle w:val="AERtextitalic"/>
        </w:rPr>
        <w:t>Estimating β: An update</w:t>
      </w:r>
      <w:r w:rsidRPr="0070354B">
        <w:t>, April 2014.</w:t>
      </w:r>
    </w:p>
    <w:p w:rsidR="00352220" w:rsidRDefault="00352220" w:rsidP="00352220">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352220" w:rsidRDefault="00352220" w:rsidP="00352220">
      <w:pPr>
        <w:pStyle w:val="Caption"/>
      </w:pPr>
      <w:bookmarkStart w:id="343" w:name="_Ref446197176"/>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29</w:t>
      </w:r>
      <w:r w:rsidR="002C24D6">
        <w:rPr>
          <w:noProof/>
        </w:rPr>
        <w:fldChar w:fldCharType="end"/>
      </w:r>
      <w:bookmarkEnd w:id="343"/>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352220" w:rsidTr="009D1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9279A1" w:rsidRDefault="00352220" w:rsidP="00352220"/>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Firms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SKI, SPN</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Equal weighted</w:t>
            </w: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 xml:space="preserve">Longest available </w:t>
            </w:r>
            <w:r w:rsidRPr="00352220">
              <w:t>period</w:t>
            </w:r>
            <w:r w:rsidRPr="00352220">
              <w:rPr>
                <w:rStyle w:val="AERsuperscript"/>
              </w:rPr>
              <w:t>(a)</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0.39</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Value weighted</w:t>
            </w: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Longest available period</w:t>
            </w:r>
            <w:r w:rsidRPr="00352220">
              <w:rPr>
                <w:rStyle w:val="AERsuperscript"/>
              </w:rPr>
              <w:t>(a)</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0.39</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r>
    </w:tbl>
    <w:p w:rsidR="00352220" w:rsidRPr="00C01E61" w:rsidRDefault="00352220" w:rsidP="0035222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352220" w:rsidRPr="006460A6" w:rsidRDefault="00352220" w:rsidP="0035222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AusNet Services' preliminary decision</w:t>
      </w:r>
      <w:r w:rsidRPr="006460A6">
        <w:t>.</w:t>
      </w:r>
    </w:p>
    <w:p w:rsidR="00352220" w:rsidRPr="006460A6" w:rsidRDefault="00352220" w:rsidP="0035222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352220" w:rsidRDefault="00352220" w:rsidP="00CC7A1C">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99"/>
      </w:r>
      <w:r>
        <w:t xml:space="preserve"> The results are as follows:</w:t>
      </w:r>
      <w:r>
        <w:rPr>
          <w:rStyle w:val="FootnoteReference"/>
        </w:rPr>
        <w:footnoteReference w:id="1100"/>
      </w:r>
    </w:p>
    <w:p w:rsidR="00352220" w:rsidRPr="001F00F1" w:rsidRDefault="00352220" w:rsidP="00352220">
      <w:pPr>
        <w:pStyle w:val="AERbulletlistfirststyle"/>
      </w:pPr>
      <w:r w:rsidRPr="00CA72A5">
        <w:t>the re-levered LAD estimates range from 0.38 to 0.58 and the raw LAD estimates range from 0.31 to 0.60.</w:t>
      </w:r>
      <w:r w:rsidRPr="001F00F1">
        <w:rPr>
          <w:rStyle w:val="FootnoteReference"/>
        </w:rPr>
        <w:footnoteReference w:id="1101"/>
      </w:r>
    </w:p>
    <w:p w:rsidR="00352220" w:rsidRPr="001F00F1" w:rsidRDefault="00352220" w:rsidP="00352220">
      <w:pPr>
        <w:pStyle w:val="AERbulletlistfirststyle"/>
      </w:pPr>
      <w:r w:rsidRPr="00CA72A5">
        <w:t>the OLS estimates using monthly return intervals range from 0.37 to 0.58.</w:t>
      </w:r>
      <w:r w:rsidRPr="001F00F1">
        <w:rPr>
          <w:rStyle w:val="FootnoteReference"/>
        </w:rPr>
        <w:footnoteReference w:id="1102"/>
      </w:r>
      <w:r w:rsidRPr="001F00F1">
        <w:t xml:space="preserve"> </w:t>
      </w:r>
    </w:p>
    <w:p w:rsidR="00352220" w:rsidRDefault="00352220" w:rsidP="00CC7A1C">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03"/>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104"/>
      </w:r>
    </w:p>
    <w:p w:rsidR="00352220" w:rsidRDefault="00352220" w:rsidP="0035222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352220" w:rsidRDefault="00352220" w:rsidP="00CC7A1C">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2C24D6">
        <w:t xml:space="preserve">figure </w:t>
      </w:r>
      <w:r w:rsidR="002C24D6">
        <w:rPr>
          <w:noProof/>
        </w:rPr>
        <w:t>3</w:t>
      </w:r>
      <w:r w:rsidR="002C24D6">
        <w:noBreakHyphen/>
      </w:r>
      <w:r w:rsidR="002C24D6">
        <w:rPr>
          <w:noProof/>
        </w:rPr>
        <w:t>17</w:t>
      </w:r>
      <w:r>
        <w:fldChar w:fldCharType="end"/>
      </w:r>
      <w:r>
        <w:t>.</w:t>
      </w:r>
    </w:p>
    <w:p w:rsidR="00352220" w:rsidRDefault="00352220" w:rsidP="00352220">
      <w:pPr>
        <w:pStyle w:val="Caption"/>
      </w:pPr>
      <w:bookmarkStart w:id="344" w:name="_Ref446243940"/>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Figure \* ARABIC \s 1 </w:instrText>
      </w:r>
      <w:r w:rsidR="002C24D6">
        <w:fldChar w:fldCharType="separate"/>
      </w:r>
      <w:r w:rsidR="002C24D6">
        <w:rPr>
          <w:noProof/>
        </w:rPr>
        <w:t>17</w:t>
      </w:r>
      <w:r w:rsidR="002C24D6">
        <w:rPr>
          <w:noProof/>
        </w:rPr>
        <w:fldChar w:fldCharType="end"/>
      </w:r>
      <w:bookmarkEnd w:id="344"/>
      <w:r>
        <w:tab/>
        <w:t>Equity beta estimates from Henry's 2014 report (average of individual firm estimates and fixed weight portfolio estimates)</w:t>
      </w:r>
    </w:p>
    <w:p w:rsidR="00352220" w:rsidRDefault="00352220" w:rsidP="00CC7A1C">
      <w:pPr>
        <w:numPr>
          <w:ilvl w:val="0"/>
          <w:numId w:val="24"/>
        </w:numPr>
      </w:pPr>
      <w:r w:rsidRPr="00352220">
        <w:rPr>
          <w:noProof/>
          <w:lang w:eastAsia="en-AU"/>
        </w:rPr>
        <w:drawing>
          <wp:inline distT="0" distB="0" distL="0" distR="0" wp14:anchorId="073681AB" wp14:editId="51192DD3">
            <wp:extent cx="5472000" cy="32905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352220" w:rsidRPr="00812C81" w:rsidRDefault="00352220" w:rsidP="0035222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352220" w:rsidRDefault="00352220" w:rsidP="0035222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E1299F" w:rsidRPr="0048462F" w:rsidRDefault="00E1299F" w:rsidP="00013867">
      <w:bookmarkStart w:id="345" w:name="_Ref446255164"/>
      <w:bookmarkStart w:id="346" w:name="_Toc451939000"/>
      <w:bookmarkStart w:id="347" w:name="_Ref401311140"/>
      <w:bookmarkStart w:id="348" w:name="_Toc401315943"/>
      <w:bookmarkStart w:id="349" w:name="_Toc403990360"/>
      <w:bookmarkStart w:id="350" w:name="_Toc404643523"/>
      <w:bookmarkStart w:id="351" w:name="_Toc415561729"/>
      <w:bookmarkStart w:id="352" w:name="_Toc417396119"/>
      <w:bookmarkStart w:id="353" w:name="_Toc418006918"/>
      <w:bookmarkStart w:id="354" w:name="_Toc431206901"/>
      <w:bookmarkStart w:id="355" w:name="_Toc443584848"/>
    </w:p>
    <w:p w:rsidR="00352220" w:rsidRPr="0070354B" w:rsidRDefault="00352220" w:rsidP="00352220">
      <w:pPr>
        <w:pStyle w:val="Heading8"/>
      </w:pPr>
      <w:bookmarkStart w:id="356" w:name="_Toc487037180"/>
      <w:r>
        <w:t>Australian e</w:t>
      </w:r>
      <w:r w:rsidRPr="0070354B">
        <w:t>mpirical estimates from other studies</w:t>
      </w:r>
      <w:bookmarkEnd w:id="345"/>
      <w:bookmarkEnd w:id="346"/>
      <w:bookmarkEnd w:id="356"/>
    </w:p>
    <w:bookmarkEnd w:id="347"/>
    <w:bookmarkEnd w:id="348"/>
    <w:bookmarkEnd w:id="349"/>
    <w:bookmarkEnd w:id="350"/>
    <w:bookmarkEnd w:id="351"/>
    <w:bookmarkEnd w:id="352"/>
    <w:bookmarkEnd w:id="353"/>
    <w:bookmarkEnd w:id="354"/>
    <w:bookmarkEnd w:id="355"/>
    <w:p w:rsidR="00352220" w:rsidRDefault="00352220" w:rsidP="00CC7A1C">
      <w:pPr>
        <w:numPr>
          <w:ilvl w:val="0"/>
          <w:numId w:val="24"/>
        </w:numPr>
      </w:pPr>
      <w:r>
        <w:t xml:space="preserve">We consider the equity beta estimates presented in Henry's 2014 report </w:t>
      </w:r>
      <w:r w:rsidR="00FE0217">
        <w:t xml:space="preserve">and our 2017 </w:t>
      </w:r>
      <w:r w:rsidR="00783308">
        <w:t>analysis</w:t>
      </w:r>
      <w:r w:rsidR="00206701">
        <w:t xml:space="preserve"> </w:t>
      </w:r>
      <w:r>
        <w:t xml:space="preserve">are generally consistent with other empirical studies based on Australian energy network firms, as set out in </w:t>
      </w:r>
      <w:r>
        <w:fldChar w:fldCharType="begin"/>
      </w:r>
      <w:r>
        <w:instrText xml:space="preserve"> REF  _Ref446197667 \* Lower \h </w:instrText>
      </w:r>
      <w:r>
        <w:fldChar w:fldCharType="separate"/>
      </w:r>
      <w:r w:rsidR="002C24D6">
        <w:t xml:space="preserve">table </w:t>
      </w:r>
      <w:r w:rsidR="002C24D6">
        <w:rPr>
          <w:noProof/>
        </w:rPr>
        <w:t>3</w:t>
      </w:r>
      <w:r w:rsidR="002C24D6">
        <w:noBreakHyphen/>
      </w:r>
      <w:r w:rsidR="002C24D6">
        <w:rPr>
          <w:noProof/>
        </w:rPr>
        <w:t>30</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105"/>
      </w:r>
      <w:r>
        <w:t xml:space="preserve"> Nonetheless, the empirical estimates presented give us confidence that there is an extensive pattern of support for an empirical equity beta within a range of 0.4 to 0.7.</w:t>
      </w:r>
    </w:p>
    <w:p w:rsidR="00352220" w:rsidRDefault="00352220" w:rsidP="00352220">
      <w:pPr>
        <w:pStyle w:val="Caption"/>
      </w:pPr>
      <w:bookmarkStart w:id="357" w:name="_Ref446197667"/>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30</w:t>
      </w:r>
      <w:r w:rsidR="002C24D6">
        <w:rPr>
          <w:noProof/>
        </w:rPr>
        <w:fldChar w:fldCharType="end"/>
      </w:r>
      <w:bookmarkEnd w:id="357"/>
      <w:r>
        <w:tab/>
        <w:t>Equity beta estimates for Australian energy network firms</w:t>
      </w:r>
    </w:p>
    <w:tbl>
      <w:tblPr>
        <w:tblStyle w:val="AERtable-text0"/>
        <w:tblW w:w="0" w:type="auto"/>
        <w:tblLook w:val="04A0" w:firstRow="1" w:lastRow="0" w:firstColumn="1" w:lastColumn="0" w:noHBand="0" w:noVBand="1"/>
      </w:tblPr>
      <w:tblGrid>
        <w:gridCol w:w="1089"/>
        <w:gridCol w:w="844"/>
        <w:gridCol w:w="991"/>
        <w:gridCol w:w="991"/>
        <w:gridCol w:w="1076"/>
        <w:gridCol w:w="3702"/>
      </w:tblGrid>
      <w:tr w:rsidR="00BD5399" w:rsidTr="00984E2B">
        <w:trPr>
          <w:cnfStyle w:val="100000000000" w:firstRow="1" w:lastRow="0" w:firstColumn="0" w:lastColumn="0" w:oddVBand="0" w:evenVBand="0" w:oddHBand="0" w:evenHBand="0" w:firstRowFirstColumn="0" w:firstRowLastColumn="0" w:lastRowFirstColumn="0" w:lastRowLastColumn="0"/>
        </w:trPr>
        <w:tc>
          <w:tcPr>
            <w:tcW w:w="1089" w:type="dxa"/>
          </w:tcPr>
          <w:p w:rsidR="00BD5399" w:rsidRPr="00BD5399" w:rsidRDefault="00BD5399" w:rsidP="00BD5399">
            <w:r>
              <w:t>Source</w:t>
            </w:r>
          </w:p>
        </w:tc>
        <w:tc>
          <w:tcPr>
            <w:tcW w:w="844" w:type="dxa"/>
          </w:tcPr>
          <w:p w:rsidR="00BD5399" w:rsidRPr="00BD5399" w:rsidRDefault="00BD5399" w:rsidP="00BD5399">
            <w:r>
              <w:t xml:space="preserve">Time </w:t>
            </w:r>
            <w:r w:rsidRPr="00BD5399">
              <w:t>period</w:t>
            </w:r>
          </w:p>
        </w:tc>
        <w:tc>
          <w:tcPr>
            <w:tcW w:w="991" w:type="dxa"/>
          </w:tcPr>
          <w:p w:rsidR="00BD5399" w:rsidRPr="00BD5399" w:rsidRDefault="00BD5399" w:rsidP="00BD5399">
            <w:r>
              <w:t>Individual firm averages</w:t>
            </w:r>
          </w:p>
        </w:tc>
        <w:tc>
          <w:tcPr>
            <w:tcW w:w="991" w:type="dxa"/>
          </w:tcPr>
          <w:p w:rsidR="00BD5399" w:rsidRPr="00BD5399" w:rsidRDefault="00BD5399" w:rsidP="00BD5399">
            <w:r>
              <w:t>Fixed portfolios</w:t>
            </w:r>
          </w:p>
        </w:tc>
        <w:tc>
          <w:tcPr>
            <w:tcW w:w="1076" w:type="dxa"/>
          </w:tcPr>
          <w:p w:rsidR="00BD5399" w:rsidRPr="00BD5399" w:rsidRDefault="00BD5399" w:rsidP="00BD5399">
            <w:r>
              <w:t>Varying portfolios</w:t>
            </w:r>
            <w:r w:rsidRPr="00BD5399">
              <w:rPr>
                <w:rStyle w:val="AERsuperscript"/>
              </w:rPr>
              <w:t>(a)</w:t>
            </w:r>
          </w:p>
        </w:tc>
        <w:tc>
          <w:tcPr>
            <w:tcW w:w="3702" w:type="dxa"/>
          </w:tcPr>
          <w:p w:rsidR="00BD5399" w:rsidRPr="00BD5399" w:rsidRDefault="00BD5399" w:rsidP="00BD5399">
            <w:r>
              <w:t>Summary of regression permutations</w:t>
            </w:r>
          </w:p>
        </w:tc>
      </w:tr>
      <w:tr w:rsidR="00FD0D38" w:rsidTr="00984E2B">
        <w:tc>
          <w:tcPr>
            <w:tcW w:w="1089" w:type="dxa"/>
          </w:tcPr>
          <w:p w:rsidR="00FD0D38" w:rsidRDefault="00FD0D38" w:rsidP="00BD5399">
            <w:r>
              <w:t>Frontier</w:t>
            </w:r>
            <w:r w:rsidR="00A205CE">
              <w:t xml:space="preserve"> 201</w:t>
            </w:r>
            <w:r w:rsidR="00FC1862">
              <w:t>6a</w:t>
            </w:r>
          </w:p>
        </w:tc>
        <w:tc>
          <w:tcPr>
            <w:tcW w:w="844" w:type="dxa"/>
          </w:tcPr>
          <w:p w:rsidR="00FD0D38" w:rsidRDefault="00A205CE" w:rsidP="00A205CE">
            <w:r>
              <w:t>2006–2016</w:t>
            </w:r>
          </w:p>
        </w:tc>
        <w:tc>
          <w:tcPr>
            <w:tcW w:w="991" w:type="dxa"/>
          </w:tcPr>
          <w:p w:rsidR="00FD0D38" w:rsidRDefault="00A205CE" w:rsidP="00A205CE">
            <w:r>
              <w:t>0.48–0.63</w:t>
            </w:r>
          </w:p>
        </w:tc>
        <w:tc>
          <w:tcPr>
            <w:tcW w:w="991" w:type="dxa"/>
          </w:tcPr>
          <w:p w:rsidR="00FD0D38" w:rsidRDefault="00A205CE" w:rsidP="00A205CE">
            <w:r>
              <w:t>0.49–0.75</w:t>
            </w:r>
          </w:p>
        </w:tc>
        <w:tc>
          <w:tcPr>
            <w:tcW w:w="1076" w:type="dxa"/>
          </w:tcPr>
          <w:p w:rsidR="00FD0D38" w:rsidRDefault="00A205CE" w:rsidP="00A205CE">
            <w:r>
              <w:t>n/a</w:t>
            </w:r>
          </w:p>
        </w:tc>
        <w:tc>
          <w:tcPr>
            <w:tcW w:w="3702" w:type="dxa"/>
          </w:tcPr>
          <w:p w:rsidR="00FD0D38" w:rsidRPr="001F00F1" w:rsidRDefault="00A205CE" w:rsidP="00783308">
            <w:r>
              <w:t>weekly/monthly return intervals, multiple estim</w:t>
            </w:r>
            <w:r w:rsidR="00783308">
              <w:t>a</w:t>
            </w:r>
            <w:r>
              <w:t>tion period, OLS regression, fixed portfolios, average portfolios, raw/re-levered estimates, 4 comparators</w:t>
            </w:r>
          </w:p>
        </w:tc>
      </w:tr>
      <w:tr w:rsidR="00065B5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065B59" w:rsidRDefault="00065B59" w:rsidP="00BD5399">
            <w:r>
              <w:t>CEG 2016a</w:t>
            </w:r>
          </w:p>
        </w:tc>
        <w:tc>
          <w:tcPr>
            <w:tcW w:w="844" w:type="dxa"/>
          </w:tcPr>
          <w:p w:rsidR="00065B59" w:rsidRDefault="00065B59" w:rsidP="00BD5399">
            <w:r>
              <w:t>1992–2016</w:t>
            </w:r>
          </w:p>
        </w:tc>
        <w:tc>
          <w:tcPr>
            <w:tcW w:w="991" w:type="dxa"/>
          </w:tcPr>
          <w:p w:rsidR="00065B59" w:rsidRDefault="009E5768" w:rsidP="00013867">
            <w:pPr>
              <w:rPr>
                <w:rFonts w:eastAsiaTheme="minorHAnsi" w:cstheme="minorBidi"/>
                <w:sz w:val="22"/>
                <w:szCs w:val="22"/>
                <w:lang w:eastAsia="en-US"/>
              </w:rPr>
            </w:pPr>
            <w:r>
              <w:t>0.6–0.69</w:t>
            </w:r>
          </w:p>
        </w:tc>
        <w:tc>
          <w:tcPr>
            <w:tcW w:w="991" w:type="dxa"/>
          </w:tcPr>
          <w:p w:rsidR="00065B59" w:rsidRDefault="0041295F" w:rsidP="00BD5399">
            <w:r>
              <w:t>0.55–</w:t>
            </w:r>
            <w:r w:rsidR="004615B6">
              <w:t>0.71</w:t>
            </w:r>
            <w:r w:rsidR="004D0AA1" w:rsidRPr="00BD5399">
              <w:rPr>
                <w:rStyle w:val="AERsuperscript"/>
              </w:rPr>
              <w:t>(b)</w:t>
            </w:r>
          </w:p>
        </w:tc>
        <w:tc>
          <w:tcPr>
            <w:tcW w:w="1076" w:type="dxa"/>
          </w:tcPr>
          <w:p w:rsidR="00065B59" w:rsidRDefault="004615B6" w:rsidP="00BD5399">
            <w:r>
              <w:t>0.54–0.78</w:t>
            </w:r>
          </w:p>
        </w:tc>
        <w:tc>
          <w:tcPr>
            <w:tcW w:w="3702" w:type="dxa"/>
          </w:tcPr>
          <w:p w:rsidR="00065B59" w:rsidRPr="001F00F1" w:rsidRDefault="00065B59" w:rsidP="00BD5399">
            <w:r w:rsidRPr="001F00F1">
              <w:t xml:space="preserve">weekly return intervals, multiple estimation period, OLS regression, </w:t>
            </w:r>
            <w:r w:rsidRPr="00065B59">
              <w:t>time varying portfolios, average/median varying portfolios, raw/re-levered estimates, 9 comparators</w:t>
            </w:r>
          </w:p>
        </w:tc>
      </w:tr>
      <w:tr w:rsidR="00BD5399" w:rsidTr="00984E2B">
        <w:tc>
          <w:tcPr>
            <w:tcW w:w="1089" w:type="dxa"/>
          </w:tcPr>
          <w:p w:rsidR="00BD5399" w:rsidRPr="00BD5399" w:rsidRDefault="00BD5399" w:rsidP="00BD5399">
            <w:r>
              <w:t>CEG 2016</w:t>
            </w:r>
          </w:p>
        </w:tc>
        <w:tc>
          <w:tcPr>
            <w:tcW w:w="844" w:type="dxa"/>
          </w:tcPr>
          <w:p w:rsidR="00BD5399" w:rsidRPr="00BD5399" w:rsidRDefault="00BD5399" w:rsidP="00BD5399">
            <w:r>
              <w:t>1992 -2016</w:t>
            </w:r>
          </w:p>
        </w:tc>
        <w:tc>
          <w:tcPr>
            <w:tcW w:w="991" w:type="dxa"/>
          </w:tcPr>
          <w:p w:rsidR="00BD5399" w:rsidRPr="00BD5399" w:rsidRDefault="00BD5399" w:rsidP="00013867">
            <w:pPr>
              <w:rPr>
                <w:rFonts w:eastAsiaTheme="minorHAnsi" w:cstheme="minorBidi"/>
                <w:sz w:val="22"/>
                <w:szCs w:val="22"/>
                <w:lang w:eastAsia="en-US"/>
              </w:rPr>
            </w:pPr>
            <w:r>
              <w:t>0.6</w:t>
            </w:r>
            <w:r w:rsidR="009E5768">
              <w:t>–</w:t>
            </w:r>
            <w:r>
              <w:t>0.6</w:t>
            </w:r>
            <w:r w:rsidRPr="00BD5399">
              <w:t>8</w:t>
            </w:r>
          </w:p>
        </w:tc>
        <w:tc>
          <w:tcPr>
            <w:tcW w:w="991" w:type="dxa"/>
          </w:tcPr>
          <w:p w:rsidR="00BD5399" w:rsidRPr="00BD5399" w:rsidRDefault="00BD5399" w:rsidP="00BD5399">
            <w:r>
              <w:t>0</w:t>
            </w:r>
            <w:r w:rsidRPr="00BD5399">
              <w:t>.62–0.78</w:t>
            </w:r>
            <w:r w:rsidRPr="00BD5399">
              <w:rPr>
                <w:rStyle w:val="AERsuperscript"/>
              </w:rPr>
              <w:t>(b)</w:t>
            </w:r>
          </w:p>
        </w:tc>
        <w:tc>
          <w:tcPr>
            <w:tcW w:w="1076" w:type="dxa"/>
          </w:tcPr>
          <w:p w:rsidR="00BD5399" w:rsidRPr="00BD5399" w:rsidRDefault="00BD5399" w:rsidP="00BD5399">
            <w:r>
              <w:t>0.5</w:t>
            </w:r>
            <w:r w:rsidRPr="00BD5399">
              <w:t>3-0.64</w:t>
            </w:r>
          </w:p>
        </w:tc>
        <w:tc>
          <w:tcPr>
            <w:tcW w:w="3702" w:type="dxa"/>
          </w:tcPr>
          <w:p w:rsidR="00BD5399" w:rsidRPr="00BD5399" w:rsidRDefault="00BD5399" w:rsidP="00BD5399">
            <w:r w:rsidRPr="001F00F1">
              <w:t xml:space="preserve">weekly return intervals, multiple estimation period, OLS regression, </w:t>
            </w:r>
            <w:r w:rsidRPr="00BD5399">
              <w:t>time varying portfolios, average/median varying portfolios,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2016</w:t>
            </w:r>
          </w:p>
        </w:tc>
        <w:tc>
          <w:tcPr>
            <w:tcW w:w="844" w:type="dxa"/>
          </w:tcPr>
          <w:p w:rsidR="00BD5399" w:rsidRPr="00BD5399" w:rsidRDefault="00BD5399" w:rsidP="00BD5399">
            <w:r>
              <w:t>20</w:t>
            </w:r>
            <w:r w:rsidRPr="00BD5399">
              <w:t>11-2016</w:t>
            </w:r>
          </w:p>
        </w:tc>
        <w:tc>
          <w:tcPr>
            <w:tcW w:w="991" w:type="dxa"/>
          </w:tcPr>
          <w:p w:rsidR="00BD5399" w:rsidRPr="00BD5399" w:rsidRDefault="00BD5399" w:rsidP="00BD5399">
            <w:r w:rsidRPr="0070354B">
              <w:t>0.54–0.6</w:t>
            </w:r>
          </w:p>
        </w:tc>
        <w:tc>
          <w:tcPr>
            <w:tcW w:w="991" w:type="dxa"/>
          </w:tcPr>
          <w:p w:rsidR="00BD5399" w:rsidRPr="00BD5399" w:rsidRDefault="00BD5399" w:rsidP="00BD5399">
            <w:r w:rsidRPr="0070354B">
              <w:t>0.64–0.7</w:t>
            </w:r>
            <w:r w:rsidRPr="00BD5399">
              <w:t>8</w:t>
            </w:r>
          </w:p>
        </w:tc>
        <w:tc>
          <w:tcPr>
            <w:tcW w:w="1076" w:type="dxa"/>
          </w:tcPr>
          <w:p w:rsidR="00BD5399" w:rsidRPr="00BD5399" w:rsidRDefault="00BD5399" w:rsidP="00BD5399">
            <w:r>
              <w:t>n/a</w:t>
            </w:r>
          </w:p>
        </w:tc>
        <w:tc>
          <w:tcPr>
            <w:tcW w:w="3702" w:type="dxa"/>
          </w:tcPr>
          <w:p w:rsidR="00BD5399" w:rsidRPr="00BD5399" w:rsidRDefault="00BD5399" w:rsidP="00BD5399">
            <w:r>
              <w:t xml:space="preserve">weekly return intervals, 5 years </w:t>
            </w:r>
            <w:r w:rsidRPr="00BD5399">
              <w:t>(June 2011 to May 2016 ) for individual firms and portfolios, OLS/LAD/MM/T-S/ARIMAX/GARCH regressions, equal weight fixed/value weighted portfolios raw estimates, 4 comparators</w:t>
            </w:r>
          </w:p>
        </w:tc>
      </w:tr>
      <w:tr w:rsidR="00FC1862" w:rsidTr="00984E2B">
        <w:tc>
          <w:tcPr>
            <w:tcW w:w="1089" w:type="dxa"/>
          </w:tcPr>
          <w:p w:rsidR="00FC1862" w:rsidRDefault="00FC1862" w:rsidP="00BD5399">
            <w:r>
              <w:t>Frontier 2016</w:t>
            </w:r>
          </w:p>
        </w:tc>
        <w:tc>
          <w:tcPr>
            <w:tcW w:w="844" w:type="dxa"/>
          </w:tcPr>
          <w:p w:rsidR="00FC1862" w:rsidRDefault="00783308" w:rsidP="00BD5399">
            <w:r>
              <w:t>1997–2015</w:t>
            </w:r>
          </w:p>
        </w:tc>
        <w:tc>
          <w:tcPr>
            <w:tcW w:w="991" w:type="dxa"/>
          </w:tcPr>
          <w:p w:rsidR="00FC1862" w:rsidRDefault="00783308" w:rsidP="00BD5399">
            <w:r>
              <w:t>0.49–0.63</w:t>
            </w:r>
          </w:p>
        </w:tc>
        <w:tc>
          <w:tcPr>
            <w:tcW w:w="991" w:type="dxa"/>
          </w:tcPr>
          <w:p w:rsidR="00FC1862" w:rsidRDefault="00783308" w:rsidP="00BD5399">
            <w:r>
              <w:t>n/a</w:t>
            </w:r>
          </w:p>
        </w:tc>
        <w:tc>
          <w:tcPr>
            <w:tcW w:w="1076" w:type="dxa"/>
          </w:tcPr>
          <w:p w:rsidR="00FC1862" w:rsidRDefault="00783308" w:rsidP="00BD5399">
            <w:r>
              <w:t>n/a</w:t>
            </w:r>
          </w:p>
        </w:tc>
        <w:tc>
          <w:tcPr>
            <w:tcW w:w="3702" w:type="dxa"/>
          </w:tcPr>
          <w:p w:rsidR="00FC1862" w:rsidRDefault="00783308" w:rsidP="00BD5399">
            <w:r>
              <w:t>Weekly/monthly return intervals, multiple estimation period, OLS regression,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2015</w:t>
            </w:r>
          </w:p>
        </w:tc>
        <w:tc>
          <w:tcPr>
            <w:tcW w:w="844" w:type="dxa"/>
          </w:tcPr>
          <w:p w:rsidR="00BD5399" w:rsidRPr="00BD5399" w:rsidRDefault="00BD5399" w:rsidP="00BD5399">
            <w:r>
              <w:t>2010–2015</w:t>
            </w:r>
          </w:p>
        </w:tc>
        <w:tc>
          <w:tcPr>
            <w:tcW w:w="991" w:type="dxa"/>
          </w:tcPr>
          <w:p w:rsidR="00BD5399" w:rsidRPr="00BD5399" w:rsidRDefault="00BD5399" w:rsidP="00BD5399">
            <w:r>
              <w:t>0</w:t>
            </w:r>
            <w:r w:rsidRPr="00BD5399">
              <w:t>.55–0.59</w:t>
            </w:r>
          </w:p>
        </w:tc>
        <w:tc>
          <w:tcPr>
            <w:tcW w:w="991" w:type="dxa"/>
          </w:tcPr>
          <w:p w:rsidR="00BD5399" w:rsidRPr="00BD5399" w:rsidRDefault="00BD5399" w:rsidP="00BD5399">
            <w:r>
              <w:t>0</w:t>
            </w:r>
            <w:r w:rsidRPr="00BD5399">
              <w:t>.65–0.79</w:t>
            </w:r>
          </w:p>
        </w:tc>
        <w:tc>
          <w:tcPr>
            <w:tcW w:w="1076" w:type="dxa"/>
          </w:tcPr>
          <w:p w:rsidR="00BD5399" w:rsidRPr="00BD5399" w:rsidRDefault="00BD5399" w:rsidP="00BD5399">
            <w:r>
              <w:t>n/a</w:t>
            </w:r>
          </w:p>
        </w:tc>
        <w:tc>
          <w:tcPr>
            <w:tcW w:w="3702" w:type="dxa"/>
          </w:tcPr>
          <w:p w:rsidR="00BD5399" w:rsidRPr="00BD5399" w:rsidRDefault="00BD5399" w:rsidP="00BD5399">
            <w:r>
              <w:t>weekly return intervals, 5 years for individual firms</w:t>
            </w:r>
            <w:r w:rsidRPr="00BD5399">
              <w:t xml:space="preserve"> and portfolios, start November 2010 to October 2015, OLS/LAD/MM/T-S/ARIMAX/GARCH regressions, equal weight fixed/value weighted portfolios raw estimates, 4 comparators</w:t>
            </w:r>
          </w:p>
        </w:tc>
      </w:tr>
      <w:tr w:rsidR="00BD5399" w:rsidTr="00984E2B">
        <w:tc>
          <w:tcPr>
            <w:tcW w:w="1089" w:type="dxa"/>
          </w:tcPr>
          <w:p w:rsidR="00BD5399" w:rsidRPr="00BD5399" w:rsidRDefault="00BD5399" w:rsidP="00BD5399">
            <w:r>
              <w:t>S</w:t>
            </w:r>
            <w:r w:rsidRPr="00BD5399">
              <w:t>FG 2015</w:t>
            </w:r>
          </w:p>
        </w:tc>
        <w:tc>
          <w:tcPr>
            <w:tcW w:w="844" w:type="dxa"/>
          </w:tcPr>
          <w:p w:rsidR="00BD5399" w:rsidRPr="00BD5399" w:rsidRDefault="00BD5399" w:rsidP="00BD5399">
            <w:r>
              <w:t>2002-2013</w:t>
            </w:r>
          </w:p>
        </w:tc>
        <w:tc>
          <w:tcPr>
            <w:tcW w:w="991" w:type="dxa"/>
          </w:tcPr>
          <w:p w:rsidR="00BD5399" w:rsidRPr="00BD5399" w:rsidRDefault="00BD5399" w:rsidP="00BD5399">
            <w:r>
              <w:t>0.37-0.83</w:t>
            </w:r>
          </w:p>
        </w:tc>
        <w:tc>
          <w:tcPr>
            <w:tcW w:w="991" w:type="dxa"/>
          </w:tcPr>
          <w:p w:rsidR="00BD5399" w:rsidRPr="00BD5399" w:rsidRDefault="00BD5399" w:rsidP="00BD5399">
            <w:r>
              <w:t>0.39-0.70</w:t>
            </w:r>
          </w:p>
        </w:tc>
        <w:tc>
          <w:tcPr>
            <w:tcW w:w="1076" w:type="dxa"/>
          </w:tcPr>
          <w:p w:rsidR="00BD5399" w:rsidRPr="00BD5399" w:rsidRDefault="00BD5399" w:rsidP="00BD5399">
            <w:r>
              <w:t>n/a</w:t>
            </w:r>
          </w:p>
        </w:tc>
        <w:tc>
          <w:tcPr>
            <w:tcW w:w="3702" w:type="dxa"/>
          </w:tcPr>
          <w:p w:rsidR="00BD5399" w:rsidRPr="00BD5399" w:rsidRDefault="00BD5399" w:rsidP="00BD5399">
            <w:r>
              <w:t>weekly</w:t>
            </w:r>
            <w:r w:rsidRPr="00BD5399">
              <w:t xml:space="preserve"> return intervals, multiple estimation periods, OLS/LAD regressions, equal weight fixed portfolios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Henry 2014</w:t>
            </w:r>
          </w:p>
        </w:tc>
        <w:tc>
          <w:tcPr>
            <w:tcW w:w="844" w:type="dxa"/>
          </w:tcPr>
          <w:p w:rsidR="00BD5399" w:rsidRPr="00BD5399" w:rsidRDefault="00BD5399" w:rsidP="00BD5399">
            <w:r>
              <w:t>1992–2013</w:t>
            </w:r>
          </w:p>
        </w:tc>
        <w:tc>
          <w:tcPr>
            <w:tcW w:w="991" w:type="dxa"/>
          </w:tcPr>
          <w:p w:rsidR="00BD5399" w:rsidRPr="00BD5399" w:rsidRDefault="00BD5399" w:rsidP="00BD5399">
            <w:r>
              <w:t>0.37–0.56</w:t>
            </w:r>
          </w:p>
        </w:tc>
        <w:tc>
          <w:tcPr>
            <w:tcW w:w="991" w:type="dxa"/>
          </w:tcPr>
          <w:p w:rsidR="00BD5399" w:rsidRPr="00BD5399" w:rsidRDefault="00BD5399" w:rsidP="00BD5399">
            <w:r>
              <w:t>0.31–0.70</w:t>
            </w:r>
            <w:r w:rsidRPr="00BD5399">
              <w:rPr>
                <w:rStyle w:val="AERsuperscript"/>
              </w:rPr>
              <w:t>(c)</w:t>
            </w:r>
          </w:p>
        </w:tc>
        <w:tc>
          <w:tcPr>
            <w:tcW w:w="1076" w:type="dxa"/>
          </w:tcPr>
          <w:p w:rsidR="00BD5399" w:rsidRPr="00BD5399" w:rsidRDefault="00BD5399" w:rsidP="00BD5399">
            <w:r>
              <w:t>0.39–0.53</w:t>
            </w:r>
          </w:p>
        </w:tc>
        <w:tc>
          <w:tcPr>
            <w:tcW w:w="3702" w:type="dxa"/>
          </w:tcPr>
          <w:p w:rsidR="00BD5399" w:rsidRPr="00BD5399" w:rsidRDefault="00BD5399" w:rsidP="00BD5399">
            <w:r w:rsidRPr="001F00F1">
              <w:t xml:space="preserve">weekly/monthly return intervals, multiple estimation periods, OLS/LAD regressions, value/equal weight fixed portfolios, average/median varying portfolios, </w:t>
            </w:r>
            <w:r w:rsidRPr="00BD5399">
              <w:t>raw/re-levered estimates, 9 comparators</w:t>
            </w:r>
          </w:p>
        </w:tc>
      </w:tr>
      <w:tr w:rsidR="00BD5399" w:rsidTr="00984E2B">
        <w:tc>
          <w:tcPr>
            <w:tcW w:w="1089" w:type="dxa"/>
          </w:tcPr>
          <w:p w:rsidR="00BD5399" w:rsidRPr="00BD5399" w:rsidRDefault="00BD5399" w:rsidP="00BD5399">
            <w:r>
              <w:t>Grant Samuel 2014</w:t>
            </w:r>
          </w:p>
        </w:tc>
        <w:tc>
          <w:tcPr>
            <w:tcW w:w="844" w:type="dxa"/>
          </w:tcPr>
          <w:p w:rsidR="00BD5399" w:rsidRPr="00BD5399" w:rsidRDefault="00BD5399" w:rsidP="00BD5399">
            <w:r>
              <w:t>2009–2014</w:t>
            </w:r>
            <w:r w:rsidRPr="00BD5399">
              <w:rPr>
                <w:rStyle w:val="AERsuperscript"/>
              </w:rPr>
              <w:t>(d)</w:t>
            </w:r>
          </w:p>
        </w:tc>
        <w:tc>
          <w:tcPr>
            <w:tcW w:w="991" w:type="dxa"/>
          </w:tcPr>
          <w:p w:rsidR="00BD5399" w:rsidRPr="00BD5399" w:rsidRDefault="00BD5399" w:rsidP="00BD5399">
            <w:r>
              <w:t>0.42–0.64</w:t>
            </w:r>
          </w:p>
        </w:tc>
        <w:tc>
          <w:tcPr>
            <w:tcW w:w="991" w:type="dxa"/>
          </w:tcPr>
          <w:p w:rsidR="00BD5399" w:rsidRPr="00BD5399" w:rsidRDefault="00BD5399" w:rsidP="00BD5399">
            <w:r>
              <w:t>n/a</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weekly/monthly </w:t>
            </w:r>
            <w:r w:rsidRPr="00BD5399">
              <w:t>return intervals, multiple estimation periods, OLS regressions, Bloomberg adjusted betas, raw estimates, 5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2013</w:t>
            </w:r>
          </w:p>
        </w:tc>
        <w:tc>
          <w:tcPr>
            <w:tcW w:w="844" w:type="dxa"/>
          </w:tcPr>
          <w:p w:rsidR="00BD5399" w:rsidRPr="00BD5399" w:rsidRDefault="00BD5399" w:rsidP="00BD5399">
            <w:r>
              <w:t>2002–2013</w:t>
            </w:r>
          </w:p>
        </w:tc>
        <w:tc>
          <w:tcPr>
            <w:tcW w:w="991" w:type="dxa"/>
          </w:tcPr>
          <w:p w:rsidR="00BD5399" w:rsidRPr="00BD5399" w:rsidRDefault="00BD5399" w:rsidP="00BD5399">
            <w:r>
              <w:t>0.48–0.52</w:t>
            </w:r>
          </w:p>
        </w:tc>
        <w:tc>
          <w:tcPr>
            <w:tcW w:w="991" w:type="dxa"/>
          </w:tcPr>
          <w:p w:rsidR="00BD5399" w:rsidRPr="00BD5399" w:rsidRDefault="00BD5399" w:rsidP="00BD5399">
            <w:r>
              <w:t>0.39–0.59</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 return intervals, OLS/LAD/MM/TS regressions, value/equal weight fixed portfolios, </w:t>
            </w:r>
            <w:r w:rsidRPr="00BD5399">
              <w:t>multiple estimation periods, re-levered estimates, 6 comparators</w:t>
            </w:r>
          </w:p>
        </w:tc>
      </w:tr>
      <w:tr w:rsidR="00BD5399" w:rsidTr="00984E2B">
        <w:tc>
          <w:tcPr>
            <w:tcW w:w="1089" w:type="dxa"/>
          </w:tcPr>
          <w:p w:rsidR="00BD5399" w:rsidRPr="00BD5399" w:rsidRDefault="00BD5399" w:rsidP="00BD5399">
            <w:r>
              <w:t>SFG 2013</w:t>
            </w:r>
          </w:p>
        </w:tc>
        <w:tc>
          <w:tcPr>
            <w:tcW w:w="844" w:type="dxa"/>
          </w:tcPr>
          <w:p w:rsidR="00BD5399" w:rsidRPr="00BD5399" w:rsidRDefault="00BD5399" w:rsidP="00BD5399">
            <w:r>
              <w:t>2002–2013</w:t>
            </w:r>
          </w:p>
        </w:tc>
        <w:tc>
          <w:tcPr>
            <w:tcW w:w="991" w:type="dxa"/>
          </w:tcPr>
          <w:p w:rsidR="00BD5399" w:rsidRPr="00BD5399" w:rsidRDefault="00BD5399" w:rsidP="00BD5399">
            <w:r>
              <w:t>0.60</w:t>
            </w:r>
          </w:p>
        </w:tc>
        <w:tc>
          <w:tcPr>
            <w:tcW w:w="991" w:type="dxa"/>
          </w:tcPr>
          <w:p w:rsidR="00BD5399" w:rsidRPr="00BD5399" w:rsidRDefault="00BD5399" w:rsidP="00BD5399">
            <w:r>
              <w:t>n/a</w:t>
            </w:r>
          </w:p>
        </w:tc>
        <w:tc>
          <w:tcPr>
            <w:tcW w:w="1076" w:type="dxa"/>
          </w:tcPr>
          <w:p w:rsidR="00BD5399" w:rsidRPr="00BD5399" w:rsidRDefault="00BD5399" w:rsidP="00BD5399">
            <w:r>
              <w:t>0.55</w:t>
            </w:r>
          </w:p>
        </w:tc>
        <w:tc>
          <w:tcPr>
            <w:tcW w:w="3702" w:type="dxa"/>
          </w:tcPr>
          <w:p w:rsidR="00BD5399" w:rsidRPr="00BD5399" w:rsidRDefault="00BD5399" w:rsidP="00BD5399">
            <w:r w:rsidRPr="001F00F1">
              <w:t>OLS regressions, four weekly repeat sampling, Vasicek</w:t>
            </w:r>
            <w:r w:rsidRPr="00BD5399">
              <w:t xml:space="preserve"> adjustment, 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2012</w:t>
            </w:r>
          </w:p>
        </w:tc>
        <w:tc>
          <w:tcPr>
            <w:tcW w:w="844" w:type="dxa"/>
          </w:tcPr>
          <w:p w:rsidR="00BD5399" w:rsidRPr="00BD5399" w:rsidRDefault="00BD5399" w:rsidP="00BD5399">
            <w:r>
              <w:t>2002–2011</w:t>
            </w:r>
          </w:p>
        </w:tc>
        <w:tc>
          <w:tcPr>
            <w:tcW w:w="991" w:type="dxa"/>
          </w:tcPr>
          <w:p w:rsidR="00BD5399" w:rsidRPr="00BD5399" w:rsidRDefault="00BD5399" w:rsidP="00BD5399">
            <w:r>
              <w:t>0.44–0.60</w:t>
            </w:r>
          </w:p>
        </w:tc>
        <w:tc>
          <w:tcPr>
            <w:tcW w:w="991" w:type="dxa"/>
          </w:tcPr>
          <w:p w:rsidR="00BD5399" w:rsidRPr="00BD5399" w:rsidRDefault="00BD5399" w:rsidP="00BD5399">
            <w:r>
              <w:t>n/a</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weekly/monthly </w:t>
            </w:r>
            <w:r w:rsidRPr="00BD5399">
              <w:t>return intervals, OLS/LAD regressions, re-levered estimates, 9 comparators</w:t>
            </w:r>
          </w:p>
        </w:tc>
      </w:tr>
      <w:tr w:rsidR="00BD5399" w:rsidTr="00984E2B">
        <w:tc>
          <w:tcPr>
            <w:tcW w:w="1089" w:type="dxa"/>
          </w:tcPr>
          <w:p w:rsidR="00BD5399" w:rsidRPr="00BD5399" w:rsidRDefault="00BD5399" w:rsidP="00BD5399">
            <w:r>
              <w:t>Henry 2009</w:t>
            </w:r>
          </w:p>
        </w:tc>
        <w:tc>
          <w:tcPr>
            <w:tcW w:w="844" w:type="dxa"/>
          </w:tcPr>
          <w:p w:rsidR="00BD5399" w:rsidRPr="00BD5399" w:rsidRDefault="00BD5399" w:rsidP="00BD5399">
            <w:r>
              <w:t>2002–2008</w:t>
            </w:r>
          </w:p>
        </w:tc>
        <w:tc>
          <w:tcPr>
            <w:tcW w:w="991" w:type="dxa"/>
          </w:tcPr>
          <w:p w:rsidR="00BD5399" w:rsidRPr="00BD5399" w:rsidRDefault="00BD5399" w:rsidP="00BD5399">
            <w:r>
              <w:t>0.45–0.71</w:t>
            </w:r>
          </w:p>
        </w:tc>
        <w:tc>
          <w:tcPr>
            <w:tcW w:w="991" w:type="dxa"/>
          </w:tcPr>
          <w:p w:rsidR="00BD5399" w:rsidRPr="00BD5399" w:rsidRDefault="00BD5399" w:rsidP="00BD5399">
            <w:r>
              <w:t>0.35–0.94</w:t>
            </w:r>
            <w:r w:rsidRPr="00BD5399">
              <w:rPr>
                <w:rStyle w:val="AERsuperscript"/>
              </w:rPr>
              <w:t>(e)</w:t>
            </w:r>
          </w:p>
        </w:tc>
        <w:tc>
          <w:tcPr>
            <w:tcW w:w="1076" w:type="dxa"/>
          </w:tcPr>
          <w:p w:rsidR="00BD5399" w:rsidRPr="00BD5399" w:rsidRDefault="00BD5399" w:rsidP="00BD5399">
            <w:r>
              <w:t>0.41</w:t>
            </w:r>
            <w:r>
              <w:softHyphen/>
              <w:t>–0.78</w:t>
            </w:r>
          </w:p>
        </w:tc>
        <w:tc>
          <w:tcPr>
            <w:tcW w:w="3702" w:type="dxa"/>
          </w:tcPr>
          <w:p w:rsidR="00BD5399" w:rsidRPr="00BD5399" w:rsidRDefault="00BD5399" w:rsidP="00BD5399">
            <w:r w:rsidRPr="001F00F1">
              <w:t xml:space="preserve">weekly/monthly return </w:t>
            </w:r>
            <w:r w:rsidRPr="00BD5399">
              <w:t>intervals, various estimation periods, OLS/LAD regressions, value/equal weight fixed portfolios, average/median varying portfolios, 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ACG 2009</w:t>
            </w:r>
            <w:r w:rsidRPr="00BD5399">
              <w:rPr>
                <w:rStyle w:val="AERsuperscript"/>
              </w:rPr>
              <w:t>(f)</w:t>
            </w:r>
          </w:p>
        </w:tc>
        <w:tc>
          <w:tcPr>
            <w:tcW w:w="844" w:type="dxa"/>
          </w:tcPr>
          <w:p w:rsidR="00BD5399" w:rsidRPr="00BD5399" w:rsidRDefault="00BD5399" w:rsidP="00BD5399">
            <w:r>
              <w:t>1990–2008</w:t>
            </w:r>
          </w:p>
        </w:tc>
        <w:tc>
          <w:tcPr>
            <w:tcW w:w="991" w:type="dxa"/>
          </w:tcPr>
          <w:p w:rsidR="00BD5399" w:rsidRPr="00BD5399" w:rsidRDefault="00BD5399" w:rsidP="00BD5399">
            <w:r>
              <w:t>0.50–0.58</w:t>
            </w:r>
          </w:p>
        </w:tc>
        <w:tc>
          <w:tcPr>
            <w:tcW w:w="991" w:type="dxa"/>
          </w:tcPr>
          <w:p w:rsidR="00BD5399" w:rsidRPr="00BD5399" w:rsidRDefault="00BD5399" w:rsidP="00BD5399">
            <w:r>
              <w:t>n/a</w:t>
            </w:r>
          </w:p>
        </w:tc>
        <w:tc>
          <w:tcPr>
            <w:tcW w:w="1076" w:type="dxa"/>
          </w:tcPr>
          <w:p w:rsidR="00BD5399" w:rsidRPr="00BD5399" w:rsidRDefault="00BD5399" w:rsidP="00BD5399">
            <w:r>
              <w:t>0.69–0.91</w:t>
            </w:r>
          </w:p>
        </w:tc>
        <w:tc>
          <w:tcPr>
            <w:tcW w:w="3702" w:type="dxa"/>
          </w:tcPr>
          <w:p w:rsidR="00BD5399" w:rsidRPr="00BD5399" w:rsidRDefault="00BD5399" w:rsidP="00BD5399">
            <w:r w:rsidRPr="001F00F1">
              <w:t>monthly return intervals, OLS/LAD regressions, multiple estimation periods, raw/re-levered estimates, average/median varying portfolios, 9 comparators</w:t>
            </w:r>
          </w:p>
        </w:tc>
      </w:tr>
      <w:tr w:rsidR="00BD5399" w:rsidTr="00984E2B">
        <w:tc>
          <w:tcPr>
            <w:tcW w:w="1089" w:type="dxa"/>
          </w:tcPr>
          <w:p w:rsidR="00BD5399" w:rsidRPr="00BD5399" w:rsidRDefault="00BD5399" w:rsidP="00BD5399">
            <w:r>
              <w:t>Henry 2008</w:t>
            </w:r>
          </w:p>
        </w:tc>
        <w:tc>
          <w:tcPr>
            <w:tcW w:w="844" w:type="dxa"/>
          </w:tcPr>
          <w:p w:rsidR="00BD5399" w:rsidRPr="00BD5399" w:rsidRDefault="00BD5399" w:rsidP="00BD5399">
            <w:r>
              <w:t>2002–2008</w:t>
            </w:r>
          </w:p>
        </w:tc>
        <w:tc>
          <w:tcPr>
            <w:tcW w:w="991" w:type="dxa"/>
          </w:tcPr>
          <w:p w:rsidR="00BD5399" w:rsidRPr="00BD5399" w:rsidRDefault="00BD5399" w:rsidP="00BD5399">
            <w:r>
              <w:t>0.35–0.67</w:t>
            </w:r>
          </w:p>
        </w:tc>
        <w:tc>
          <w:tcPr>
            <w:tcW w:w="991" w:type="dxa"/>
          </w:tcPr>
          <w:p w:rsidR="00BD5399" w:rsidRPr="00BD5399" w:rsidRDefault="00BD5399" w:rsidP="00BD5399">
            <w:r>
              <w:t>0.31–0.77</w:t>
            </w:r>
            <w:r w:rsidRPr="00BD5399">
              <w:rPr>
                <w:rStyle w:val="AERsuperscript"/>
              </w:rPr>
              <w:t>(g)</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daily/weekly/monthly return intervals, discrete/continuous returns, various estimation periods, OLS/LAD regressions, value/equal weight portfolios, raw/re-levered estimates, no adjustment/Vasicek/Blume, 10 comparators </w:t>
            </w:r>
          </w:p>
        </w:tc>
      </w:tr>
    </w:tbl>
    <w:p w:rsidR="00352220" w:rsidRPr="00EB6387" w:rsidRDefault="00352220" w:rsidP="00352220">
      <w:pPr>
        <w:pStyle w:val="AERtablesource"/>
      </w:pPr>
      <w:r w:rsidRPr="00660C1E">
        <w:t>Source:</w:t>
      </w:r>
      <w:r w:rsidRPr="00660C1E">
        <w:tab/>
        <w:t>AER analysis</w:t>
      </w:r>
      <w:r w:rsidRPr="00EB6387">
        <w:t>.</w:t>
      </w:r>
      <w:r w:rsidRPr="00EB6387">
        <w:rPr>
          <w:rStyle w:val="FootnoteReference"/>
        </w:rPr>
        <w:footnoteReference w:id="1106"/>
      </w:r>
    </w:p>
    <w:p w:rsidR="00BD5399" w:rsidRDefault="00BD5399" w:rsidP="00BD5399">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5E1B9C" w:rsidRDefault="005E1B9C" w:rsidP="00BD5399">
      <w:pPr>
        <w:pStyle w:val="AERtablesource"/>
      </w:pPr>
      <w:r>
        <w:t>(x)</w:t>
      </w:r>
      <w:r>
        <w:tab/>
      </w:r>
      <w:r w:rsidRPr="00660C1E">
        <w:t>0.3</w:t>
      </w:r>
      <w:r>
        <w:t>0</w:t>
      </w:r>
      <w:r w:rsidRPr="00660C1E">
        <w:t xml:space="preserve"> is an LAD estimate, which </w:t>
      </w:r>
      <w:r>
        <w:t>we place less reliance on</w:t>
      </w:r>
      <w:r w:rsidRPr="00660C1E">
        <w:t>. The minimum OLS estimate is 0.</w:t>
      </w:r>
      <w:r>
        <w:t>52.</w:t>
      </w:r>
    </w:p>
    <w:p w:rsidR="00BD5399" w:rsidRPr="00660C1E" w:rsidRDefault="00BD5399" w:rsidP="00BD5399">
      <w:pPr>
        <w:pStyle w:val="AERtablesource"/>
      </w:pPr>
      <w:r w:rsidRPr="00660C1E">
        <w:t>(</w:t>
      </w:r>
      <w:r>
        <w:t>b</w:t>
      </w:r>
      <w:r w:rsidRPr="00660C1E">
        <w:t>)</w:t>
      </w:r>
      <w:r w:rsidRPr="00660C1E">
        <w:tab/>
      </w:r>
      <w:r>
        <w:t>These estimates are based on five-year and one year data for the 4 remaining comparator firms (AST, DUE, SKI and APA).</w:t>
      </w:r>
    </w:p>
    <w:p w:rsidR="00BD5399" w:rsidRPr="00660C1E" w:rsidRDefault="00BD5399" w:rsidP="00BD5399">
      <w:pPr>
        <w:pStyle w:val="AERtablesource"/>
      </w:pPr>
      <w:r w:rsidRPr="00660C1E">
        <w:t>(</w:t>
      </w:r>
      <w:r>
        <w:t>c</w:t>
      </w:r>
      <w:r w:rsidRPr="00660C1E">
        <w:t>)</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BD5399" w:rsidRPr="00660C1E" w:rsidRDefault="00BD5399" w:rsidP="00BD5399">
      <w:pPr>
        <w:pStyle w:val="AERtablesource"/>
      </w:pPr>
      <w:r w:rsidRPr="00660C1E">
        <w:t>(</w:t>
      </w:r>
      <w:r>
        <w:t>d</w:t>
      </w:r>
      <w:r w:rsidRPr="00660C1E">
        <w:t>)</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BD5399" w:rsidRPr="00660C1E" w:rsidRDefault="00BD5399" w:rsidP="00BD5399">
      <w:pPr>
        <w:pStyle w:val="AERtablesource"/>
      </w:pPr>
      <w:r w:rsidRPr="00660C1E">
        <w:t>(</w:t>
      </w:r>
      <w:r>
        <w:t>e</w:t>
      </w:r>
      <w:r w:rsidRPr="00660C1E">
        <w:t>)</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BD5399" w:rsidRDefault="00BD5399" w:rsidP="00BD5399">
      <w:pPr>
        <w:pStyle w:val="AERtablesource"/>
      </w:pPr>
      <w:r>
        <w:t>(f</w:t>
      </w:r>
      <w:r w:rsidRPr="00660C1E">
        <w:t>)</w:t>
      </w:r>
      <w:r w:rsidRPr="00660C1E">
        <w:tab/>
        <w:t>ACG did not make it clear what time period its data covered. However, it noted that equity beta estimates were only used where there were more than 20 observations.</w:t>
      </w:r>
    </w:p>
    <w:p w:rsidR="00352220" w:rsidRDefault="00BD5399" w:rsidP="00BD5399">
      <w:pPr>
        <w:pStyle w:val="AERtablesource"/>
      </w:pPr>
      <w:r w:rsidRPr="00660C1E">
        <w:t>(</w:t>
      </w:r>
      <w:r>
        <w:t>g</w:t>
      </w:r>
      <w:r w:rsidRPr="00660C1E">
        <w:t>)</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5A28D5" w:rsidRDefault="00352220" w:rsidP="006E5878">
      <w:r>
        <w:t>We</w:t>
      </w:r>
      <w:r w:rsidRPr="00352220">
        <w:t xml:space="preserve"> note</w:t>
      </w:r>
      <w:r w:rsidR="005F7600">
        <w:t xml:space="preserve"> AusNet</w:t>
      </w:r>
      <w:r w:rsidR="00065B59">
        <w:t>, AGN and Multinet</w:t>
      </w:r>
      <w:r w:rsidR="005F7600">
        <w:t xml:space="preserve"> </w:t>
      </w:r>
      <w:r w:rsidRPr="00352220">
        <w:t xml:space="preserve">submitted more recent Australian empirical estimates of equity beta since our previous regulatory decision. </w:t>
      </w:r>
      <w:r w:rsidR="002302BF">
        <w:t>AusNet and AGN submitted a</w:t>
      </w:r>
      <w:r w:rsidRPr="00352220">
        <w:t xml:space="preserve"> September 2016 CEG report that claim replication and extension of Henry’s 2014 empirical Australian estimates of equity beta</w:t>
      </w:r>
      <w:r w:rsidR="002302BF">
        <w:t>.</w:t>
      </w:r>
      <w:r w:rsidRPr="00352220">
        <w:rPr>
          <w:rStyle w:val="FootnoteReference"/>
        </w:rPr>
        <w:footnoteReference w:id="1107"/>
      </w:r>
      <w:r w:rsidR="002302BF">
        <w:t xml:space="preserve"> Multinet submitted an updated version of this CEG report (dated November 2016).</w:t>
      </w:r>
      <w:r w:rsidR="002302BF">
        <w:rPr>
          <w:rStyle w:val="FootnoteReference"/>
        </w:rPr>
        <w:footnoteReference w:id="1108"/>
      </w:r>
    </w:p>
    <w:p w:rsidR="00352220" w:rsidRPr="00352220" w:rsidRDefault="00352220" w:rsidP="006E5878">
      <w:pPr>
        <w:pStyle w:val="AERbulletlistfirststyle"/>
        <w:numPr>
          <w:ilvl w:val="0"/>
          <w:numId w:val="0"/>
        </w:numPr>
      </w:pPr>
      <w:r>
        <w:t xml:space="preserve">After considering these materials, we are of the view that </w:t>
      </w:r>
      <w:r w:rsidRPr="00352220">
        <w:t>they do not provide satisfactory evidence to depart from our empirical range of 0.4–0.7 and point estimate of 0.7</w:t>
      </w:r>
      <w:r w:rsidR="00984E2B">
        <w:t xml:space="preserve"> which is selected towards the upper end of the range</w:t>
      </w:r>
      <w:r w:rsidRPr="00352220">
        <w:t xml:space="preserve">. </w:t>
      </w:r>
    </w:p>
    <w:p w:rsidR="00352220" w:rsidRPr="00352220" w:rsidRDefault="00352220" w:rsidP="00A164C0">
      <w:pPr>
        <w:pStyle w:val="AERbulletlistfirststyle"/>
        <w:numPr>
          <w:ilvl w:val="0"/>
          <w:numId w:val="0"/>
        </w:numPr>
      </w:pPr>
      <w:r>
        <w:t>We discuss this material below.</w:t>
      </w:r>
    </w:p>
    <w:p w:rsidR="00352220" w:rsidRPr="0070354B" w:rsidRDefault="00352220" w:rsidP="00352220">
      <w:pPr>
        <w:pStyle w:val="Heading9"/>
      </w:pPr>
      <w:bookmarkStart w:id="358" w:name="_Ref483320451"/>
      <w:bookmarkStart w:id="359" w:name="_Toc487037181"/>
      <w:r w:rsidRPr="0070354B">
        <w:t xml:space="preserve">September </w:t>
      </w:r>
      <w:r w:rsidR="000B4BF0">
        <w:t xml:space="preserve">and November </w:t>
      </w:r>
      <w:r w:rsidRPr="0070354B">
        <w:t>2016 CEG report</w:t>
      </w:r>
      <w:bookmarkEnd w:id="358"/>
      <w:bookmarkEnd w:id="359"/>
    </w:p>
    <w:p w:rsidR="00114468" w:rsidRDefault="00352220" w:rsidP="00352220">
      <w:pPr>
        <w:rPr>
          <w:rStyle w:val="AERbody"/>
        </w:rPr>
      </w:pPr>
      <w:r>
        <w:t>We</w:t>
      </w:r>
      <w:r w:rsidRPr="00352220">
        <w:t xml:space="preserve"> note AusNet</w:t>
      </w:r>
      <w:r w:rsidR="000B4BF0">
        <w:t>, Multinet</w:t>
      </w:r>
      <w:r w:rsidRPr="00352220">
        <w:t xml:space="preserve"> </w:t>
      </w:r>
      <w:r w:rsidR="002302BF">
        <w:t xml:space="preserve">and AGN </w:t>
      </w:r>
      <w:r w:rsidRPr="00352220">
        <w:t>ha</w:t>
      </w:r>
      <w:r w:rsidR="002302BF">
        <w:t>ve</w:t>
      </w:r>
      <w:r w:rsidRPr="00352220">
        <w:t xml:space="preserve"> adopted the Guideline equity beta of 0.7 but still submitted </w:t>
      </w:r>
      <w:r w:rsidR="00114468">
        <w:t xml:space="preserve">a </w:t>
      </w:r>
      <w:r>
        <w:rPr>
          <w:rStyle w:val="AERbody"/>
        </w:rPr>
        <w:t xml:space="preserve">CEG </w:t>
      </w:r>
      <w:r w:rsidR="00D429E5">
        <w:rPr>
          <w:rStyle w:val="AERbody"/>
        </w:rPr>
        <w:t xml:space="preserve"> </w:t>
      </w:r>
      <w:r>
        <w:rPr>
          <w:rStyle w:val="AERbody"/>
        </w:rPr>
        <w:t xml:space="preserve">report in support of a higher beta. </w:t>
      </w:r>
      <w:r w:rsidR="00114468">
        <w:rPr>
          <w:rStyle w:val="AERbody"/>
        </w:rPr>
        <w:t>AusNet and AGN submitted the September 2016 version of the report.</w:t>
      </w:r>
      <w:r w:rsidR="00114468">
        <w:rPr>
          <w:rStyle w:val="FootnoteReference"/>
        </w:rPr>
        <w:footnoteReference w:id="1109"/>
      </w:r>
      <w:r w:rsidR="00114468">
        <w:rPr>
          <w:rStyle w:val="AERbody"/>
        </w:rPr>
        <w:t xml:space="preserve"> Multinet submitted the updated November 2016 version of the report.</w:t>
      </w:r>
      <w:r w:rsidR="00114468">
        <w:rPr>
          <w:rStyle w:val="FootnoteReference"/>
        </w:rPr>
        <w:footnoteReference w:id="1110"/>
      </w:r>
      <w:r w:rsidR="00114468">
        <w:rPr>
          <w:rStyle w:val="AERbody"/>
        </w:rPr>
        <w:t xml:space="preserve"> Apart</w:t>
      </w:r>
      <w:r w:rsidR="00D429E5">
        <w:rPr>
          <w:rStyle w:val="AERbody"/>
        </w:rPr>
        <w:t xml:space="preserve"> from an additional four month</w:t>
      </w:r>
      <w:r w:rsidR="00114468">
        <w:rPr>
          <w:rStyle w:val="AERbody"/>
        </w:rPr>
        <w:t xml:space="preserve"> of data, the November report conducted Quandt-Andrews tests </w:t>
      </w:r>
      <w:r w:rsidR="001E4503">
        <w:rPr>
          <w:rStyle w:val="AERbody"/>
        </w:rPr>
        <w:t>to identify structural breaks.</w:t>
      </w:r>
    </w:p>
    <w:p w:rsidR="00352220" w:rsidRDefault="00352220" w:rsidP="00352220">
      <w:pPr>
        <w:rPr>
          <w:rStyle w:val="AERbody"/>
        </w:rPr>
      </w:pPr>
      <w:r>
        <w:rPr>
          <w:rStyle w:val="AERbody"/>
        </w:rPr>
        <w:t>We note CEG's main conclusions are:</w:t>
      </w:r>
    </w:p>
    <w:p w:rsidR="00352220" w:rsidRDefault="00352220" w:rsidP="00352220">
      <w:pPr>
        <w:pStyle w:val="AERbulletlistfirststyle"/>
      </w:pPr>
      <w:r>
        <w:t>CEG's extension of Henry's estimates suggest that empirical estimates of equity have increased since Henry's 2014 report</w:t>
      </w:r>
    </w:p>
    <w:p w:rsidR="00352220" w:rsidRDefault="00352220" w:rsidP="00A164C0">
      <w:pPr>
        <w:pStyle w:val="AERbulletlistfirststyle"/>
      </w:pPr>
      <w:r>
        <w:t>CEG's more recent estimates  for still listed firms indicate a more prominent increase in the equity beta</w:t>
      </w:r>
      <w:r w:rsidR="00692747">
        <w:t xml:space="preserve"> </w:t>
      </w:r>
      <w:r w:rsidR="003B79F6">
        <w:t>since Henry's estimates</w:t>
      </w:r>
    </w:p>
    <w:p w:rsidR="00114468" w:rsidRPr="001D4715" w:rsidRDefault="00114468" w:rsidP="00114468">
      <w:pPr>
        <w:pStyle w:val="AERbulletlistfirststyle"/>
      </w:pPr>
      <w:r>
        <w:t xml:space="preserve">The increase in beta is consistent with the observation from </w:t>
      </w:r>
      <w:r w:rsidRPr="001D4715">
        <w:t>a February 2016 CEG report which observed a structural break in average rolling beta at 2014/15</w:t>
      </w:r>
      <w:r>
        <w:t>.</w:t>
      </w:r>
    </w:p>
    <w:p w:rsidR="00352220" w:rsidRDefault="00352220" w:rsidP="00352220">
      <w:pPr>
        <w:rPr>
          <w:rStyle w:val="AERbody"/>
        </w:rPr>
      </w:pPr>
      <w:r>
        <w:rPr>
          <w:rStyle w:val="AERbody"/>
        </w:rPr>
        <w:t>We discuss each conclusion below.</w:t>
      </w:r>
    </w:p>
    <w:p w:rsidR="00352220" w:rsidRDefault="00352220" w:rsidP="009D1AA8">
      <w:pPr>
        <w:pStyle w:val="HeadingBoldItalic"/>
        <w:rPr>
          <w:rStyle w:val="AERtextorange"/>
        </w:rPr>
      </w:pPr>
      <w:r>
        <w:rPr>
          <w:rStyle w:val="AERtextorange"/>
        </w:rPr>
        <w:t>Extension of Henry's results</w:t>
      </w:r>
    </w:p>
    <w:p w:rsidR="00692747" w:rsidRDefault="00352220" w:rsidP="00352220">
      <w:r>
        <w:t>CEG extended</w:t>
      </w:r>
      <w:r w:rsidRPr="00D609EE">
        <w:t xml:space="preserve"> Henry’s estimates</w:t>
      </w:r>
      <w:r w:rsidR="001E4503">
        <w:t xml:space="preserve"> in its report</w:t>
      </w:r>
      <w:r w:rsidRPr="00D609EE">
        <w:t xml:space="preserve"> </w:t>
      </w:r>
      <w:r w:rsidR="003F5321">
        <w:t>(</w:t>
      </w:r>
      <w:r w:rsidRPr="00D609EE">
        <w:t>to June 2016</w:t>
      </w:r>
      <w:r w:rsidR="003F5321">
        <w:t xml:space="preserve"> in the September report and to October 2016 in the November report)</w:t>
      </w:r>
      <w:r w:rsidRPr="00D609EE">
        <w:t xml:space="preserve"> </w:t>
      </w:r>
      <w:r>
        <w:t xml:space="preserve">and concluded </w:t>
      </w:r>
      <w:r w:rsidRPr="00D609EE">
        <w:t>that empirical estimates of equity beta have increased since Henry’s 2014 report</w:t>
      </w:r>
      <w:r w:rsidR="003F5321">
        <w:t xml:space="preserve"> (see </w:t>
      </w:r>
      <w:r w:rsidR="003F5321">
        <w:fldChar w:fldCharType="begin"/>
      </w:r>
      <w:r w:rsidR="003F5321">
        <w:instrText xml:space="preserve"> REF _Ref483556804 \h </w:instrText>
      </w:r>
      <w:r w:rsidR="003F5321">
        <w:fldChar w:fldCharType="separate"/>
      </w:r>
      <w:r w:rsidR="002C24D6" w:rsidRPr="00A24DED">
        <w:t xml:space="preserve">Table </w:t>
      </w:r>
      <w:r w:rsidR="002C24D6">
        <w:rPr>
          <w:noProof/>
        </w:rPr>
        <w:t>3</w:t>
      </w:r>
      <w:r w:rsidR="002C24D6">
        <w:noBreakHyphen/>
      </w:r>
      <w:r w:rsidR="002C24D6">
        <w:rPr>
          <w:noProof/>
        </w:rPr>
        <w:t>31</w:t>
      </w:r>
      <w:r w:rsidR="003F5321">
        <w:fldChar w:fldCharType="end"/>
      </w:r>
      <w:r w:rsidR="003F5321">
        <w:t>).</w:t>
      </w:r>
    </w:p>
    <w:p w:rsidR="006C5D3A" w:rsidRPr="00A24DED" w:rsidRDefault="006C5D3A" w:rsidP="006C5D3A">
      <w:pPr>
        <w:pStyle w:val="Caption"/>
        <w:numPr>
          <w:ilvl w:val="0"/>
          <w:numId w:val="24"/>
        </w:numPr>
      </w:pPr>
      <w:bookmarkStart w:id="360" w:name="_Ref483556804"/>
      <w:r w:rsidRPr="00A24DED">
        <w:t xml:space="preserve">Table </w:t>
      </w:r>
      <w:r w:rsidRPr="006C5D3A">
        <w:fldChar w:fldCharType="begin"/>
      </w:r>
      <w:r>
        <w:instrText xml:space="preserve"> STYLEREF 1 \s </w:instrText>
      </w:r>
      <w:r w:rsidRPr="006C5D3A">
        <w:fldChar w:fldCharType="separate"/>
      </w:r>
      <w:r w:rsidR="002C24D6">
        <w:rPr>
          <w:noProof/>
        </w:rPr>
        <w:t>3</w:t>
      </w:r>
      <w:r w:rsidRPr="006C5D3A">
        <w:fldChar w:fldCharType="end"/>
      </w:r>
      <w:r>
        <w:noBreakHyphen/>
      </w:r>
      <w:r w:rsidRPr="006C5D3A">
        <w:fldChar w:fldCharType="begin"/>
      </w:r>
      <w:r>
        <w:instrText xml:space="preserve"> SEQ Table \* ARABIC \s 1 </w:instrText>
      </w:r>
      <w:r w:rsidRPr="006C5D3A">
        <w:fldChar w:fldCharType="separate"/>
      </w:r>
      <w:r w:rsidR="002C24D6">
        <w:rPr>
          <w:noProof/>
        </w:rPr>
        <w:t>31</w:t>
      </w:r>
      <w:r w:rsidRPr="006C5D3A">
        <w:fldChar w:fldCharType="end"/>
      </w:r>
      <w:bookmarkEnd w:id="360"/>
      <w:r w:rsidRPr="00A24DED">
        <w:tab/>
      </w:r>
      <w:r w:rsidR="001E4503">
        <w:t>Response to key results from CEG's report</w:t>
      </w:r>
    </w:p>
    <w:tbl>
      <w:tblPr>
        <w:tblStyle w:val="AERtable-text0"/>
        <w:tblW w:w="9039" w:type="dxa"/>
        <w:tblLook w:val="04A0" w:firstRow="1" w:lastRow="0" w:firstColumn="1" w:lastColumn="0" w:noHBand="0" w:noVBand="1"/>
      </w:tblPr>
      <w:tblGrid>
        <w:gridCol w:w="2529"/>
        <w:gridCol w:w="6510"/>
      </w:tblGrid>
      <w:tr w:rsidR="006C5D3A" w:rsidTr="00013867">
        <w:trPr>
          <w:cnfStyle w:val="100000000000" w:firstRow="1" w:lastRow="0" w:firstColumn="0" w:lastColumn="0" w:oddVBand="0" w:evenVBand="0" w:oddHBand="0" w:evenHBand="0" w:firstRowFirstColumn="0" w:firstRowLastColumn="0" w:lastRowFirstColumn="0" w:lastRowLastColumn="0"/>
        </w:trPr>
        <w:tc>
          <w:tcPr>
            <w:tcW w:w="0" w:type="auto"/>
          </w:tcPr>
          <w:p w:rsidR="006C5D3A" w:rsidRPr="006C5D3A" w:rsidRDefault="001E4503" w:rsidP="006C5D3A">
            <w:r>
              <w:t>Results</w:t>
            </w:r>
          </w:p>
        </w:tc>
        <w:tc>
          <w:tcPr>
            <w:tcW w:w="6510" w:type="dxa"/>
          </w:tcPr>
          <w:p w:rsidR="006C5D3A" w:rsidRPr="006C5D3A" w:rsidRDefault="006C5D3A" w:rsidP="006C5D3A">
            <w:r>
              <w:t>Our response</w:t>
            </w:r>
          </w:p>
        </w:tc>
      </w:tr>
      <w:tr w:rsidR="006C5D3A" w:rsidTr="00013867">
        <w:tc>
          <w:tcPr>
            <w:tcW w:w="9039" w:type="dxa"/>
            <w:gridSpan w:val="2"/>
          </w:tcPr>
          <w:p w:rsidR="006C5D3A" w:rsidRPr="006C5D3A" w:rsidRDefault="006C5D3A" w:rsidP="006C5D3A">
            <w:pPr>
              <w:rPr>
                <w:rStyle w:val="AERtextsize8"/>
              </w:rPr>
            </w:pPr>
            <w:r>
              <w:rPr>
                <w:rStyle w:val="Strong"/>
              </w:rPr>
              <w:t>E</w:t>
            </w:r>
            <w:r w:rsidRPr="006C5D3A">
              <w:rPr>
                <w:rStyle w:val="Strong"/>
              </w:rPr>
              <w:t>mpirical analysis</w:t>
            </w:r>
          </w:p>
        </w:tc>
      </w:tr>
      <w:tr w:rsidR="006C5D3A" w:rsidTr="00013867">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BA1869" w:rsidRDefault="006C5D3A" w:rsidP="006C5D3A">
            <w:pPr>
              <w:rPr>
                <w:rStyle w:val="AERtextsize8"/>
              </w:rPr>
            </w:pPr>
            <w:r>
              <w:t>Individual firm estimates show that the average re-levered equity beta has increased by around (0.04) since the end of Henry’s sample period (or an increase of around 0.09 for firms with 3 years of additional data is available)</w:t>
            </w:r>
            <w:r w:rsidRPr="006C5D3A">
              <w:rPr>
                <w:rStyle w:val="FootnoteReference"/>
              </w:rPr>
              <w:footnoteReference w:id="1111"/>
            </w:r>
          </w:p>
        </w:tc>
        <w:tc>
          <w:tcPr>
            <w:tcW w:w="6510" w:type="dxa"/>
          </w:tcPr>
          <w:p w:rsidR="006C5D3A" w:rsidRPr="006C5D3A" w:rsidRDefault="006C5D3A" w:rsidP="00013867">
            <w:pPr>
              <w:pStyle w:val="AERbulletlistfirststyle"/>
              <w:numPr>
                <w:ilvl w:val="0"/>
                <w:numId w:val="0"/>
              </w:numPr>
              <w:rPr>
                <w:rStyle w:val="AERtextsize8"/>
                <w:rFonts w:eastAsiaTheme="minorHAnsi" w:cstheme="minorBidi"/>
                <w:szCs w:val="22"/>
                <w:lang w:eastAsia="en-US"/>
              </w:rPr>
            </w:pPr>
            <w:r>
              <w:t>T</w:t>
            </w:r>
            <w:r w:rsidRPr="006C5D3A">
              <w:t>he average re-levered firm-level estimates increased slightly (by 0.042) from 0.554 to 0.596. The average re-levered portfolio estimates increased by a similar magnitude. These estimates are consistent with our range of 0.4–0.7.</w:t>
            </w:r>
          </w:p>
          <w:p w:rsidR="006C5D3A" w:rsidRPr="00BA1869" w:rsidRDefault="006C5D3A" w:rsidP="00013867">
            <w:pPr>
              <w:pStyle w:val="AERbulletlistfirststyle"/>
              <w:numPr>
                <w:ilvl w:val="0"/>
                <w:numId w:val="0"/>
              </w:numPr>
              <w:rPr>
                <w:rStyle w:val="AERtextsize8"/>
                <w:rFonts w:eastAsiaTheme="minorHAnsi" w:cstheme="minorBidi"/>
                <w:szCs w:val="22"/>
                <w:lang w:eastAsia="en-US"/>
              </w:rPr>
            </w:pPr>
            <w:r w:rsidRPr="001E4503">
              <w:rPr>
                <w:rStyle w:val="AERbody"/>
                <w:sz w:val="16"/>
              </w:rPr>
              <w:t xml:space="preserve">Partington and Satchell advised that </w:t>
            </w:r>
            <w:r w:rsidRPr="00662E2D">
              <w:rPr>
                <w:rStyle w:val="AERbody"/>
                <w:sz w:val="16"/>
              </w:rPr>
              <w:t>'with one exception, all the betas resulting from [CEG’s extension of individual firm beta estimates (longest time period) lay within the 95% confidence interval of Henry’s estimates].</w:t>
            </w:r>
            <w:r w:rsidRPr="006C5D3A">
              <w:rPr>
                <w:rStyle w:val="FootnoteReference"/>
              </w:rPr>
              <w:footnoteReference w:id="1112"/>
            </w:r>
          </w:p>
        </w:tc>
      </w:tr>
      <w:tr w:rsidR="006C5D3A" w:rsidTr="006C5D3A">
        <w:tc>
          <w:tcPr>
            <w:tcW w:w="0" w:type="auto"/>
          </w:tcPr>
          <w:p w:rsidR="006C5D3A" w:rsidRPr="006C5D3A" w:rsidRDefault="006C5D3A" w:rsidP="006C5D3A">
            <w:pPr>
              <w:rPr>
                <w:rStyle w:val="AERtextsize8"/>
              </w:rPr>
            </w:pPr>
            <w:r>
              <w:t>Weekly equal weighted portfolio beta show that average beta has increased by around 0.04 since the end of Henry’s sample period (or an increase of around 0.07 for portfolios for which additional data is available)</w:t>
            </w:r>
            <w:r w:rsidRPr="006C5D3A">
              <w:rPr>
                <w:rStyle w:val="FootnoteReference"/>
              </w:rPr>
              <w:footnoteReference w:id="1113"/>
            </w:r>
            <w:r w:rsidRPr="006C5D3A">
              <w:rPr>
                <w:rStyle w:val="FootnoteReference"/>
              </w:rPr>
              <w:t xml:space="preserve"> </w:t>
            </w:r>
          </w:p>
        </w:tc>
        <w:tc>
          <w:tcPr>
            <w:tcW w:w="6510" w:type="dxa"/>
          </w:tcPr>
          <w:p w:rsidR="006C5D3A" w:rsidRPr="00662E2D" w:rsidRDefault="006C5D3A" w:rsidP="00013867">
            <w:pPr>
              <w:pStyle w:val="AERbulletlistfirststyle"/>
              <w:numPr>
                <w:ilvl w:val="0"/>
                <w:numId w:val="0"/>
              </w:numPr>
              <w:rPr>
                <w:rStyle w:val="AERtextsize8"/>
                <w:rFonts w:eastAsiaTheme="minorHAnsi" w:cstheme="minorBidi"/>
                <w:szCs w:val="22"/>
                <w:lang w:eastAsia="en-US"/>
              </w:rPr>
            </w:pPr>
            <w:r w:rsidRPr="001E4503">
              <w:rPr>
                <w:rStyle w:val="AERbody"/>
                <w:sz w:val="16"/>
              </w:rPr>
              <w:t>For equally weighted portfolios, only one portfolio (P5) lay outside the 95% confidence intervals of Henry’s estimates. This does not suggest a material change in</w:t>
            </w:r>
            <w:r w:rsidRPr="00662E2D">
              <w:rPr>
                <w:rStyle w:val="AERbody"/>
                <w:sz w:val="16"/>
              </w:rPr>
              <w:t xml:space="preserve"> empirical estimates of equity beta.</w:t>
            </w:r>
          </w:p>
        </w:tc>
      </w:tr>
      <w:tr w:rsidR="006C5D3A"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013867" w:rsidRDefault="006C5D3A" w:rsidP="00013867">
            <w:pPr>
              <w:pStyle w:val="AERbulletlistfirststyle"/>
              <w:numPr>
                <w:ilvl w:val="0"/>
                <w:numId w:val="0"/>
              </w:numPr>
              <w:rPr>
                <w:rStyle w:val="AERtextsize8"/>
                <w:sz w:val="22"/>
              </w:rPr>
            </w:pPr>
            <w:r>
              <w:t>W</w:t>
            </w:r>
            <w:r w:rsidRPr="006C5D3A">
              <w:t>eekly value weighted portfolio beta show that re-levered equity beta has increased by around 0.05 since the end of Henry’s sample period (or an increase of around 0.1 for portfolios for which additional data is available)</w:t>
            </w:r>
            <w:r w:rsidRPr="006C5D3A">
              <w:rPr>
                <w:rStyle w:val="FootnoteReference"/>
              </w:rPr>
              <w:footnoteReference w:id="1114"/>
            </w:r>
          </w:p>
        </w:tc>
        <w:tc>
          <w:tcPr>
            <w:tcW w:w="6510" w:type="dxa"/>
          </w:tcPr>
          <w:p w:rsidR="006C5D3A" w:rsidRPr="00BA1869" w:rsidRDefault="001E4503" w:rsidP="006C5D3A">
            <w:pPr>
              <w:rPr>
                <w:rStyle w:val="AERtextsize8"/>
              </w:rPr>
            </w:pPr>
            <w:r>
              <w:t xml:space="preserve">The value-weighted portfolio-level estimates increased by </w:t>
            </w:r>
            <w:r w:rsidRPr="001E4503">
              <w:t xml:space="preserve">a </w:t>
            </w:r>
            <w:r w:rsidR="006C250D" w:rsidRPr="001E4503">
              <w:t>similar</w:t>
            </w:r>
            <w:r w:rsidRPr="001E4503">
              <w:t xml:space="preserve"> magnitude</w:t>
            </w:r>
            <w:r>
              <w:t xml:space="preserve"> as the average of firm-level estimates. </w:t>
            </w:r>
          </w:p>
        </w:tc>
      </w:tr>
      <w:tr w:rsidR="006C5D3A" w:rsidTr="00013867">
        <w:tc>
          <w:tcPr>
            <w:tcW w:w="0" w:type="auto"/>
          </w:tcPr>
          <w:p w:rsidR="006C5D3A" w:rsidRPr="006C5D3A" w:rsidRDefault="006C5D3A" w:rsidP="006C5D3A">
            <w:pPr>
              <w:rPr>
                <w:rStyle w:val="Strong"/>
              </w:rPr>
            </w:pPr>
            <w:r>
              <w:rPr>
                <w:rStyle w:val="Strong"/>
              </w:rPr>
              <w:t>November 2016 report</w:t>
            </w:r>
          </w:p>
        </w:tc>
        <w:tc>
          <w:tcPr>
            <w:tcW w:w="6510" w:type="dxa"/>
          </w:tcPr>
          <w:p w:rsidR="006C5D3A" w:rsidRDefault="006C5D3A" w:rsidP="006C5D3A">
            <w:pPr>
              <w:rPr>
                <w:rStyle w:val="AERtextsize8"/>
              </w:rPr>
            </w:pPr>
          </w:p>
        </w:tc>
      </w:tr>
      <w:tr w:rsidR="006C5D3A"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1E4503" w:rsidRDefault="006C5D3A" w:rsidP="00013867">
            <w:pPr>
              <w:pStyle w:val="AERbulletlistfirststyle"/>
              <w:numPr>
                <w:ilvl w:val="0"/>
                <w:numId w:val="0"/>
              </w:numPr>
              <w:rPr>
                <w:rStyle w:val="Strong"/>
                <w:b w:val="0"/>
                <w:bCs w:val="0"/>
              </w:rPr>
            </w:pPr>
            <w:r>
              <w:t xml:space="preserve">Individual firm estimates show that the average re-levered equity beta has increased </w:t>
            </w:r>
            <w:r w:rsidRPr="006C5D3A">
              <w:t>and for firms with additional data firm level estimates has increased by 0.05–0.14.</w:t>
            </w:r>
            <w:r w:rsidRPr="006C5D3A">
              <w:rPr>
                <w:rStyle w:val="FootnoteReference"/>
              </w:rPr>
              <w:footnoteReference w:id="1115"/>
            </w:r>
          </w:p>
        </w:tc>
        <w:tc>
          <w:tcPr>
            <w:tcW w:w="6510" w:type="dxa"/>
          </w:tcPr>
          <w:p w:rsidR="006C5D3A" w:rsidRDefault="00DA5217" w:rsidP="00272584">
            <w:pPr>
              <w:pStyle w:val="AERbulletlistfirststyle"/>
              <w:numPr>
                <w:ilvl w:val="0"/>
                <w:numId w:val="0"/>
              </w:numPr>
              <w:rPr>
                <w:rStyle w:val="AERtextsize8"/>
                <w:rFonts w:eastAsiaTheme="minorHAnsi" w:cstheme="minorBidi"/>
                <w:szCs w:val="22"/>
                <w:lang w:eastAsia="en-US"/>
              </w:rPr>
            </w:pPr>
            <w:r>
              <w:t>We have regard to average of firm-level estimates because</w:t>
            </w:r>
            <w:r w:rsidRPr="00DA5217">
              <w:rPr>
                <w:rStyle w:val="AERbody"/>
              </w:rPr>
              <w:t xml:space="preserve"> </w:t>
            </w:r>
            <w:r w:rsidRPr="001E4503">
              <w:rPr>
                <w:rStyle w:val="AERbody"/>
                <w:sz w:val="16"/>
              </w:rPr>
              <w:t>no one comparator firm is perfectly refle</w:t>
            </w:r>
            <w:r w:rsidRPr="00662E2D">
              <w:rPr>
                <w:rStyle w:val="AERbody"/>
                <w:sz w:val="16"/>
              </w:rPr>
              <w:t xml:space="preserve">ctive of a benchmark efficient entity with a similar degree of risk as that which applies to </w:t>
            </w:r>
            <w:r w:rsidR="00AB6626">
              <w:t>APTPPL</w:t>
            </w:r>
            <w:r w:rsidRPr="00662E2D">
              <w:rPr>
                <w:rStyle w:val="AERbody"/>
                <w:sz w:val="16"/>
              </w:rPr>
              <w:t>, in providing regulated services, we rely on averages of individual firm estimates to determine an equity beta range.</w:t>
            </w:r>
            <w:r w:rsidRPr="00DA5217">
              <w:rPr>
                <w:rStyle w:val="FootnoteReference"/>
              </w:rPr>
              <w:footnoteReference w:id="1116"/>
            </w:r>
            <w:r w:rsidRPr="00DA5217">
              <w:rPr>
                <w:rStyle w:val="AERbody"/>
              </w:rPr>
              <w:t xml:space="preserve"> </w:t>
            </w:r>
            <w:r w:rsidRPr="001E4503">
              <w:rPr>
                <w:rStyle w:val="AERbody"/>
                <w:sz w:val="16"/>
              </w:rPr>
              <w:t>T</w:t>
            </w:r>
            <w:r w:rsidRPr="00DA5217">
              <w:t>he average re-levered firm-level estimate (using weekly data and Henry's longest sampling period extended until October 2016) increased slightly (by 0.05) from 0.554 to 0.6.</w:t>
            </w:r>
            <w:r w:rsidRPr="00DA5217">
              <w:rPr>
                <w:rStyle w:val="FootnoteReference"/>
              </w:rPr>
              <w:footnoteReference w:id="1117"/>
            </w:r>
            <w:r w:rsidRPr="00DA5217">
              <w:t xml:space="preserve"> If this is restricted to firms with additional data, then the average re-levered firm-level estimate is 0.488 which is a decrease compared to CEG's and Henry's estimates for 2013.</w:t>
            </w:r>
          </w:p>
        </w:tc>
      </w:tr>
      <w:tr w:rsidR="00DA5217" w:rsidTr="006C5D3A">
        <w:tc>
          <w:tcPr>
            <w:tcW w:w="0" w:type="auto"/>
          </w:tcPr>
          <w:p w:rsidR="00DA5217" w:rsidRPr="001E4503" w:rsidRDefault="00DA5217" w:rsidP="00013867">
            <w:pPr>
              <w:pStyle w:val="AERbulletlistfirststyle"/>
              <w:numPr>
                <w:ilvl w:val="0"/>
                <w:numId w:val="0"/>
              </w:numPr>
              <w:rPr>
                <w:rStyle w:val="Strong"/>
                <w:b w:val="0"/>
                <w:bCs w:val="0"/>
              </w:rPr>
            </w:pPr>
            <w:r>
              <w:t>Weekly equal weighted portfolio beta shows that average beta has increased by around 0.09 for portfolios for which additional data is available</w:t>
            </w:r>
            <w:r w:rsidRPr="00D609EE">
              <w:rPr>
                <w:rStyle w:val="FootnoteReference"/>
              </w:rPr>
              <w:footnoteReference w:id="1118"/>
            </w:r>
            <w:r w:rsidRPr="00D609EE">
              <w:rPr>
                <w:rStyle w:val="FootnoteReference"/>
              </w:rPr>
              <w:t xml:space="preserve"> </w:t>
            </w:r>
          </w:p>
        </w:tc>
        <w:tc>
          <w:tcPr>
            <w:tcW w:w="6510" w:type="dxa"/>
            <w:vMerge w:val="restart"/>
          </w:tcPr>
          <w:p w:rsidR="00DA5217" w:rsidRDefault="00DA5217" w:rsidP="00013867">
            <w:pPr>
              <w:pStyle w:val="AERbulletlistfirststyle"/>
              <w:numPr>
                <w:ilvl w:val="0"/>
                <w:numId w:val="0"/>
              </w:numPr>
              <w:rPr>
                <w:rFonts w:eastAsiaTheme="minorHAnsi"/>
                <w:sz w:val="22"/>
                <w:szCs w:val="22"/>
                <w:lang w:eastAsia="en-US"/>
              </w:rPr>
            </w:pPr>
            <w:r>
              <w:t xml:space="preserve">CEG's portfolio-level estimates increased by a </w:t>
            </w:r>
            <w:r w:rsidR="006C250D">
              <w:t>similar</w:t>
            </w:r>
            <w:r>
              <w:t xml:space="preserve"> magnitude (0.48 to 0.53 for equally weighted portfolios and 0.5 to 0.56 for value-weighted portfolios)</w:t>
            </w:r>
            <w:r w:rsidR="001E4503">
              <w:t xml:space="preserve"> </w:t>
            </w:r>
            <w:r w:rsidR="00812CD4">
              <w:t xml:space="preserve">as the average of firm-level estimates </w:t>
            </w:r>
            <w:r w:rsidR="001E4503">
              <w:t>over the longest sample period</w:t>
            </w:r>
            <w:r>
              <w:t>.</w:t>
            </w:r>
            <w:r w:rsidR="001E4503">
              <w:t xml:space="preserve"> </w:t>
            </w:r>
          </w:p>
          <w:p w:rsidR="00DA5217" w:rsidRDefault="00DA5217" w:rsidP="006C5D3A">
            <w:pPr>
              <w:rPr>
                <w:rStyle w:val="AERtextsize8"/>
              </w:rPr>
            </w:pPr>
          </w:p>
        </w:tc>
      </w:tr>
      <w:tr w:rsidR="00DA5217"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DA5217" w:rsidRPr="006C5D3A" w:rsidRDefault="00DA5217" w:rsidP="00013867">
            <w:pPr>
              <w:pStyle w:val="AERbulletlistfirststyle"/>
              <w:numPr>
                <w:ilvl w:val="0"/>
                <w:numId w:val="0"/>
              </w:numPr>
              <w:rPr>
                <w:rStyle w:val="AERbody"/>
              </w:rPr>
            </w:pPr>
            <w:r>
              <w:t>W</w:t>
            </w:r>
            <w:r w:rsidRPr="006C5D3A">
              <w:t>eekly value weighted portfolio beta show that re-levered equity beta has increased by 0.12 for portfolios for which additional data is available</w:t>
            </w:r>
            <w:r w:rsidRPr="006C5D3A">
              <w:rPr>
                <w:rStyle w:val="FootnoteReference"/>
              </w:rPr>
              <w:footnoteReference w:id="1119"/>
            </w:r>
          </w:p>
          <w:p w:rsidR="00DA5217" w:rsidRDefault="00DA5217" w:rsidP="006C5D3A">
            <w:pPr>
              <w:rPr>
                <w:rStyle w:val="Strong"/>
              </w:rPr>
            </w:pPr>
          </w:p>
        </w:tc>
        <w:tc>
          <w:tcPr>
            <w:tcW w:w="6510" w:type="dxa"/>
            <w:vMerge/>
          </w:tcPr>
          <w:p w:rsidR="00DA5217" w:rsidRDefault="00DA5217" w:rsidP="006C5D3A">
            <w:pPr>
              <w:rPr>
                <w:rStyle w:val="AERtextsize8"/>
              </w:rPr>
            </w:pPr>
          </w:p>
        </w:tc>
      </w:tr>
    </w:tbl>
    <w:p w:rsidR="00352220" w:rsidRPr="00A164C0" w:rsidRDefault="00352220" w:rsidP="00352220">
      <w:pPr>
        <w:rPr>
          <w:rStyle w:val="AERbody"/>
        </w:rPr>
      </w:pPr>
      <w:r w:rsidRPr="00A164C0">
        <w:rPr>
          <w:rStyle w:val="AERbody"/>
        </w:rPr>
        <w:t xml:space="preserve">Having </w:t>
      </w:r>
      <w:r w:rsidR="003F5321">
        <w:rPr>
          <w:rStyle w:val="AERbody"/>
        </w:rPr>
        <w:t>considered</w:t>
      </w:r>
      <w:r w:rsidR="003F5321" w:rsidRPr="00A164C0">
        <w:rPr>
          <w:rStyle w:val="AERbody"/>
        </w:rPr>
        <w:t xml:space="preserve"> </w:t>
      </w:r>
      <w:r w:rsidRPr="00A164C0">
        <w:rPr>
          <w:rStyle w:val="AERbody"/>
        </w:rPr>
        <w:t xml:space="preserve">CEG’s results, we do not consider that CEG’s extension provides satisfactory evidence of </w:t>
      </w:r>
      <w:r w:rsidR="003B79F6">
        <w:rPr>
          <w:rStyle w:val="AERbody"/>
        </w:rPr>
        <w:t>an increase in equity beta</w:t>
      </w:r>
      <w:r w:rsidRPr="00A164C0">
        <w:rPr>
          <w:rStyle w:val="AERbody"/>
        </w:rPr>
        <w:t xml:space="preserve"> for a number of reasons, including: </w:t>
      </w:r>
    </w:p>
    <w:p w:rsidR="003F5321" w:rsidRDefault="00812CD4" w:rsidP="00662E2D">
      <w:pPr>
        <w:pStyle w:val="AERbulletlistfirststyle"/>
      </w:pPr>
      <w:r>
        <w:t xml:space="preserve">Partington and Satchell noted that there is no statistical test of the </w:t>
      </w:r>
      <w:r w:rsidR="006C250D">
        <w:t>significance</w:t>
      </w:r>
      <w:r>
        <w:t xml:space="preserve"> of the increase in re-levered betas.</w:t>
      </w:r>
      <w:r>
        <w:rPr>
          <w:rStyle w:val="FootnoteReference"/>
        </w:rPr>
        <w:footnoteReference w:id="1120"/>
      </w:r>
      <w:r w:rsidR="003F5321">
        <w:t>Given the imprecision associated with empirical estimates,</w:t>
      </w:r>
      <w:r w:rsidR="00662E2D" w:rsidRPr="00662E2D">
        <w:t xml:space="preserve"> </w:t>
      </w:r>
      <w:r w:rsidR="003B79F6">
        <w:t>CEG's</w:t>
      </w:r>
      <w:r w:rsidR="00662E2D">
        <w:t xml:space="preserve"> results in </w:t>
      </w:r>
      <w:r w:rsidR="00662E2D" w:rsidRPr="00662E2D">
        <w:fldChar w:fldCharType="begin"/>
      </w:r>
      <w:r w:rsidR="00662E2D" w:rsidRPr="00662E2D">
        <w:instrText xml:space="preserve"> REF _Ref483556804 \h </w:instrText>
      </w:r>
      <w:r w:rsidR="00662E2D" w:rsidRPr="00662E2D">
        <w:fldChar w:fldCharType="separate"/>
      </w:r>
      <w:r w:rsidR="002C24D6" w:rsidRPr="00A24DED">
        <w:t xml:space="preserve">Table </w:t>
      </w:r>
      <w:r w:rsidR="002C24D6">
        <w:rPr>
          <w:noProof/>
        </w:rPr>
        <w:t>3</w:t>
      </w:r>
      <w:r w:rsidR="002C24D6">
        <w:noBreakHyphen/>
      </w:r>
      <w:r w:rsidR="002C24D6">
        <w:rPr>
          <w:noProof/>
        </w:rPr>
        <w:t>31</w:t>
      </w:r>
      <w:r w:rsidR="00662E2D" w:rsidRPr="00662E2D">
        <w:fldChar w:fldCharType="end"/>
      </w:r>
      <w:r w:rsidR="00662E2D">
        <w:t xml:space="preserve"> </w:t>
      </w:r>
      <w:r w:rsidR="002809BE">
        <w:t xml:space="preserve">do not </w:t>
      </w:r>
      <w:r w:rsidR="00662E2D">
        <w:t>indicate</w:t>
      </w:r>
      <w:r w:rsidR="002809BE">
        <w:t xml:space="preserve"> strong evidence of a material change in empirical estimates to depart from our empirical range and point estimate as CEG's extension indicate small changes.</w:t>
      </w:r>
    </w:p>
    <w:p w:rsidR="003F5321" w:rsidRDefault="002809BE" w:rsidP="00662E2D">
      <w:pPr>
        <w:pStyle w:val="AERbulletlistfirststyle"/>
      </w:pPr>
      <w:r>
        <w:t>CEG's</w:t>
      </w:r>
      <w:r w:rsidR="003F5321">
        <w:t xml:space="preserve"> </w:t>
      </w:r>
      <w:r>
        <w:t>extension</w:t>
      </w:r>
      <w:r w:rsidR="001879B2">
        <w:t xml:space="preserve"> is</w:t>
      </w:r>
      <w:r w:rsidR="00662E2D">
        <w:t xml:space="preserve"> </w:t>
      </w:r>
      <w:r w:rsidR="003F5321">
        <w:t>consistent with</w:t>
      </w:r>
      <w:r>
        <w:t xml:space="preserve"> (and within)</w:t>
      </w:r>
      <w:r w:rsidR="00662E2D">
        <w:t xml:space="preserve"> our range of 0.4–0.7. </w:t>
      </w:r>
    </w:p>
    <w:p w:rsidR="00352220" w:rsidRPr="00A164C0" w:rsidRDefault="003F5321" w:rsidP="00A164C0">
      <w:pPr>
        <w:pStyle w:val="AERbulletlistfirststyle"/>
        <w:rPr>
          <w:rStyle w:val="AERbody"/>
        </w:rPr>
      </w:pPr>
      <w:r w:rsidRPr="00A164C0">
        <w:rPr>
          <w:rStyle w:val="AERbody"/>
        </w:rPr>
        <w:t>We note</w:t>
      </w:r>
      <w:r w:rsidRPr="00352220">
        <w:rPr>
          <w:rStyle w:val="AERbody"/>
        </w:rPr>
        <w:t xml:space="preserve"> CEG's replication are generally higher than Henry's original results. In particular,</w:t>
      </w:r>
      <w:r w:rsidRPr="00A164C0">
        <w:rPr>
          <w:rStyle w:val="AERbody"/>
        </w:rPr>
        <w:t xml:space="preserve"> CEG’s </w:t>
      </w:r>
      <w:r w:rsidRPr="00352220">
        <w:rPr>
          <w:rStyle w:val="AERbody"/>
        </w:rPr>
        <w:t xml:space="preserve">replication of SKI's re-levered beta is </w:t>
      </w:r>
      <w:r w:rsidRPr="00A164C0">
        <w:rPr>
          <w:rStyle w:val="AERbody"/>
        </w:rPr>
        <w:t>57 per cent higher than Henry’s estimate which would drive differences between CEG’s replication (and extension) and Henry’s original results</w:t>
      </w:r>
      <w:r w:rsidRPr="00352220">
        <w:rPr>
          <w:rStyle w:val="AERtextsize8"/>
        </w:rPr>
        <w:t>.</w:t>
      </w:r>
      <w:r w:rsidRPr="00352220">
        <w:rPr>
          <w:rStyle w:val="FootnoteReference"/>
        </w:rPr>
        <w:footnoteReference w:id="1121"/>
      </w:r>
      <w:r w:rsidRPr="00352220">
        <w:rPr>
          <w:rStyle w:val="AERtextsize8"/>
        </w:rPr>
        <w:t xml:space="preserve"> </w:t>
      </w:r>
      <w:r w:rsidRPr="00352220">
        <w:rPr>
          <w:rStyle w:val="AERbody"/>
        </w:rPr>
        <w:t>CEG also acknowledged the discrepancy between its replication and Henry's results</w:t>
      </w:r>
      <w:r w:rsidRPr="00A164C0">
        <w:rPr>
          <w:rStyle w:val="AERbody"/>
        </w:rPr>
        <w:t>.</w:t>
      </w:r>
      <w:r w:rsidRPr="00352220">
        <w:rPr>
          <w:rStyle w:val="FootnoteReference"/>
        </w:rPr>
        <w:footnoteReference w:id="1122"/>
      </w:r>
      <w:r w:rsidRPr="00352220">
        <w:rPr>
          <w:rStyle w:val="AERtextsize8"/>
        </w:rPr>
        <w:t xml:space="preserve"> </w:t>
      </w:r>
      <w:r w:rsidR="00352220" w:rsidRPr="00EA732D">
        <w:rPr>
          <w:rStyle w:val="AERbody"/>
        </w:rPr>
        <w:t xml:space="preserve">CEG's observed 'increases' in the equity beta </w:t>
      </w:r>
      <w:r w:rsidR="00352220" w:rsidRPr="00352220">
        <w:rPr>
          <w:rStyle w:val="AERbody"/>
        </w:rPr>
        <w:t>would be overstated due to discrepancies with Henry's original results.</w:t>
      </w:r>
      <w:r w:rsidR="00662E2D">
        <w:rPr>
          <w:rStyle w:val="AERbody"/>
        </w:rPr>
        <w:t xml:space="preserve"> </w:t>
      </w:r>
      <w:r w:rsidR="00352220" w:rsidRPr="00A164C0">
        <w:rPr>
          <w:rStyle w:val="AERbody"/>
        </w:rPr>
        <w:t xml:space="preserve">Given the </w:t>
      </w:r>
      <w:r w:rsidR="00662E2D">
        <w:rPr>
          <w:rStyle w:val="AERbody"/>
        </w:rPr>
        <w:t>noted</w:t>
      </w:r>
      <w:r w:rsidR="00662E2D" w:rsidRPr="00352220">
        <w:rPr>
          <w:rStyle w:val="AERbody"/>
        </w:rPr>
        <w:t xml:space="preserve"> </w:t>
      </w:r>
      <w:r w:rsidR="00352220" w:rsidRPr="00352220">
        <w:rPr>
          <w:rStyle w:val="AERbody"/>
        </w:rPr>
        <w:t>discrepancy with re-levered equity betas</w:t>
      </w:r>
      <w:r w:rsidR="00352220" w:rsidRPr="00A164C0">
        <w:rPr>
          <w:rStyle w:val="AERbody"/>
        </w:rPr>
        <w:t xml:space="preserve">, </w:t>
      </w:r>
      <w:r w:rsidR="00352220" w:rsidRPr="00352220">
        <w:rPr>
          <w:rStyle w:val="AERbody"/>
        </w:rPr>
        <w:t>a</w:t>
      </w:r>
      <w:r w:rsidR="00352220" w:rsidRPr="00A164C0">
        <w:rPr>
          <w:rStyle w:val="AERbody"/>
        </w:rPr>
        <w:t xml:space="preserve"> comparison of the asset betas (of Henry’s original results and CEG’s extension) shows </w:t>
      </w:r>
      <w:r w:rsidR="00352220" w:rsidRPr="00352220">
        <w:rPr>
          <w:rStyle w:val="AERbody"/>
        </w:rPr>
        <w:t>little</w:t>
      </w:r>
      <w:r w:rsidR="00352220" w:rsidRPr="00A164C0">
        <w:rPr>
          <w:rStyle w:val="AERbody"/>
        </w:rPr>
        <w:t xml:space="preserve"> change. </w:t>
      </w:r>
      <w:r w:rsidR="00352220" w:rsidRPr="00352220">
        <w:rPr>
          <w:rStyle w:val="AERbody"/>
        </w:rPr>
        <w:t>Partington and Satchell also agreed that ‘all increases seem rather small and are very likely statistically insignificant’</w:t>
      </w:r>
      <w:r w:rsidR="00662E2D">
        <w:rPr>
          <w:rStyle w:val="AERbody"/>
        </w:rPr>
        <w:t xml:space="preserve"> for the September report</w:t>
      </w:r>
      <w:r w:rsidR="00352220" w:rsidRPr="00352220">
        <w:rPr>
          <w:rStyle w:val="AERbody"/>
        </w:rPr>
        <w:t>.</w:t>
      </w:r>
      <w:r w:rsidR="00352220" w:rsidRPr="00352220">
        <w:rPr>
          <w:rStyle w:val="FootnoteReference"/>
        </w:rPr>
        <w:footnoteReference w:id="1123"/>
      </w:r>
    </w:p>
    <w:p w:rsidR="00352220" w:rsidRPr="00013867" w:rsidRDefault="00352220" w:rsidP="00A164C0">
      <w:pPr>
        <w:pStyle w:val="AERbulletlistfirststyle"/>
        <w:rPr>
          <w:rFonts w:cstheme="minorBidi"/>
          <w:sz w:val="16"/>
        </w:rPr>
      </w:pPr>
      <w:r w:rsidRPr="00BA79D8">
        <w:t xml:space="preserve">CEG included a time varying element in the extension estimation of portfolios </w:t>
      </w:r>
      <w:r w:rsidRPr="00352220">
        <w:t>estimates.  Henry 2014 had stated that great caution should be exercised when interpreting the beta estimates from the resulting time varying portfolios as they were not grounded in financial theory.</w:t>
      </w:r>
    </w:p>
    <w:p w:rsidR="000E1303" w:rsidRDefault="00352220" w:rsidP="00013867">
      <w:pPr>
        <w:pStyle w:val="AERbulletlistfirststyle"/>
        <w:numPr>
          <w:ilvl w:val="0"/>
          <w:numId w:val="0"/>
        </w:numPr>
      </w:pPr>
      <w:r w:rsidRPr="00A164C0">
        <w:rPr>
          <w:rStyle w:val="AERbody"/>
        </w:rPr>
        <w:t>Our views are supported by</w:t>
      </w:r>
      <w:r>
        <w:rPr>
          <w:rStyle w:val="AERtextsize8"/>
        </w:rPr>
        <w:t xml:space="preserve"> </w:t>
      </w:r>
      <w:r w:rsidRPr="00D609EE">
        <w:t>Partington and Satchell who noted that they ‘are not convinced that there has been material change in beta’ after reviewing CEG’s estimates</w:t>
      </w:r>
      <w:r>
        <w:rPr>
          <w:rStyle w:val="FootnoteReference"/>
        </w:rPr>
        <w:footnoteReference w:id="1124"/>
      </w:r>
      <w:r w:rsidRPr="00D609EE">
        <w:t xml:space="preserve"> </w:t>
      </w:r>
      <w:r w:rsidR="000E1303">
        <w:t>and continue to see 'little evidence of change' in the November CEG report.</w:t>
      </w:r>
      <w:r w:rsidR="000E1303">
        <w:rPr>
          <w:rStyle w:val="FootnoteReference"/>
        </w:rPr>
        <w:footnoteReference w:id="1125"/>
      </w:r>
      <w:r w:rsidR="000E1303">
        <w:t xml:space="preserve"> </w:t>
      </w:r>
    </w:p>
    <w:p w:rsidR="00352220" w:rsidRDefault="00662E2D" w:rsidP="009D1AA8">
      <w:pPr>
        <w:pStyle w:val="HeadingBoldItalic"/>
        <w:rPr>
          <w:rStyle w:val="AERtextorange"/>
        </w:rPr>
      </w:pPr>
      <w:r>
        <w:t>Recent</w:t>
      </w:r>
      <w:r w:rsidR="00352220">
        <w:t xml:space="preserve"> estimates of equity beta</w:t>
      </w:r>
    </w:p>
    <w:p w:rsidR="00352220" w:rsidRDefault="00352220" w:rsidP="00352220">
      <w:r>
        <w:t xml:space="preserve">CEG estimated </w:t>
      </w:r>
      <w:r w:rsidR="00201C6F">
        <w:t xml:space="preserve">more </w:t>
      </w:r>
      <w:r w:rsidR="00662E2D">
        <w:t>recent</w:t>
      </w:r>
      <w:r>
        <w:t xml:space="preserve"> equity beta for the four still-listed firms (APA, SKI, DUE and AST) in Henry's comparator firms and concluded that this suggested a more prominent increase in the equity beta:</w:t>
      </w:r>
    </w:p>
    <w:p w:rsidR="00352220" w:rsidRPr="00F674B0" w:rsidRDefault="00352220" w:rsidP="00352220">
      <w:pPr>
        <w:pStyle w:val="AERbulletlistfirststyle"/>
      </w:pPr>
      <w:r>
        <w:t xml:space="preserve">Most recent 5 year </w:t>
      </w:r>
      <w:r w:rsidR="00E961A1">
        <w:t xml:space="preserve">average firm-level </w:t>
      </w:r>
      <w:r>
        <w:t>equity beta</w:t>
      </w:r>
      <w:r w:rsidR="00E961A1">
        <w:t xml:space="preserve"> for still-listed firms</w:t>
      </w:r>
      <w:r>
        <w:t xml:space="preserve"> have almost doubled on average compared to Henry’s 5 year estimates</w:t>
      </w:r>
      <w:r w:rsidRPr="00F674B0">
        <w:rPr>
          <w:rStyle w:val="FootnoteReference"/>
        </w:rPr>
        <w:footnoteReference w:id="1126"/>
      </w:r>
    </w:p>
    <w:p w:rsidR="00352220" w:rsidRDefault="00352220" w:rsidP="00352220">
      <w:pPr>
        <w:pStyle w:val="AERbulletlistfirststyle"/>
      </w:pPr>
      <w:r>
        <w:t>Most recent one year estimate show a</w:t>
      </w:r>
      <w:r w:rsidRPr="00F674B0">
        <w:t>verage re-levered equity beta has increased by around 0.13 compared to Henry’s 5-year estimates.</w:t>
      </w:r>
      <w:r w:rsidRPr="00F674B0">
        <w:rPr>
          <w:rStyle w:val="FootnoteReference"/>
        </w:rPr>
        <w:footnoteReference w:id="1127"/>
      </w:r>
      <w:r w:rsidRPr="00F674B0">
        <w:t xml:space="preserve">  </w:t>
      </w:r>
    </w:p>
    <w:p w:rsidR="00662E2D" w:rsidRDefault="00662E2D" w:rsidP="00662E2D">
      <w:pPr>
        <w:pStyle w:val="AERbulletlistfirststyle"/>
      </w:pPr>
      <w:r>
        <w:t>Average</w:t>
      </w:r>
      <w:r w:rsidR="00813F7B">
        <w:t xml:space="preserve"> firm-level</w:t>
      </w:r>
      <w:r>
        <w:t xml:space="preserve"> re-levered equity beta has increased by 0.23 since Henry's results based on a comparison of five year estimates</w:t>
      </w:r>
      <w:r w:rsidR="00E961A1">
        <w:t>.</w:t>
      </w:r>
      <w:r>
        <w:rPr>
          <w:rStyle w:val="FootnoteReference"/>
        </w:rPr>
        <w:footnoteReference w:id="1128"/>
      </w:r>
    </w:p>
    <w:p w:rsidR="00662E2D" w:rsidRDefault="00662E2D" w:rsidP="00662E2D">
      <w:pPr>
        <w:pStyle w:val="AERbulletlistfirststyle"/>
      </w:pPr>
      <w:r>
        <w:t>Re-levered equity beta for some portfolio estimates (P1, P5 and P6) have increased by 0.19 to 0.31 since Henry's results.</w:t>
      </w:r>
      <w:r>
        <w:rPr>
          <w:rStyle w:val="FootnoteReference"/>
        </w:rPr>
        <w:footnoteReference w:id="1129"/>
      </w:r>
    </w:p>
    <w:p w:rsidR="00662E2D" w:rsidRDefault="00662E2D" w:rsidP="00662E2D">
      <w:pPr>
        <w:pStyle w:val="AERbulletlistfirststyle"/>
      </w:pPr>
      <w:r>
        <w:t>A comparison of</w:t>
      </w:r>
      <w:r w:rsidR="00B663C7">
        <w:t xml:space="preserve"> P6's</w:t>
      </w:r>
      <w:r>
        <w:t xml:space="preserve"> re-levered equity beta </w:t>
      </w:r>
      <w:r w:rsidR="00E961A1">
        <w:t>for</w:t>
      </w:r>
      <w:r>
        <w:t xml:space="preserve"> different measurement periods (ranging from one year to five year estimates) indicate a rising trend for em</w:t>
      </w:r>
      <w:r w:rsidR="00E961A1">
        <w:t>p</w:t>
      </w:r>
      <w:r>
        <w:t>irical estimates</w:t>
      </w:r>
      <w:r>
        <w:rPr>
          <w:rStyle w:val="FootnoteReference"/>
        </w:rPr>
        <w:footnoteReference w:id="1130"/>
      </w:r>
    </w:p>
    <w:p w:rsidR="00352220" w:rsidRDefault="00B62985" w:rsidP="00352220">
      <w:pPr>
        <w:rPr>
          <w:rStyle w:val="AERbody"/>
        </w:rPr>
      </w:pPr>
      <w:r>
        <w:rPr>
          <w:rStyle w:val="AERbody"/>
        </w:rPr>
        <w:t>W</w:t>
      </w:r>
      <w:r w:rsidR="00352220" w:rsidRPr="00A164C0">
        <w:rPr>
          <w:rStyle w:val="AERbody"/>
        </w:rPr>
        <w:t xml:space="preserve">e </w:t>
      </w:r>
      <w:r>
        <w:rPr>
          <w:rStyle w:val="AERbody"/>
        </w:rPr>
        <w:t>have previously outlined</w:t>
      </w:r>
      <w:r w:rsidR="00352220" w:rsidRPr="00A164C0">
        <w:rPr>
          <w:rStyle w:val="AERbody"/>
        </w:rPr>
        <w:t xml:space="preserve"> reservations about the imprecise nature of empirical estimates, particularly for shorter-term estimates and small samples</w:t>
      </w:r>
      <w:r w:rsidR="00352220" w:rsidRPr="003379AF">
        <w:rPr>
          <w:rStyle w:val="AERtextsize8"/>
        </w:rPr>
        <w:t>.</w:t>
      </w:r>
      <w:r w:rsidR="00352220" w:rsidRPr="003379AF">
        <w:rPr>
          <w:rStyle w:val="FootnoteReference"/>
        </w:rPr>
        <w:footnoteReference w:id="1131"/>
      </w:r>
      <w:r w:rsidR="00352220">
        <w:rPr>
          <w:rStyle w:val="AERtextsize8"/>
        </w:rPr>
        <w:t xml:space="preserve"> </w:t>
      </w:r>
      <w:r w:rsidR="00352220" w:rsidRPr="00A164C0">
        <w:rPr>
          <w:rStyle w:val="AERbody"/>
        </w:rPr>
        <w:t xml:space="preserve">We continue to be of this view </w:t>
      </w:r>
      <w:r w:rsidR="00352220">
        <w:rPr>
          <w:rStyle w:val="AERbody"/>
        </w:rPr>
        <w:t xml:space="preserve">and consider that </w:t>
      </w:r>
      <w:r w:rsidR="00352220" w:rsidRPr="00A164C0">
        <w:rPr>
          <w:rStyle w:val="AERbody"/>
        </w:rPr>
        <w:t xml:space="preserve">short term data is more prone to one-off events, fluctuations and volatilities in the market–which may obscure the ‘true’ equity beta for a benchmark efficient entity. Therefore, we have </w:t>
      </w:r>
      <w:r w:rsidR="00E60AE4">
        <w:rPr>
          <w:rStyle w:val="AERbody"/>
        </w:rPr>
        <w:t xml:space="preserve">most </w:t>
      </w:r>
      <w:r w:rsidR="00352220" w:rsidRPr="00A164C0">
        <w:rPr>
          <w:rStyle w:val="AERbody"/>
        </w:rPr>
        <w:t>regard to longer term estimates when determining the equity beta</w:t>
      </w:r>
      <w:r w:rsidR="00352220">
        <w:rPr>
          <w:rStyle w:val="AERbody"/>
        </w:rPr>
        <w:t xml:space="preserve"> and do not consider, as proposed by CEG, that more recent estimates of equity sufficiently justify an increase to our range and/or point estimates.</w:t>
      </w:r>
    </w:p>
    <w:p w:rsidR="00813F7B" w:rsidRDefault="00201C6F" w:rsidP="00352220">
      <w:pPr>
        <w:rPr>
          <w:rStyle w:val="AERbody"/>
        </w:rPr>
      </w:pPr>
      <w:r>
        <w:rPr>
          <w:rStyle w:val="AERbody"/>
        </w:rPr>
        <w:t>We have</w:t>
      </w:r>
      <w:r w:rsidR="00591C17">
        <w:rPr>
          <w:rStyle w:val="AERbody"/>
        </w:rPr>
        <w:t xml:space="preserve"> estimated five-year estimates </w:t>
      </w:r>
      <w:r w:rsidR="00A107B3">
        <w:rPr>
          <w:rStyle w:val="AERbody"/>
        </w:rPr>
        <w:t>as Henry has done (</w:t>
      </w:r>
      <w:r w:rsidR="00591C17">
        <w:rPr>
          <w:rStyle w:val="AERbody"/>
        </w:rPr>
        <w:t>at the firm-level and portfolio-level</w:t>
      </w:r>
      <w:r w:rsidR="00A107B3">
        <w:rPr>
          <w:rStyle w:val="AERbody"/>
        </w:rPr>
        <w:t>)</w:t>
      </w:r>
      <w:r>
        <w:rPr>
          <w:rStyle w:val="AERbody"/>
        </w:rPr>
        <w:t xml:space="preserve"> using data to 28 April 2017</w:t>
      </w:r>
      <w:r w:rsidR="00591C17">
        <w:rPr>
          <w:rStyle w:val="AERbody"/>
        </w:rPr>
        <w:t>.</w:t>
      </w:r>
      <w:r w:rsidR="00A107B3">
        <w:rPr>
          <w:rStyle w:val="FootnoteReference"/>
        </w:rPr>
        <w:footnoteReference w:id="1132"/>
      </w:r>
      <w:r w:rsidR="00A107B3">
        <w:rPr>
          <w:rStyle w:val="AERbody"/>
        </w:rPr>
        <w:t xml:space="preserve"> The results (portfolio estimates: 0.54–0.57, firm estimates: 0.31–0.72) support Henry's range of 0.3–0.8 </w:t>
      </w:r>
      <w:r w:rsidR="00D84F19">
        <w:rPr>
          <w:rStyle w:val="AERbody"/>
        </w:rPr>
        <w:t xml:space="preserve">(and as a result our range of 0.4–0.7) </w:t>
      </w:r>
      <w:r>
        <w:rPr>
          <w:rStyle w:val="AERbody"/>
        </w:rPr>
        <w:t>and do not suggest an increase in equity beta</w:t>
      </w:r>
      <w:r w:rsidR="00A107B3">
        <w:rPr>
          <w:rStyle w:val="AERbody"/>
        </w:rPr>
        <w:t xml:space="preserve">. </w:t>
      </w:r>
      <w:r w:rsidR="00591C17">
        <w:rPr>
          <w:rStyle w:val="AERbody"/>
        </w:rPr>
        <w:t xml:space="preserve"> </w:t>
      </w:r>
      <w:r w:rsidR="00E961A1">
        <w:rPr>
          <w:rStyle w:val="AERbody"/>
        </w:rPr>
        <w:t xml:space="preserve">  </w:t>
      </w:r>
      <w:r w:rsidR="00813F7B">
        <w:rPr>
          <w:rStyle w:val="AERbody"/>
        </w:rPr>
        <w:t xml:space="preserve"> </w:t>
      </w:r>
    </w:p>
    <w:p w:rsidR="00C66684" w:rsidRDefault="00201C6F" w:rsidP="002302BF">
      <w:r>
        <w:t xml:space="preserve">CEG submitted </w:t>
      </w:r>
      <w:r w:rsidR="00662E2D" w:rsidRPr="006D79D2">
        <w:t>increases</w:t>
      </w:r>
      <w:r>
        <w:t xml:space="preserve"> in the most recent 5 year data</w:t>
      </w:r>
      <w:r w:rsidR="00662E2D" w:rsidRPr="006D79D2">
        <w:t xml:space="preserve"> reflected increases in the raw equity betas, decreases in gearing ratios of the remaining listed stocks and an increase in the weighting of high-beta stocks (APA) in the value-weighted portfolios.</w:t>
      </w:r>
      <w:r w:rsidR="00662E2D" w:rsidRPr="006D79D2">
        <w:rPr>
          <w:rStyle w:val="FootnoteReference"/>
        </w:rPr>
        <w:footnoteReference w:id="1133"/>
      </w:r>
      <w:r w:rsidR="00662E2D" w:rsidRPr="006D79D2">
        <w:t xml:space="preserve"> </w:t>
      </w:r>
      <w:r>
        <w:rPr>
          <w:rStyle w:val="AERbody"/>
        </w:rPr>
        <w:t>We also note that</w:t>
      </w:r>
      <w:r w:rsidR="00662E2D" w:rsidRPr="004D66D0">
        <w:rPr>
          <w:rStyle w:val="AERbody"/>
        </w:rPr>
        <w:t xml:space="preserve"> some of the still-listed firms have undertaken a range of transactions</w:t>
      </w:r>
      <w:r>
        <w:rPr>
          <w:rStyle w:val="AERbody"/>
        </w:rPr>
        <w:t xml:space="preserve"> that would increase their exposure</w:t>
      </w:r>
      <w:r w:rsidR="00662E2D" w:rsidRPr="004D66D0">
        <w:rPr>
          <w:rStyle w:val="AERbody"/>
        </w:rPr>
        <w:t xml:space="preserve"> to systematic risk from unregulated assets and/or assets that are different from the </w:t>
      </w:r>
      <w:r w:rsidR="002A1687">
        <w:rPr>
          <w:rStyle w:val="AERbody"/>
        </w:rPr>
        <w:t xml:space="preserve">risk of providing services with a similar degree of risk as the reference </w:t>
      </w:r>
      <w:r w:rsidR="00662E2D" w:rsidRPr="004D66D0">
        <w:rPr>
          <w:rStyle w:val="AERbody"/>
        </w:rPr>
        <w:t>services</w:t>
      </w:r>
      <w:r>
        <w:rPr>
          <w:rStyle w:val="AERbody"/>
        </w:rPr>
        <w:t>.</w:t>
      </w:r>
      <w:r w:rsidRPr="006D79D2">
        <w:rPr>
          <w:rStyle w:val="FootnoteReference"/>
        </w:rPr>
        <w:footnoteReference w:id="1134"/>
      </w:r>
      <w:r w:rsidRPr="006D79D2">
        <w:rPr>
          <w:rStyle w:val="AERtextsize8"/>
        </w:rPr>
        <w:t xml:space="preserve"> </w:t>
      </w:r>
      <w:r>
        <w:rPr>
          <w:rStyle w:val="AERbody"/>
        </w:rPr>
        <w:t xml:space="preserve"> However,</w:t>
      </w:r>
      <w:r w:rsidR="00662E2D" w:rsidRPr="004D66D0">
        <w:rPr>
          <w:rStyle w:val="AERbody"/>
        </w:rPr>
        <w:t xml:space="preserve"> that should not affect their systematic risk of supplying re</w:t>
      </w:r>
      <w:r w:rsidR="002A1687">
        <w:rPr>
          <w:rStyle w:val="AERbody"/>
        </w:rPr>
        <w:t>ference</w:t>
      </w:r>
      <w:r w:rsidR="00662E2D" w:rsidRPr="004D66D0">
        <w:rPr>
          <w:rStyle w:val="AERbody"/>
        </w:rPr>
        <w:t xml:space="preserve"> services.</w:t>
      </w:r>
      <w:r>
        <w:rPr>
          <w:rStyle w:val="AERbody"/>
        </w:rPr>
        <w:t xml:space="preserve"> </w:t>
      </w:r>
      <w:r w:rsidR="00662E2D" w:rsidRPr="006D79D2">
        <w:rPr>
          <w:rStyle w:val="AERtextsize8"/>
        </w:rPr>
        <w:t xml:space="preserve"> </w:t>
      </w:r>
      <w:r w:rsidR="00662E2D" w:rsidRPr="004D66D0">
        <w:rPr>
          <w:rStyle w:val="AERbody"/>
        </w:rPr>
        <w:t>Therefore it is not clear that CEG’s result, even if reflective of a true increase in the underlying beta of the sample, is indicative of a material change in the equity beta of a benchmark efficient entity in providing re</w:t>
      </w:r>
      <w:r w:rsidR="002A1687">
        <w:rPr>
          <w:rStyle w:val="AERbody"/>
        </w:rPr>
        <w:t>ference</w:t>
      </w:r>
      <w:r w:rsidR="00662E2D" w:rsidRPr="004D66D0">
        <w:rPr>
          <w:rStyle w:val="AERbody"/>
        </w:rPr>
        <w:t xml:space="preserve"> services.</w:t>
      </w:r>
      <w:r w:rsidR="00662E2D" w:rsidRPr="006D79D2">
        <w:rPr>
          <w:rStyle w:val="AERtextsize8"/>
        </w:rPr>
        <w:t xml:space="preserve"> </w:t>
      </w:r>
      <w:r w:rsidR="00662E2D" w:rsidRPr="004D66D0">
        <w:rPr>
          <w:rStyle w:val="AERbody"/>
        </w:rPr>
        <w:t xml:space="preserve">Partington and Satchell has also advised that there is overall only 'weak evidence of increased </w:t>
      </w:r>
      <w:r w:rsidR="006C250D" w:rsidRPr="004D66D0">
        <w:rPr>
          <w:rStyle w:val="AERbody"/>
        </w:rPr>
        <w:t>be</w:t>
      </w:r>
      <w:r w:rsidR="006C250D">
        <w:rPr>
          <w:rStyle w:val="AERbody"/>
        </w:rPr>
        <w:t>t</w:t>
      </w:r>
      <w:r w:rsidR="006C250D" w:rsidRPr="004D66D0">
        <w:rPr>
          <w:rStyle w:val="AERbody"/>
        </w:rPr>
        <w:t>a</w:t>
      </w:r>
      <w:r w:rsidR="00662E2D" w:rsidRPr="004D66D0">
        <w:rPr>
          <w:rStyle w:val="AERbody"/>
        </w:rPr>
        <w:t xml:space="preserve"> at the individual firm level based on last five years data set'.</w:t>
      </w:r>
      <w:r w:rsidR="00662E2D" w:rsidRPr="006D79D2">
        <w:rPr>
          <w:rStyle w:val="FootnoteReference"/>
        </w:rPr>
        <w:footnoteReference w:id="1135"/>
      </w:r>
      <w:r w:rsidR="00662E2D" w:rsidRPr="006D79D2">
        <w:t xml:space="preserve"> </w:t>
      </w:r>
    </w:p>
    <w:p w:rsidR="002C5CF7" w:rsidRDefault="00662E2D" w:rsidP="002C5CF7">
      <w:pPr>
        <w:pStyle w:val="HeadingBoldItalic"/>
        <w:rPr>
          <w:rStyle w:val="AERtextorange"/>
        </w:rPr>
      </w:pPr>
      <w:r>
        <w:t>Structural breaks</w:t>
      </w:r>
    </w:p>
    <w:p w:rsidR="00B828E0" w:rsidRDefault="00AB34D9" w:rsidP="00AB34D9">
      <w:pPr>
        <w:rPr>
          <w:rStyle w:val="AERbody"/>
        </w:rPr>
      </w:pPr>
      <w:r w:rsidRPr="00AB34D9">
        <w:rPr>
          <w:rStyle w:val="AERbody"/>
        </w:rPr>
        <w:t>CEG conducted the Quandt-Andrews structural break test to determine whether the change in asset beta indicates a statistically significant structural break</w:t>
      </w:r>
      <w:r w:rsidR="006C0FE7">
        <w:rPr>
          <w:rStyle w:val="AERbody"/>
        </w:rPr>
        <w:t xml:space="preserve"> for portfolios with still-listed firms (P1, P5 and P6)</w:t>
      </w:r>
      <w:r w:rsidRPr="00AB34D9">
        <w:rPr>
          <w:rStyle w:val="AERbody"/>
        </w:rPr>
        <w:t>.</w:t>
      </w:r>
      <w:r w:rsidR="006C0FE7">
        <w:rPr>
          <w:rStyle w:val="FootnoteReference"/>
        </w:rPr>
        <w:footnoteReference w:id="1136"/>
      </w:r>
      <w:r w:rsidRPr="00AB34D9">
        <w:rPr>
          <w:rStyle w:val="AERbody"/>
        </w:rPr>
        <w:t xml:space="preserve"> </w:t>
      </w:r>
    </w:p>
    <w:p w:rsidR="00AB34D9" w:rsidRPr="00AB34D9" w:rsidRDefault="00B828E0" w:rsidP="00AB34D9">
      <w:pPr>
        <w:rPr>
          <w:rStyle w:val="AERbody"/>
        </w:rPr>
      </w:pPr>
      <w:r>
        <w:rPr>
          <w:rStyle w:val="AERbody"/>
        </w:rPr>
        <w:t>The</w:t>
      </w:r>
      <w:r w:rsidR="00AB34D9" w:rsidRPr="00AB34D9">
        <w:rPr>
          <w:rStyle w:val="AERbody"/>
        </w:rPr>
        <w:t xml:space="preserve"> sixth portfolio (Portfolio 6</w:t>
      </w:r>
      <w:r w:rsidR="006C0FE7">
        <w:rPr>
          <w:rStyle w:val="AERbody"/>
        </w:rPr>
        <w:t xml:space="preserve"> or P6</w:t>
      </w:r>
      <w:r w:rsidR="00AB34D9" w:rsidRPr="00AB34D9">
        <w:rPr>
          <w:rStyle w:val="AERbody"/>
        </w:rPr>
        <w:t xml:space="preserve">) includes 4 firms only, and </w:t>
      </w:r>
      <w:r>
        <w:rPr>
          <w:rStyle w:val="AERbody"/>
        </w:rPr>
        <w:t>CEG focuses on</w:t>
      </w:r>
      <w:r w:rsidR="00AB34D9" w:rsidRPr="00AB34D9">
        <w:rPr>
          <w:rStyle w:val="AERbody"/>
        </w:rPr>
        <w:t xml:space="preserve"> this portfolio to test for a structural break.</w:t>
      </w:r>
      <w:r w:rsidR="00AB34D9" w:rsidRPr="00013867">
        <w:rPr>
          <w:rStyle w:val="FootnoteReference"/>
        </w:rPr>
        <w:footnoteReference w:id="1137"/>
      </w:r>
      <w:r w:rsidR="00AB34D9" w:rsidRPr="00013867">
        <w:rPr>
          <w:rStyle w:val="FootnoteReference"/>
        </w:rPr>
        <w:t xml:space="preserve"> </w:t>
      </w:r>
      <w:r w:rsidR="00AB34D9" w:rsidRPr="00AB34D9">
        <w:rPr>
          <w:rStyle w:val="AERbody"/>
        </w:rPr>
        <w:t xml:space="preserve"> C</w:t>
      </w:r>
      <w:r w:rsidR="00726969">
        <w:rPr>
          <w:rStyle w:val="AERbody"/>
        </w:rPr>
        <w:t>EG submitted</w:t>
      </w:r>
      <w:r w:rsidR="00AB34D9" w:rsidRPr="00AB34D9">
        <w:rPr>
          <w:rStyle w:val="AERbody"/>
        </w:rPr>
        <w:t xml:space="preserve"> that the Quandt-Andrews </w:t>
      </w:r>
      <w:r w:rsidR="00726969">
        <w:rPr>
          <w:rStyle w:val="AERbody"/>
        </w:rPr>
        <w:t>test identified</w:t>
      </w:r>
      <w:r w:rsidR="00AB34D9" w:rsidRPr="00AB34D9">
        <w:rPr>
          <w:rStyle w:val="AERbody"/>
        </w:rPr>
        <w:t xml:space="preserve"> a break corresponding with the GFC and, when run on post GFC data, identifies another break in August 2014.</w:t>
      </w:r>
      <w:r w:rsidR="00AB34D9" w:rsidRPr="00013867">
        <w:rPr>
          <w:rStyle w:val="FootnoteReference"/>
        </w:rPr>
        <w:footnoteReference w:id="1138"/>
      </w:r>
      <w:r w:rsidR="00AB34D9" w:rsidRPr="00013867">
        <w:rPr>
          <w:rStyle w:val="FootnoteReference"/>
        </w:rPr>
        <w:t xml:space="preserve"> </w:t>
      </w:r>
      <w:r w:rsidR="00AB34D9" w:rsidRPr="00AB34D9">
        <w:rPr>
          <w:rStyle w:val="AERbody"/>
        </w:rPr>
        <w:t xml:space="preserve"> On the basis of this “break”, CEG is of the view that the estimate of beta is not stable across the whole sample.</w:t>
      </w:r>
    </w:p>
    <w:p w:rsidR="00AB34D9" w:rsidRPr="00AB34D9" w:rsidRDefault="00726969" w:rsidP="00AB34D9">
      <w:pPr>
        <w:rPr>
          <w:rStyle w:val="AERbody"/>
        </w:rPr>
      </w:pPr>
      <w:r>
        <w:rPr>
          <w:rStyle w:val="AERbody"/>
        </w:rPr>
        <w:t>Following this, CEG obtained</w:t>
      </w:r>
      <w:r w:rsidR="00AB34D9" w:rsidRPr="00AB34D9">
        <w:rPr>
          <w:rStyle w:val="AERbody"/>
        </w:rPr>
        <w:t xml:space="preserve"> estimates of the re-levered equity beta before and after the August 2014 break point. CEG concludes that, for the equal (value) weighted Portfolio 6, estimates of equity beta has increased by 0.38 (0.37) between the pre and post structural break sample periods. The best estimate of the re-levered equity beta is at least 0.88 after the 2014 August breakpoint and 0.7 over the last 5 years.</w:t>
      </w:r>
      <w:r w:rsidR="00AB34D9" w:rsidRPr="00013867">
        <w:rPr>
          <w:rStyle w:val="FootnoteReference"/>
        </w:rPr>
        <w:footnoteReference w:id="1139"/>
      </w:r>
    </w:p>
    <w:p w:rsidR="001B51D7" w:rsidRPr="001B51D7" w:rsidRDefault="001B51D7" w:rsidP="00013867">
      <w:pPr>
        <w:pStyle w:val="AERbulletlistfirststyle"/>
        <w:numPr>
          <w:ilvl w:val="0"/>
          <w:numId w:val="0"/>
        </w:numPr>
      </w:pPr>
      <w:r>
        <w:t>We have reservations</w:t>
      </w:r>
      <w:r w:rsidRPr="001B51D7">
        <w:t xml:space="preserve"> about CEG's results and conclusions for structural breaks based on the following:</w:t>
      </w:r>
    </w:p>
    <w:p w:rsidR="001B51D7" w:rsidRDefault="001B51D7" w:rsidP="001B51D7">
      <w:pPr>
        <w:pStyle w:val="AERbulletlistfirststyle"/>
      </w:pPr>
      <w:r>
        <w:t xml:space="preserve">Partington and Satchell have cautioned against results from CEG's </w:t>
      </w:r>
      <w:r w:rsidRPr="00B828E0">
        <w:t>Quandt-Andrews test because this test is a large sample test and</w:t>
      </w:r>
      <w:r>
        <w:t xml:space="preserve"> 'whether a sample of five years of weekly data is a sufficient sample size is an open question'.</w:t>
      </w:r>
      <w:r>
        <w:rPr>
          <w:rStyle w:val="FootnoteReference"/>
        </w:rPr>
        <w:footnoteReference w:id="1140"/>
      </w:r>
      <w:r w:rsidRPr="00B828E0">
        <w:t xml:space="preserve"> </w:t>
      </w:r>
    </w:p>
    <w:p w:rsidR="001B51D7" w:rsidRDefault="001B51D7" w:rsidP="001B51D7">
      <w:pPr>
        <w:pStyle w:val="AERbulletlistfirststyle"/>
      </w:pPr>
      <w:r>
        <w:t>The breakpoints identified from the Quandt-Andrews test will be more reliable if they are closer to the centre of the test sample. However, CEG's break points for P5 and P6 are all towards the end of the test samples.</w:t>
      </w:r>
      <w:r>
        <w:rPr>
          <w:rStyle w:val="FootnoteReference"/>
        </w:rPr>
        <w:footnoteReference w:id="1141"/>
      </w:r>
      <w:r>
        <w:t xml:space="preserve"> </w:t>
      </w:r>
    </w:p>
    <w:p w:rsidR="001B51D7" w:rsidRPr="00B828E0" w:rsidRDefault="001B51D7" w:rsidP="001B51D7">
      <w:pPr>
        <w:pStyle w:val="AERbulletlistfirststyle"/>
      </w:pPr>
      <w:r>
        <w:t xml:space="preserve">The Quandt-Andrews test requires pre and post-test periods representing X% of the data which are excluded from the </w:t>
      </w:r>
      <w:r w:rsidR="006C250D">
        <w:t>period</w:t>
      </w:r>
      <w:r>
        <w:t xml:space="preserve"> examined for a structural break. Given the concern with sample size, we are uncertain about the robustness of CEG's results.</w:t>
      </w:r>
    </w:p>
    <w:p w:rsidR="00AB34D9" w:rsidRDefault="001B51D7" w:rsidP="00AB34D9">
      <w:pPr>
        <w:rPr>
          <w:rStyle w:val="AERbody"/>
        </w:rPr>
      </w:pPr>
      <w:r>
        <w:rPr>
          <w:rStyle w:val="AERbody"/>
        </w:rPr>
        <w:t xml:space="preserve">Therefore, we do not find satisfactory evidence of a structural break in empirical estimates (since Henry's estimation) to warrant departing from our range and point estimate. </w:t>
      </w:r>
      <w:r w:rsidR="00AB34D9">
        <w:rPr>
          <w:rStyle w:val="AERbody"/>
        </w:rPr>
        <w:t>Partington and Satchell</w:t>
      </w:r>
      <w:r>
        <w:rPr>
          <w:rStyle w:val="AERbody"/>
        </w:rPr>
        <w:t xml:space="preserve"> also</w:t>
      </w:r>
      <w:r w:rsidR="00AB34D9">
        <w:rPr>
          <w:rStyle w:val="AERbody"/>
        </w:rPr>
        <w:t xml:space="preserve"> </w:t>
      </w:r>
      <w:r w:rsidR="00AB34D9" w:rsidRPr="00AB34D9">
        <w:rPr>
          <w:rStyle w:val="AERbody"/>
        </w:rPr>
        <w:t>do not consider that the case for an increase in beta to be nearly as compelling as CEG claims.</w:t>
      </w:r>
      <w:r w:rsidR="00AB34D9" w:rsidRPr="00013867">
        <w:rPr>
          <w:rStyle w:val="FootnoteReference"/>
        </w:rPr>
        <w:footnoteReference w:id="1142"/>
      </w:r>
      <w:r w:rsidR="00AB34D9" w:rsidRPr="00013867">
        <w:rPr>
          <w:rStyle w:val="FootnoteReference"/>
        </w:rPr>
        <w:t xml:space="preserve"> </w:t>
      </w:r>
      <w:r w:rsidR="00AB34D9" w:rsidRPr="00AB34D9">
        <w:rPr>
          <w:rStyle w:val="AERbody"/>
        </w:rPr>
        <w:t xml:space="preserve"> They are particularly concerned about the re-levering process and that a more comprehensive picture could be obtained by also testing for structural breaks in the raw betas and re-levered betas, with tests conducted on both individual stocks and portfolios.</w:t>
      </w:r>
    </w:p>
    <w:p w:rsidR="00AB34D9" w:rsidRPr="00AB34D9" w:rsidRDefault="00AB34D9" w:rsidP="00AB34D9">
      <w:pPr>
        <w:rPr>
          <w:rStyle w:val="AERbody"/>
        </w:rPr>
      </w:pPr>
      <w:r>
        <w:rPr>
          <w:rStyle w:val="AERbody"/>
        </w:rPr>
        <w:t>With</w:t>
      </w:r>
      <w:r w:rsidRPr="00AB34D9">
        <w:rPr>
          <w:rStyle w:val="AERbody"/>
        </w:rPr>
        <w:t xml:space="preserve"> particular reference to Portfolio 6 and compared with CEG’s analysis, </w:t>
      </w:r>
      <w:r w:rsidR="001B51D7">
        <w:rPr>
          <w:rStyle w:val="AERbody"/>
        </w:rPr>
        <w:t>our</w:t>
      </w:r>
      <w:r w:rsidRPr="00AB34D9">
        <w:rPr>
          <w:rStyle w:val="AERbody"/>
        </w:rPr>
        <w:t xml:space="preserve"> </w:t>
      </w:r>
      <w:r w:rsidR="00A661FD">
        <w:rPr>
          <w:rStyle w:val="AERbody"/>
        </w:rPr>
        <w:t>analysis</w:t>
      </w:r>
      <w:r w:rsidR="00206701">
        <w:rPr>
          <w:rStyle w:val="AERbody"/>
        </w:rPr>
        <w:t xml:space="preserve"> </w:t>
      </w:r>
      <w:r w:rsidRPr="00AB34D9">
        <w:rPr>
          <w:rStyle w:val="AERbody"/>
        </w:rPr>
        <w:t xml:space="preserve">does not provide any evidence to support a break after August 2009.  </w:t>
      </w:r>
    </w:p>
    <w:p w:rsidR="00AB34D9" w:rsidRPr="00AB34D9" w:rsidRDefault="001B51D7" w:rsidP="00AB34D9">
      <w:pPr>
        <w:rPr>
          <w:rStyle w:val="AERbody"/>
        </w:rPr>
      </w:pPr>
      <w:r>
        <w:rPr>
          <w:rStyle w:val="AERbody"/>
        </w:rPr>
        <w:t xml:space="preserve">We </w:t>
      </w:r>
      <w:r w:rsidR="00AB34D9">
        <w:rPr>
          <w:rStyle w:val="AERbody"/>
        </w:rPr>
        <w:t xml:space="preserve">consider that it is important to recognise the structural break, if any, in the </w:t>
      </w:r>
      <w:r w:rsidR="00AB34D9" w:rsidRPr="00AB34D9">
        <w:rPr>
          <w:rStyle w:val="AERbody"/>
        </w:rPr>
        <w:t xml:space="preserve">data because without recognising it, an estimated parameter of interest may provide irrelevant information. However, for meaningful results it is important that a robust approach should be followed.  </w:t>
      </w:r>
      <w:r>
        <w:rPr>
          <w:rStyle w:val="AERbody"/>
        </w:rPr>
        <w:t>We</w:t>
      </w:r>
      <w:r w:rsidR="00AB34D9" w:rsidRPr="00AB34D9">
        <w:rPr>
          <w:rStyle w:val="AERbody"/>
        </w:rPr>
        <w:t xml:space="preserve"> consider that it is appropriate to follow a two-step approach to identify any structural break in the data. </w:t>
      </w:r>
    </w:p>
    <w:p w:rsidR="00AB34D9" w:rsidRPr="00AB34D9" w:rsidRDefault="00AB34D9" w:rsidP="00013867">
      <w:pPr>
        <w:pStyle w:val="ListNumber"/>
        <w:numPr>
          <w:ilvl w:val="0"/>
          <w:numId w:val="54"/>
        </w:numPr>
        <w:rPr>
          <w:rStyle w:val="AERbody"/>
        </w:rPr>
      </w:pPr>
      <w:r w:rsidRPr="00AB34D9">
        <w:rPr>
          <w:rStyle w:val="AERbody"/>
        </w:rPr>
        <w:t>First, a major event during a period is examined to consider a possible structural break in the data, to be named “the necessary condition”; and</w:t>
      </w:r>
    </w:p>
    <w:p w:rsidR="00AB34D9" w:rsidRPr="00AB34D9" w:rsidRDefault="00AB34D9" w:rsidP="00013867">
      <w:pPr>
        <w:pStyle w:val="ListNumber"/>
        <w:rPr>
          <w:rStyle w:val="AERbody"/>
        </w:rPr>
      </w:pPr>
      <w:r w:rsidRPr="00AB34D9">
        <w:rPr>
          <w:rStyle w:val="AERbody"/>
        </w:rPr>
        <w:t xml:space="preserve">Second, structural break tests such as a very popular Chow’s test and the others are conducted to examine realised data to confirm if the structural break did occur during the period as anticipated, to be named “the sufficient condition”. </w:t>
      </w:r>
    </w:p>
    <w:p w:rsidR="00AB34D9" w:rsidRPr="00AB34D9" w:rsidRDefault="00AB34D9" w:rsidP="00AB34D9">
      <w:pPr>
        <w:rPr>
          <w:rStyle w:val="AERbody"/>
        </w:rPr>
      </w:pPr>
      <w:r>
        <w:rPr>
          <w:rStyle w:val="AERbody"/>
        </w:rPr>
        <w:t>Each of these two steps is discussed in turn below.</w:t>
      </w:r>
    </w:p>
    <w:p w:rsidR="00AB34D9" w:rsidRPr="00AB34D9" w:rsidRDefault="00AB34D9" w:rsidP="00AB34D9">
      <w:pPr>
        <w:rPr>
          <w:rStyle w:val="AERbody"/>
        </w:rPr>
      </w:pPr>
      <w:r w:rsidRPr="00AB34D9">
        <w:rPr>
          <w:rStyle w:val="AERbody"/>
        </w:rPr>
        <w:t>Step 1:</w:t>
      </w:r>
      <w:r w:rsidRPr="00AB34D9">
        <w:rPr>
          <w:rStyle w:val="AERbody"/>
        </w:rPr>
        <w:tab/>
        <w:t xml:space="preserve">An establishment of a major event </w:t>
      </w:r>
    </w:p>
    <w:p w:rsidR="00AB34D9" w:rsidRPr="00AB34D9" w:rsidRDefault="00AB34D9" w:rsidP="00AB34D9">
      <w:pPr>
        <w:rPr>
          <w:rStyle w:val="AERbody"/>
        </w:rPr>
      </w:pPr>
      <w:r>
        <w:rPr>
          <w:rStyle w:val="AERbody"/>
        </w:rPr>
        <w:t>A</w:t>
      </w:r>
      <w:r w:rsidRPr="00AB34D9">
        <w:rPr>
          <w:rStyle w:val="AERbody"/>
        </w:rPr>
        <w:t>s the first step, it is necessary to identify any possible structural break recognizing a major event during the period under examination. For example, the Persian Gulf crisis of 1991 was examined to consider the international response of the equity prices (Malliaris and Urrutia, 1995).</w:t>
      </w:r>
      <w:r w:rsidRPr="00013867">
        <w:rPr>
          <w:rStyle w:val="FootnoteReference"/>
        </w:rPr>
        <w:footnoteReference w:id="1143"/>
      </w:r>
      <w:r w:rsidRPr="00AB34D9">
        <w:rPr>
          <w:rStyle w:val="AERbody"/>
        </w:rPr>
        <w:t xml:space="preserve"> Nikkenin et al (2008)</w:t>
      </w:r>
      <w:r w:rsidRPr="00013867">
        <w:rPr>
          <w:rStyle w:val="FootnoteReference"/>
        </w:rPr>
        <w:footnoteReference w:id="1144"/>
      </w:r>
      <w:r w:rsidRPr="00013867">
        <w:rPr>
          <w:rStyle w:val="FootnoteReference"/>
        </w:rPr>
        <w:t xml:space="preserve"> </w:t>
      </w:r>
      <w:r w:rsidRPr="00AB34D9">
        <w:rPr>
          <w:rStyle w:val="AERbody"/>
        </w:rPr>
        <w:t>used the September 11 attack in the US to examine the impact of this event on the volatility stock markets in six different regions.  The 1997 Asian financial crisis; the collapse of oil prices in 1998; and the adoption of the price band mechanism by OPEC in 2000 were examined to consider sudden changes in volatility for five Gulf stock markets (Hammoudeh and Li, 2008).</w:t>
      </w:r>
      <w:r w:rsidRPr="00013867">
        <w:rPr>
          <w:rStyle w:val="FootnoteReference"/>
        </w:rPr>
        <w:footnoteReference w:id="1145"/>
      </w:r>
      <w:r w:rsidRPr="00013867">
        <w:rPr>
          <w:rStyle w:val="FootnoteReference"/>
        </w:rPr>
        <w:t xml:space="preserve"> </w:t>
      </w:r>
    </w:p>
    <w:p w:rsidR="00AB34D9" w:rsidRPr="00AB34D9" w:rsidRDefault="00AB34D9" w:rsidP="00AB34D9">
      <w:pPr>
        <w:rPr>
          <w:rStyle w:val="AERbody"/>
        </w:rPr>
      </w:pPr>
      <w:r>
        <w:rPr>
          <w:rStyle w:val="AERbody"/>
        </w:rPr>
        <w:t xml:space="preserve">As an illustration, </w:t>
      </w:r>
      <w:r w:rsidR="00A661FD">
        <w:rPr>
          <w:rStyle w:val="AERbody"/>
        </w:rPr>
        <w:t xml:space="preserve">CEG </w:t>
      </w:r>
      <w:r w:rsidRPr="00AB34D9">
        <w:rPr>
          <w:rStyle w:val="AERbody"/>
        </w:rPr>
        <w:t xml:space="preserve">found a break in 2009 during the Global Financial Crisis. A similar finding is noted in </w:t>
      </w:r>
      <w:r w:rsidR="00206701">
        <w:rPr>
          <w:rStyle w:val="AERbody"/>
        </w:rPr>
        <w:t>our 2017 update</w:t>
      </w:r>
      <w:r w:rsidRPr="00AB34D9">
        <w:rPr>
          <w:rStyle w:val="AERbody"/>
        </w:rPr>
        <w:t xml:space="preserve">. This structural break could be explained by the effects of the GFC. However, another structural break was found in August 2014 in the CEG (2016) study. </w:t>
      </w:r>
      <w:r w:rsidR="001B51D7">
        <w:rPr>
          <w:rStyle w:val="AERbody"/>
        </w:rPr>
        <w:t>We</w:t>
      </w:r>
      <w:r w:rsidRPr="00AB34D9">
        <w:rPr>
          <w:rStyle w:val="AERbody"/>
        </w:rPr>
        <w:t xml:space="preserve"> ha</w:t>
      </w:r>
      <w:r w:rsidR="001B51D7">
        <w:rPr>
          <w:rStyle w:val="AERbody"/>
        </w:rPr>
        <w:t>ve</w:t>
      </w:r>
      <w:r w:rsidRPr="00AB34D9">
        <w:rPr>
          <w:rStyle w:val="AERbody"/>
        </w:rPr>
        <w:t xml:space="preserve"> conducted a comprehensive search to identify any major event which could be used to explain a structural break in beta in Australia.</w:t>
      </w:r>
      <w:r w:rsidRPr="00013867">
        <w:rPr>
          <w:rStyle w:val="FootnoteReference"/>
        </w:rPr>
        <w:footnoteReference w:id="1146"/>
      </w:r>
      <w:r w:rsidRPr="00013867">
        <w:rPr>
          <w:rStyle w:val="FootnoteReference"/>
        </w:rPr>
        <w:t xml:space="preserve"> </w:t>
      </w:r>
      <w:r w:rsidRPr="00AB34D9">
        <w:rPr>
          <w:rStyle w:val="AERbody"/>
        </w:rPr>
        <w:t>Significant events happening in 2014 include the Ukrainian Revolution (February 18);</w:t>
      </w:r>
      <w:r w:rsidRPr="00013867">
        <w:rPr>
          <w:rStyle w:val="FootnoteReference"/>
        </w:rPr>
        <w:footnoteReference w:id="1147"/>
      </w:r>
      <w:r w:rsidRPr="00AB34D9">
        <w:rPr>
          <w:rStyle w:val="AERbody"/>
        </w:rPr>
        <w:t xml:space="preserve"> Malaysia Airlines Flight 370 (March 8); Russia formally annexes Crimea (March 21); Islamic State of Iraq forces seize control of government offices and other important buildings in the northern city of Mosul (June 11) and others. </w:t>
      </w:r>
      <w:r w:rsidR="000E1303">
        <w:rPr>
          <w:rStyle w:val="AERbody"/>
        </w:rPr>
        <w:t>We are not</w:t>
      </w:r>
      <w:r w:rsidRPr="00AB34D9">
        <w:rPr>
          <w:rStyle w:val="AERbody"/>
        </w:rPr>
        <w:t xml:space="preserve"> convinced that one of these significant events in 2014 can be used to explain a structural break in Australian betas. As a consequence, the proposed structural break of August 2014 found in the CEG 2016 s</w:t>
      </w:r>
      <w:r w:rsidR="000E1303">
        <w:rPr>
          <w:rStyle w:val="AERbody"/>
        </w:rPr>
        <w:t xml:space="preserve">tudy, which is not found in our 2017 </w:t>
      </w:r>
      <w:r w:rsidR="00206701">
        <w:rPr>
          <w:rStyle w:val="AERbody"/>
        </w:rPr>
        <w:t>update</w:t>
      </w:r>
      <w:r w:rsidR="000E1303">
        <w:rPr>
          <w:rStyle w:val="AERbody"/>
        </w:rPr>
        <w:t>, is viewed</w:t>
      </w:r>
      <w:r w:rsidRPr="00AB34D9">
        <w:rPr>
          <w:rStyle w:val="AERbody"/>
        </w:rPr>
        <w:t xml:space="preserve"> as a random or spurious finding.  In addition, </w:t>
      </w:r>
      <w:r w:rsidR="000E1303">
        <w:rPr>
          <w:rStyle w:val="AERbody"/>
        </w:rPr>
        <w:t xml:space="preserve">we </w:t>
      </w:r>
      <w:r w:rsidRPr="00AB34D9">
        <w:rPr>
          <w:rStyle w:val="AERbody"/>
        </w:rPr>
        <w:t xml:space="preserve">note Partington and Satchell’s view that the breakpoint test would be more reliable if the breakpoint detected was closer to the centre of the test sample.   The fact that the break is near the end of the sample deems it to be less reliable.  Importantly, CEG’s proposed </w:t>
      </w:r>
      <w:r w:rsidR="00A661FD" w:rsidRPr="00AB34D9">
        <w:rPr>
          <w:rStyle w:val="AERbody"/>
        </w:rPr>
        <w:t xml:space="preserve">August 2014 </w:t>
      </w:r>
      <w:r w:rsidRPr="00AB34D9">
        <w:rPr>
          <w:rStyle w:val="AERbody"/>
        </w:rPr>
        <w:t xml:space="preserve">structural break is identified from Portfolio 6 which includes only 4 firms in the data period from June 2000 (for the APA Group) to October 2016. As such, </w:t>
      </w:r>
      <w:r w:rsidR="008A5008">
        <w:rPr>
          <w:rStyle w:val="AERbody"/>
        </w:rPr>
        <w:t>we are</w:t>
      </w:r>
      <w:r w:rsidRPr="00AB34D9">
        <w:rPr>
          <w:rStyle w:val="AERbody"/>
        </w:rPr>
        <w:t xml:space="preserve"> of the view that this structural break is less reliable.</w:t>
      </w:r>
      <w:r w:rsidR="00D84F19">
        <w:rPr>
          <w:rStyle w:val="FootnoteReference"/>
        </w:rPr>
        <w:footnoteReference w:id="1148"/>
      </w:r>
      <w:r w:rsidRPr="00AB34D9">
        <w:rPr>
          <w:rStyle w:val="AERbody"/>
        </w:rPr>
        <w:t xml:space="preserve">   </w:t>
      </w:r>
    </w:p>
    <w:p w:rsidR="00AB34D9" w:rsidRPr="00AB34D9" w:rsidRDefault="00AB34D9" w:rsidP="00AB34D9">
      <w:pPr>
        <w:rPr>
          <w:rStyle w:val="AERbody"/>
        </w:rPr>
      </w:pPr>
      <w:r w:rsidRPr="00AB34D9">
        <w:rPr>
          <w:rStyle w:val="AERbody"/>
        </w:rPr>
        <w:t>Step 2:</w:t>
      </w:r>
      <w:r w:rsidRPr="00AB34D9">
        <w:rPr>
          <w:rStyle w:val="AERbody"/>
        </w:rPr>
        <w:tab/>
        <w:t>An empirical examination of a structural break around a major event using various tests</w:t>
      </w:r>
    </w:p>
    <w:p w:rsidR="00AB34D9" w:rsidRPr="00AB34D9" w:rsidRDefault="00AB34D9" w:rsidP="00AB34D9">
      <w:pPr>
        <w:rPr>
          <w:rStyle w:val="AERbody"/>
        </w:rPr>
      </w:pPr>
      <w:r w:rsidRPr="00AB34D9">
        <w:rPr>
          <w:rStyle w:val="AERbody"/>
        </w:rPr>
        <w:t>In the</w:t>
      </w:r>
      <w:r w:rsidR="00DA3331">
        <w:rPr>
          <w:rStyle w:val="AERbody"/>
        </w:rPr>
        <w:t>ir</w:t>
      </w:r>
      <w:r w:rsidRPr="00AB34D9">
        <w:rPr>
          <w:rStyle w:val="AERbody"/>
        </w:rPr>
        <w:t xml:space="preserve"> advice, Partington and Satchell considered that the Chow test is an appropriate test for a structural b</w:t>
      </w:r>
      <w:r w:rsidR="00A661FD">
        <w:rPr>
          <w:rStyle w:val="AERbody"/>
        </w:rPr>
        <w:t xml:space="preserve">reak.  Partington and Satchell </w:t>
      </w:r>
      <w:r w:rsidRPr="00AB34D9">
        <w:rPr>
          <w:rStyle w:val="AERbody"/>
        </w:rPr>
        <w:t>also considered that the Quandt Andrews te</w:t>
      </w:r>
      <w:r w:rsidR="00A661FD">
        <w:rPr>
          <w:rStyle w:val="AERbody"/>
        </w:rPr>
        <w:t>st, as adopted in both CEG a</w:t>
      </w:r>
      <w:r w:rsidRPr="00AB34D9">
        <w:rPr>
          <w:rStyle w:val="AERbody"/>
        </w:rPr>
        <w:t xml:space="preserve">nd </w:t>
      </w:r>
      <w:r w:rsidR="00DA3331">
        <w:rPr>
          <w:rStyle w:val="AERbody"/>
        </w:rPr>
        <w:t>our</w:t>
      </w:r>
      <w:r w:rsidRPr="00AB34D9">
        <w:rPr>
          <w:rStyle w:val="AERbody"/>
        </w:rPr>
        <w:t xml:space="preserve"> </w:t>
      </w:r>
      <w:r w:rsidR="00A661FD">
        <w:rPr>
          <w:rStyle w:val="AERbody"/>
        </w:rPr>
        <w:t>analysis</w:t>
      </w:r>
      <w:r w:rsidRPr="00AB34D9">
        <w:rPr>
          <w:rStyle w:val="AERbody"/>
        </w:rPr>
        <w:t xml:space="preserve">, is also a suitable test for a structural break, although this test is less restrictive.  </w:t>
      </w:r>
      <w:r w:rsidR="00DA3331">
        <w:rPr>
          <w:rStyle w:val="AERbody"/>
        </w:rPr>
        <w:t>We</w:t>
      </w:r>
      <w:r w:rsidRPr="00AB34D9">
        <w:rPr>
          <w:rStyle w:val="AERbody"/>
        </w:rPr>
        <w:t xml:space="preserve"> note that the Chow test is used to test for break points or structural changes in a model by partitioning the data into two separate parts.  As such, the Chow test is a very restrictive test in that the point of the structural break should be pre-determined in advance of the test. Other tests including </w:t>
      </w:r>
      <w:r w:rsidRPr="00AB34D9">
        <w:t xml:space="preserve">the Quandt Andrews test allow the point of the structural break to be determined from the data. </w:t>
      </w:r>
      <w:r w:rsidR="00DA3331">
        <w:t>We are</w:t>
      </w:r>
      <w:r w:rsidRPr="00AB34D9">
        <w:t xml:space="preserve"> open to the use of various tests for structural breaks </w:t>
      </w:r>
      <w:r w:rsidR="00D84F19">
        <w:t>because an exact break date may not be exactly pre-determined</w:t>
      </w:r>
      <w:r w:rsidR="00DA3331">
        <w:t>.  From our</w:t>
      </w:r>
      <w:r w:rsidRPr="00AB34D9">
        <w:t xml:space="preserve"> perspective the structural break under investigation may be pre-determined or not, as long as the above two-step approach is considered. As such, </w:t>
      </w:r>
      <w:r w:rsidR="00DA3331">
        <w:t>we are</w:t>
      </w:r>
      <w:r w:rsidRPr="00AB34D9">
        <w:t xml:space="preserve"> of the view that a higher hurdle is </w:t>
      </w:r>
      <w:r w:rsidR="00DA3331">
        <w:t xml:space="preserve">required </w:t>
      </w:r>
      <w:r w:rsidRPr="00AB34D9">
        <w:t xml:space="preserve">when </w:t>
      </w:r>
      <w:r w:rsidR="00DA3331">
        <w:t xml:space="preserve">identifying </w:t>
      </w:r>
      <w:r w:rsidRPr="00AB34D9">
        <w:t>a structural break.</w:t>
      </w:r>
    </w:p>
    <w:p w:rsidR="002302BF" w:rsidRPr="00352220" w:rsidRDefault="00AB34D9" w:rsidP="00013867">
      <w:pPr>
        <w:pStyle w:val="AERbulletlistfirststyle"/>
        <w:numPr>
          <w:ilvl w:val="0"/>
          <w:numId w:val="0"/>
        </w:numPr>
        <w:rPr>
          <w:rStyle w:val="AERbody"/>
        </w:rPr>
      </w:pPr>
      <w:r>
        <w:rPr>
          <w:rStyle w:val="AERbody"/>
        </w:rPr>
        <w:t xml:space="preserve">In conclusion, </w:t>
      </w:r>
      <w:r w:rsidR="00DA3331">
        <w:rPr>
          <w:rStyle w:val="AERbody"/>
        </w:rPr>
        <w:t>we</w:t>
      </w:r>
      <w:r>
        <w:rPr>
          <w:rStyle w:val="AERbody"/>
        </w:rPr>
        <w:t xml:space="preserve"> consider that it is appropriate t</w:t>
      </w:r>
      <w:r w:rsidRPr="00AB34D9">
        <w:rPr>
          <w:rStyle w:val="AERbody"/>
        </w:rPr>
        <w:t>o adopt a two-step approach when testing for structural breaks in data. The first step will enable identification of major event(s) which may cause a discontinuity in the data used for estimating parameters of interest. Then in the second step various tests for structural breaks can be employed to confirm the presence of one or more breaks as anticipated in the first step.  If one or more breaks do occur during the period under investigation then this evidence will inform estimation of the parameters.</w:t>
      </w:r>
    </w:p>
    <w:p w:rsidR="0070354B" w:rsidRPr="0070354B" w:rsidRDefault="0070354B" w:rsidP="0070354B">
      <w:pPr>
        <w:pStyle w:val="Heading8"/>
      </w:pPr>
      <w:bookmarkStart w:id="361" w:name="_Toc480965072"/>
      <w:bookmarkStart w:id="362" w:name="_Toc451939001"/>
      <w:bookmarkStart w:id="363" w:name="_Ref483228282"/>
      <w:bookmarkStart w:id="364" w:name="_Toc487037182"/>
      <w:bookmarkEnd w:id="361"/>
      <w:r>
        <w:t>International e</w:t>
      </w:r>
      <w:r w:rsidRPr="0070354B">
        <w:t>mpirical estimates</w:t>
      </w:r>
      <w:bookmarkEnd w:id="362"/>
      <w:bookmarkEnd w:id="363"/>
      <w:bookmarkEnd w:id="364"/>
      <w:r w:rsidRPr="0070354B">
        <w:t xml:space="preserve"> </w:t>
      </w:r>
    </w:p>
    <w:p w:rsidR="0070354B" w:rsidRDefault="0070354B" w:rsidP="0070354B">
      <w:r>
        <w:t xml:space="preserve">The international empirical estimates we consider in this decision are set out in </w:t>
      </w:r>
      <w:r>
        <w:fldChar w:fldCharType="begin"/>
      </w:r>
      <w:r>
        <w:instrText xml:space="preserve"> REF  _Ref446238074 \* Lower \h </w:instrText>
      </w:r>
      <w:r>
        <w:fldChar w:fldCharType="separate"/>
      </w:r>
      <w:r w:rsidR="002C24D6">
        <w:t xml:space="preserve">table </w:t>
      </w:r>
      <w:r w:rsidR="002C24D6">
        <w:rPr>
          <w:noProof/>
        </w:rPr>
        <w:t>3</w:t>
      </w:r>
      <w:r w:rsidR="002C24D6">
        <w:noBreakHyphen/>
      </w:r>
      <w:r w:rsidR="002C24D6">
        <w:rPr>
          <w:noProof/>
        </w:rPr>
        <w:t>32</w:t>
      </w:r>
      <w:r>
        <w:fldChar w:fldCharType="end"/>
      </w:r>
      <w:r>
        <w:t xml:space="preserve"> and range from 0.3 to 1.0.</w:t>
      </w:r>
      <w:r>
        <w:rPr>
          <w:rStyle w:val="FootnoteReference"/>
        </w:rPr>
        <w:footnoteReference w:id="1149"/>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5B1D7B">
        <w:t>APTPPL</w:t>
      </w:r>
      <w:r w:rsidR="00A870F7">
        <w:t xml:space="preserve"> </w:t>
      </w:r>
      <w:r>
        <w:t>in providing re</w:t>
      </w:r>
      <w:r w:rsidR="002A1687">
        <w:t>ference</w:t>
      </w:r>
      <w:r>
        <w:t xml:space="preserve"> services (see section </w:t>
      </w:r>
      <w:r>
        <w:fldChar w:fldCharType="begin"/>
      </w:r>
      <w:r>
        <w:instrText xml:space="preserve"> REF _Ref446254445 \r \h </w:instrText>
      </w:r>
      <w:r>
        <w:fldChar w:fldCharType="separate"/>
      </w:r>
      <w:r w:rsidR="002C24D6">
        <w:t>G.4.3</w:t>
      </w:r>
      <w:r>
        <w:fldChar w:fldCharType="end"/>
      </w:r>
      <w:r>
        <w:t>).</w:t>
      </w:r>
    </w:p>
    <w:p w:rsidR="0070354B" w:rsidRDefault="0070354B" w:rsidP="0070354B">
      <w:pPr>
        <w:pStyle w:val="Caption"/>
      </w:pPr>
      <w:bookmarkStart w:id="365" w:name="_Ref446238074"/>
      <w:r>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32</w:t>
      </w:r>
      <w:r w:rsidR="002C24D6">
        <w:rPr>
          <w:noProof/>
        </w:rPr>
        <w:fldChar w:fldCharType="end"/>
      </w:r>
      <w:bookmarkEnd w:id="365"/>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354B" w:rsidTr="00742E6B">
        <w:trPr>
          <w:cnfStyle w:val="100000000000" w:firstRow="1" w:lastRow="0" w:firstColumn="0" w:lastColumn="0" w:oddVBand="0" w:evenVBand="0" w:oddHBand="0" w:evenHBand="0" w:firstRowFirstColumn="0" w:firstRowLastColumn="0" w:lastRowFirstColumn="0" w:lastRowLastColumn="0"/>
        </w:trPr>
        <w:tc>
          <w:tcPr>
            <w:tcW w:w="1809" w:type="dxa"/>
          </w:tcPr>
          <w:p w:rsidR="0070354B" w:rsidRPr="0070354B" w:rsidRDefault="0070354B" w:rsidP="0070354B">
            <w:r>
              <w:t>Report</w:t>
            </w:r>
          </w:p>
        </w:tc>
        <w:tc>
          <w:tcPr>
            <w:tcW w:w="3969" w:type="dxa"/>
          </w:tcPr>
          <w:p w:rsidR="0070354B" w:rsidRPr="0070354B" w:rsidRDefault="0070354B" w:rsidP="0070354B">
            <w:r>
              <w:t>Details</w:t>
            </w:r>
          </w:p>
        </w:tc>
        <w:tc>
          <w:tcPr>
            <w:tcW w:w="1418" w:type="dxa"/>
          </w:tcPr>
          <w:p w:rsidR="0070354B" w:rsidRPr="0070354B" w:rsidRDefault="0070354B" w:rsidP="0070354B">
            <w:r>
              <w:t>Raw estimate</w:t>
            </w:r>
          </w:p>
        </w:tc>
        <w:tc>
          <w:tcPr>
            <w:tcW w:w="1497" w:type="dxa"/>
          </w:tcPr>
          <w:p w:rsidR="0070354B" w:rsidRPr="0070354B" w:rsidRDefault="0070354B" w:rsidP="0070354B">
            <w:r>
              <w:t xml:space="preserve">Re-levered estimate (to 60 per </w:t>
            </w:r>
            <w:r w:rsidRPr="0070354B">
              <w:t>cent gearing)</w:t>
            </w:r>
          </w:p>
        </w:tc>
      </w:tr>
      <w:tr w:rsidR="0070354B" w:rsidTr="00742E6B">
        <w:tc>
          <w:tcPr>
            <w:tcW w:w="1809" w:type="dxa"/>
          </w:tcPr>
          <w:p w:rsidR="0070354B" w:rsidRPr="0070354B" w:rsidRDefault="0070354B" w:rsidP="0070354B">
            <w:r>
              <w:t xml:space="preserve">SFG, </w:t>
            </w:r>
            <w:r w:rsidRPr="0070354B">
              <w:rPr>
                <w:rStyle w:val="AERtextitalic"/>
              </w:rPr>
              <w:t>Regression-based estimates of risk parameters</w:t>
            </w:r>
            <w:r w:rsidRPr="0070354B">
              <w:t>, June 2013, pp. 15, 19</w:t>
            </w:r>
          </w:p>
          <w:p w:rsidR="0070354B" w:rsidRPr="0070354B" w:rsidRDefault="0070354B" w:rsidP="0070354B">
            <w:pPr>
              <w:rPr>
                <w:rStyle w:val="AERtextsize8"/>
              </w:rPr>
            </w:pPr>
            <w:r w:rsidRPr="00707ABA">
              <w:t xml:space="preserve">CEG, </w:t>
            </w:r>
            <w:r w:rsidRPr="0070354B">
              <w:rPr>
                <w:rStyle w:val="AERtextitalic"/>
              </w:rPr>
              <w:t>Information on equity beta from US companies</w:t>
            </w:r>
            <w:r w:rsidRPr="0070354B">
              <w:t>, June 2013</w:t>
            </w:r>
          </w:p>
        </w:tc>
        <w:tc>
          <w:tcPr>
            <w:tcW w:w="3969" w:type="dxa"/>
          </w:tcPr>
          <w:p w:rsidR="0070354B" w:rsidRPr="0070354B" w:rsidRDefault="0070354B" w:rsidP="0070354B">
            <w:pPr>
              <w:rPr>
                <w:rStyle w:val="AERtextsize8"/>
              </w:rPr>
            </w:pPr>
            <w:r w:rsidRPr="00707ABA">
              <w:t xml:space="preserve">The CEG report prepared as a part of the ENA submission to </w:t>
            </w:r>
            <w:r w:rsidRPr="0070354B">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354B" w:rsidRPr="0070354B" w:rsidRDefault="0070354B" w:rsidP="0070354B">
            <w:r>
              <w:t>0.68</w:t>
            </w:r>
            <w:r w:rsidRPr="0070354B">
              <w:t>—average of individual firm estimates (0.67 without a Vasicek adjustment)</w:t>
            </w:r>
          </w:p>
        </w:tc>
        <w:tc>
          <w:tcPr>
            <w:tcW w:w="1497" w:type="dxa"/>
          </w:tcPr>
          <w:p w:rsidR="0070354B" w:rsidRPr="0070354B" w:rsidRDefault="0070354B" w:rsidP="0070354B">
            <w:r>
              <w:t>0.88</w:t>
            </w:r>
            <w:r w:rsidRPr="0070354B">
              <w:t>—average of individual firm estimates</w:t>
            </w:r>
          </w:p>
          <w:p w:rsidR="0070354B" w:rsidRPr="0070354B" w:rsidRDefault="0070354B" w:rsidP="0070354B">
            <w:r>
              <w:t>0.91</w:t>
            </w:r>
            <w:r w:rsidRPr="0070354B">
              <w:t>—average equity beta of an equal–weighted index of firm returns</w:t>
            </w:r>
            <w:r w:rsidRPr="0070354B">
              <w:rPr>
                <w:rStyle w:val="FootnoteReference"/>
              </w:rPr>
              <w:footnoteReference w:id="1150"/>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rsidRPr="00E518CC">
              <w:t>Damodaran,</w:t>
            </w:r>
            <w:r w:rsidRPr="0070354B">
              <w:t xml:space="preserve"> </w:t>
            </w:r>
            <w:r w:rsidRPr="0070354B">
              <w:rPr>
                <w:rStyle w:val="AERtextitalic"/>
              </w:rPr>
              <w:t>Updated data: The Data page</w:t>
            </w:r>
            <w:r w:rsidRPr="0070354B">
              <w:t xml:space="preserve">, </w:t>
            </w:r>
            <w:r w:rsidRPr="0070354B">
              <w:rPr>
                <w:rStyle w:val="AERtextitalic"/>
              </w:rPr>
              <w:t>Levered and Unlevered Betas by Industry: Download detail</w:t>
            </w:r>
            <w:r w:rsidRPr="0070354B">
              <w:t>, Stern school of Business New York University, last updated 5 January 2016, viewed 18 March 2016</w:t>
            </w:r>
          </w:p>
        </w:tc>
        <w:tc>
          <w:tcPr>
            <w:tcW w:w="3969" w:type="dxa"/>
          </w:tcPr>
          <w:p w:rsidR="0070354B" w:rsidRPr="0070354B" w:rsidRDefault="0070354B" w:rsidP="0070354B">
            <w:pPr>
              <w:rPr>
                <w:rStyle w:val="AERtextsize8"/>
              </w:rPr>
            </w:pPr>
            <w:r w:rsidRPr="00900624">
              <w:rPr>
                <w:rStyle w:val="AERtextsize8"/>
              </w:rPr>
              <w:t xml:space="preserve">The Damodaran equity beta estimates </w:t>
            </w:r>
            <w:r w:rsidRPr="0070354B">
              <w:rPr>
                <w:rStyle w:val="AERtextsize8"/>
              </w:rPr>
              <w:t>for US industry groups have been updated for 2016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354B" w:rsidRPr="0070354B" w:rsidRDefault="0070354B" w:rsidP="0070354B">
            <w:pPr>
              <w:rPr>
                <w:rStyle w:val="AERtextsize8"/>
              </w:rPr>
            </w:pPr>
            <w:r>
              <w:rPr>
                <w:rStyle w:val="AERtextsize8"/>
              </w:rPr>
              <w:t>0.</w:t>
            </w:r>
            <w:r w:rsidRPr="0070354B">
              <w:rPr>
                <w:rStyle w:val="AERtextsize8"/>
              </w:rPr>
              <w:t>84</w:t>
            </w:r>
          </w:p>
        </w:tc>
        <w:tc>
          <w:tcPr>
            <w:tcW w:w="1497" w:type="dxa"/>
          </w:tcPr>
          <w:p w:rsidR="0070354B" w:rsidRPr="0070354B" w:rsidRDefault="0070354B" w:rsidP="0070354B">
            <w:pPr>
              <w:rPr>
                <w:rStyle w:val="AERtextsize8"/>
              </w:rPr>
            </w:pPr>
            <w:r>
              <w:rPr>
                <w:rStyle w:val="AERtextsize8"/>
              </w:rPr>
              <w:t>1.09</w:t>
            </w:r>
            <w:r w:rsidRPr="0070354B">
              <w:rPr>
                <w:rStyle w:val="AERtextsize8"/>
              </w:rPr>
              <w:t>*</w:t>
            </w:r>
          </w:p>
        </w:tc>
      </w:tr>
      <w:tr w:rsidR="0070354B" w:rsidTr="00742E6B">
        <w:tc>
          <w:tcPr>
            <w:tcW w:w="1809" w:type="dxa"/>
          </w:tcPr>
          <w:p w:rsidR="0070354B" w:rsidRPr="0070354B" w:rsidRDefault="0070354B" w:rsidP="0070354B">
            <w:pPr>
              <w:rPr>
                <w:rStyle w:val="AERtextsize8"/>
              </w:rPr>
            </w:pPr>
            <w:r>
              <w:t xml:space="preserve">FTI Consulting, </w:t>
            </w:r>
            <w:r w:rsidRPr="0070354B">
              <w:rPr>
                <w:rStyle w:val="AERtextitalic"/>
              </w:rPr>
              <w:t>Cost of capital study for the RIIO-T1 and GD1 price controls</w:t>
            </w:r>
            <w:r w:rsidRPr="0070354B">
              <w:t>, July 2012, p. 42</w:t>
            </w:r>
          </w:p>
        </w:tc>
        <w:tc>
          <w:tcPr>
            <w:tcW w:w="3969" w:type="dxa"/>
          </w:tcPr>
          <w:p w:rsidR="0070354B" w:rsidRPr="0070354B" w:rsidRDefault="0070354B" w:rsidP="0070354B">
            <w:pPr>
              <w:rPr>
                <w:rStyle w:val="AERtextsize8"/>
              </w:rPr>
            </w:pPr>
            <w:r>
              <w:t xml:space="preserve">This </w:t>
            </w:r>
            <w:r w:rsidRPr="0070354B">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354B" w:rsidRPr="0070354B" w:rsidRDefault="0070354B" w:rsidP="0070354B">
            <w:r>
              <w:t>0.45—over 10 May 2011 to 9 May 2012</w:t>
            </w:r>
          </w:p>
          <w:p w:rsidR="0070354B" w:rsidRPr="0070354B" w:rsidRDefault="0070354B" w:rsidP="0070354B">
            <w:pPr>
              <w:rPr>
                <w:rStyle w:val="AERtextsize8"/>
              </w:rPr>
            </w:pPr>
            <w:r>
              <w:t>0.48—</w:t>
            </w:r>
            <w:r w:rsidRPr="0070354B">
              <w:t>over 10 May 2010 to 9 May 2012</w:t>
            </w:r>
          </w:p>
        </w:tc>
        <w:tc>
          <w:tcPr>
            <w:tcW w:w="1497" w:type="dxa"/>
          </w:tcPr>
          <w:p w:rsidR="0070354B" w:rsidRPr="0070354B" w:rsidRDefault="0070354B" w:rsidP="0070354B">
            <w:pPr>
              <w:rPr>
                <w:rStyle w:val="AERtextsize8"/>
              </w:rPr>
            </w:pPr>
            <w:r>
              <w:t xml:space="preserve">We are not able to provide re-levered equity beta estimates because the report does </w:t>
            </w:r>
            <w:r w:rsidRPr="0070354B">
              <w:t>not provide the appropriate gearing data.</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Alberta Utilities Commission, </w:t>
            </w:r>
            <w:r w:rsidRPr="0070354B">
              <w:rPr>
                <w:rStyle w:val="AERtextitalic"/>
              </w:rPr>
              <w:t>2013 Generic Cost of Capital</w:t>
            </w:r>
            <w:r w:rsidRPr="0070354B">
              <w:t>, 23 March 2015, pp. 1, 24–26</w:t>
            </w:r>
          </w:p>
        </w:tc>
        <w:tc>
          <w:tcPr>
            <w:tcW w:w="3969" w:type="dxa"/>
          </w:tcPr>
          <w:p w:rsidR="0070354B" w:rsidRPr="0070354B" w:rsidRDefault="0070354B" w:rsidP="0070354B">
            <w:r>
              <w:t xml:space="preserve">This </w:t>
            </w:r>
            <w:r w:rsidRPr="0070354B">
              <w:t>2013 Generic Cost of Capital report sets out the AUC's approved return on equity for several utilities for the years 2013, 2014, and 2015. The AUC considered advice from the following experts on the equity beta based on estimates of Canadian utilities:</w:t>
            </w:r>
          </w:p>
          <w:p w:rsidR="0070354B" w:rsidRPr="0070354B" w:rsidRDefault="0070354B" w:rsidP="0070354B">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354B" w:rsidRPr="0070354B" w:rsidRDefault="0070354B" w:rsidP="0070354B">
            <w:pPr>
              <w:pStyle w:val="AERbulletlistfirststyle"/>
            </w:pPr>
            <w:r w:rsidRPr="00FF0D9F">
              <w:t xml:space="preserve">Dr Laurence Booth of the University of Toronto recommended an equity beta range of 0.45 to 0.55 for Canadian stand-alone utilities based on long run beta estimates. </w:t>
            </w:r>
          </w:p>
          <w:p w:rsidR="0070354B" w:rsidRPr="0070354B" w:rsidRDefault="0070354B" w:rsidP="0070354B">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354B" w:rsidRPr="0070354B" w:rsidRDefault="0070354B" w:rsidP="0070354B">
            <w:pPr>
              <w:rPr>
                <w:rStyle w:val="AERtextsize8"/>
              </w:rPr>
            </w:pPr>
            <w:r>
              <w:rPr>
                <w:rStyle w:val="AERtextsize8"/>
              </w:rPr>
              <w:t>0.3</w:t>
            </w:r>
            <w:r w:rsidRPr="0070354B">
              <w:rPr>
                <w:rStyle w:val="AERtextsize8"/>
              </w:rPr>
              <w:t>–0.7</w:t>
            </w:r>
          </w:p>
        </w:tc>
        <w:tc>
          <w:tcPr>
            <w:tcW w:w="1497" w:type="dxa"/>
          </w:tcPr>
          <w:p w:rsidR="0070354B" w:rsidRPr="0070354B" w:rsidRDefault="0070354B" w:rsidP="0070354B">
            <w:pPr>
              <w:rPr>
                <w:rStyle w:val="AERtextsize8"/>
              </w:rPr>
            </w:pPr>
            <w:r>
              <w:t>This report did not specify whether the equity betas were raw or re-levered to a benchmark gearing.</w:t>
            </w:r>
          </w:p>
        </w:tc>
      </w:tr>
      <w:tr w:rsidR="0070354B" w:rsidTr="00742E6B">
        <w:tc>
          <w:tcPr>
            <w:tcW w:w="1809" w:type="dxa"/>
          </w:tcPr>
          <w:p w:rsidR="0070354B" w:rsidRPr="0070354B" w:rsidRDefault="0070354B" w:rsidP="0070354B">
            <w:pPr>
              <w:rPr>
                <w:rStyle w:val="AERtextsize8"/>
              </w:rPr>
            </w:pPr>
            <w:r>
              <w:t xml:space="preserve">PwC, </w:t>
            </w:r>
            <w:r w:rsidRPr="0070354B">
              <w:rPr>
                <w:rStyle w:val="AERtextitalic"/>
              </w:rPr>
              <w:t>Appreciating Value New Zealand, Edition six</w:t>
            </w:r>
            <w:r w:rsidRPr="0070354B">
              <w:t>, March 2015, p. 20 (See also: http://www.pwc.co.nz/appreciating-value/pwc-wacc-formula)</w:t>
            </w:r>
            <w:r w:rsidRPr="0070354B">
              <w:rPr>
                <w:rStyle w:val="AERtextsize8"/>
              </w:rPr>
              <w:t xml:space="preserve"> </w:t>
            </w:r>
          </w:p>
        </w:tc>
        <w:tc>
          <w:tcPr>
            <w:tcW w:w="3969" w:type="dxa"/>
          </w:tcPr>
          <w:p w:rsidR="0070354B" w:rsidRPr="0070354B" w:rsidRDefault="0070354B" w:rsidP="0070354B">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354B">
              <w:t xml:space="preserve"> for two comparable firms (Horizon Energy Distribution Limited and Vector Limited). PwC's March 2015 report presents estimates as at 31 December 2014.</w:t>
            </w:r>
          </w:p>
        </w:tc>
        <w:tc>
          <w:tcPr>
            <w:tcW w:w="1418" w:type="dxa"/>
          </w:tcPr>
          <w:p w:rsidR="0070354B" w:rsidRPr="0070354B" w:rsidRDefault="0070354B" w:rsidP="0070354B">
            <w:pPr>
              <w:rPr>
                <w:rStyle w:val="AERtextsize8"/>
              </w:rPr>
            </w:pPr>
            <w:r w:rsidRPr="00217E7D">
              <w:t>0.6</w:t>
            </w:r>
            <w:r w:rsidRPr="0070354B">
              <w:t>—average of individual form estimates</w:t>
            </w:r>
          </w:p>
        </w:tc>
        <w:tc>
          <w:tcPr>
            <w:tcW w:w="1497" w:type="dxa"/>
          </w:tcPr>
          <w:p w:rsidR="0070354B" w:rsidRPr="0070354B" w:rsidRDefault="0070354B" w:rsidP="0070354B">
            <w:pPr>
              <w:rPr>
                <w:rStyle w:val="AERtextsize8"/>
              </w:rPr>
            </w:pPr>
            <w:r>
              <w:t>0.8</w:t>
            </w:r>
            <w:r w:rsidRPr="0070354B">
              <w:t>8—average of individual firm estimates*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The Brattle Group, </w:t>
            </w:r>
            <w:r w:rsidRPr="0070354B">
              <w:rPr>
                <w:rStyle w:val="AERtextitalic"/>
              </w:rPr>
              <w:t>The WACC for the Dutch TSOs, DSOs, water companies and the Dutch pilotage organisation</w:t>
            </w:r>
            <w:r w:rsidRPr="0070354B">
              <w:t>, March 2013, pp. 16–18</w:t>
            </w:r>
          </w:p>
        </w:tc>
        <w:tc>
          <w:tcPr>
            <w:tcW w:w="3969" w:type="dxa"/>
          </w:tcPr>
          <w:p w:rsidR="0070354B" w:rsidRPr="0070354B" w:rsidRDefault="0070354B" w:rsidP="0070354B">
            <w:pPr>
              <w:rPr>
                <w:rStyle w:val="AERtextsize8"/>
              </w:rPr>
            </w:pPr>
            <w:r>
              <w:t xml:space="preserve">This </w:t>
            </w:r>
            <w:r w:rsidRPr="0070354B">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354B">
              <w:rPr>
                <w:rStyle w:val="FootnoteReference"/>
              </w:rPr>
              <w:footnoteReference w:id="1151"/>
            </w:r>
          </w:p>
        </w:tc>
        <w:tc>
          <w:tcPr>
            <w:tcW w:w="1418" w:type="dxa"/>
          </w:tcPr>
          <w:p w:rsidR="0070354B" w:rsidRPr="0070354B" w:rsidRDefault="0070354B" w:rsidP="0070354B">
            <w:r>
              <w:t>0.58</w:t>
            </w:r>
            <w:r w:rsidRPr="0070354B">
              <w:t>—average of European individual firm estimates</w:t>
            </w:r>
          </w:p>
          <w:p w:rsidR="0070354B" w:rsidRPr="0070354B" w:rsidRDefault="0070354B" w:rsidP="0070354B">
            <w:r>
              <w:t>0.60</w:t>
            </w:r>
            <w:r w:rsidRPr="0070354B">
              <w:t>—average of US individual firm estimates</w:t>
            </w:r>
          </w:p>
          <w:p w:rsidR="0070354B" w:rsidRPr="0070354B" w:rsidRDefault="0070354B" w:rsidP="0070354B">
            <w:pPr>
              <w:rPr>
                <w:rStyle w:val="AERtextsize8"/>
              </w:rPr>
            </w:pPr>
            <w:r>
              <w:t>0.5</w:t>
            </w:r>
            <w:r w:rsidRPr="0070354B">
              <w:t>8—average of European and US individual firm estimates</w:t>
            </w:r>
          </w:p>
        </w:tc>
        <w:tc>
          <w:tcPr>
            <w:tcW w:w="1497" w:type="dxa"/>
          </w:tcPr>
          <w:p w:rsidR="0070354B" w:rsidRPr="0070354B" w:rsidRDefault="0070354B" w:rsidP="0070354B">
            <w:r>
              <w:t>0.71</w:t>
            </w:r>
            <w:r w:rsidRPr="0070354B">
              <w:t>—average of European individual firm estimates*</w:t>
            </w:r>
          </w:p>
          <w:p w:rsidR="0070354B" w:rsidRPr="0070354B" w:rsidRDefault="0070354B" w:rsidP="0070354B">
            <w:r>
              <w:t>1.01</w:t>
            </w:r>
            <w:r w:rsidRPr="0070354B">
              <w:t>—average of US individual firm estimates*</w:t>
            </w:r>
          </w:p>
          <w:p w:rsidR="0070354B" w:rsidRPr="0070354B" w:rsidRDefault="0070354B" w:rsidP="0070354B">
            <w:pPr>
              <w:rPr>
                <w:rStyle w:val="AERtextsize8"/>
              </w:rPr>
            </w:pPr>
            <w:r>
              <w:t>0.80</w:t>
            </w:r>
            <w:r w:rsidRPr="0070354B">
              <w:t>—average of European and US individual firm estimates*</w:t>
            </w:r>
          </w:p>
        </w:tc>
      </w:tr>
      <w:tr w:rsidR="0070354B" w:rsidTr="00742E6B">
        <w:tc>
          <w:tcPr>
            <w:tcW w:w="1809" w:type="dxa"/>
          </w:tcPr>
          <w:p w:rsidR="0070354B" w:rsidRPr="00900624" w:rsidRDefault="0070354B" w:rsidP="0070354B">
            <w:pPr>
              <w:rPr>
                <w:rStyle w:val="AERtextsize8"/>
              </w:rPr>
            </w:pPr>
          </w:p>
        </w:tc>
        <w:tc>
          <w:tcPr>
            <w:tcW w:w="3969" w:type="dxa"/>
          </w:tcPr>
          <w:p w:rsidR="0070354B" w:rsidRDefault="0070354B" w:rsidP="0070354B">
            <w:pPr>
              <w:rPr>
                <w:rStyle w:val="AERtextsize8"/>
              </w:rPr>
            </w:pPr>
          </w:p>
        </w:tc>
        <w:tc>
          <w:tcPr>
            <w:tcW w:w="1418" w:type="dxa"/>
          </w:tcPr>
          <w:p w:rsidR="0070354B" w:rsidRDefault="0070354B" w:rsidP="0070354B">
            <w:pPr>
              <w:rPr>
                <w:rStyle w:val="AERtextsize8"/>
              </w:rPr>
            </w:pPr>
          </w:p>
        </w:tc>
        <w:tc>
          <w:tcPr>
            <w:tcW w:w="1497" w:type="dxa"/>
          </w:tcPr>
          <w:p w:rsidR="0070354B" w:rsidRDefault="0070354B" w:rsidP="0070354B">
            <w:pPr>
              <w:rPr>
                <w:rStyle w:val="AERtextsize8"/>
              </w:rPr>
            </w:pPr>
          </w:p>
        </w:tc>
      </w:tr>
    </w:tbl>
    <w:p w:rsidR="0070354B" w:rsidRPr="0078508E" w:rsidRDefault="0070354B" w:rsidP="00CC7A1C">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354B" w:rsidRPr="0070354B" w:rsidRDefault="0070354B" w:rsidP="0070354B">
      <w:pPr>
        <w:pStyle w:val="Heading8"/>
      </w:pPr>
      <w:bookmarkStart w:id="366" w:name="_Ref446255536"/>
      <w:bookmarkStart w:id="367" w:name="_Toc451939002"/>
      <w:bookmarkStart w:id="368" w:name="_Toc487037183"/>
      <w:r>
        <w:t>Choice of comparator set</w:t>
      </w:r>
      <w:bookmarkEnd w:id="366"/>
      <w:bookmarkEnd w:id="367"/>
      <w:bookmarkEnd w:id="368"/>
    </w:p>
    <w:p w:rsidR="0070354B" w:rsidRDefault="0070354B" w:rsidP="00CC7A1C">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152"/>
      </w:r>
      <w:r>
        <w:t xml:space="preserve"> These concerns flow from their view that our comparator set of Australian energy network firms is too small to produce reliable equity beta estimates. These service providers and their consultants submitted that:</w:t>
      </w:r>
    </w:p>
    <w:p w:rsidR="0070354B" w:rsidRDefault="0070354B" w:rsidP="0070354B">
      <w:pPr>
        <w:pStyle w:val="AERbulletlistfirststyle"/>
      </w:pPr>
      <w:r>
        <w:t>equity beta estimates based on this comparator set are imprecise and unstable</w:t>
      </w:r>
    </w:p>
    <w:p w:rsidR="0070354B" w:rsidRDefault="0070354B" w:rsidP="0070354B">
      <w:pPr>
        <w:pStyle w:val="AERbulletlistfirststyle"/>
      </w:pPr>
      <w:r>
        <w:t>the estimates could be improved by including international energy firms in the comparator set</w:t>
      </w:r>
    </w:p>
    <w:p w:rsidR="0070354B" w:rsidRDefault="0070354B" w:rsidP="0070354B">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153"/>
      </w:r>
    </w:p>
    <w:p w:rsidR="0070354B" w:rsidRDefault="0070354B" w:rsidP="00CC7A1C">
      <w:pPr>
        <w:numPr>
          <w:ilvl w:val="0"/>
          <w:numId w:val="24"/>
        </w:numPr>
      </w:pPr>
      <w:r>
        <w:t>We responded to many of these submissions in detail in our recent decisions.</w:t>
      </w:r>
      <w:r>
        <w:rPr>
          <w:rStyle w:val="FootnoteReference"/>
        </w:rPr>
        <w:footnoteReference w:id="1154"/>
      </w:r>
      <w:r>
        <w:t xml:space="preserve"> However, we reproduce our key conclusions in sections </w:t>
      </w:r>
      <w:r>
        <w:fldChar w:fldCharType="begin"/>
      </w:r>
      <w:r>
        <w:instrText xml:space="preserve"> REF _Ref446254453 \r \h </w:instrText>
      </w:r>
      <w:r>
        <w:fldChar w:fldCharType="separate"/>
      </w:r>
      <w:r w:rsidR="002C24D6">
        <w:t>G.4.2</w:t>
      </w:r>
      <w:r>
        <w:fldChar w:fldCharType="end"/>
      </w:r>
      <w:r>
        <w:t xml:space="preserve">, </w:t>
      </w:r>
      <w:r>
        <w:fldChar w:fldCharType="begin"/>
      </w:r>
      <w:r>
        <w:instrText xml:space="preserve"> REF _Ref446254445 \r \h </w:instrText>
      </w:r>
      <w:r>
        <w:fldChar w:fldCharType="separate"/>
      </w:r>
      <w:r w:rsidR="002C24D6">
        <w:t>G.4.3</w:t>
      </w:r>
      <w:r>
        <w:fldChar w:fldCharType="end"/>
      </w:r>
      <w:r>
        <w:t xml:space="preserve">, and </w:t>
      </w:r>
      <w:r>
        <w:fldChar w:fldCharType="begin"/>
      </w:r>
      <w:r>
        <w:instrText xml:space="preserve"> REF _Ref446254437 \r \h </w:instrText>
      </w:r>
      <w:r>
        <w:fldChar w:fldCharType="separate"/>
      </w:r>
      <w:r w:rsidR="002C24D6">
        <w:t>G.4.4</w:t>
      </w:r>
      <w:r>
        <w:fldChar w:fldCharType="end"/>
      </w:r>
      <w:r>
        <w:t>, in response to new submissions and analysis.</w:t>
      </w:r>
    </w:p>
    <w:p w:rsidR="0070354B" w:rsidRDefault="0070354B" w:rsidP="00CC7A1C">
      <w:pPr>
        <w:numPr>
          <w:ilvl w:val="0"/>
          <w:numId w:val="24"/>
        </w:numPr>
      </w:pPr>
      <w:r>
        <w:t xml:space="preserve">Ultimately, we consider there is a trade-off between the increased statistical precision from a larger comparator set and the comparability of the firms in the comparator set to a benchmark efficient entity with a similar degree of risk as </w:t>
      </w:r>
      <w:r w:rsidR="005B1D7B">
        <w:t>APTPPL</w:t>
      </w:r>
      <w:r w:rsidR="00A870F7">
        <w:t xml:space="preserve"> </w:t>
      </w:r>
      <w:r>
        <w:t>in providing re</w:t>
      </w:r>
      <w:r w:rsidR="002A1687">
        <w:t>ference</w:t>
      </w:r>
      <w:r>
        <w:t xml:space="preserve"> services.</w:t>
      </w:r>
      <w:r>
        <w:rPr>
          <w:rStyle w:val="FootnoteReference"/>
        </w:rPr>
        <w:footnoteReference w:id="1155"/>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354B" w:rsidRPr="0006373F" w:rsidRDefault="0070354B" w:rsidP="0070354B">
      <w:pPr>
        <w:pStyle w:val="Heading9"/>
      </w:pPr>
      <w:bookmarkStart w:id="369" w:name="_Ref447740508"/>
      <w:bookmarkStart w:id="370" w:name="_Toc451939003"/>
      <w:bookmarkStart w:id="371" w:name="_Toc487037184"/>
      <w:r w:rsidRPr="0006373F">
        <w:t>Comparator set for Australian empirical analysis</w:t>
      </w:r>
      <w:bookmarkEnd w:id="369"/>
      <w:bookmarkEnd w:id="370"/>
      <w:bookmarkEnd w:id="371"/>
    </w:p>
    <w:p w:rsidR="0070354B" w:rsidRPr="0048317B" w:rsidRDefault="0070354B" w:rsidP="00CC7A1C">
      <w:pPr>
        <w:numPr>
          <w:ilvl w:val="0"/>
          <w:numId w:val="24"/>
        </w:numPr>
      </w:pPr>
      <w:r w:rsidRPr="0048317B">
        <w:t xml:space="preserve">We define </w:t>
      </w:r>
      <w:r>
        <w:t>a</w:t>
      </w:r>
      <w:r w:rsidRPr="0048317B">
        <w:t xml:space="preserve"> benchmark efficient entity </w:t>
      </w:r>
      <w:r>
        <w:t xml:space="preserve">with a similar degree of risk as </w:t>
      </w:r>
      <w:r w:rsidR="005B1D7B">
        <w:t xml:space="preserve">APTPPL </w:t>
      </w:r>
      <w:r>
        <w:t>in providing re</w:t>
      </w:r>
      <w:r w:rsidR="002A1687">
        <w:t>ference</w:t>
      </w:r>
      <w:r>
        <w:t xml:space="preserve"> services</w:t>
      </w:r>
      <w:r w:rsidRPr="0048317B">
        <w:t xml:space="preserve"> as a pure play, energy network business operating within Australia</w:t>
      </w:r>
      <w:r w:rsidR="002A1687">
        <w:t xml:space="preserve"> with a similar degree of risk as APTPPL in providing reference services</w:t>
      </w:r>
      <w:r w:rsidRPr="0048317B">
        <w:t>.</w:t>
      </w:r>
      <w:r>
        <w:rPr>
          <w:rStyle w:val="FootnoteReference"/>
        </w:rPr>
        <w:footnoteReference w:id="1156"/>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354B" w:rsidRDefault="0070354B" w:rsidP="00CC7A1C">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and these remain relevant. They are ASX listed firms that provide regulated electricity and/or gas network services</w:t>
      </w:r>
      <w:r w:rsidR="00B963BE">
        <w:t xml:space="preserve"> with a similar degree of risk as that which applies to APTPPL in providing reference services</w:t>
      </w:r>
      <w:r w:rsidRPr="0048317B">
        <w:t xml:space="preserve"> </w:t>
      </w:r>
      <w:r>
        <w:t xml:space="preserve">and are </w:t>
      </w:r>
      <w:r w:rsidRPr="0048317B">
        <w:t xml:space="preserve">operating within Australia. </w:t>
      </w:r>
      <w:r>
        <w:fldChar w:fldCharType="begin"/>
      </w:r>
      <w:r>
        <w:instrText xml:space="preserve"> REF _Ref446240160 \h </w:instrText>
      </w:r>
      <w:r>
        <w:fldChar w:fldCharType="separate"/>
      </w:r>
      <w:r w:rsidR="002C24D6">
        <w:t xml:space="preserve">Table </w:t>
      </w:r>
      <w:r w:rsidR="002C24D6">
        <w:rPr>
          <w:noProof/>
        </w:rPr>
        <w:t>3</w:t>
      </w:r>
      <w:r w:rsidR="002C24D6">
        <w:noBreakHyphen/>
      </w:r>
      <w:r w:rsidR="002C24D6">
        <w:rPr>
          <w:noProof/>
        </w:rPr>
        <w:t>33</w:t>
      </w:r>
      <w:r>
        <w:fldChar w:fldCharType="end"/>
      </w:r>
      <w:r>
        <w:t xml:space="preserve"> </w:t>
      </w:r>
      <w:r w:rsidRPr="0048317B">
        <w:t>sets out the details of these nine firms.</w:t>
      </w:r>
      <w:r>
        <w:rPr>
          <w:rStyle w:val="FootnoteReference"/>
        </w:rPr>
        <w:footnoteReference w:id="1157"/>
      </w:r>
      <w:r w:rsidRPr="0048317B">
        <w:t xml:space="preserve"> </w:t>
      </w:r>
    </w:p>
    <w:p w:rsidR="0070354B" w:rsidRDefault="0070354B" w:rsidP="00CC7A1C">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158"/>
      </w:r>
      <w:r w:rsidRPr="0048317B">
        <w:t xml:space="preserve"> We account for this by only including data over an applicable time period for these four firms. Whereas, for the other five fi</w:t>
      </w:r>
      <w:r>
        <w:t>rms, we consider</w:t>
      </w:r>
      <w:r w:rsidRPr="0048317B">
        <w:t xml:space="preserve"> data</w:t>
      </w:r>
      <w:r>
        <w:t xml:space="preserve"> up to 28 June 2013</w:t>
      </w:r>
      <w:r w:rsidRPr="0048317B">
        <w:t>.</w:t>
      </w:r>
      <w:r>
        <w:rPr>
          <w:rStyle w:val="FootnoteReference"/>
        </w:rPr>
        <w:footnoteReference w:id="1159"/>
      </w:r>
      <w:r w:rsidRPr="006558B8">
        <w:t xml:space="preserve"> </w:t>
      </w:r>
      <w:r>
        <w:t>We note that Envestra Ltd was delisted on 17 October 2014.</w:t>
      </w:r>
      <w:r>
        <w:rPr>
          <w:rStyle w:val="FootnoteReference"/>
        </w:rPr>
        <w:footnoteReference w:id="1160"/>
      </w:r>
      <w:r>
        <w:t xml:space="preserve"> </w:t>
      </w:r>
    </w:p>
    <w:p w:rsidR="0070354B" w:rsidRDefault="0070354B" w:rsidP="0070354B">
      <w:pPr>
        <w:pStyle w:val="Caption"/>
      </w:pPr>
      <w:bookmarkStart w:id="372" w:name="_Ref446240160"/>
      <w:r>
        <w:t xml:space="preserve">Table </w:t>
      </w:r>
      <w:r w:rsidR="002C24D6">
        <w:fldChar w:fldCharType="begin"/>
      </w:r>
      <w:r w:rsidR="002C24D6">
        <w:instrText xml:space="preserve"> STYLERE</w:instrText>
      </w:r>
      <w:r w:rsidR="002C24D6">
        <w:instrText xml:space="preserv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33</w:t>
      </w:r>
      <w:r w:rsidR="002C24D6">
        <w:rPr>
          <w:noProof/>
        </w:rPr>
        <w:fldChar w:fldCharType="end"/>
      </w:r>
      <w:bookmarkEnd w:id="372"/>
      <w:r>
        <w:tab/>
        <w:t>Listed</w:t>
      </w:r>
      <w:r w:rsidRPr="009F0E1B">
        <w:t xml:space="preserve"> entities providing electricity and gas network services operating in Australia</w:t>
      </w:r>
      <w:r w:rsidR="00B963BE">
        <w:t xml:space="preserve"> with a similar degree of risk as APTPPL in the provision of reference services</w:t>
      </w:r>
    </w:p>
    <w:tbl>
      <w:tblPr>
        <w:tblStyle w:val="AERtable-text0"/>
        <w:tblW w:w="8613" w:type="dxa"/>
        <w:tblLayout w:type="fixed"/>
        <w:tblLook w:val="04A0" w:firstRow="1" w:lastRow="0" w:firstColumn="1" w:lastColumn="0" w:noHBand="0" w:noVBand="1"/>
      </w:tblPr>
      <w:tblGrid>
        <w:gridCol w:w="4077"/>
        <w:gridCol w:w="2835"/>
        <w:gridCol w:w="1701"/>
      </w:tblGrid>
      <w:tr w:rsidR="0070354B" w:rsidTr="00742E6B">
        <w:trPr>
          <w:cnfStyle w:val="100000000000" w:firstRow="1" w:lastRow="0" w:firstColumn="0" w:lastColumn="0" w:oddVBand="0" w:evenVBand="0" w:oddHBand="0" w:evenHBand="0" w:firstRowFirstColumn="0" w:firstRowLastColumn="0" w:lastRowFirstColumn="0" w:lastRowLastColumn="0"/>
        </w:trPr>
        <w:tc>
          <w:tcPr>
            <w:tcW w:w="4077" w:type="dxa"/>
          </w:tcPr>
          <w:p w:rsidR="0070354B" w:rsidRPr="0070354B" w:rsidRDefault="0070354B" w:rsidP="0070354B">
            <w:r>
              <w:t>Firm (ASX ticker)</w:t>
            </w:r>
          </w:p>
        </w:tc>
        <w:tc>
          <w:tcPr>
            <w:tcW w:w="2835" w:type="dxa"/>
          </w:tcPr>
          <w:p w:rsidR="0070354B" w:rsidRPr="0070354B" w:rsidRDefault="0070354B" w:rsidP="0070354B">
            <w:r>
              <w:t>Time / trading period</w:t>
            </w:r>
          </w:p>
        </w:tc>
        <w:tc>
          <w:tcPr>
            <w:tcW w:w="1701" w:type="dxa"/>
          </w:tcPr>
          <w:p w:rsidR="0070354B" w:rsidRPr="0070354B" w:rsidRDefault="0070354B" w:rsidP="0070354B">
            <w:r>
              <w:t>Sectors</w:t>
            </w:r>
          </w:p>
        </w:tc>
      </w:tr>
      <w:tr w:rsidR="0070354B" w:rsidTr="00742E6B">
        <w:tc>
          <w:tcPr>
            <w:tcW w:w="4077" w:type="dxa"/>
          </w:tcPr>
          <w:p w:rsidR="0070354B" w:rsidRPr="0070354B" w:rsidRDefault="0070354B" w:rsidP="0070354B">
            <w:pPr>
              <w:rPr>
                <w:rStyle w:val="AERtextsize8"/>
              </w:rPr>
            </w:pPr>
            <w:r w:rsidRPr="0047344A">
              <w:t>AGL</w:t>
            </w:r>
            <w:r w:rsidRPr="0070354B">
              <w:t xml:space="preserve"> Energy Limited (AGK)</w:t>
            </w:r>
          </w:p>
        </w:tc>
        <w:tc>
          <w:tcPr>
            <w:tcW w:w="2835" w:type="dxa"/>
          </w:tcPr>
          <w:p w:rsidR="0070354B" w:rsidRPr="0070354B" w:rsidRDefault="0070354B" w:rsidP="0070354B">
            <w:pPr>
              <w:rPr>
                <w:rStyle w:val="AERtextsize8"/>
              </w:rPr>
            </w:pPr>
            <w:r w:rsidRPr="0047344A">
              <w:t xml:space="preserve">January 1990 – October 2006 </w:t>
            </w:r>
          </w:p>
        </w:tc>
        <w:tc>
          <w:tcPr>
            <w:tcW w:w="1701" w:type="dxa"/>
          </w:tcPr>
          <w:p w:rsidR="0070354B" w:rsidRPr="0070354B" w:rsidRDefault="0070354B" w:rsidP="0070354B">
            <w:r>
              <w:t>Electricity</w:t>
            </w:r>
            <w:r w:rsidRPr="0070354B">
              <w:t xml:space="preserve">, 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Alinta (AAN)</w:t>
            </w:r>
          </w:p>
        </w:tc>
        <w:tc>
          <w:tcPr>
            <w:tcW w:w="2835" w:type="dxa"/>
          </w:tcPr>
          <w:p w:rsidR="0070354B" w:rsidRPr="0070354B" w:rsidRDefault="0070354B" w:rsidP="0070354B">
            <w:pPr>
              <w:rPr>
                <w:rStyle w:val="AERtextsize8"/>
              </w:rPr>
            </w:pPr>
            <w:r w:rsidRPr="0047344A">
              <w:t xml:space="preserve">October 2000 – </w:t>
            </w:r>
            <w:r w:rsidRPr="0070354B">
              <w:t>August 2007</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t>APA Group</w:t>
            </w:r>
            <w:r w:rsidRPr="0070354B">
              <w:t xml:space="preserve"> (APA)</w:t>
            </w:r>
          </w:p>
        </w:tc>
        <w:tc>
          <w:tcPr>
            <w:tcW w:w="2835" w:type="dxa"/>
          </w:tcPr>
          <w:p w:rsidR="0070354B" w:rsidRPr="0070354B" w:rsidRDefault="0070354B" w:rsidP="0070354B">
            <w:pPr>
              <w:rPr>
                <w:rStyle w:val="AERtextsize8"/>
              </w:rPr>
            </w:pPr>
            <w:r w:rsidRPr="0047344A">
              <w:t xml:space="preserve">June </w:t>
            </w:r>
            <w:r w:rsidRPr="0070354B">
              <w:t>2000 – present</w:t>
            </w:r>
          </w:p>
        </w:tc>
        <w:tc>
          <w:tcPr>
            <w:tcW w:w="1701" w:type="dxa"/>
          </w:tcPr>
          <w:p w:rsidR="0070354B" w:rsidRPr="0070354B" w:rsidRDefault="0070354B" w:rsidP="0070354B">
            <w:r>
              <w:t>Gas</w:t>
            </w:r>
            <w:r w:rsidRPr="0070354B">
              <w:t>, Minority interest in other energy infrastructure</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DUET Group (DUE)</w:t>
            </w:r>
          </w:p>
        </w:tc>
        <w:tc>
          <w:tcPr>
            <w:tcW w:w="2835" w:type="dxa"/>
          </w:tcPr>
          <w:p w:rsidR="0070354B" w:rsidRPr="0070354B" w:rsidRDefault="0070354B" w:rsidP="0070354B">
            <w:pPr>
              <w:rPr>
                <w:rStyle w:val="AERtextsize8"/>
              </w:rPr>
            </w:pPr>
            <w:r w:rsidRPr="0047344A">
              <w:t>August 2004</w:t>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rsidRPr="0047344A">
              <w:t>Envestra Ltd. (ENV)</w:t>
            </w:r>
          </w:p>
        </w:tc>
        <w:tc>
          <w:tcPr>
            <w:tcW w:w="2835" w:type="dxa"/>
          </w:tcPr>
          <w:p w:rsidR="0070354B" w:rsidRPr="0070354B" w:rsidRDefault="0070354B" w:rsidP="0070354B">
            <w:pPr>
              <w:rPr>
                <w:rStyle w:val="AERtextsize8"/>
              </w:rPr>
            </w:pPr>
            <w:r w:rsidRPr="0047344A">
              <w:t xml:space="preserve">August 1997 – </w:t>
            </w:r>
            <w:r w:rsidRPr="0070354B">
              <w:t>October 2014</w:t>
            </w:r>
          </w:p>
        </w:tc>
        <w:tc>
          <w:tcPr>
            <w:tcW w:w="1701" w:type="dxa"/>
          </w:tcPr>
          <w:p w:rsidR="0070354B" w:rsidRPr="0070354B" w:rsidRDefault="0070354B" w:rsidP="0070354B">
            <w:r w:rsidRPr="0047344A">
              <w:t xml:space="preserve">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GasNet (GAS)</w:t>
            </w:r>
          </w:p>
        </w:tc>
        <w:tc>
          <w:tcPr>
            <w:tcW w:w="2835" w:type="dxa"/>
          </w:tcPr>
          <w:p w:rsidR="0070354B" w:rsidRPr="0070354B" w:rsidRDefault="0070354B" w:rsidP="0070354B">
            <w:pPr>
              <w:rPr>
                <w:rStyle w:val="AERtextsize8"/>
              </w:rPr>
            </w:pPr>
            <w:r w:rsidRPr="0047344A">
              <w:t xml:space="preserve">December 2001 – November </w:t>
            </w:r>
            <w:r w:rsidRPr="0070354B">
              <w:t>2006</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rsidRPr="0047344A">
              <w:t xml:space="preserve">Hastings </w:t>
            </w:r>
            <w:r w:rsidRPr="0070354B">
              <w:t>Diversified Utilities Fund (HDF)</w:t>
            </w:r>
          </w:p>
        </w:tc>
        <w:tc>
          <w:tcPr>
            <w:tcW w:w="2835" w:type="dxa"/>
          </w:tcPr>
          <w:p w:rsidR="0070354B" w:rsidRPr="0070354B" w:rsidRDefault="0070354B" w:rsidP="0070354B">
            <w:pPr>
              <w:rPr>
                <w:rStyle w:val="AERtextsize8"/>
              </w:rPr>
            </w:pPr>
            <w:r w:rsidRPr="0047344A">
              <w:t xml:space="preserve">December </w:t>
            </w:r>
            <w:r w:rsidRPr="0070354B">
              <w:t>2004– November 2012</w:t>
            </w:r>
          </w:p>
        </w:tc>
        <w:tc>
          <w:tcPr>
            <w:tcW w:w="1701" w:type="dxa"/>
          </w:tcPr>
          <w:p w:rsidR="0070354B" w:rsidRPr="0070354B" w:rsidRDefault="0070354B" w:rsidP="0070354B">
            <w:r w:rsidRPr="0047344A">
              <w:t>Gas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Spark Infrastructure Group (SKI)</w:t>
            </w:r>
          </w:p>
        </w:tc>
        <w:tc>
          <w:tcPr>
            <w:tcW w:w="2835" w:type="dxa"/>
          </w:tcPr>
          <w:p w:rsidR="0070354B" w:rsidRPr="0070354B" w:rsidRDefault="0070354B" w:rsidP="0070354B">
            <w:pPr>
              <w:rPr>
                <w:rStyle w:val="AERtextsize8"/>
              </w:rPr>
            </w:pPr>
            <w:r w:rsidRPr="0047344A">
              <w:t>March 2007</w:t>
            </w:r>
            <w:r w:rsidRPr="0070354B">
              <w:rPr>
                <w:rStyle w:val="FootnoteReference"/>
              </w:rPr>
              <w:footnoteReference w:id="1161"/>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t xml:space="preserve">AusNet Services (AST), formerly </w:t>
            </w:r>
            <w:r w:rsidRPr="0070354B">
              <w:t>SP AusNet (SPN)</w:t>
            </w:r>
          </w:p>
        </w:tc>
        <w:tc>
          <w:tcPr>
            <w:tcW w:w="2835" w:type="dxa"/>
          </w:tcPr>
          <w:p w:rsidR="0070354B" w:rsidRPr="0070354B" w:rsidRDefault="0070354B" w:rsidP="0070354B">
            <w:pPr>
              <w:rPr>
                <w:rStyle w:val="AERtextsize8"/>
              </w:rPr>
            </w:pPr>
            <w:r w:rsidRPr="0047344A">
              <w:t>December 2005 – present</w:t>
            </w:r>
          </w:p>
        </w:tc>
        <w:tc>
          <w:tcPr>
            <w:tcW w:w="1701" w:type="dxa"/>
          </w:tcPr>
          <w:p w:rsidR="0070354B" w:rsidRPr="0070354B" w:rsidRDefault="0070354B" w:rsidP="0070354B">
            <w:r>
              <w:t>Electricity</w:t>
            </w:r>
            <w:r w:rsidRPr="0070354B">
              <w:t xml:space="preserve">, Gas </w:t>
            </w:r>
          </w:p>
        </w:tc>
      </w:tr>
    </w:tbl>
    <w:p w:rsidR="0070354B" w:rsidRPr="0048317B" w:rsidRDefault="0070354B" w:rsidP="0070354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354B" w:rsidRDefault="0070354B" w:rsidP="00CC7A1C">
      <w:pPr>
        <w:numPr>
          <w:ilvl w:val="0"/>
          <w:numId w:val="24"/>
        </w:numPr>
      </w:pPr>
      <w:r>
        <w:t xml:space="preserve">While we consider the firms in </w:t>
      </w:r>
      <w:r>
        <w:fldChar w:fldCharType="begin"/>
      </w:r>
      <w:r>
        <w:instrText xml:space="preserve"> REF  _Ref446240160 \* Lower \h </w:instrText>
      </w:r>
      <w:r>
        <w:fldChar w:fldCharType="separate"/>
      </w:r>
      <w:r w:rsidR="002C24D6">
        <w:t xml:space="preserve">table </w:t>
      </w:r>
      <w:r w:rsidR="002C24D6">
        <w:rPr>
          <w:noProof/>
        </w:rPr>
        <w:t>3</w:t>
      </w:r>
      <w:r w:rsidR="002C24D6">
        <w:noBreakHyphen/>
      </w:r>
      <w:r w:rsidR="002C24D6">
        <w:rPr>
          <w:noProof/>
        </w:rPr>
        <w:t>33</w:t>
      </w:r>
      <w:r>
        <w:fldChar w:fldCharType="end"/>
      </w:r>
      <w:r>
        <w:t xml:space="preserve"> are reasonably comparable to a</w:t>
      </w:r>
      <w:r w:rsidRPr="009E5AA0">
        <w:t xml:space="preserve"> benchmark efficient entity</w:t>
      </w:r>
      <w:r>
        <w:t xml:space="preserve"> with a similar degree of risk as </w:t>
      </w:r>
      <w:r w:rsidR="005B1D7B">
        <w:t>APTPPL</w:t>
      </w:r>
      <w:r w:rsidR="00A870F7">
        <w:t xml:space="preserve"> </w:t>
      </w:r>
      <w:r>
        <w:t>in providing re</w:t>
      </w:r>
      <w:r w:rsidR="00B963BE">
        <w:t>ference</w:t>
      </w:r>
      <w:r>
        <w:t xml:space="preserve"> services</w:t>
      </w:r>
      <w:r w:rsidRPr="009E5AA0">
        <w:t xml:space="preserve">, they </w:t>
      </w:r>
      <w:r>
        <w:t xml:space="preserve">differ to some degree as they </w:t>
      </w:r>
      <w:r w:rsidRPr="009E5AA0">
        <w:t>provide</w:t>
      </w:r>
      <w:r>
        <w:t xml:space="preserve"> some</w:t>
      </w:r>
      <w:r w:rsidRPr="009E5AA0">
        <w:t xml:space="preserve"> electricity and/or gas services</w:t>
      </w:r>
      <w:r>
        <w:t xml:space="preserve"> </w:t>
      </w:r>
      <w:r w:rsidR="00B963BE">
        <w:t xml:space="preserve">that are different from the reference services </w:t>
      </w:r>
      <w:r>
        <w:t>and this may affect their risk profile</w:t>
      </w:r>
      <w:r w:rsidRPr="009E5AA0">
        <w:t xml:space="preserve">. </w:t>
      </w:r>
      <w:r>
        <w:t>Examples of this include:</w:t>
      </w:r>
    </w:p>
    <w:p w:rsidR="0070354B" w:rsidRPr="001F00F1" w:rsidRDefault="0070354B" w:rsidP="0070354B">
      <w:pPr>
        <w:pStyle w:val="AERbulletlistfirststyle"/>
      </w:pPr>
      <w:r>
        <w:t xml:space="preserve">Approximately </w:t>
      </w:r>
      <w:r w:rsidR="00B83A31">
        <w:t>10</w:t>
      </w:r>
      <w:r>
        <w:t xml:space="preserve"> per cent of APA Group's revenue in the 201</w:t>
      </w:r>
      <w:r w:rsidR="00B83A31">
        <w:t>6</w:t>
      </w:r>
      <w:r>
        <w:t xml:space="preserve"> financial year (excluding pass–through revenue) was subject to prices determined under full regulation. APA generates a large part of the remaining </w:t>
      </w:r>
      <w:r w:rsidR="00B83A31">
        <w:t>90</w:t>
      </w:r>
      <w:r>
        <w:t xml:space="preserve"> per cent of its revenue from contracts which have set terms, including negotiated pricing for the life of the contract.</w:t>
      </w:r>
      <w:r w:rsidRPr="001F00F1">
        <w:rPr>
          <w:rStyle w:val="FootnoteReference"/>
        </w:rPr>
        <w:footnoteReference w:id="1162"/>
      </w:r>
    </w:p>
    <w:p w:rsidR="0070354B" w:rsidRPr="001F00F1" w:rsidRDefault="0060124E" w:rsidP="0070354B">
      <w:pPr>
        <w:pStyle w:val="AERbulletlistfirststyle"/>
      </w:pPr>
      <w:r w:rsidRPr="0060124E">
        <w:t>DUET Group's assets receive limited unregulated revenue—Dampier Bunbury Pipeline (4 per cent unregulated), United Energy (8 per cent unregulated), Multinet Gas (5 per cent unregulated) in the 2015 financial year.</w:t>
      </w:r>
      <w:r w:rsidRPr="0060124E">
        <w:rPr>
          <w:rStyle w:val="FootnoteReference"/>
        </w:rPr>
        <w:footnoteReference w:id="1163"/>
      </w:r>
      <w:r w:rsidRPr="0060124E">
        <w:t xml:space="preserve"> DUET Group disclosed that 10 per cent of Multinet Gas' revenue was unregulated in the 2016 financial year.</w:t>
      </w:r>
      <w:r w:rsidRPr="0060124E">
        <w:rPr>
          <w:rStyle w:val="FootnoteReference"/>
        </w:rPr>
        <w:footnoteReference w:id="1164"/>
      </w:r>
      <w:r w:rsidRPr="0060124E">
        <w:t xml:space="preserve"> DUET Group did not publicly disclose the share of regulated of revenue for Dampier Bunbury Pipeline and Dampier Bunbury Pipelines.</w:t>
      </w:r>
      <w:r w:rsidRPr="0060124E">
        <w:rPr>
          <w:rStyle w:val="FootnoteReference"/>
        </w:rPr>
        <w:footnoteReference w:id="1165"/>
      </w:r>
      <w:r w:rsidRPr="0060124E">
        <w:t xml:space="preserve"> However, we consider these two assets would have still generated limited unregulated revenue since both are regulated</w:t>
      </w:r>
      <w:r>
        <w:t>.</w:t>
      </w:r>
    </w:p>
    <w:p w:rsidR="0070354B" w:rsidRPr="001F00F1" w:rsidRDefault="0070354B" w:rsidP="0070354B">
      <w:pPr>
        <w:pStyle w:val="AERbulletlistfirststyle"/>
      </w:pPr>
      <w:r>
        <w:t>Approximately 8</w:t>
      </w:r>
      <w:r w:rsidR="00464C22">
        <w:t>8</w:t>
      </w:r>
      <w:r>
        <w:t xml:space="preserve"> per cent of AusNet Services' revenues are regulated, as at</w:t>
      </w:r>
      <w:r w:rsidRPr="001F00F1">
        <w:t xml:space="preserve"> </w:t>
      </w:r>
      <w:r w:rsidR="00464C22">
        <w:t>30 June 2016</w:t>
      </w:r>
      <w:r w:rsidRPr="001F00F1">
        <w:t>.</w:t>
      </w:r>
      <w:r w:rsidRPr="001F00F1">
        <w:rPr>
          <w:rStyle w:val="FootnoteReference"/>
        </w:rPr>
        <w:footnoteReference w:id="1166"/>
      </w:r>
    </w:p>
    <w:p w:rsidR="0070354B" w:rsidRPr="001F00F1" w:rsidRDefault="0070354B" w:rsidP="0070354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167"/>
      </w:r>
      <w:r w:rsidRPr="001F00F1">
        <w:t xml:space="preserve"> </w:t>
      </w:r>
    </w:p>
    <w:p w:rsidR="0070354B" w:rsidRPr="001F00F1" w:rsidRDefault="0070354B" w:rsidP="0070354B">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168"/>
      </w:r>
    </w:p>
    <w:p w:rsidR="0070354B" w:rsidRDefault="0070354B" w:rsidP="00CC7A1C">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w:t>
      </w:r>
      <w:r w:rsidR="00B963BE">
        <w:t>ference</w:t>
      </w:r>
      <w:r>
        <w:t xml:space="preserve"> services as </w:t>
      </w:r>
      <w:r w:rsidR="005B1D7B">
        <w:t>APTPPL</w:t>
      </w:r>
      <w:r w:rsidRPr="00E6101A">
        <w:t>.</w:t>
      </w:r>
      <w:r>
        <w:rPr>
          <w:rStyle w:val="FootnoteReference"/>
        </w:rPr>
        <w:footnoteReference w:id="1169"/>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170"/>
      </w:r>
    </w:p>
    <w:p w:rsidR="0070354B" w:rsidRPr="0070354B" w:rsidRDefault="0070354B" w:rsidP="0070354B">
      <w:pPr>
        <w:pStyle w:val="Heading9"/>
      </w:pPr>
      <w:bookmarkStart w:id="373" w:name="_Ref446254453"/>
      <w:bookmarkStart w:id="374" w:name="_Toc451939004"/>
      <w:r>
        <w:t xml:space="preserve"> </w:t>
      </w:r>
      <w:bookmarkStart w:id="375" w:name="_Toc487037185"/>
      <w:r w:rsidRPr="0070354B">
        <w:t>Precision and stability of Australian empirical estimates</w:t>
      </w:r>
      <w:bookmarkEnd w:id="373"/>
      <w:bookmarkEnd w:id="374"/>
      <w:bookmarkEnd w:id="375"/>
    </w:p>
    <w:p w:rsidR="0070354B" w:rsidRDefault="0070354B" w:rsidP="00CC7A1C">
      <w:pPr>
        <w:numPr>
          <w:ilvl w:val="0"/>
          <w:numId w:val="24"/>
        </w:numPr>
      </w:pPr>
      <w:r>
        <w:t>We do not consider our empirical equity beta estimates of listed Australian energy businesses are unreliable. Some service providers' consultants previously appear to have taken a narrow definition of what is reliable in this context. They measured reliability by considering precision and stability of equity beta estimates over time.</w:t>
      </w:r>
      <w:r>
        <w:rPr>
          <w:rStyle w:val="FootnoteReference"/>
        </w:rPr>
        <w:footnoteReference w:id="1171"/>
      </w:r>
      <w:r>
        <w:t xml:space="preserve"> They find that these statistical properties improve as the comparator set increases.</w:t>
      </w:r>
      <w:r>
        <w:rPr>
          <w:rStyle w:val="FootnoteReference"/>
        </w:rPr>
        <w:footnoteReference w:id="1172"/>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173"/>
      </w:r>
    </w:p>
    <w:p w:rsidR="0070354B" w:rsidRDefault="0070354B" w:rsidP="00CC7A1C">
      <w:pPr>
        <w:numPr>
          <w:ilvl w:val="0"/>
          <w:numId w:val="24"/>
        </w:numPr>
      </w:pPr>
      <w:r>
        <w:t>It is also useful to note that Henry performed a separate time series regression for each comparator firm and various portfolios of comparator firms.</w:t>
      </w:r>
      <w:r>
        <w:rPr>
          <w:rStyle w:val="FootnoteReference"/>
        </w:rPr>
        <w:footnoteReference w:id="1174"/>
      </w:r>
      <w:r>
        <w:t xml:space="preserve"> The weekly returns for each firm are regressed against the weekly returns on the market over a period of time (the estimation period).</w:t>
      </w:r>
      <w:r>
        <w:rPr>
          <w:rStyle w:val="FootnoteReference"/>
        </w:rPr>
        <w:footnoteReference w:id="1175"/>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176"/>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2C24D6">
        <w:t xml:space="preserve">figure </w:t>
      </w:r>
      <w:r w:rsidR="002C24D6">
        <w:rPr>
          <w:noProof/>
        </w:rPr>
        <w:t>3</w:t>
      </w:r>
      <w:r w:rsidR="002C24D6">
        <w:noBreakHyphen/>
      </w:r>
      <w:r w:rsidR="002C24D6">
        <w:rPr>
          <w:noProof/>
        </w:rPr>
        <w:t>17</w:t>
      </w:r>
      <w:r>
        <w:fldChar w:fldCharType="end"/>
      </w:r>
      <w:r>
        <w:t>). This focus on average and portfolio equity beta estimates further reduces any residual uncertainty associated with individual firm estimates.</w:t>
      </w:r>
    </w:p>
    <w:p w:rsidR="0070354B" w:rsidRDefault="0070354B" w:rsidP="00CC7A1C">
      <w:pPr>
        <w:numPr>
          <w:ilvl w:val="0"/>
          <w:numId w:val="24"/>
        </w:numPr>
      </w:pPr>
      <w:r>
        <w:t xml:space="preserve">Frontier Economics previously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177"/>
      </w:r>
      <w:r>
        <w:t xml:space="preserve"> We have assessed this material and consider it is, in substance, the same evidence that has been previously submitted to us on this issue.</w:t>
      </w:r>
      <w:r>
        <w:rPr>
          <w:rStyle w:val="FootnoteReference"/>
        </w:rPr>
        <w:footnoteReference w:id="1178"/>
      </w:r>
      <w:r>
        <w:t xml:space="preserve"> Nevertheless, Partington and Satchell have analysed the graphs of 10 year rolling beta estimates.</w:t>
      </w:r>
      <w:r>
        <w:rPr>
          <w:rStyle w:val="FootnoteReference"/>
        </w:rPr>
        <w:footnoteReference w:id="1179"/>
      </w:r>
      <w:r>
        <w:t xml:space="preserve"> They conclude</w:t>
      </w:r>
      <w:r w:rsidR="001E6895">
        <w:t>d</w:t>
      </w:r>
      <w:r>
        <w:t xml:space="preserve"> that:</w:t>
      </w:r>
      <w:r>
        <w:rPr>
          <w:rStyle w:val="FootnoteReference"/>
        </w:rPr>
        <w:footnoteReference w:id="1180"/>
      </w:r>
    </w:p>
    <w:p w:rsidR="0070354B" w:rsidRDefault="0070354B" w:rsidP="0070354B">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354B" w:rsidRDefault="0070354B" w:rsidP="0070354B">
      <w:pPr>
        <w:pStyle w:val="AERquote"/>
      </w:pPr>
      <w:r w:rsidRPr="003B03A8">
        <w:t>.</w:t>
      </w:r>
      <w:r>
        <w:t>...</w:t>
      </w:r>
      <w:r w:rsidRPr="003B03A8">
        <w:t xml:space="preserve"> and in the time series of rolling portfolio beta estimates the US betas appear to be less stable than the Australian betas.</w:t>
      </w:r>
    </w:p>
    <w:p w:rsidR="0070354B" w:rsidRDefault="0070354B" w:rsidP="00CC7A1C">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181"/>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 xml:space="preserve">with a similar degree of risk as </w:t>
      </w:r>
      <w:r w:rsidR="002E6DEE">
        <w:t>APTPPL</w:t>
      </w:r>
      <w:r w:rsidR="00A870F7">
        <w:t xml:space="preserve"> </w:t>
      </w:r>
      <w:r>
        <w:t>in providing re</w:t>
      </w:r>
      <w:r w:rsidR="00B963BE">
        <w:t>ference</w:t>
      </w:r>
      <w:r>
        <w:t xml:space="preserve">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182"/>
      </w:r>
      <w:r>
        <w:t xml:space="preserve"> Even Frontier performs regressions based on a five year estimation period as a robustness check on its estimates from a 10 year estimation period.</w:t>
      </w:r>
      <w:r>
        <w:rPr>
          <w:rStyle w:val="FootnoteReference"/>
        </w:rPr>
        <w:footnoteReference w:id="1183"/>
      </w:r>
      <w:r>
        <w:t xml:space="preserve"> We do not consider the robustness of our equity beta estimates to different estimation choices is invalidated by the fact that the estimates are based on the same underlying comparator set of firms (or a subset of these firms).</w:t>
      </w:r>
    </w:p>
    <w:p w:rsidR="0070354B" w:rsidRDefault="0070354B" w:rsidP="0070354B">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184"/>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2C24D6">
        <w:t>G.1</w:t>
      </w:r>
      <w:r>
        <w:fldChar w:fldCharType="end"/>
      </w:r>
      <w:r>
        <w:t xml:space="preserve"> and </w:t>
      </w:r>
      <w:r>
        <w:fldChar w:fldCharType="begin"/>
      </w:r>
      <w:r>
        <w:instrText xml:space="preserve"> REF _Ref446255164 \r \h </w:instrText>
      </w:r>
      <w:r>
        <w:fldChar w:fldCharType="separate"/>
      </w:r>
      <w:r w:rsidR="002C24D6">
        <w:t>0</w:t>
      </w:r>
      <w:r>
        <w:fldChar w:fldCharType="end"/>
      </w:r>
      <w:r>
        <w:t>.</w:t>
      </w:r>
    </w:p>
    <w:p w:rsidR="0070354B" w:rsidRPr="0070354B" w:rsidRDefault="0070354B" w:rsidP="0070354B">
      <w:pPr>
        <w:pStyle w:val="Heading9"/>
      </w:pPr>
      <w:bookmarkStart w:id="376" w:name="_Ref446254445"/>
      <w:bookmarkStart w:id="377" w:name="_Toc451939005"/>
      <w:bookmarkStart w:id="378" w:name="_Toc487037186"/>
      <w:r>
        <w:t>Use of international energy firms</w:t>
      </w:r>
      <w:bookmarkEnd w:id="376"/>
      <w:bookmarkEnd w:id="377"/>
      <w:bookmarkEnd w:id="378"/>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2E6DEE">
        <w:t>APTPPL</w:t>
      </w:r>
      <w:r w:rsidR="00A870F7">
        <w:t xml:space="preserve"> </w:t>
      </w:r>
      <w:r>
        <w:t>in relation to the provision of its re</w:t>
      </w:r>
      <w:r w:rsidR="00B963BE">
        <w:t>ference</w:t>
      </w:r>
      <w:r>
        <w:t xml:space="preserve"> services. We do not include international energy network firms in our comparator set for empirical analysis. We consider international energy firms are not suitable comparators in this case, for the following reasons:</w:t>
      </w:r>
    </w:p>
    <w:p w:rsidR="0070354B" w:rsidRPr="001F00F1" w:rsidRDefault="0070354B" w:rsidP="0070354B">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185"/>
      </w:r>
      <w:r w:rsidRPr="001F00F1">
        <w:t xml:space="preserve"> It is difficult to assign quantitative impacts to these qualitative factors.</w:t>
      </w:r>
    </w:p>
    <w:p w:rsidR="0070354B" w:rsidRPr="001F00F1" w:rsidRDefault="0070354B" w:rsidP="0070354B">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186"/>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187"/>
      </w:r>
      <w:r w:rsidRPr="001F00F1">
        <w:t xml:space="preserve"> </w:t>
      </w:r>
    </w:p>
    <w:p w:rsidR="0070354B" w:rsidRDefault="0070354B" w:rsidP="0070354B">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188"/>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189"/>
      </w:r>
      <w:r>
        <w:t xml:space="preserve"> As Associate Professor John Handley (Handley) stated:</w:t>
      </w:r>
      <w:r>
        <w:rPr>
          <w:rStyle w:val="FootnoteReference"/>
        </w:rPr>
        <w:footnoteReference w:id="1190"/>
      </w:r>
    </w:p>
    <w:p w:rsidR="0070354B" w:rsidRPr="006048D2" w:rsidRDefault="0070354B" w:rsidP="0070354B">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354B" w:rsidRPr="001F00F1" w:rsidRDefault="0070354B" w:rsidP="0070354B">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191"/>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192"/>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energy network business (operating within Australia)</w:t>
      </w:r>
      <w:r w:rsidR="00B963BE">
        <w:t xml:space="preserve"> with a similar degree of risk as that which applies to APTPPL in providing reference services</w:t>
      </w:r>
      <w:r w:rsidRPr="001F00F1">
        <w:t>. As noted in the Guideline, we consider vertically integrated firms tend to have higher equity beta estimates than pure play energy network firms.</w:t>
      </w:r>
      <w:r w:rsidRPr="001F00F1">
        <w:rPr>
          <w:rStyle w:val="FootnoteReference"/>
        </w:rPr>
        <w:footnoteReference w:id="1193"/>
      </w:r>
    </w:p>
    <w:p w:rsidR="0070354B" w:rsidRPr="001F00F1" w:rsidRDefault="0070354B" w:rsidP="0070354B">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70354B" w:rsidRDefault="0070354B" w:rsidP="00CC7A1C">
      <w:pPr>
        <w:numPr>
          <w:ilvl w:val="0"/>
          <w:numId w:val="24"/>
        </w:numPr>
      </w:pPr>
      <w:r>
        <w:t>These factors are discussed in more detail in the Guideline and 2009 WACC review.</w:t>
      </w:r>
      <w:r>
        <w:rPr>
          <w:rStyle w:val="FootnoteReference"/>
        </w:rPr>
        <w:footnoteReference w:id="1194"/>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354B" w:rsidRPr="00F241AB" w:rsidRDefault="0070354B" w:rsidP="00CC7A1C">
      <w:pPr>
        <w:numPr>
          <w:ilvl w:val="0"/>
          <w:numId w:val="24"/>
        </w:numPr>
      </w:pPr>
      <w:r>
        <w:t xml:space="preserve">The </w:t>
      </w:r>
      <w:r w:rsidR="00292A25">
        <w:t>submitted</w:t>
      </w:r>
      <w:r>
        <w:t xml:space="preserve"> consultant</w:t>
      </w:r>
      <w:r w:rsidR="00292A25">
        <w:t xml:space="preserve"> reports</w:t>
      </w:r>
      <w:r>
        <w:t xml:space="preserve"> appear to have recognised</w:t>
      </w:r>
      <w:r w:rsidRPr="00AA15E3">
        <w:t xml:space="preserve"> </w:t>
      </w:r>
      <w:r>
        <w:t>international energy network firms are less comparable to a benchmark efficient entity than Australian energy network firms. However, some also considered our comparator set of Australian energy network firms is too small and produces unreliable equity beta estimates.</w:t>
      </w:r>
      <w:r>
        <w:rPr>
          <w:rStyle w:val="FootnoteReference"/>
        </w:rPr>
        <w:footnoteReference w:id="1195"/>
      </w:r>
      <w:r>
        <w:t xml:space="preserve"> In analysing these competing considerations, these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196"/>
      </w:r>
    </w:p>
    <w:p w:rsidR="0070354B" w:rsidRDefault="0070354B" w:rsidP="00CC7A1C">
      <w:pPr>
        <w:numPr>
          <w:ilvl w:val="0"/>
          <w:numId w:val="24"/>
        </w:numPr>
      </w:pPr>
      <w:r>
        <w:t>W</w:t>
      </w:r>
      <w:r w:rsidRPr="00F241AB">
        <w:t xml:space="preserve">e do not consider </w:t>
      </w:r>
      <w:r>
        <w:t>these submissions</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 xml:space="preserve">with a similar degree of risk as </w:t>
      </w:r>
      <w:r w:rsidR="002E6DEE">
        <w:t>APTPPL</w:t>
      </w:r>
      <w:r w:rsidR="00A870F7">
        <w:t xml:space="preserve"> </w:t>
      </w:r>
      <w:r>
        <w:t>in providing re</w:t>
      </w:r>
      <w:r w:rsidR="00B963BE">
        <w:t>ference</w:t>
      </w:r>
      <w:r>
        <w:t xml:space="preserve"> services</w:t>
      </w:r>
      <w:r w:rsidRPr="00F241AB">
        <w:t>.</w:t>
      </w:r>
      <w:r>
        <w:rPr>
          <w:rStyle w:val="FootnoteReference"/>
        </w:rPr>
        <w:footnoteReference w:id="1197"/>
      </w:r>
      <w:r w:rsidRPr="00F241AB">
        <w:t xml:space="preserve"> Handley supports this </w:t>
      </w:r>
      <w:r>
        <w:t>view</w:t>
      </w:r>
      <w:r w:rsidRPr="00F241AB">
        <w:t>.</w:t>
      </w:r>
      <w:r w:rsidRPr="00F241AB">
        <w:rPr>
          <w:rStyle w:val="FootnoteReference"/>
        </w:rPr>
        <w:footnoteReference w:id="1198"/>
      </w:r>
      <w:r>
        <w:t xml:space="preserve"> We provided detailed reasoning for this view in our recent decisions, which we do not reproduce in this decision but which remains applicable.</w:t>
      </w:r>
      <w:r>
        <w:rPr>
          <w:rStyle w:val="FootnoteReference"/>
        </w:rPr>
        <w:footnoteReference w:id="1199"/>
      </w:r>
      <w:r>
        <w:t xml:space="preserve"> However, Partington and Satchell have assessed Frontier Economics' most recent (2016) report on the issue, and conclude that:</w:t>
      </w:r>
      <w:r>
        <w:rPr>
          <w:rStyle w:val="FootnoteReference"/>
        </w:rPr>
        <w:footnoteReference w:id="1200"/>
      </w:r>
    </w:p>
    <w:p w:rsidR="0070354B" w:rsidRDefault="0070354B" w:rsidP="0070354B">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354B" w:rsidRDefault="0070354B" w:rsidP="0070354B">
      <w:pPr>
        <w:pStyle w:val="AERquote"/>
      </w:pPr>
      <w:r>
        <w:t>…</w:t>
      </w:r>
      <w:r w:rsidRPr="001233AC">
        <w:t>Furthermore, the use of 24% by weight of Australian data and 76% by weight of US data to compute an Australian beta seems intuitively inappropriate.</w:t>
      </w:r>
    </w:p>
    <w:p w:rsidR="0070354B" w:rsidRPr="004C2E1A" w:rsidRDefault="0070354B" w:rsidP="0070354B">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354B" w:rsidRDefault="0070354B" w:rsidP="00CC7A1C">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201"/>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202"/>
      </w:r>
      <w:r>
        <w:t xml:space="preserve"> </w:t>
      </w:r>
    </w:p>
    <w:p w:rsidR="0070354B" w:rsidRDefault="0070354B" w:rsidP="00CC7A1C">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354B" w:rsidRPr="0070354B" w:rsidRDefault="0070354B" w:rsidP="0070354B">
      <w:pPr>
        <w:pStyle w:val="Heading9"/>
      </w:pPr>
      <w:bookmarkStart w:id="379" w:name="_Ref446254437"/>
      <w:bookmarkStart w:id="380" w:name="_Toc451939006"/>
      <w:bookmarkStart w:id="381" w:name="_Toc487037187"/>
      <w:r>
        <w:t>Use of non-energy infrastructure firms</w:t>
      </w:r>
      <w:bookmarkEnd w:id="379"/>
      <w:bookmarkEnd w:id="380"/>
      <w:bookmarkEnd w:id="381"/>
    </w:p>
    <w:p w:rsidR="0070354B" w:rsidRDefault="0070354B">
      <w:pPr>
        <w:numPr>
          <w:ilvl w:val="0"/>
          <w:numId w:val="24"/>
        </w:numPr>
      </w:pPr>
      <w:r>
        <w:t>Frontier Economics (previously SFG) previously submitted that we should include Australian non-energy infrastructure firms in our comparator set in addition to Australian energy firms</w:t>
      </w:r>
      <w:r w:rsidR="006A54DD">
        <w:t>.</w:t>
      </w:r>
      <w:r>
        <w:rPr>
          <w:rStyle w:val="FootnoteReference"/>
        </w:rPr>
        <w:footnoteReference w:id="1203"/>
      </w:r>
      <w:r>
        <w:t xml:space="preserve"> Frontier Economics examined equity beta estimates for nine Australian energy network firms, seven Australian non-energy infrastructure firms</w:t>
      </w:r>
      <w:r>
        <w:rPr>
          <w:rStyle w:val="FootnoteReference"/>
        </w:rPr>
        <w:footnoteReference w:id="1204"/>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205"/>
      </w:r>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2E6DEE">
        <w:t>APTPPL</w:t>
      </w:r>
      <w:r w:rsidR="00A870F7">
        <w:t xml:space="preserve"> </w:t>
      </w:r>
      <w:r>
        <w:t>in relation to the provision of its re</w:t>
      </w:r>
      <w:r w:rsidR="00B963BE">
        <w:t>ference</w:t>
      </w:r>
      <w:r>
        <w:t xml:space="preserve"> services. We do not include non-energy infrastructure firms in our comparator set for empirical analysis. We consider these firms are not suitable comparators in this case, for the following reasons:</w:t>
      </w:r>
    </w:p>
    <w:p w:rsidR="0070354B" w:rsidRPr="001F00F1" w:rsidRDefault="0070354B" w:rsidP="0070354B">
      <w:pPr>
        <w:pStyle w:val="AERbulletlistfirststyle"/>
      </w:pPr>
      <w:r>
        <w:t xml:space="preserve">The allowed rate of return objective requires us to consider the efficient financing costs of a benchmark efficient entity with a similar degree of risk as </w:t>
      </w:r>
      <w:r w:rsidR="002E6DEE">
        <w:t xml:space="preserve">APTPPL </w:t>
      </w:r>
      <w:r>
        <w:t xml:space="preserve">in the provision of </w:t>
      </w:r>
      <w:r w:rsidR="009B0342">
        <w:t>reference</w:t>
      </w:r>
      <w:r>
        <w:t xml:space="preserve"> services. These firms do not provide </w:t>
      </w:r>
      <w:r w:rsidR="009B0342">
        <w:t xml:space="preserve">gas </w:t>
      </w:r>
      <w:r>
        <w:t xml:space="preserve">network, or more generally energy network, services.  </w:t>
      </w:r>
    </w:p>
    <w:p w:rsidR="0070354B" w:rsidRDefault="0070354B" w:rsidP="0070354B">
      <w:pPr>
        <w:pStyle w:val="AERbulletlistfirststyle"/>
      </w:pPr>
      <w:r>
        <w:t>D</w:t>
      </w:r>
      <w:r w:rsidRPr="001F00F1">
        <w:t>ifferences in regulation</w:t>
      </w:r>
      <w:r>
        <w:t xml:space="preserve"> (including minimal or no regulation</w:t>
      </w:r>
      <w:r w:rsidR="00B963BE">
        <w:t xml:space="preserve"> and the associated difference in the degree of risk of supplying services similar to the reference service</w:t>
      </w:r>
      <w:r>
        <w:t>),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206"/>
      </w:r>
      <w:r>
        <w:t xml:space="preserve"> For example, a number of Australian non-energy infrastructure firms are unregulated or are partly re</w:t>
      </w:r>
      <w:r w:rsidR="00B963BE">
        <w:t>s</w:t>
      </w:r>
      <w:r>
        <w:t>gulated under different regulatory regimes.</w:t>
      </w:r>
      <w:r>
        <w:rPr>
          <w:rStyle w:val="FootnoteReference"/>
        </w:rPr>
        <w:footnoteReference w:id="1207"/>
      </w:r>
      <w:r>
        <w:t xml:space="preserve"> We explain why we consider </w:t>
      </w:r>
      <w:r w:rsidRPr="006B58F1">
        <w:t>unregulated businesses are likely to have a very different risk profile</w:t>
      </w:r>
      <w:r>
        <w:t xml:space="preserve"> to firms </w:t>
      </w:r>
      <w:r w:rsidR="00B963BE">
        <w:t xml:space="preserve">providing reference services </w:t>
      </w:r>
      <w:r>
        <w:t>in section 3.3.3. Also, a number of Australian non-energy infrastructure firms provide a range of different services in addition to management of and access to the monopoly infrastructure,</w:t>
      </w:r>
      <w:r>
        <w:rPr>
          <w:rStyle w:val="FootnoteReference"/>
        </w:rPr>
        <w:footnoteReference w:id="1208"/>
      </w:r>
      <w:r>
        <w:t xml:space="preserve"> which are likely to influence their overall risk profile. </w:t>
      </w:r>
    </w:p>
    <w:p w:rsidR="0070354B" w:rsidRPr="007F642B" w:rsidRDefault="0070354B" w:rsidP="0070354B">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70354B" w:rsidRDefault="0070354B" w:rsidP="00CC7A1C">
      <w:pPr>
        <w:numPr>
          <w:ilvl w:val="0"/>
          <w:numId w:val="24"/>
        </w:numPr>
      </w:pPr>
      <w:r>
        <w:t xml:space="preserve">As discussed at the start of section </w:t>
      </w:r>
      <w:r>
        <w:fldChar w:fldCharType="begin"/>
      </w:r>
      <w:r>
        <w:instrText xml:space="preserve"> REF _Ref446254453 \r \h </w:instrText>
      </w:r>
      <w:r>
        <w:fldChar w:fldCharType="separate"/>
      </w:r>
      <w:r w:rsidR="002C24D6">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w:t>
      </w:r>
      <w:r w:rsidR="002E6DEE">
        <w:t>APTPPL</w:t>
      </w:r>
      <w:r w:rsidR="002A1425">
        <w:t xml:space="preserve"> </w:t>
      </w:r>
      <w:r>
        <w:t>in providing re</w:t>
      </w:r>
      <w:r w:rsidR="00B963BE">
        <w:t>ference</w:t>
      </w:r>
      <w:r>
        <w:t xml:space="preserve"> services. </w:t>
      </w:r>
    </w:p>
    <w:p w:rsidR="0070354B" w:rsidRDefault="0070354B" w:rsidP="00CC7A1C">
      <w:pPr>
        <w:numPr>
          <w:ilvl w:val="0"/>
          <w:numId w:val="24"/>
        </w:numPr>
      </w:pPr>
      <w:r>
        <w:t xml:space="preserve">Frontier Economics also performed two statistical tests (the </w:t>
      </w:r>
      <w:r w:rsidRPr="00606073">
        <w:t>Kolmogorov-Smirnov</w:t>
      </w:r>
      <w:r>
        <w:t xml:space="preserve"> test and a t-test)</w:t>
      </w:r>
      <w:r>
        <w:rPr>
          <w:rStyle w:val="FootnoteReference"/>
        </w:rPr>
        <w:footnoteReference w:id="1209"/>
      </w:r>
      <w:r>
        <w:t xml:space="preserve"> to infer that the three comparator sets are drawn from the same population.</w:t>
      </w:r>
      <w:r>
        <w:rPr>
          <w:rStyle w:val="FootnoteReference"/>
        </w:rPr>
        <w:footnoteReference w:id="1210"/>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211"/>
      </w:r>
    </w:p>
    <w:p w:rsidR="0070354B" w:rsidRPr="00D32280" w:rsidRDefault="0070354B" w:rsidP="0070354B">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354B" w:rsidRDefault="0070354B" w:rsidP="00CC7A1C">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212"/>
      </w:r>
    </w:p>
    <w:p w:rsidR="0070354B" w:rsidRPr="006048D2" w:rsidRDefault="0070354B" w:rsidP="0070354B">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354B" w:rsidRDefault="0070354B" w:rsidP="00CC7A1C">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213"/>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214"/>
      </w:r>
      <w:r w:rsidRPr="00ED0870">
        <w:t xml:space="preserve"> </w:t>
      </w:r>
    </w:p>
    <w:p w:rsidR="0070354B" w:rsidRDefault="0070354B" w:rsidP="00CC7A1C">
      <w:pPr>
        <w:numPr>
          <w:ilvl w:val="0"/>
          <w:numId w:val="24"/>
        </w:numPr>
      </w:pPr>
      <w:r>
        <w:t xml:space="preserve">Moreover, CEG and SFG provided analysis on the comparability of 56 US energy firms to a (domestic) benchmark efficient entity. We have analysed this material and explained in detail why we consider international energy firms are not reasonably comparable to a benchmark efficient entity with a similar degree of risk as </w:t>
      </w:r>
      <w:r w:rsidR="002E6DEE">
        <w:t>APTPPL</w:t>
      </w:r>
      <w:r w:rsidR="002A1425">
        <w:t xml:space="preserve"> </w:t>
      </w:r>
      <w:r>
        <w:t>in providing re</w:t>
      </w:r>
      <w:r w:rsidR="00B963BE">
        <w:t>ference</w:t>
      </w:r>
      <w:r>
        <w:t xml:space="preserve"> services (see section </w:t>
      </w:r>
      <w:r>
        <w:fldChar w:fldCharType="begin"/>
      </w:r>
      <w:r>
        <w:instrText xml:space="preserve"> REF _Ref446254445 \r \h </w:instrText>
      </w:r>
      <w:r>
        <w:fldChar w:fldCharType="separate"/>
      </w:r>
      <w:r w:rsidR="002C24D6">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the service providers we regulate in providing re</w:t>
      </w:r>
      <w:r w:rsidR="00B963BE">
        <w:t>ference</w:t>
      </w:r>
      <w:r>
        <w:t xml:space="preserve">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215"/>
      </w:r>
      <w:r>
        <w:t xml:space="preserve"> </w:t>
      </w:r>
    </w:p>
    <w:p w:rsidR="0070354B" w:rsidRDefault="0070354B" w:rsidP="00CC7A1C">
      <w:pPr>
        <w:numPr>
          <w:ilvl w:val="0"/>
          <w:numId w:val="24"/>
        </w:numPr>
      </w:pPr>
      <w:r>
        <w:t xml:space="preserve">We disagree with the suggestion by several service providers that a benchmark efficient entity should be defined as an unregulated entity operating in a workably competitive market (see </w:t>
      </w:r>
      <w:r w:rsidR="00CC4A6D">
        <w:t>table 3–6</w:t>
      </w:r>
      <w:r>
        <w:t xml:space="preserve">). However, we note in any case that we do not consider there is persuasive evidence that these entities are reasonable comparators for a benchmark efficient entity with similar degree of risk to </w:t>
      </w:r>
      <w:r w:rsidR="002E6DEE">
        <w:t xml:space="preserve">APTPPL </w:t>
      </w:r>
      <w:r>
        <w:t>in the provision of its re</w:t>
      </w:r>
      <w:r w:rsidR="00B963BE">
        <w:t>ference</w:t>
      </w:r>
      <w:r>
        <w:t xml:space="preserve"> services.</w:t>
      </w:r>
    </w:p>
    <w:p w:rsidR="0070354B" w:rsidRDefault="0070354B" w:rsidP="00CC7A1C">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216"/>
      </w:r>
      <w:r>
        <w:t xml:space="preserve"> The average equity beta estimates from Frontier Economics' analysis of non-energy infrastructure firms range from 0.58 to 0.91,</w:t>
      </w:r>
      <w:r>
        <w:rPr>
          <w:rStyle w:val="FootnoteReference"/>
        </w:rPr>
        <w:footnoteReference w:id="1217"/>
      </w:r>
      <w:r>
        <w:t xml:space="preserve"> which is consistent with our final equity beta estimate of 0.7.</w:t>
      </w:r>
    </w:p>
    <w:p w:rsidR="004279C0" w:rsidRDefault="004279C0">
      <w:pPr>
        <w:spacing w:line="240" w:lineRule="auto"/>
      </w:pPr>
      <w:r>
        <w:br w:type="page"/>
      </w:r>
    </w:p>
    <w:p w:rsidR="004279C0" w:rsidRDefault="004279C0" w:rsidP="004279C0">
      <w:pPr>
        <w:pStyle w:val="Heading7"/>
      </w:pPr>
      <w:bookmarkStart w:id="382" w:name="_Ref483299544"/>
      <w:bookmarkStart w:id="383" w:name="_Toc487037188"/>
      <w:r>
        <w:t xml:space="preserve">Response to </w:t>
      </w:r>
      <w:r w:rsidR="00304CCC">
        <w:t xml:space="preserve">previous </w:t>
      </w:r>
      <w:r>
        <w:t>submissions</w:t>
      </w:r>
      <w:r w:rsidR="00304CCC">
        <w:t xml:space="preserve"> on the equity beta</w:t>
      </w:r>
      <w:bookmarkEnd w:id="382"/>
      <w:bookmarkEnd w:id="383"/>
    </w:p>
    <w:p w:rsidR="004279C0" w:rsidRDefault="00304CCC">
      <w:pPr>
        <w:spacing w:line="240" w:lineRule="auto"/>
      </w:pPr>
      <w:r>
        <w:t xml:space="preserve">Service providers have made a number of submissions on the equity beta in previous regulatory </w:t>
      </w:r>
      <w:r w:rsidR="00F86093">
        <w:t>processes</w:t>
      </w:r>
      <w:r>
        <w:t xml:space="preserve">. </w:t>
      </w:r>
      <w:r w:rsidR="007A06BC" w:rsidRPr="007A06BC">
        <w:t>APA, APTPPL and Multinet have all proposed to depart from the guideline estimate of equity beta.</w:t>
      </w:r>
      <w:r w:rsidR="007A06BC" w:rsidRPr="00272584">
        <w:rPr>
          <w:rStyle w:val="AERsuperscript"/>
        </w:rPr>
        <w:footnoteReference w:id="1218"/>
      </w:r>
      <w:r w:rsidR="007A06BC" w:rsidRPr="007A06BC">
        <w:t xml:space="preserve"> In doing so, they have made submissions in line with those we have assessed in previous decisions.</w:t>
      </w:r>
    </w:p>
    <w:p w:rsidR="00304CCC" w:rsidRDefault="00304CCC" w:rsidP="00013867">
      <w:pPr>
        <w:pStyle w:val="Heading8"/>
        <w:numPr>
          <w:ilvl w:val="1"/>
          <w:numId w:val="49"/>
        </w:numPr>
      </w:pPr>
      <w:bookmarkStart w:id="384" w:name="_Toc487037189"/>
      <w:r>
        <w:t>Empirical analysis</w:t>
      </w:r>
      <w:bookmarkEnd w:id="384"/>
    </w:p>
    <w:p w:rsidR="00304CCC" w:rsidRDefault="00304CCC" w:rsidP="00013867">
      <w:pPr>
        <w:rPr>
          <w:rStyle w:val="AERbody"/>
          <w:b/>
          <w:bCs/>
        </w:rPr>
      </w:pPr>
      <w:r>
        <w:rPr>
          <w:rStyle w:val="AERbody"/>
        </w:rPr>
        <w:t>Service providers and their consultants have submitted that o</w:t>
      </w:r>
      <w:r w:rsidRPr="00013867">
        <w:rPr>
          <w:rStyle w:val="AERbody"/>
        </w:rPr>
        <w:t>ur comparator set of Australian energy network firms is too small and results in unreliable equity beta estimates</w:t>
      </w:r>
      <w:r>
        <w:rPr>
          <w:rStyle w:val="AERbody"/>
        </w:rPr>
        <w:t xml:space="preserve"> in previous regulatory determinations.</w:t>
      </w:r>
      <w:r w:rsidRPr="00304CCC">
        <w:rPr>
          <w:rStyle w:val="FootnoteReference"/>
        </w:rPr>
        <w:footnoteReference w:id="1219"/>
      </w:r>
    </w:p>
    <w:p w:rsidR="00304CCC" w:rsidRPr="00013867" w:rsidRDefault="00304CCC" w:rsidP="00304CCC">
      <w:pPr>
        <w:numPr>
          <w:ilvl w:val="0"/>
          <w:numId w:val="24"/>
        </w:numPr>
        <w:rPr>
          <w:rStyle w:val="AERbody"/>
        </w:rPr>
      </w:pPr>
      <w:r w:rsidRPr="00013867">
        <w:rPr>
          <w:rStyle w:val="AERbody"/>
        </w:rPr>
        <w:t>We do not consider our Australian empirical equity beta estimates are unreliable. SFG appears to have taken a narrow definition of what is reliable in this context. Decreasing the dispersion of estimates by increasing the size of the comparator set may not be helpful if that comparator set is less representative of what we are trying to estimate.</w:t>
      </w:r>
    </w:p>
    <w:p w:rsidR="00304CCC" w:rsidRPr="00013867" w:rsidRDefault="00304CCC" w:rsidP="00013867">
      <w:pPr>
        <w:numPr>
          <w:ilvl w:val="0"/>
          <w:numId w:val="24"/>
        </w:numPr>
        <w:rPr>
          <w:rStyle w:val="AERbody"/>
        </w:rPr>
      </w:pPr>
      <w:r w:rsidRPr="00013867">
        <w:rPr>
          <w:rStyle w:val="AERbody"/>
        </w:rPr>
        <w:t xml:space="preserve">We consider the data from our comparator set of Australian energy network firms is sufficient for us to form an equity beta estimate that will contribute to the achievement of the ARORO. The comparator set contains firms with a similar degree of risk as that which applies to </w:t>
      </w:r>
      <w:r w:rsidR="00484671">
        <w:rPr>
          <w:rStyle w:val="AERbody"/>
        </w:rPr>
        <w:t xml:space="preserve">APTPPL's </w:t>
      </w:r>
      <w:r w:rsidRPr="00013867">
        <w:rPr>
          <w:rStyle w:val="AERbody"/>
        </w:rPr>
        <w:t xml:space="preserve"> provision of re</w:t>
      </w:r>
      <w:r w:rsidR="00B963BE">
        <w:rPr>
          <w:rStyle w:val="AERbody"/>
        </w:rPr>
        <w:t>ference</w:t>
      </w:r>
      <w:r w:rsidRPr="00013867">
        <w:rPr>
          <w:rStyle w:val="AERbody"/>
        </w:rPr>
        <w:t xml:space="preserve"> services. This comparator set generates a consistent pattern of empirical equity beta estimates that is robust across econometric techniques, time periods and different combinations of comparator firms</w:t>
      </w:r>
      <w:r w:rsidRPr="00DF4B12">
        <w:rPr>
          <w:rStyle w:val="AERtextsize8"/>
        </w:rPr>
        <w:t>.</w:t>
      </w:r>
      <w:r>
        <w:rPr>
          <w:rStyle w:val="AERtextsize8"/>
        </w:rPr>
        <w:t xml:space="preserve"> </w:t>
      </w:r>
      <w:r w:rsidRPr="00013867">
        <w:rPr>
          <w:rStyle w:val="AERbody"/>
        </w:rPr>
        <w:t xml:space="preserve">We consider this issue in more detail in section </w:t>
      </w:r>
      <w:r w:rsidRPr="00013867">
        <w:rPr>
          <w:rStyle w:val="AERbody"/>
        </w:rPr>
        <w:fldChar w:fldCharType="begin"/>
      </w:r>
      <w:r w:rsidRPr="00013867">
        <w:rPr>
          <w:rStyle w:val="AERbody"/>
        </w:rPr>
        <w:instrText xml:space="preserve"> REF _Ref446254453 \r \h </w:instrText>
      </w:r>
      <w:r>
        <w:rPr>
          <w:rStyle w:val="AERbody"/>
        </w:rPr>
        <w:instrText xml:space="preserve"> \* MERGEFORMAT </w:instrText>
      </w:r>
      <w:r w:rsidRPr="00013867">
        <w:rPr>
          <w:rStyle w:val="AERbody"/>
        </w:rPr>
      </w:r>
      <w:r w:rsidRPr="00013867">
        <w:rPr>
          <w:rStyle w:val="AERbody"/>
        </w:rPr>
        <w:fldChar w:fldCharType="separate"/>
      </w:r>
      <w:r w:rsidR="002C24D6">
        <w:rPr>
          <w:rStyle w:val="AERbody"/>
        </w:rPr>
        <w:t>G.4.2</w:t>
      </w:r>
      <w:r w:rsidRPr="00013867">
        <w:rPr>
          <w:rStyle w:val="AERbody"/>
        </w:rPr>
        <w:fldChar w:fldCharType="end"/>
      </w:r>
      <w:r w:rsidRPr="00013867">
        <w:rPr>
          <w:rStyle w:val="AERbody"/>
        </w:rPr>
        <w:t xml:space="preserve"> of this attachment. </w:t>
      </w:r>
    </w:p>
    <w:p w:rsidR="00304CCC" w:rsidRDefault="00CE12E7">
      <w:pPr>
        <w:spacing w:line="240" w:lineRule="auto"/>
        <w:rPr>
          <w:rStyle w:val="AERtextsize8"/>
        </w:rPr>
      </w:pPr>
      <w:r>
        <w:rPr>
          <w:rStyle w:val="AERbody"/>
        </w:rPr>
        <w:t>Service</w:t>
      </w:r>
      <w:r w:rsidR="0087102E">
        <w:rPr>
          <w:rStyle w:val="AERbody"/>
        </w:rPr>
        <w:t xml:space="preserve"> providers</w:t>
      </w:r>
      <w:r>
        <w:rPr>
          <w:rStyle w:val="AERbody"/>
        </w:rPr>
        <w:t xml:space="preserve"> have submitted that a</w:t>
      </w:r>
      <w:r w:rsidR="00304CCC" w:rsidRPr="00013867">
        <w:rPr>
          <w:rStyle w:val="AERbody"/>
        </w:rPr>
        <w:t>n equity beta estimate implied from SFG's construction of the dividend growth model should be used as a cross check on our foundation model equity beta estimate</w:t>
      </w:r>
      <w:r>
        <w:rPr>
          <w:rStyle w:val="AERbody"/>
        </w:rPr>
        <w:t>.</w:t>
      </w:r>
      <w:r w:rsidR="00304CCC" w:rsidRPr="00304CCC">
        <w:rPr>
          <w:rStyle w:val="FootnoteReference"/>
        </w:rPr>
        <w:footnoteReference w:id="1220"/>
      </w:r>
    </w:p>
    <w:p w:rsidR="00304CCC" w:rsidRPr="00013867" w:rsidRDefault="00CE12E7">
      <w:pPr>
        <w:spacing w:line="240" w:lineRule="auto"/>
        <w:rPr>
          <w:rStyle w:val="AERbody"/>
        </w:rPr>
      </w:pPr>
      <w:r>
        <w:rPr>
          <w:rStyle w:val="AERbody"/>
        </w:rPr>
        <w:t xml:space="preserve">We note </w:t>
      </w:r>
      <w:r w:rsidR="00304CCC" w:rsidRPr="00013867">
        <w:rPr>
          <w:rStyle w:val="AERbody"/>
        </w:rPr>
        <w:t>SFG's 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 weightings in the estimation process. For more detail see sections B.3 and D.5.3 of Attachment 3 to SAPN's final decision.</w:t>
      </w:r>
    </w:p>
    <w:p w:rsidR="0087102E" w:rsidRDefault="0087102E" w:rsidP="0087102E">
      <w:pPr>
        <w:rPr>
          <w:rStyle w:val="AERbody"/>
        </w:rPr>
      </w:pPr>
      <w:r>
        <w:rPr>
          <w:rStyle w:val="AERbody"/>
        </w:rPr>
        <w:t>Service providers previously noted that o</w:t>
      </w:r>
      <w:r w:rsidRPr="00013867">
        <w:rPr>
          <w:rStyle w:val="AERbody"/>
        </w:rPr>
        <w:t>ur approach is inconsistent with the approach we used to estimate equity beta in the 2009 WACC review because we have selected a different point estimate from the same range</w:t>
      </w:r>
      <w:r>
        <w:rPr>
          <w:rStyle w:val="AERbody"/>
        </w:rPr>
        <w:t>.</w:t>
      </w:r>
      <w:r w:rsidRPr="0087102E">
        <w:rPr>
          <w:rStyle w:val="FootnoteReference"/>
        </w:rPr>
        <w:footnoteReference w:id="1221"/>
      </w:r>
      <w:r>
        <w:rPr>
          <w:rStyle w:val="AERbody"/>
        </w:rPr>
        <w:t xml:space="preserve"> </w:t>
      </w:r>
      <w:r w:rsidRPr="00013867">
        <w:rPr>
          <w:rStyle w:val="AERbody"/>
        </w:rPr>
        <w:t>We disagree. 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87102E">
        <w:rPr>
          <w:rStyle w:val="FootnoteReference"/>
        </w:rPr>
        <w:footnoteReference w:id="1222"/>
      </w:r>
    </w:p>
    <w:p w:rsidR="0087102E" w:rsidRDefault="0087102E" w:rsidP="0087102E">
      <w:pPr>
        <w:rPr>
          <w:rStyle w:val="AERbody"/>
        </w:rPr>
      </w:pPr>
      <w:r>
        <w:rPr>
          <w:rStyle w:val="AERbody"/>
        </w:rPr>
        <w:t xml:space="preserve">Service providers have submitted that our </w:t>
      </w:r>
      <w:r w:rsidRPr="00013867">
        <w:rPr>
          <w:rStyle w:val="AERbody"/>
        </w:rPr>
        <w:t>multi-stage approach to estimating the equity beta pre-emptively dilutes or eliminates the impact of other relevant evidence</w:t>
      </w:r>
      <w:r>
        <w:rPr>
          <w:rStyle w:val="AERtextsize8"/>
        </w:rPr>
        <w:t>.</w:t>
      </w:r>
      <w:r w:rsidRPr="0087102E">
        <w:rPr>
          <w:rStyle w:val="FootnoteReference"/>
        </w:rPr>
        <w:footnoteReference w:id="1223"/>
      </w:r>
      <w:r>
        <w:rPr>
          <w:rStyle w:val="AERtextsize8"/>
        </w:rPr>
        <w:t xml:space="preserve"> </w:t>
      </w:r>
      <w:r>
        <w:rPr>
          <w:rStyle w:val="AERbody"/>
        </w:rPr>
        <w:t>We disagree. As noted in the Guideline, o</w:t>
      </w:r>
      <w:r w:rsidRPr="00013867">
        <w:rPr>
          <w:rStyle w:val="AERbody"/>
        </w:rPr>
        <w:t xml:space="preserve">ur use of relevant material is based on their relative merits </w:t>
      </w:r>
      <w:r>
        <w:rPr>
          <w:rStyle w:val="AERbody"/>
        </w:rPr>
        <w:t>and suitability for our regulatory task</w:t>
      </w:r>
      <w:r w:rsidRPr="00013867">
        <w:rPr>
          <w:rStyle w:val="AERbody"/>
        </w:rPr>
        <w:t>.</w:t>
      </w:r>
      <w:r>
        <w:rPr>
          <w:rStyle w:val="FootnoteReference"/>
        </w:rPr>
        <w:footnoteReference w:id="1224"/>
      </w:r>
    </w:p>
    <w:p w:rsidR="0087102E" w:rsidRDefault="00DB561F" w:rsidP="0087102E">
      <w:pPr>
        <w:rPr>
          <w:rStyle w:val="AERtextsize8"/>
        </w:rPr>
      </w:pPr>
      <w:r>
        <w:rPr>
          <w:rStyle w:val="AERbody"/>
        </w:rPr>
        <w:t>Frontier has previously submitted that o</w:t>
      </w:r>
      <w:r w:rsidR="0087102E" w:rsidRPr="00013867">
        <w:rPr>
          <w:rStyle w:val="AERbody"/>
        </w:rPr>
        <w:t>ur comparator set should include international energy firms (specifically, 56 US firms) and Australian non-energy infrastructure firms</w:t>
      </w:r>
      <w:r>
        <w:rPr>
          <w:rStyle w:val="AERbody"/>
        </w:rPr>
        <w:t>.</w:t>
      </w:r>
      <w:r w:rsidR="0087102E" w:rsidRPr="0087102E">
        <w:rPr>
          <w:rStyle w:val="FootnoteReference"/>
        </w:rPr>
        <w:footnoteReference w:id="1225"/>
      </w:r>
    </w:p>
    <w:p w:rsidR="0087102E" w:rsidRPr="00013867" w:rsidRDefault="0087102E" w:rsidP="0087102E">
      <w:pPr>
        <w:rPr>
          <w:rStyle w:val="AERbody"/>
        </w:rPr>
      </w:pPr>
      <w:r w:rsidRPr="00013867">
        <w:rPr>
          <w:rStyle w:val="AERbody"/>
        </w:rPr>
        <w:t xml:space="preserve">We consider international energy firms are unlikely to have a similar degree of risk as </w:t>
      </w:r>
      <w:r w:rsidR="00484671">
        <w:rPr>
          <w:rStyle w:val="AERbody"/>
        </w:rPr>
        <w:t>APTPPL</w:t>
      </w:r>
      <w:r w:rsidRPr="00013867">
        <w:rPr>
          <w:rStyle w:val="AERbody"/>
        </w:rPr>
        <w:t xml:space="preserve"> (in the provision of </w:t>
      </w:r>
      <w:r w:rsidR="00484671">
        <w:rPr>
          <w:rStyle w:val="AERbody"/>
        </w:rPr>
        <w:t>reference</w:t>
      </w:r>
      <w:r w:rsidR="00484671" w:rsidRPr="00013867">
        <w:rPr>
          <w:rStyle w:val="AERbody"/>
        </w:rPr>
        <w:t xml:space="preserve"> </w:t>
      </w:r>
      <w:r w:rsidRPr="00013867">
        <w:rPr>
          <w:rStyle w:val="AERbody"/>
        </w:rPr>
        <w:t xml:space="preserve">services), for several reasons set out in section </w:t>
      </w:r>
      <w:r w:rsidRPr="00013867">
        <w:rPr>
          <w:rStyle w:val="AERbody"/>
        </w:rPr>
        <w:fldChar w:fldCharType="begin"/>
      </w:r>
      <w:r w:rsidRPr="00013867">
        <w:rPr>
          <w:rStyle w:val="AERbody"/>
        </w:rPr>
        <w:instrText xml:space="preserve"> REF _Ref446254445 \r \h </w:instrText>
      </w:r>
      <w:r>
        <w:rPr>
          <w:rStyle w:val="AERbody"/>
        </w:rPr>
        <w:instrText xml:space="preserve"> \* MERGEFORMAT </w:instrText>
      </w:r>
      <w:r w:rsidRPr="00013867">
        <w:rPr>
          <w:rStyle w:val="AERbody"/>
        </w:rPr>
      </w:r>
      <w:r w:rsidRPr="00013867">
        <w:rPr>
          <w:rStyle w:val="AERbody"/>
        </w:rPr>
        <w:fldChar w:fldCharType="separate"/>
      </w:r>
      <w:r w:rsidR="002C24D6">
        <w:rPr>
          <w:rStyle w:val="AERbody"/>
        </w:rPr>
        <w:t>G.4.3</w:t>
      </w:r>
      <w:r w:rsidRPr="00013867">
        <w:rPr>
          <w:rStyle w:val="AERbody"/>
        </w:rPr>
        <w:fldChar w:fldCharType="end"/>
      </w:r>
      <w:r w:rsidRPr="00013867">
        <w:rPr>
          <w:rStyle w:val="AERbody"/>
        </w:rPr>
        <w:t xml:space="preserve"> of this attachment. We also considered this issue in detail in section D.2.1 of Attachment 3 to SAPN's final decision. </w:t>
      </w:r>
    </w:p>
    <w:p w:rsidR="0087102E" w:rsidRDefault="0087102E" w:rsidP="0087102E">
      <w:pPr>
        <w:rPr>
          <w:rStyle w:val="AERbody"/>
        </w:rPr>
      </w:pPr>
      <w:r w:rsidRPr="00013867">
        <w:rPr>
          <w:rStyle w:val="AERbody"/>
        </w:rPr>
        <w:t xml:space="preserve">We also consider other (Australian) infrastructure firms are not suitable comparators to the benchmark efficient entity in this case, for several reasons set out in section </w:t>
      </w:r>
      <w:r w:rsidRPr="00013867">
        <w:rPr>
          <w:rStyle w:val="AERbody"/>
        </w:rPr>
        <w:fldChar w:fldCharType="begin"/>
      </w:r>
      <w:r w:rsidRPr="00013867">
        <w:rPr>
          <w:rStyle w:val="AERbody"/>
        </w:rPr>
        <w:instrText xml:space="preserve"> REF _Ref446254437 \r \h </w:instrText>
      </w:r>
      <w:r>
        <w:rPr>
          <w:rStyle w:val="AERbody"/>
        </w:rPr>
        <w:instrText xml:space="preserve"> \* MERGEFORMAT </w:instrText>
      </w:r>
      <w:r w:rsidRPr="00013867">
        <w:rPr>
          <w:rStyle w:val="AERbody"/>
        </w:rPr>
      </w:r>
      <w:r w:rsidRPr="00013867">
        <w:rPr>
          <w:rStyle w:val="AERbody"/>
        </w:rPr>
        <w:fldChar w:fldCharType="separate"/>
      </w:r>
      <w:r w:rsidR="002C24D6">
        <w:rPr>
          <w:rStyle w:val="AERbody"/>
        </w:rPr>
        <w:t>G.4.4</w:t>
      </w:r>
      <w:r w:rsidRPr="00013867">
        <w:rPr>
          <w:rStyle w:val="AERbody"/>
        </w:rPr>
        <w:fldChar w:fldCharType="end"/>
      </w:r>
      <w:r w:rsidRPr="00013867">
        <w:rPr>
          <w:rStyle w:val="AERbody"/>
        </w:rPr>
        <w:t xml:space="preserve"> of this attachment.</w:t>
      </w:r>
    </w:p>
    <w:p w:rsidR="00C57061" w:rsidRDefault="00DB561F" w:rsidP="0087102E">
      <w:pPr>
        <w:rPr>
          <w:rStyle w:val="AERbody"/>
        </w:rPr>
      </w:pPr>
      <w:r>
        <w:rPr>
          <w:rStyle w:val="AERbody"/>
        </w:rPr>
        <w:t>Frontier previously submitted that o</w:t>
      </w:r>
      <w:r w:rsidR="00C57061" w:rsidRPr="00013867">
        <w:rPr>
          <w:rStyle w:val="AERbody"/>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Pr>
          <w:rStyle w:val="AERbody"/>
        </w:rPr>
        <w:t>.</w:t>
      </w:r>
      <w:r w:rsidR="00C57061" w:rsidRPr="004279C0">
        <w:rPr>
          <w:rStyle w:val="FootnoteReference"/>
        </w:rPr>
        <w:footnoteReference w:id="1226"/>
      </w:r>
    </w:p>
    <w:p w:rsidR="00DB561F" w:rsidRDefault="00DB561F" w:rsidP="0087102E">
      <w:pPr>
        <w:rPr>
          <w:rStyle w:val="AERbody"/>
        </w:rPr>
      </w:pPr>
      <w:r w:rsidRPr="00013867">
        <w:rPr>
          <w:rStyle w:val="AERbody"/>
        </w:rPr>
        <w:t xml:space="preserve">We do not consider our use of the Sharpe-Lintner CAPM in our foundation model approach will result in a downward biased estimate of the return on equity. We provide extensive reasoning for these views in the 'service providers' proposed multi-model approach' subsection in section </w:t>
      </w:r>
      <w:r w:rsidRPr="00013867">
        <w:rPr>
          <w:rStyle w:val="AERbody"/>
        </w:rPr>
        <w:fldChar w:fldCharType="begin"/>
      </w:r>
      <w:r w:rsidRPr="00013867">
        <w:rPr>
          <w:rStyle w:val="AERbody"/>
        </w:rPr>
        <w:instrText xml:space="preserve"> REF _Ref430958591 \r \h </w:instrText>
      </w:r>
      <w:r>
        <w:rPr>
          <w:rStyle w:val="AERbody"/>
        </w:rPr>
        <w:instrText xml:space="preserve"> \* MERGEFORMAT </w:instrText>
      </w:r>
      <w:r w:rsidRPr="00013867">
        <w:rPr>
          <w:rStyle w:val="AERbody"/>
        </w:rPr>
      </w:r>
      <w:r w:rsidRPr="00013867">
        <w:rPr>
          <w:rStyle w:val="AERbody"/>
        </w:rPr>
        <w:fldChar w:fldCharType="separate"/>
      </w:r>
      <w:r w:rsidR="002C24D6">
        <w:rPr>
          <w:rStyle w:val="AERbody"/>
        </w:rPr>
        <w:t>3.4.1</w:t>
      </w:r>
      <w:r w:rsidRPr="00013867">
        <w:rPr>
          <w:rStyle w:val="AERbody"/>
        </w:rPr>
        <w:fldChar w:fldCharType="end"/>
      </w:r>
      <w:r w:rsidRPr="00013867">
        <w:rPr>
          <w:rStyle w:val="AERbody"/>
        </w:rPr>
        <w:t xml:space="preserve"> of this attachment.</w:t>
      </w:r>
    </w:p>
    <w:p w:rsidR="00DB561F" w:rsidRDefault="00DB561F" w:rsidP="0087102E">
      <w:pPr>
        <w:rPr>
          <w:rStyle w:val="AERtextsize8"/>
        </w:rPr>
      </w:pPr>
      <w:r>
        <w:rPr>
          <w:rStyle w:val="AERbody"/>
        </w:rPr>
        <w:t>Service providers</w:t>
      </w:r>
      <w:r w:rsidR="00BE5825">
        <w:rPr>
          <w:rStyle w:val="AERbody"/>
        </w:rPr>
        <w:t xml:space="preserve">, in </w:t>
      </w:r>
      <w:r w:rsidR="006C250D">
        <w:rPr>
          <w:rStyle w:val="AERbody"/>
        </w:rPr>
        <w:t>previous</w:t>
      </w:r>
      <w:r w:rsidR="00BE5825">
        <w:rPr>
          <w:rStyle w:val="AERbody"/>
        </w:rPr>
        <w:t xml:space="preserve"> regulatory processes, submitted that o</w:t>
      </w:r>
      <w:r w:rsidRPr="00013867">
        <w:rPr>
          <w:rStyle w:val="AERbody"/>
        </w:rPr>
        <w:t>ur comparator set should not be restricted to regulated entities as the benchmark efficient entity should be defined as an unregulated entity operating in a workably competitive market</w:t>
      </w:r>
      <w:r w:rsidRPr="004279C0">
        <w:rPr>
          <w:rStyle w:val="FootnoteReference"/>
        </w:rPr>
        <w:footnoteReference w:id="1227"/>
      </w:r>
    </w:p>
    <w:p w:rsidR="00DB561F" w:rsidRDefault="00DB561F" w:rsidP="0087102E">
      <w:r w:rsidRPr="00013867">
        <w:rPr>
          <w:rStyle w:val="AERbody"/>
        </w:rPr>
        <w:t>We do not agree.</w:t>
      </w:r>
      <w:r w:rsidRPr="004279C0">
        <w:rPr>
          <w:rStyle w:val="AERtextsize8"/>
        </w:rPr>
        <w:t xml:space="preserve"> </w:t>
      </w:r>
      <w:r w:rsidRPr="004279C0">
        <w:t>We consider the regulatory framework for the provision of prescribed transmission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p w:rsidR="00BE5825" w:rsidRDefault="007D1631" w:rsidP="0087102E">
      <w:r>
        <w:rPr>
          <w:rStyle w:val="AERbody"/>
        </w:rPr>
        <w:t>We have previously received submissions</w:t>
      </w:r>
      <w:r w:rsidR="00C85C28">
        <w:rPr>
          <w:rStyle w:val="AERbody"/>
        </w:rPr>
        <w:t xml:space="preserve"> that o</w:t>
      </w:r>
      <w:r w:rsidR="00BE5825" w:rsidRPr="00013867">
        <w:rPr>
          <w:rStyle w:val="AERbody"/>
        </w:rPr>
        <w:t>ur comparator set should exclude delisted firms whose data are outdated</w:t>
      </w:r>
      <w:r>
        <w:rPr>
          <w:rStyle w:val="AERbody"/>
        </w:rPr>
        <w:t>.</w:t>
      </w:r>
      <w:r w:rsidR="00BE5825" w:rsidRPr="004279C0">
        <w:rPr>
          <w:rStyle w:val="FootnoteReference"/>
        </w:rPr>
        <w:footnoteReference w:id="1228"/>
      </w:r>
      <w:r>
        <w:rPr>
          <w:rStyle w:val="AERbody"/>
        </w:rPr>
        <w:t xml:space="preserve"> </w:t>
      </w:r>
      <w:r w:rsidR="00BE5825">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00BE5825" w:rsidRPr="004279C0">
        <w:t xml:space="preserve">d and GasNet (who only have relevant data to 2006 or 2007). The average estimate from this estimation period is not substantially different from the longer estimation periods (in fact, it is slightly lower, see </w:t>
      </w:r>
      <w:r w:rsidR="00BE5825" w:rsidRPr="004279C0">
        <w:fldChar w:fldCharType="begin"/>
      </w:r>
      <w:r w:rsidR="00BE5825" w:rsidRPr="004279C0">
        <w:instrText xml:space="preserve"> REF _Ref446197185 \h </w:instrText>
      </w:r>
      <w:r w:rsidR="00BE5825" w:rsidRPr="004279C0">
        <w:fldChar w:fldCharType="separate"/>
      </w:r>
      <w:r w:rsidR="002C24D6">
        <w:t xml:space="preserve">Table </w:t>
      </w:r>
      <w:r w:rsidR="002C24D6">
        <w:rPr>
          <w:noProof/>
        </w:rPr>
        <w:t>3</w:t>
      </w:r>
      <w:r w:rsidR="002C24D6">
        <w:noBreakHyphen/>
      </w:r>
      <w:r w:rsidR="002C24D6">
        <w:rPr>
          <w:noProof/>
        </w:rPr>
        <w:t>28</w:t>
      </w:r>
      <w:r w:rsidR="00BE5825" w:rsidRPr="004279C0">
        <w:fldChar w:fldCharType="end"/>
      </w:r>
      <w:r w:rsidR="00BE5825" w:rsidRPr="004279C0">
        <w:t xml:space="preserve">). The two most recent portfolios we consider (P4 and P5) also provide estimates that are, overall, not substantially different from the portfolios that include older data (see </w:t>
      </w:r>
      <w:r w:rsidR="00BE5825" w:rsidRPr="004279C0">
        <w:fldChar w:fldCharType="begin"/>
      </w:r>
      <w:r w:rsidR="00BE5825" w:rsidRPr="004279C0">
        <w:instrText xml:space="preserve"> REF _Ref446197176 \h </w:instrText>
      </w:r>
      <w:r w:rsidR="00BE5825" w:rsidRPr="004279C0">
        <w:fldChar w:fldCharType="separate"/>
      </w:r>
      <w:r w:rsidR="002C24D6">
        <w:t xml:space="preserve">Table </w:t>
      </w:r>
      <w:r w:rsidR="002C24D6">
        <w:rPr>
          <w:noProof/>
        </w:rPr>
        <w:t>3</w:t>
      </w:r>
      <w:r w:rsidR="002C24D6">
        <w:noBreakHyphen/>
      </w:r>
      <w:r w:rsidR="002C24D6">
        <w:rPr>
          <w:noProof/>
        </w:rPr>
        <w:t>29</w:t>
      </w:r>
      <w:r w:rsidR="00BE5825" w:rsidRPr="004279C0">
        <w:fldChar w:fldCharType="end"/>
      </w:r>
      <w:r w:rsidR="00BE5825" w:rsidRPr="004279C0">
        <w:t>). We consider these results suggest that including older data in our empirical analysis (which increases the size of our dataset) does not bias the results.</w:t>
      </w:r>
      <w:r w:rsidR="00C85C28">
        <w:t xml:space="preserve"> </w:t>
      </w:r>
    </w:p>
    <w:p w:rsidR="007D1631" w:rsidRDefault="00AC60C4" w:rsidP="0087102E">
      <w:pPr>
        <w:rPr>
          <w:rStyle w:val="AERtextsize8"/>
        </w:rPr>
      </w:pPr>
      <w:r>
        <w:rPr>
          <w:rStyle w:val="AERbody"/>
        </w:rPr>
        <w:t>SFG (now part of Frontier) has previously submitted that t</w:t>
      </w:r>
      <w:r w:rsidR="007D1631" w:rsidRPr="00013867">
        <w:rPr>
          <w:rStyle w:val="AERbody"/>
        </w:rPr>
        <w:t>he Least Absolute Deviations (LAD) estimation method produces systematically downward biased equity beta estimates and should not be used</w:t>
      </w:r>
      <w:r w:rsidR="007D1631" w:rsidRPr="004279C0">
        <w:rPr>
          <w:rStyle w:val="FootnoteReference"/>
        </w:rPr>
        <w:footnoteReference w:id="1229"/>
      </w:r>
    </w:p>
    <w:p w:rsidR="007D1631" w:rsidRPr="00013867" w:rsidRDefault="007D1631" w:rsidP="007D1631">
      <w:pPr>
        <w:rPr>
          <w:rStyle w:val="AERbody"/>
        </w:rPr>
      </w:pPr>
      <w:r w:rsidRPr="00013867">
        <w:rPr>
          <w:rStyle w:val="AERbody"/>
        </w:rPr>
        <w:t>We are not satisfied that SFG has produced compelling evidence to infer the LAD estimator produces systematically downward biased estimates of equity beta.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We considered this issue in section D.2.2 of Attachment 3 to SAPN's final decision and sections 3.4.1 and G.1 of Attachment 3 to AusNet Services' final decision for its distribution services. Those reasoning remain relevant.</w:t>
      </w:r>
    </w:p>
    <w:p w:rsidR="007D1631" w:rsidRDefault="00AC60C4" w:rsidP="0087102E">
      <w:pPr>
        <w:rPr>
          <w:rStyle w:val="AERbody"/>
        </w:rPr>
      </w:pPr>
      <w:r>
        <w:rPr>
          <w:rStyle w:val="AERbody"/>
        </w:rPr>
        <w:t xml:space="preserve">CEG has </w:t>
      </w:r>
      <w:r w:rsidR="00D05040">
        <w:rPr>
          <w:rStyle w:val="AERbody"/>
        </w:rPr>
        <w:t>previously submitted that t</w:t>
      </w:r>
      <w:r w:rsidRPr="00013867">
        <w:rPr>
          <w:rStyle w:val="AERbody"/>
        </w:rPr>
        <w:t>he mining boom should be excluded from the estimation periods</w:t>
      </w:r>
      <w:r w:rsidRPr="004279C0">
        <w:rPr>
          <w:rStyle w:val="FootnoteReference"/>
        </w:rPr>
        <w:footnoteReference w:id="1230"/>
      </w:r>
      <w:r>
        <w:rPr>
          <w:rStyle w:val="AERtextsize8"/>
        </w:rPr>
        <w:t xml:space="preserve"> </w:t>
      </w:r>
      <w:r w:rsidRPr="00013867">
        <w:rPr>
          <w:rStyle w:val="AERbody"/>
        </w:rPr>
        <w:t xml:space="preserve">We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w:t>
      </w:r>
    </w:p>
    <w:p w:rsidR="00D05040" w:rsidRDefault="00D05040" w:rsidP="0087102E">
      <w:pPr>
        <w:rPr>
          <w:rStyle w:val="AERbody"/>
        </w:rPr>
      </w:pPr>
      <w:r>
        <w:rPr>
          <w:rStyle w:val="AERbody"/>
        </w:rPr>
        <w:t>SFG noted previously that w</w:t>
      </w:r>
      <w:r w:rsidRPr="00013867">
        <w:rPr>
          <w:rStyle w:val="AERbody"/>
        </w:rPr>
        <w:t>e do not account for variation in equity beta estimates based on how the return interval is defined (in particular, what reference day is chosen to calculate weekly or monthly returns)</w:t>
      </w:r>
      <w:r w:rsidRPr="004279C0">
        <w:rPr>
          <w:rStyle w:val="FootnoteReference"/>
        </w:rPr>
        <w:footnoteReference w:id="1231"/>
      </w:r>
      <w:r>
        <w:rPr>
          <w:rStyle w:val="AERtextsize8"/>
        </w:rPr>
        <w:t xml:space="preserve"> </w:t>
      </w:r>
      <w:r w:rsidRPr="00013867">
        <w:rPr>
          <w:rStyle w:val="AERbody"/>
        </w:rPr>
        <w:t xml:space="preserve">We do not consider that SFG has provided any basis to expect that returns based on a particular day of the week will underestimate or overestimate equity beta for the benchmark efficient entity. </w:t>
      </w:r>
    </w:p>
    <w:p w:rsidR="00D05040" w:rsidRDefault="00D05040" w:rsidP="0087102E">
      <w:pPr>
        <w:rPr>
          <w:rStyle w:val="AERtextsize8"/>
        </w:rPr>
      </w:pPr>
      <w:r w:rsidRPr="00013867">
        <w:rPr>
          <w:rStyle w:val="AERbody"/>
        </w:rPr>
        <w:t>Only re-levered equity beta estimates should be relied on</w:t>
      </w:r>
      <w:r w:rsidRPr="004279C0">
        <w:rPr>
          <w:rStyle w:val="FootnoteReference"/>
        </w:rPr>
        <w:footnoteReference w:id="1232"/>
      </w:r>
      <w:r>
        <w:rPr>
          <w:rStyle w:val="AERtextsize8"/>
        </w:rPr>
        <w:t xml:space="preserve"> </w:t>
      </w:r>
      <w:r w:rsidRPr="00013867">
        <w:rPr>
          <w:rStyle w:val="AERbody"/>
        </w:rPr>
        <w:t>We consider 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w:t>
      </w:r>
      <w:r w:rsidR="0095792D">
        <w:rPr>
          <w:rStyle w:val="AERbody"/>
        </w:rPr>
        <w:t xml:space="preserve"> </w:t>
      </w:r>
      <w:r w:rsidR="0095792D">
        <w:rPr>
          <w:rStyle w:val="AERbody"/>
        </w:rPr>
        <w:fldChar w:fldCharType="begin"/>
      </w:r>
      <w:r w:rsidR="0095792D">
        <w:rPr>
          <w:rStyle w:val="AERbody"/>
        </w:rPr>
        <w:instrText xml:space="preserve"> REF _Ref430958591 \r \h </w:instrText>
      </w:r>
      <w:r w:rsidR="0095792D">
        <w:rPr>
          <w:rStyle w:val="AERbody"/>
        </w:rPr>
      </w:r>
      <w:r w:rsidR="0095792D">
        <w:rPr>
          <w:rStyle w:val="AERbody"/>
        </w:rPr>
        <w:fldChar w:fldCharType="separate"/>
      </w:r>
      <w:r w:rsidR="002C24D6">
        <w:rPr>
          <w:rStyle w:val="AERbody"/>
        </w:rPr>
        <w:t>3.4.1</w:t>
      </w:r>
      <w:r w:rsidR="0095792D">
        <w:rPr>
          <w:rStyle w:val="AERbody"/>
        </w:rPr>
        <w:fldChar w:fldCharType="end"/>
      </w:r>
      <w:r w:rsidRPr="00013867">
        <w:rPr>
          <w:rStyle w:val="AERbody"/>
        </w:rPr>
        <w:t>. Partington and Satchell also advised that re-levering equity betas is problematic</w:t>
      </w:r>
      <w:r w:rsidRPr="004279C0">
        <w:rPr>
          <w:rStyle w:val="AERtextsize8"/>
        </w:rPr>
        <w:t>.</w:t>
      </w:r>
      <w:r w:rsidRPr="004279C0">
        <w:rPr>
          <w:rStyle w:val="FootnoteReference"/>
        </w:rPr>
        <w:footnoteReference w:id="1233"/>
      </w:r>
    </w:p>
    <w:p w:rsidR="0095792D" w:rsidRPr="00013867" w:rsidRDefault="0095792D" w:rsidP="0087102E">
      <w:pPr>
        <w:rPr>
          <w:rStyle w:val="AERbody"/>
        </w:rPr>
      </w:pPr>
      <w:r>
        <w:rPr>
          <w:rStyle w:val="AERbody"/>
        </w:rPr>
        <w:t>Frontier has previously submitted that a</w:t>
      </w:r>
      <w:r w:rsidRPr="00013867">
        <w:rPr>
          <w:rStyle w:val="AERbody"/>
        </w:rPr>
        <w:t>verages of individual firm estimates are largely meaningless</w:t>
      </w:r>
      <w:r w:rsidR="0005025E">
        <w:rPr>
          <w:rStyle w:val="AERbody"/>
        </w:rPr>
        <w:t>.</w:t>
      </w:r>
      <w:r w:rsidRPr="004279C0">
        <w:rPr>
          <w:rStyle w:val="FootnoteReference"/>
        </w:rPr>
        <w:footnoteReference w:id="1234"/>
      </w:r>
      <w:r>
        <w:rPr>
          <w:rStyle w:val="AERtextsize8"/>
        </w:rPr>
        <w:t xml:space="preserve"> </w:t>
      </w:r>
      <w:r>
        <w:rPr>
          <w:rStyle w:val="AERbody"/>
        </w:rPr>
        <w:t>We consider that, b</w:t>
      </w:r>
      <w:r w:rsidRPr="00013867">
        <w:rPr>
          <w:rStyle w:val="AERbody"/>
        </w:rPr>
        <w:t xml:space="preserve">ecause no one comparator firm is perfectly reflective of a benchmark efficient entity with a similar degree of risk as that which applies to </w:t>
      </w:r>
      <w:r w:rsidR="00AB6626">
        <w:rPr>
          <w:rStyle w:val="AERbody"/>
        </w:rPr>
        <w:t>APTPPL</w:t>
      </w:r>
      <w:r>
        <w:rPr>
          <w:rStyle w:val="AERbody"/>
        </w:rPr>
        <w:t>,</w:t>
      </w:r>
      <w:r w:rsidRPr="00013867">
        <w:rPr>
          <w:rStyle w:val="AERbody"/>
        </w:rPr>
        <w:t xml:space="preserve"> in providing re</w:t>
      </w:r>
      <w:r w:rsidR="00B963BE">
        <w:rPr>
          <w:rStyle w:val="AERbody"/>
        </w:rPr>
        <w:t>ference</w:t>
      </w:r>
      <w:r w:rsidRPr="00013867">
        <w:rPr>
          <w:rStyle w:val="AERbody"/>
        </w:rPr>
        <w:t xml:space="preserve"> services, we rely on averages of individual firm estimates to determine an equity beta range. SFG, Frontier Economics, CEG and NERA, in their </w:t>
      </w:r>
      <w:r>
        <w:rPr>
          <w:rStyle w:val="AERbody"/>
        </w:rPr>
        <w:t xml:space="preserve">previous </w:t>
      </w:r>
      <w:r w:rsidRPr="00013867">
        <w:rPr>
          <w:rStyle w:val="AERbody"/>
        </w:rPr>
        <w:t>reports, also rely on averages of individual firm estimates</w:t>
      </w:r>
      <w:r w:rsidRPr="004279C0">
        <w:rPr>
          <w:rStyle w:val="AERtextsize8"/>
        </w:rPr>
        <w:t>.</w:t>
      </w:r>
      <w:r w:rsidRPr="004279C0">
        <w:rPr>
          <w:rStyle w:val="FootnoteReference"/>
        </w:rPr>
        <w:footnoteReference w:id="1235"/>
      </w:r>
      <w:r w:rsidRPr="00013867">
        <w:rPr>
          <w:rStyle w:val="AERbody"/>
        </w:rPr>
        <w:t xml:space="preserve"> </w:t>
      </w:r>
    </w:p>
    <w:p w:rsidR="0087102E" w:rsidRDefault="0005025E" w:rsidP="00013867">
      <w:pPr>
        <w:rPr>
          <w:rStyle w:val="AERbody"/>
        </w:rPr>
      </w:pPr>
      <w:r>
        <w:rPr>
          <w:rStyle w:val="AERbody"/>
        </w:rPr>
        <w:t>In previous regulatory processes, we received submissions that t</w:t>
      </w:r>
      <w:r w:rsidR="0095792D" w:rsidRPr="00013867">
        <w:rPr>
          <w:rStyle w:val="AERbody"/>
        </w:rPr>
        <w:t>he basis of the portfolio formations in Henry's 2014 report is unclear</w:t>
      </w:r>
      <w:r w:rsidR="0095792D" w:rsidRPr="0095792D">
        <w:rPr>
          <w:rStyle w:val="FootnoteReference"/>
        </w:rPr>
        <w:footnoteReference w:id="1236"/>
      </w:r>
      <w:r w:rsidR="0095792D">
        <w:rPr>
          <w:rStyle w:val="AERtextsize8"/>
        </w:rPr>
        <w:t xml:space="preserve"> </w:t>
      </w:r>
      <w:r w:rsidR="0095792D" w:rsidRPr="00013867">
        <w:rPr>
          <w:rStyle w:val="AERbody"/>
        </w:rPr>
        <w:t>We consider each firm in a particular portfolio should have returns data over the same period. For example, we consider you should not include a firm with data from 2000 to 2007 in a portfolio with another firm with data from 2005 to 2013. A portfolio can only be formed in this scenario if common data from 2005 to 2007 is used.</w:t>
      </w:r>
      <w:r>
        <w:rPr>
          <w:rStyle w:val="AERbody"/>
        </w:rPr>
        <w:t xml:space="preserve"> </w:t>
      </w:r>
      <w:r w:rsidR="0095792D" w:rsidRPr="00013867">
        <w:rPr>
          <w:rStyle w:val="AERbody"/>
        </w:rPr>
        <w:t>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0095792D" w:rsidRPr="0095792D">
        <w:rPr>
          <w:rStyle w:val="FootnoteReference"/>
        </w:rPr>
        <w:footnoteReference w:id="1237"/>
      </w:r>
    </w:p>
    <w:p w:rsidR="0005025E" w:rsidRDefault="00A338E5" w:rsidP="00013867">
      <w:pPr>
        <w:rPr>
          <w:rStyle w:val="AERbody"/>
        </w:rPr>
      </w:pPr>
      <w:r>
        <w:rPr>
          <w:rStyle w:val="AERbody"/>
        </w:rPr>
        <w:t xml:space="preserve">Consultants have </w:t>
      </w:r>
      <w:r w:rsidR="006C250D">
        <w:rPr>
          <w:rStyle w:val="AERbody"/>
        </w:rPr>
        <w:t>previously</w:t>
      </w:r>
      <w:r>
        <w:rPr>
          <w:rStyle w:val="AERbody"/>
        </w:rPr>
        <w:t xml:space="preserve"> submitted that t</w:t>
      </w:r>
      <w:r w:rsidR="0005025E" w:rsidRPr="00013867">
        <w:rPr>
          <w:rStyle w:val="AERbody"/>
        </w:rPr>
        <w:t>he Vasicek adjustment mitigates systematic estimation error</w:t>
      </w:r>
      <w:r>
        <w:rPr>
          <w:rStyle w:val="AERbody"/>
        </w:rPr>
        <w:t>.</w:t>
      </w:r>
      <w:r w:rsidR="0005025E" w:rsidRPr="0005025E">
        <w:rPr>
          <w:rStyle w:val="FootnoteReference"/>
        </w:rPr>
        <w:footnoteReference w:id="1238"/>
      </w:r>
      <w:r w:rsidR="0005025E">
        <w:rPr>
          <w:rStyle w:val="AERtextsize8"/>
        </w:rPr>
        <w:t xml:space="preserve"> </w:t>
      </w:r>
      <w:r w:rsidR="0005025E" w:rsidRPr="00013867">
        <w:rPr>
          <w:rStyle w:val="AERbody"/>
        </w:rPr>
        <w:t xml:space="preserve">We do not apply a Vasicek adjustment. We note that SFG has applied the Vasicek adjustment in their beta estimates however report that this makes less difference due to the increasing size of the data set.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w:t>
      </w:r>
    </w:p>
    <w:p w:rsidR="00A338E5" w:rsidRPr="00A338E5" w:rsidRDefault="00A338E5" w:rsidP="00A338E5">
      <w:pPr>
        <w:rPr>
          <w:rStyle w:val="AERtextsize8"/>
        </w:rPr>
      </w:pPr>
      <w:r w:rsidRPr="001D4715">
        <w:t>CEG</w:t>
      </w:r>
      <w:r w:rsidR="00B81CC8">
        <w:t xml:space="preserve"> has </w:t>
      </w:r>
      <w:r w:rsidRPr="001D4715">
        <w:t xml:space="preserve"> compared its estimates with the 'Raw beta' from Bloomberg’s 'Historical Beta' field and found that its estimates are consistent with the figures from Bloomberg based on Henry’s sample and benchmark index </w:t>
      </w:r>
      <w:r w:rsidRPr="00A338E5">
        <w:rPr>
          <w:rStyle w:val="FootnoteReference"/>
        </w:rPr>
        <w:footnoteReference w:id="1239"/>
      </w:r>
      <w:r>
        <w:t xml:space="preserve"> </w:t>
      </w:r>
      <w:r w:rsidRPr="00013867">
        <w:rPr>
          <w:rStyle w:val="AERbody"/>
        </w:rPr>
        <w:t>CEG was not able to completely replicated Henry’s 2014 estimations. And it acknowledged that this is due to gearing estimates</w:t>
      </w:r>
      <w:r w:rsidRPr="00A338E5">
        <w:rPr>
          <w:rStyle w:val="AERtextsize8"/>
        </w:rPr>
        <w:t>.</w:t>
      </w:r>
      <w:r w:rsidRPr="00A338E5">
        <w:rPr>
          <w:rStyle w:val="FootnoteReference"/>
        </w:rPr>
        <w:footnoteReference w:id="1240"/>
      </w:r>
    </w:p>
    <w:p w:rsidR="00A338E5" w:rsidRDefault="00A338E5" w:rsidP="00013867">
      <w:pPr>
        <w:rPr>
          <w:rStyle w:val="AERbody"/>
        </w:rPr>
      </w:pPr>
      <w:r w:rsidRPr="00013867">
        <w:rPr>
          <w:rStyle w:val="AERbody"/>
        </w:rPr>
        <w:t>Once the differences between CEG replication and Henry 2014 estimations is accounted for the difference between CEG extension and Henry 2014 results is not significant.  We do not take a mechanistic approach to the estimation of beta.  There are other factors that require consideration in CEG’s report for example</w:t>
      </w:r>
      <w:r w:rsidR="00B81CC8">
        <w:rPr>
          <w:rStyle w:val="AERbody"/>
        </w:rPr>
        <w:t>,</w:t>
      </w:r>
      <w:r w:rsidRPr="00013867">
        <w:rPr>
          <w:rStyle w:val="AERbody"/>
        </w:rPr>
        <w:t xml:space="preserve"> whether the difference is due to higher gearing or whether there may be other explanations for changes in systematic risk.</w:t>
      </w:r>
      <w:r w:rsidR="00B81CC8">
        <w:rPr>
          <w:rStyle w:val="AERbody"/>
        </w:rPr>
        <w:t xml:space="preserve"> </w:t>
      </w:r>
      <w:r w:rsidRPr="00013867">
        <w:rPr>
          <w:rStyle w:val="AERbody"/>
        </w:rPr>
        <w:t>We discuss in more detail in appendix G</w:t>
      </w:r>
    </w:p>
    <w:p w:rsidR="0012319B" w:rsidRDefault="0012319B" w:rsidP="0012319B">
      <w:pPr>
        <w:pStyle w:val="Heading8"/>
      </w:pPr>
      <w:bookmarkStart w:id="385" w:name="_Toc487037190"/>
      <w:r>
        <w:t>Australian empirical estimates</w:t>
      </w:r>
      <w:bookmarkEnd w:id="385"/>
    </w:p>
    <w:p w:rsidR="00754B64" w:rsidRDefault="00754B64" w:rsidP="00013867">
      <w:pPr>
        <w:rPr>
          <w:rStyle w:val="AERbody"/>
        </w:rPr>
      </w:pPr>
      <w:r>
        <w:rPr>
          <w:rStyle w:val="AERbody"/>
        </w:rPr>
        <w:t xml:space="preserve">We have also received a range of submissions on our Australian empirical estimates in previous regulatory processes. </w:t>
      </w:r>
    </w:p>
    <w:p w:rsidR="0012319B" w:rsidRDefault="00754B64" w:rsidP="00013867">
      <w:pPr>
        <w:rPr>
          <w:rStyle w:val="AERbody"/>
        </w:rPr>
      </w:pPr>
      <w:r>
        <w:rPr>
          <w:rStyle w:val="AERbody"/>
        </w:rPr>
        <w:t>Frontier submitted that o</w:t>
      </w:r>
      <w:r w:rsidR="0012319B" w:rsidRPr="00013867">
        <w:rPr>
          <w:rStyle w:val="AERbody"/>
        </w:rPr>
        <w:t>ur range derived from Australian empirical estimates (0.4 to 0.7) is incorrect and inconsistent with Henry's 2014 report</w:t>
      </w:r>
      <w:r w:rsidR="0012319B" w:rsidRPr="0012319B">
        <w:rPr>
          <w:rStyle w:val="FootnoteReference"/>
        </w:rPr>
        <w:footnoteReference w:id="1241"/>
      </w:r>
      <w:r w:rsidR="0012319B">
        <w:rPr>
          <w:rStyle w:val="AERtextsize8"/>
        </w:rPr>
        <w:t xml:space="preserve"> </w:t>
      </w:r>
      <w:r w:rsidR="0012319B" w:rsidRPr="00013867">
        <w:rPr>
          <w:rStyle w:val="AERbody"/>
        </w:rPr>
        <w:t>We recognise 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SAPN's final decision and Appendix G of Attachment 3 in AusNet Services' final decision for its distribution services.</w:t>
      </w:r>
    </w:p>
    <w:p w:rsidR="00754B64" w:rsidRDefault="00754B64" w:rsidP="00013867">
      <w:pPr>
        <w:rPr>
          <w:rStyle w:val="AERbody"/>
        </w:rPr>
      </w:pPr>
      <w:r>
        <w:rPr>
          <w:rStyle w:val="AERbody"/>
        </w:rPr>
        <w:t>User</w:t>
      </w:r>
      <w:r w:rsidR="000F0455">
        <w:rPr>
          <w:rStyle w:val="AERbody"/>
        </w:rPr>
        <w:t xml:space="preserve"> groups</w:t>
      </w:r>
      <w:r>
        <w:rPr>
          <w:rStyle w:val="AERbody"/>
        </w:rPr>
        <w:t xml:space="preserve"> have</w:t>
      </w:r>
      <w:r w:rsidRPr="00013867">
        <w:rPr>
          <w:rStyle w:val="AERbody"/>
        </w:rPr>
        <w:t xml:space="preserve"> submit</w:t>
      </w:r>
      <w:r>
        <w:rPr>
          <w:rStyle w:val="AERbody"/>
        </w:rPr>
        <w:t>ted</w:t>
      </w:r>
      <w:r w:rsidRPr="00013867">
        <w:rPr>
          <w:rStyle w:val="AERbody"/>
        </w:rPr>
        <w:t xml:space="preserve"> that the equity beta estimates in Henry's 2014 report are clustered around a range of 0.3 to 0.5.</w:t>
      </w:r>
      <w:r w:rsidRPr="00754B64">
        <w:rPr>
          <w:rStyle w:val="FootnoteReference"/>
        </w:rPr>
        <w:footnoteReference w:id="1242"/>
      </w:r>
      <w:r>
        <w:rPr>
          <w:rStyle w:val="AERtextsize8"/>
        </w:rPr>
        <w:t xml:space="preserve"> </w:t>
      </w:r>
      <w:r w:rsidR="006935DE">
        <w:rPr>
          <w:rStyle w:val="AERbody"/>
        </w:rPr>
        <w:t>This is</w:t>
      </w:r>
      <w:r w:rsidRPr="00013867">
        <w:rPr>
          <w:rStyle w:val="AERbody"/>
        </w:rPr>
        <w:t xml:space="preserv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SAPN's final decision and sections G.4.1 and G.4.2 of Attachment 3 in AusNet Services' final decision for its distribution services.</w:t>
      </w:r>
    </w:p>
    <w:p w:rsidR="006935DE" w:rsidRPr="00013867" w:rsidRDefault="000F0455" w:rsidP="006935DE">
      <w:pPr>
        <w:rPr>
          <w:rStyle w:val="AERbody"/>
        </w:rPr>
      </w:pPr>
      <w:r>
        <w:rPr>
          <w:rStyle w:val="AERbody"/>
        </w:rPr>
        <w:t xml:space="preserve">User groups also previously submitted that </w:t>
      </w:r>
      <w:r w:rsidR="006935DE" w:rsidRPr="00013867">
        <w:rPr>
          <w:rStyle w:val="AERbody"/>
        </w:rPr>
        <w:t>Australian empirical estimates support an equity beta within the range of 0.5 to 0.6</w:t>
      </w:r>
      <w:r>
        <w:rPr>
          <w:rStyle w:val="AERbody"/>
        </w:rPr>
        <w:t>.</w:t>
      </w:r>
      <w:r w:rsidR="006935DE" w:rsidRPr="006935DE">
        <w:rPr>
          <w:rStyle w:val="FootnoteReference"/>
        </w:rPr>
        <w:footnoteReference w:id="1243"/>
      </w:r>
      <w:r w:rsidR="006935DE">
        <w:rPr>
          <w:rStyle w:val="AERtextsize8"/>
        </w:rPr>
        <w:t xml:space="preserve"> </w:t>
      </w:r>
      <w:r w:rsidR="006935DE" w:rsidRPr="00013867">
        <w:rPr>
          <w:rStyle w:val="AERbody"/>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 This includes the ERA's 2013 study, which appears to contain the same estimates as the Vo, Mero and Gellard study discussed in the Consumer Challenge Panel's report</w:t>
      </w:r>
      <w:r w:rsidR="006935DE" w:rsidRPr="006935DE">
        <w:rPr>
          <w:rStyle w:val="AERtextsize8"/>
        </w:rPr>
        <w:t>.</w:t>
      </w:r>
      <w:r w:rsidR="006935DE" w:rsidRPr="006935DE">
        <w:rPr>
          <w:rStyle w:val="FootnoteReference"/>
        </w:rPr>
        <w:footnoteReference w:id="1244"/>
      </w:r>
      <w:r w:rsidR="006935DE" w:rsidRPr="006935DE">
        <w:rPr>
          <w:rStyle w:val="AERtextsize8"/>
        </w:rPr>
        <w:t xml:space="preserve"> </w:t>
      </w:r>
      <w:r w:rsidR="006935DE" w:rsidRPr="00013867">
        <w:rPr>
          <w:rStyle w:val="AERbody"/>
        </w:rPr>
        <w:t xml:space="preserve">See sections </w:t>
      </w:r>
      <w:r w:rsidR="006935DE" w:rsidRPr="00013867">
        <w:rPr>
          <w:rStyle w:val="AERbody"/>
        </w:rPr>
        <w:fldChar w:fldCharType="begin"/>
      </w:r>
      <w:r w:rsidR="006935DE" w:rsidRPr="00013867">
        <w:rPr>
          <w:rStyle w:val="AERbody"/>
        </w:rPr>
        <w:instrText xml:space="preserve"> REF _Ref446255169 \r \h </w:instrText>
      </w:r>
      <w:r w:rsidR="006935DE">
        <w:rPr>
          <w:rStyle w:val="AERbody"/>
        </w:rPr>
        <w:instrText xml:space="preserve"> \* MERGEFORMAT </w:instrText>
      </w:r>
      <w:r w:rsidR="006935DE" w:rsidRPr="00013867">
        <w:rPr>
          <w:rStyle w:val="AERbody"/>
        </w:rPr>
      </w:r>
      <w:r w:rsidR="006935DE" w:rsidRPr="00013867">
        <w:rPr>
          <w:rStyle w:val="AERbody"/>
        </w:rPr>
        <w:fldChar w:fldCharType="separate"/>
      </w:r>
      <w:r w:rsidR="002C24D6">
        <w:rPr>
          <w:rStyle w:val="AERbody"/>
        </w:rPr>
        <w:t>G.1</w:t>
      </w:r>
      <w:r w:rsidR="006935DE" w:rsidRPr="00013867">
        <w:rPr>
          <w:rStyle w:val="AERbody"/>
        </w:rPr>
        <w:fldChar w:fldCharType="end"/>
      </w:r>
      <w:r w:rsidR="006935DE" w:rsidRPr="00013867">
        <w:rPr>
          <w:rStyle w:val="AERbody"/>
        </w:rPr>
        <w:t xml:space="preserve"> and</w:t>
      </w:r>
      <w:r>
        <w:rPr>
          <w:rStyle w:val="AERbody"/>
        </w:rPr>
        <w:t xml:space="preserve"> </w:t>
      </w:r>
      <w:r>
        <w:rPr>
          <w:rStyle w:val="AERbody"/>
        </w:rPr>
        <w:fldChar w:fldCharType="begin"/>
      </w:r>
      <w:r>
        <w:rPr>
          <w:rStyle w:val="AERbody"/>
        </w:rPr>
        <w:instrText xml:space="preserve"> REF _Ref446255164 \r \h </w:instrText>
      </w:r>
      <w:r>
        <w:rPr>
          <w:rStyle w:val="AERbody"/>
        </w:rPr>
      </w:r>
      <w:r>
        <w:rPr>
          <w:rStyle w:val="AERbody"/>
        </w:rPr>
        <w:fldChar w:fldCharType="separate"/>
      </w:r>
      <w:r w:rsidR="002C24D6">
        <w:rPr>
          <w:rStyle w:val="AERbody"/>
        </w:rPr>
        <w:t>0</w:t>
      </w:r>
      <w:r>
        <w:rPr>
          <w:rStyle w:val="AERbody"/>
        </w:rPr>
        <w:fldChar w:fldCharType="end"/>
      </w:r>
      <w:r w:rsidR="006935DE" w:rsidRPr="00013867">
        <w:rPr>
          <w:rStyle w:val="AERbody"/>
        </w:rPr>
        <w:t>.</w:t>
      </w:r>
    </w:p>
    <w:p w:rsidR="006935DE" w:rsidRDefault="006935DE" w:rsidP="00013867">
      <w:pPr>
        <w:rPr>
          <w:rStyle w:val="AERbody"/>
        </w:rPr>
      </w:pPr>
      <w:r w:rsidRPr="00013867">
        <w:rPr>
          <w:rStyle w:val="AERbody"/>
        </w:rPr>
        <w:t>We</w:t>
      </w:r>
      <w:r w:rsidR="000F0455">
        <w:rPr>
          <w:rStyle w:val="AERbody"/>
        </w:rPr>
        <w:t xml:space="preserve"> also</w:t>
      </w:r>
      <w:r w:rsidRPr="00013867">
        <w:rPr>
          <w:rStyle w:val="AERbody"/>
        </w:rPr>
        <w:t xml:space="preserve"> have regard to other information when selecting our equity beta point estimate from within this range. This includes international empirical estimates and the theoretical principles underpinning the Black CAPM. See section D.5 of Attachment 3 to SAPN's final decision and section G.1 of Attachment 3 in AusNet Services' final decision for its distribution services.</w:t>
      </w:r>
    </w:p>
    <w:p w:rsidR="000F0455" w:rsidRDefault="00C42A76" w:rsidP="00013867">
      <w:pPr>
        <w:rPr>
          <w:rStyle w:val="AERbody"/>
        </w:rPr>
      </w:pPr>
      <w:r>
        <w:rPr>
          <w:rStyle w:val="AERbody"/>
        </w:rPr>
        <w:t>Grant Samuel has</w:t>
      </w:r>
      <w:r w:rsidR="006D79D2">
        <w:rPr>
          <w:rStyle w:val="AERbody"/>
        </w:rPr>
        <w:t xml:space="preserve"> submitted that </w:t>
      </w:r>
      <w:r>
        <w:rPr>
          <w:rStyle w:val="AERbody"/>
        </w:rPr>
        <w:t xml:space="preserve"> w</w:t>
      </w:r>
      <w:r w:rsidR="000F0455" w:rsidRPr="00013867">
        <w:rPr>
          <w:rStyle w:val="AERbody"/>
        </w:rPr>
        <w:t>e have incorrectly analysed the equity beta estimates in Grant Samuel's 2014 independent expert report</w:t>
      </w:r>
      <w:r w:rsidR="006D79D2">
        <w:rPr>
          <w:rStyle w:val="AERbody"/>
        </w:rPr>
        <w:t>.</w:t>
      </w:r>
      <w:r w:rsidR="000F0455" w:rsidRPr="000F0455">
        <w:rPr>
          <w:rStyle w:val="FootnoteReference"/>
        </w:rPr>
        <w:footnoteReference w:id="1245"/>
      </w:r>
      <w:r w:rsidR="000F0455">
        <w:rPr>
          <w:rStyle w:val="AERtextsize8"/>
        </w:rPr>
        <w:t xml:space="preserve"> </w:t>
      </w:r>
      <w:r w:rsidR="000F0455" w:rsidRPr="00013867">
        <w:rPr>
          <w:rStyle w:val="AERbody"/>
        </w:rPr>
        <w:t xml:space="preserve">We </w:t>
      </w:r>
      <w:r w:rsidR="006D79D2">
        <w:rPr>
          <w:rStyle w:val="AERbody"/>
        </w:rPr>
        <w:t xml:space="preserve">note that we </w:t>
      </w:r>
      <w:r w:rsidR="000F0455" w:rsidRPr="00013867">
        <w:rPr>
          <w:rStyle w:val="AERbody"/>
        </w:rPr>
        <w:t>do not average across the different sources for each energy network firm in Grant Samuel's peer group. We average over the four Australian energy network firms in the peer group for each source. For more detail see section D.2.4 of Attachment 3 to SAPN's final decision and section G.2 of Attachment 3 in AusNet Services' final decision for its distribution services</w:t>
      </w:r>
      <w:r w:rsidR="006D79D2">
        <w:rPr>
          <w:rStyle w:val="AERbody"/>
        </w:rPr>
        <w:t>.</w:t>
      </w:r>
    </w:p>
    <w:p w:rsidR="006D79D2" w:rsidRPr="006D79D2" w:rsidRDefault="006D79D2" w:rsidP="006D79D2">
      <w:r w:rsidRPr="005400CA">
        <w:t>CCP</w:t>
      </w:r>
      <w:r w:rsidRPr="006D79D2">
        <w:t xml:space="preserve">5 maintained its view that the AER’s value for β of 0.7 is too high, citing the Olan Henry analysis commissioned by the AER in 2014 as rationale for a lower β. The CCP suggested a value of 0.5 would be in the better long term interests of consumers, while still meeting the requirements of the NER. </w:t>
      </w:r>
      <w:r w:rsidRPr="006D79D2">
        <w:rPr>
          <w:rStyle w:val="FootnoteReference"/>
        </w:rPr>
        <w:footnoteReference w:id="1246"/>
      </w:r>
      <w:r>
        <w:t xml:space="preserve"> </w:t>
      </w:r>
      <w:r w:rsidRPr="003379AF">
        <w:t>We have considered the CCP’s submission however this is based on only one source of relevant evidence. Our consideration of the relevant evidence for the equity beta is based on all the relevant information follo</w:t>
      </w:r>
      <w:r w:rsidRPr="006D79D2">
        <w:t>wing an assessment of their relative merits and suitability for our regulatory task: conceptual analysis, Australian empirical estimates, international empirical estimates and theory of the Black CAPM.</w:t>
      </w:r>
      <w:r w:rsidRPr="006D79D2">
        <w:rPr>
          <w:rStyle w:val="FootnoteReference"/>
        </w:rPr>
        <w:footnoteReference w:id="1247"/>
      </w:r>
    </w:p>
    <w:p w:rsidR="006D79D2" w:rsidRPr="006935DE" w:rsidRDefault="006D79D2" w:rsidP="00013867">
      <w:pPr>
        <w:rPr>
          <w:rStyle w:val="AERbody"/>
        </w:rPr>
      </w:pPr>
      <w:r>
        <w:t xml:space="preserve">We give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w:t>
      </w:r>
      <w:r w:rsidRPr="006D79D2">
        <w:t>of an estimate towards the top of our range.</w:t>
      </w:r>
      <w:r w:rsidRPr="006D79D2">
        <w:rPr>
          <w:rStyle w:val="FootnoteReference"/>
        </w:rPr>
        <w:footnoteReference w:id="1248"/>
      </w:r>
      <w:r w:rsidRPr="006D79D2">
        <w:t xml:space="preserve"> </w:t>
      </w:r>
      <w:r>
        <w:t>We consider our approach and estimate contributes to the ARORO and this has been upheld by the Tribunal.</w:t>
      </w:r>
      <w:r w:rsidRPr="006D79D2">
        <w:rPr>
          <w:rStyle w:val="FootnoteReference"/>
        </w:rPr>
        <w:footnoteReference w:id="1249"/>
      </w:r>
    </w:p>
    <w:p w:rsidR="00754B64" w:rsidRDefault="006D79D2" w:rsidP="00013867">
      <w:pPr>
        <w:rPr>
          <w:rStyle w:val="AERbody"/>
        </w:rPr>
      </w:pPr>
      <w:r>
        <w:t xml:space="preserve">CEG considered that its </w:t>
      </w:r>
      <w:r w:rsidRPr="006D79D2">
        <w:t>replication of Henry’s original results is sufficiently close so as to warrant using its methodology to extend results to 2016.</w:t>
      </w:r>
      <w:r w:rsidRPr="006D79D2">
        <w:rPr>
          <w:rStyle w:val="FootnoteReference"/>
        </w:rPr>
        <w:footnoteReference w:id="1250"/>
      </w:r>
      <w:r>
        <w:t xml:space="preserve"> </w:t>
      </w:r>
      <w:r w:rsidRPr="00013867">
        <w:rPr>
          <w:rStyle w:val="AERbody"/>
        </w:rPr>
        <w:t>We note that CEG was not able to completely replicate Henry’s original results. In particular, there is a 57 per cent discrepancy in SKI’s gearing estimate which would materially affect re-levered betas at the firm and portfolio level.</w:t>
      </w:r>
    </w:p>
    <w:p w:rsidR="006D79D2" w:rsidRDefault="006D79D2" w:rsidP="006D79D2">
      <w:r>
        <w:t xml:space="preserve">CEG’s </w:t>
      </w:r>
      <w:r w:rsidRPr="006D79D2">
        <w:t>extension of Henry’s estimates to June 2016 suggest that empirical estimates of equity beta have increased since Henry’s 2014 report.</w:t>
      </w:r>
      <w:r w:rsidRPr="006D79D2">
        <w:rPr>
          <w:rStyle w:val="FootnoteReference"/>
        </w:rPr>
        <w:footnoteReference w:id="1251"/>
      </w:r>
      <w:r w:rsidRPr="006D79D2">
        <w:t xml:space="preserve"> </w:t>
      </w:r>
      <w:r w:rsidRPr="00013867">
        <w:rPr>
          <w:rStyle w:val="AERbody"/>
        </w:rPr>
        <w:t>Having analysed CEG’s results, we do not consider that CEG’s extension provides satisfactory evidence of a material change in equity beta estimates. We note CEG's extension are still consistent with Henry's original estimates such that our empirical range remains 0.4–0.7 and our point estimate 0.7.</w:t>
      </w:r>
      <w:r w:rsidRPr="006D79D2">
        <w:rPr>
          <w:rStyle w:val="AERtextsize8"/>
        </w:rPr>
        <w:t xml:space="preserve"> </w:t>
      </w:r>
      <w:r>
        <w:rPr>
          <w:rStyle w:val="AERtextsize8"/>
        </w:rPr>
        <w:t xml:space="preserve"> </w:t>
      </w:r>
      <w:r w:rsidRPr="00013867">
        <w:rPr>
          <w:rStyle w:val="AERbody"/>
        </w:rPr>
        <w:t>Our views are supported by</w:t>
      </w:r>
      <w:r>
        <w:rPr>
          <w:rStyle w:val="AERtextsize8"/>
        </w:rPr>
        <w:t xml:space="preserve"> </w:t>
      </w:r>
      <w:r w:rsidRPr="006D79D2">
        <w:t>Partington and Satchell who also noted that they ‘are not convinced that there has been material change in beta’ after reviewing CEG’s estimates.</w:t>
      </w:r>
      <w:r w:rsidRPr="006D79D2">
        <w:rPr>
          <w:rStyle w:val="FootnoteReference"/>
        </w:rPr>
        <w:footnoteReference w:id="1252"/>
      </w:r>
      <w:r w:rsidRPr="006D79D2">
        <w:t xml:space="preserve"> </w:t>
      </w:r>
      <w:r>
        <w:t xml:space="preserve">We discuss this in more detail in Appendix </w:t>
      </w:r>
      <w:r w:rsidRPr="006D79D2">
        <w:t>G.</w:t>
      </w:r>
    </w:p>
    <w:p w:rsidR="006D79D2" w:rsidRDefault="006D79D2" w:rsidP="006D79D2">
      <w:pPr>
        <w:rPr>
          <w:rStyle w:val="AERbody"/>
        </w:rPr>
      </w:pPr>
      <w:r>
        <w:t>CEG submitted that more recent estimates</w:t>
      </w:r>
      <w:r w:rsidRPr="006D79D2">
        <w:t xml:space="preserve"> (one year and five year estimates) of equity beta for still-listed firms indicate a more prominent increase in the equity beta.</w:t>
      </w:r>
      <w:r w:rsidRPr="006D79D2">
        <w:rPr>
          <w:rStyle w:val="FootnoteReference"/>
        </w:rPr>
        <w:footnoteReference w:id="1253"/>
      </w:r>
      <w:r>
        <w:t xml:space="preserve"> </w:t>
      </w:r>
      <w:r w:rsidRPr="00013867">
        <w:rPr>
          <w:rStyle w:val="AERbody"/>
        </w:rPr>
        <w:t>We do not consider, as proposed by CEG, that more recent estimates of equity sufficiently justify an increase to our range and/or point estimates because short term data is more prone to one-off events, fluctuations and volatility which may obscure the 'true' equity beta for a benchmark efficient entity.</w:t>
      </w:r>
      <w:r>
        <w:rPr>
          <w:rStyle w:val="AERbody"/>
        </w:rPr>
        <w:t xml:space="preserve"> </w:t>
      </w:r>
      <w:r w:rsidRPr="00013867">
        <w:rPr>
          <w:rStyle w:val="AERbody"/>
        </w:rPr>
        <w:t>We discuss this in more detail in Appendix G.</w:t>
      </w:r>
    </w:p>
    <w:p w:rsidR="006D79D2" w:rsidRPr="006D79D2" w:rsidRDefault="006D79D2" w:rsidP="006D79D2">
      <w:r>
        <w:t xml:space="preserve">CEG compared results of its extension against Henry's </w:t>
      </w:r>
      <w:r w:rsidRPr="006D79D2">
        <w:t>original results and note that beta has increased by around 0.1 or more since the end of Henry's sampling period</w:t>
      </w:r>
      <w:r>
        <w:t>.</w:t>
      </w:r>
      <w:r w:rsidRPr="006D79D2">
        <w:rPr>
          <w:rStyle w:val="FootnoteReference"/>
        </w:rPr>
        <w:footnoteReference w:id="1254"/>
      </w:r>
      <w:r>
        <w:t xml:space="preserve"> We note CEG compares results of its extension against Henry's original results in Table 13 and 14 of its report as support of a material increase in </w:t>
      </w:r>
      <w:r w:rsidRPr="006D79D2">
        <w:t>the equity beta.</w:t>
      </w:r>
    </w:p>
    <w:p w:rsidR="006D79D2" w:rsidRDefault="006D79D2" w:rsidP="006D79D2">
      <w:r>
        <w:t>However, th</w:t>
      </w:r>
      <w:r w:rsidRPr="006D79D2">
        <w:t>is is misleading because CEG is not making the correct comparison. CEG should have compared its extension results against its own replication instead of Henry's original results. As observed in CEG's report, its re-levered betas (from the replication) are generally higher than Henry's results. And this difference would overstate the increase since Henry's original's results.</w:t>
      </w:r>
    </w:p>
    <w:p w:rsidR="006D79D2" w:rsidRPr="00013867" w:rsidRDefault="006D79D2" w:rsidP="006D79D2">
      <w:pPr>
        <w:rPr>
          <w:rStyle w:val="AERbody"/>
        </w:rPr>
      </w:pPr>
      <w:r>
        <w:t>CEG stated</w:t>
      </w:r>
      <w:r w:rsidRPr="006D79D2">
        <w:t xml:space="preserve"> increases in the most recent 5 year data  reflected increases in the raw equity betas, decreases in gearing ratios of the remaining listed stocks (APA, DUE, SKI, AST) increase and an increase in the weighting of high-beta stocks (APA) in the value-weighted portfolios.</w:t>
      </w:r>
      <w:r w:rsidRPr="006D79D2">
        <w:rPr>
          <w:rStyle w:val="FootnoteReference"/>
        </w:rPr>
        <w:footnoteReference w:id="1255"/>
      </w:r>
      <w:r w:rsidRPr="006D79D2">
        <w:t xml:space="preserve"> </w:t>
      </w:r>
      <w:r w:rsidRPr="00013867">
        <w:rPr>
          <w:rStyle w:val="AERbody"/>
        </w:rPr>
        <w:t>Since the Guideline, some of the still-listed firms have undertaken a range of transactions (some of these transactions would be expected to increase their exposure to systematic risk from unregulated assets and/or assets that are different from the regulated services) that should not affect their systematic risk of supplying regulated</w:t>
      </w:r>
      <w:r w:rsidR="00B963BE">
        <w:rPr>
          <w:rStyle w:val="AERbody"/>
        </w:rPr>
        <w:t xml:space="preserve"> </w:t>
      </w:r>
      <w:r w:rsidRPr="00013867">
        <w:rPr>
          <w:rStyle w:val="AERbody"/>
        </w:rPr>
        <w:t>services.</w:t>
      </w:r>
      <w:r w:rsidRPr="006D79D2">
        <w:rPr>
          <w:rStyle w:val="FootnoteReference"/>
        </w:rPr>
        <w:footnoteReference w:id="1256"/>
      </w:r>
      <w:r w:rsidRPr="006D79D2">
        <w:rPr>
          <w:rStyle w:val="AERtextsize8"/>
        </w:rPr>
        <w:t xml:space="preserve"> </w:t>
      </w:r>
      <w:r w:rsidRPr="00013867">
        <w:rPr>
          <w:rStyle w:val="AERbody"/>
        </w:rPr>
        <w:t>Therefore it is not clear that CEG’s result, even if reflective of a true increase in the underlying beta of the sample, is indicative of a material change in the equity beta of a benchmark efficient entity in providing regulated services.</w:t>
      </w:r>
      <w:r w:rsidRPr="006D79D2">
        <w:rPr>
          <w:rStyle w:val="AERtextsize8"/>
        </w:rPr>
        <w:t xml:space="preserve"> </w:t>
      </w:r>
      <w:r w:rsidRPr="00013867">
        <w:rPr>
          <w:rStyle w:val="AERbody"/>
        </w:rPr>
        <w:t xml:space="preserve">Partington and Satchell has also advised that there is overall only 'weak evidence of increased </w:t>
      </w:r>
      <w:r w:rsidR="006C250D" w:rsidRPr="006C250D">
        <w:rPr>
          <w:rStyle w:val="AERbody"/>
        </w:rPr>
        <w:t>beta</w:t>
      </w:r>
      <w:r w:rsidRPr="00013867">
        <w:rPr>
          <w:rStyle w:val="AERbody"/>
        </w:rPr>
        <w:t xml:space="preserve"> at the individual firm level based on last five years data set'.</w:t>
      </w:r>
      <w:r w:rsidRPr="006D79D2">
        <w:rPr>
          <w:rStyle w:val="FootnoteReference"/>
        </w:rPr>
        <w:footnoteReference w:id="1257"/>
      </w:r>
      <w:r w:rsidRPr="006D79D2">
        <w:t xml:space="preserve"> </w:t>
      </w:r>
    </w:p>
    <w:p w:rsidR="006D79D2" w:rsidRPr="00013867" w:rsidRDefault="006D79D2" w:rsidP="006D79D2">
      <w:pPr>
        <w:rPr>
          <w:rStyle w:val="AERbody"/>
        </w:rPr>
      </w:pPr>
      <w:r>
        <w:t>CCP5 has previously noted that t</w:t>
      </w:r>
      <w:r w:rsidRPr="003379AF">
        <w:t>he AER could set a lower return</w:t>
      </w:r>
      <w:r w:rsidRPr="006D79D2">
        <w:t xml:space="preserve"> on equity by specifying an equity beta closer to 0.4 than 0.7, which would be within the AER’s range but lower than that set by the AER to date.</w:t>
      </w:r>
      <w:r w:rsidRPr="006D79D2">
        <w:rPr>
          <w:rStyle w:val="FootnoteReference"/>
        </w:rPr>
        <w:footnoteReference w:id="1258"/>
      </w:r>
      <w:r w:rsidRPr="006D79D2">
        <w:t xml:space="preserve"> </w:t>
      </w:r>
      <w:r w:rsidRPr="00013867">
        <w:rPr>
          <w:rStyle w:val="AERbody"/>
        </w:rPr>
        <w:t xml:space="preserve">As noted above, we apply the Guideline approach to setting the equity beta. We outline our analysis and consideration of the relevant evidence in this chapter and do not only rely on one piece of material. </w:t>
      </w:r>
    </w:p>
    <w:p w:rsidR="006D79D2" w:rsidRDefault="006D79D2" w:rsidP="00013867">
      <w:pPr>
        <w:rPr>
          <w:rStyle w:val="AERbody"/>
        </w:rPr>
      </w:pPr>
      <w:r w:rsidRPr="00013867">
        <w:rPr>
          <w:rStyle w:val="AERbody"/>
        </w:rPr>
        <w:t xml:space="preserve">Our analysis of Australian empirical estimates indicates an empirical range of 0.4–0.7. </w:t>
      </w:r>
      <w:r>
        <w:rPr>
          <w:rStyle w:val="AERbody"/>
        </w:rPr>
        <w:t>C</w:t>
      </w:r>
      <w:r w:rsidRPr="00013867">
        <w:rPr>
          <w:rStyle w:val="AERbody"/>
        </w:rPr>
        <w:t xml:space="preserve">onsiderations of the theory of the Black CAPM and international empirical estimates lead us to set a point estimate towards the top of our range of 0.7.   </w:t>
      </w:r>
    </w:p>
    <w:p w:rsidR="006D79D2" w:rsidRPr="006D79D2" w:rsidRDefault="006D79D2" w:rsidP="006D79D2">
      <w:r>
        <w:rPr>
          <w:rStyle w:val="AERbody"/>
        </w:rPr>
        <w:t xml:space="preserve">CCP4 previously submitted that </w:t>
      </w:r>
      <w:r w:rsidRPr="00013867">
        <w:rPr>
          <w:rStyle w:val="AERbody"/>
        </w:rPr>
        <w:t>Henry’s (2014) paper commissioned by the AER provide evidence that the AER should be applying an equity beta of 0.4 or lower. Of the nineteen calculations on which Henry (2014) based his recommended range on, most are at the lower end with fourteen calculations between 0.3 and 0.5.</w:t>
      </w:r>
      <w:r w:rsidRPr="006D79D2">
        <w:rPr>
          <w:rStyle w:val="FootnoteReference"/>
        </w:rPr>
        <w:footnoteReference w:id="1259"/>
      </w:r>
      <w:r>
        <w:rPr>
          <w:rStyle w:val="AERtextsize8"/>
        </w:rPr>
        <w:t xml:space="preserve"> </w:t>
      </w:r>
      <w:r>
        <w:t xml:space="preserve">As noted above, </w:t>
      </w:r>
      <w:r w:rsidRPr="006D79D2">
        <w:t>we do not only use empirical Australian estimates to inform our equity beta decision. We consider all the relevant evidence and assign them roles following an assessment of their relative merits and suitability for our regulatory task.</w:t>
      </w:r>
      <w:r w:rsidRPr="006D79D2">
        <w:rPr>
          <w:rStyle w:val="FootnoteReference"/>
        </w:rPr>
        <w:footnoteReference w:id="1260"/>
      </w:r>
      <w:r w:rsidRPr="006D79D2">
        <w:t xml:space="preserve"> </w:t>
      </w:r>
    </w:p>
    <w:p w:rsidR="006D79D2" w:rsidRDefault="006D79D2" w:rsidP="00013867">
      <w:r>
        <w:t>We give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6D79D2">
        <w:rPr>
          <w:rStyle w:val="FootnoteReference"/>
        </w:rPr>
        <w:footnoteReference w:id="1261"/>
      </w:r>
      <w:r w:rsidRPr="006D79D2">
        <w:t xml:space="preserve">  </w:t>
      </w:r>
    </w:p>
    <w:p w:rsidR="006D79D2" w:rsidRDefault="006D79D2" w:rsidP="006D79D2">
      <w:pPr>
        <w:pStyle w:val="Heading8"/>
      </w:pPr>
      <w:bookmarkStart w:id="386" w:name="_Toc487037191"/>
      <w:r>
        <w:t>International empirical estimates</w:t>
      </w:r>
      <w:bookmarkEnd w:id="386"/>
    </w:p>
    <w:p w:rsidR="009E5768" w:rsidRDefault="009E5768" w:rsidP="00887E90">
      <w:pPr>
        <w:rPr>
          <w:rStyle w:val="AERbody"/>
        </w:rPr>
      </w:pPr>
      <w:r>
        <w:rPr>
          <w:rStyle w:val="AERbody"/>
        </w:rPr>
        <w:t>Previously, we received  a number of submissions on international empirical estimates.</w:t>
      </w:r>
    </w:p>
    <w:p w:rsidR="00887E90" w:rsidRPr="00013867" w:rsidRDefault="00887E90" w:rsidP="00887E90">
      <w:pPr>
        <w:rPr>
          <w:rStyle w:val="AERbody"/>
        </w:rPr>
      </w:pPr>
      <w:r>
        <w:rPr>
          <w:rStyle w:val="AERbody"/>
        </w:rPr>
        <w:t>SFG and Frontier have previously submitted that o</w:t>
      </w:r>
      <w:r w:rsidRPr="00013867">
        <w:rPr>
          <w:rStyle w:val="AERbody"/>
        </w:rPr>
        <w:t>ur analysis of international empirical estimates is incorrect because we do not consider the relative reliability of different studies.</w:t>
      </w:r>
      <w:r w:rsidRPr="00887E90">
        <w:rPr>
          <w:rStyle w:val="FootnoteReference"/>
        </w:rPr>
        <w:footnoteReference w:id="1262"/>
      </w:r>
      <w:r>
        <w:rPr>
          <w:rStyle w:val="AERtextsize8"/>
        </w:rPr>
        <w:t xml:space="preserve"> </w:t>
      </w:r>
      <w:r w:rsidRPr="00013867">
        <w:rPr>
          <w:rStyle w:val="AERbody"/>
        </w:rPr>
        <w:t xml:space="preserve">The reports we review </w:t>
      </w:r>
      <w:r>
        <w:rPr>
          <w:rStyle w:val="AERbody"/>
        </w:rPr>
        <w:t xml:space="preserve">in </w:t>
      </w:r>
      <w:r>
        <w:rPr>
          <w:rStyle w:val="AERbody"/>
        </w:rPr>
        <w:fldChar w:fldCharType="begin"/>
      </w:r>
      <w:r>
        <w:rPr>
          <w:rStyle w:val="AERbody"/>
        </w:rPr>
        <w:instrText xml:space="preserve"> REF _Ref483228282 \r \h </w:instrText>
      </w:r>
      <w:r>
        <w:rPr>
          <w:rStyle w:val="AERbody"/>
        </w:rPr>
      </w:r>
      <w:r>
        <w:rPr>
          <w:rStyle w:val="AERbody"/>
        </w:rPr>
        <w:fldChar w:fldCharType="separate"/>
      </w:r>
      <w:r w:rsidR="002C24D6">
        <w:rPr>
          <w:rStyle w:val="AERbody"/>
        </w:rPr>
        <w:t>G.3</w:t>
      </w:r>
      <w:r>
        <w:rPr>
          <w:rStyle w:val="AERbody"/>
        </w:rPr>
        <w:fldChar w:fldCharType="end"/>
      </w:r>
      <w:r>
        <w:rPr>
          <w:rStyle w:val="AERbody"/>
        </w:rPr>
        <w:t xml:space="preserve"> </w:t>
      </w:r>
      <w:r w:rsidRPr="00013867">
        <w:rPr>
          <w:rStyle w:val="AERbody"/>
        </w:rPr>
        <w:t>are from reputable sources. Different reports use different estimation techniques because experts have different views on how best to estimate equity beta. It would be difficult to find reports that are fully consistent with our preferred estimation approach. For more detail see section D.3 SAPN's final decision and section G.2 and G.4.2 of Attachment 3 in AusNet Services' final decision for its distribution services.</w:t>
      </w:r>
    </w:p>
    <w:p w:rsidR="006D79D2" w:rsidRDefault="00887E90" w:rsidP="00013867">
      <w:pPr>
        <w:rPr>
          <w:rStyle w:val="AERbody"/>
        </w:rPr>
      </w:pPr>
      <w:r>
        <w:rPr>
          <w:rStyle w:val="AERbody"/>
        </w:rPr>
        <w:t>Consultants for the service providers also previously noted that t</w:t>
      </w:r>
      <w:r w:rsidRPr="00013867">
        <w:rPr>
          <w:rStyle w:val="AERbody"/>
        </w:rPr>
        <w:t>he international empirical estimates we consider (correctly analysed) are consistent with an equity beta estimate materially above 0.7</w:t>
      </w:r>
      <w:r>
        <w:rPr>
          <w:rStyle w:val="AERbody"/>
        </w:rPr>
        <w:t>.</w:t>
      </w:r>
      <w:r w:rsidRPr="00887E90">
        <w:rPr>
          <w:rStyle w:val="FootnoteReference"/>
        </w:rPr>
        <w:footnoteReference w:id="1263"/>
      </w:r>
      <w:r>
        <w:rPr>
          <w:rStyle w:val="AERtextsize8"/>
        </w:rPr>
        <w:t xml:space="preserve"> </w:t>
      </w:r>
      <w:r w:rsidRPr="00013867">
        <w:rPr>
          <w:rStyle w:val="AERbody"/>
        </w:rPr>
        <w:t xml:space="preserve">We do not agree with </w:t>
      </w:r>
      <w:r>
        <w:rPr>
          <w:rStyle w:val="AERbody"/>
        </w:rPr>
        <w:t>their</w:t>
      </w:r>
      <w:r w:rsidRPr="00013867">
        <w:rPr>
          <w:rStyle w:val="AERbody"/>
        </w:rPr>
        <w:t xml:space="preserve"> interpretation of the international evidence we consider. We do not consider this evidence implies an equity beta estimate above 0.7 for the benchmark efficient entity. For more detail see section D.3 of Attachment 3 to SAPN's final decision and section G.3 of Attachment 3 in AusNet Services' final decision for its distribution services</w:t>
      </w:r>
      <w:r>
        <w:rPr>
          <w:rStyle w:val="AERbody"/>
        </w:rPr>
        <w:t>.</w:t>
      </w:r>
    </w:p>
    <w:p w:rsidR="00887E90" w:rsidRDefault="00887E90" w:rsidP="00887E90">
      <w:pPr>
        <w:pStyle w:val="Heading8"/>
      </w:pPr>
      <w:bookmarkStart w:id="387" w:name="_Toc487037192"/>
      <w:r>
        <w:t>Theoretical principles underpinnning the Black CAPM</w:t>
      </w:r>
      <w:bookmarkEnd w:id="387"/>
    </w:p>
    <w:p w:rsidR="00220B09" w:rsidRDefault="00220B09" w:rsidP="00220B09">
      <w:pPr>
        <w:rPr>
          <w:rStyle w:val="AERbody"/>
        </w:rPr>
      </w:pPr>
      <w:r>
        <w:rPr>
          <w:rStyle w:val="AERbody"/>
        </w:rPr>
        <w:t>We have received a range of submissions on our use of the theoretical principles underpinning the Black CAPM</w:t>
      </w:r>
      <w:r w:rsidR="009E5768">
        <w:rPr>
          <w:rStyle w:val="AERbody"/>
        </w:rPr>
        <w:t xml:space="preserve"> </w:t>
      </w:r>
      <w:r>
        <w:rPr>
          <w:rStyle w:val="AERbody"/>
        </w:rPr>
        <w:t xml:space="preserve">. </w:t>
      </w:r>
    </w:p>
    <w:p w:rsidR="006D79D2" w:rsidRDefault="00220B09" w:rsidP="00013867">
      <w:pPr>
        <w:rPr>
          <w:rStyle w:val="AERtextsize8"/>
        </w:rPr>
      </w:pPr>
      <w:r>
        <w:rPr>
          <w:rStyle w:val="AERbody"/>
        </w:rPr>
        <w:t xml:space="preserve">Frontier has previously submitted that using </w:t>
      </w:r>
      <w:r w:rsidR="00DF1E63" w:rsidRPr="00013867">
        <w:rPr>
          <w:rStyle w:val="AERbody"/>
        </w:rPr>
        <w:t>the theory of the Black CAPM</w:t>
      </w:r>
      <w:r>
        <w:rPr>
          <w:rStyle w:val="AERbody"/>
        </w:rPr>
        <w:t>–</w:t>
      </w:r>
      <w:r w:rsidR="00DF1E63" w:rsidRPr="00013867">
        <w:rPr>
          <w:rStyle w:val="AERbody"/>
        </w:rPr>
        <w:t>to apply a specific uplift to equity beta to correct for 'low beta bias'—is insufficient to correct for this bias in the Sharpe-Lintner CAPM</w:t>
      </w:r>
      <w:r>
        <w:rPr>
          <w:rStyle w:val="AERbody"/>
        </w:rPr>
        <w:t>.</w:t>
      </w:r>
      <w:r w:rsidR="00DF1E63" w:rsidRPr="00DF1E63">
        <w:rPr>
          <w:rStyle w:val="FootnoteReference"/>
        </w:rPr>
        <w:footnoteReference w:id="1264"/>
      </w:r>
      <w:r w:rsidR="00DF1E63">
        <w:rPr>
          <w:rStyle w:val="AERtextsize8"/>
        </w:rPr>
        <w:t xml:space="preserve"> </w:t>
      </w:r>
      <w:r w:rsidR="00DF1E63" w:rsidRPr="00013867">
        <w:rPr>
          <w:rStyle w:val="AERbody"/>
        </w:rPr>
        <w:t>We</w:t>
      </w:r>
      <w:r>
        <w:rPr>
          <w:rStyle w:val="AERbody"/>
        </w:rPr>
        <w:t xml:space="preserve"> clarify that we</w:t>
      </w:r>
      <w:r w:rsidR="00DF1E63" w:rsidRPr="00013867">
        <w:rPr>
          <w:rStyle w:val="AERbody"/>
        </w:rPr>
        <w:t xml:space="preserve"> do not use the theory underlying the Black CAPM to apply a specific 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SAPN's final decision and section B.2 of Attachment 3 in AusNet Services' final decision for its distribution services.</w:t>
      </w:r>
    </w:p>
    <w:p w:rsidR="00DF1E63" w:rsidRDefault="00220B09" w:rsidP="00013867">
      <w:pPr>
        <w:rPr>
          <w:rStyle w:val="AERtextsize8"/>
        </w:rPr>
      </w:pPr>
      <w:r>
        <w:rPr>
          <w:rStyle w:val="AERbody"/>
        </w:rPr>
        <w:t>SFG previously submitted that o</w:t>
      </w:r>
      <w:r w:rsidRPr="00013867">
        <w:rPr>
          <w:rStyle w:val="AERbody"/>
        </w:rPr>
        <w:t>ur use of the theory of the Black CAPM to inform the equity beta point estimate is arbitrary and/or convoluted.</w:t>
      </w:r>
      <w:r>
        <w:rPr>
          <w:rStyle w:val="FootnoteReference"/>
        </w:rPr>
        <w:footnoteReference w:id="1265"/>
      </w:r>
      <w:r w:rsidRPr="00013867">
        <w:rPr>
          <w:rStyle w:val="AERbody"/>
        </w:rPr>
        <w:t xml:space="preserve"> </w:t>
      </w:r>
      <w:r>
        <w:rPr>
          <w:rStyle w:val="AERbody"/>
        </w:rPr>
        <w:t>It noted that t</w:t>
      </w:r>
      <w:r w:rsidRPr="00013867">
        <w:rPr>
          <w:rStyle w:val="AERbody"/>
        </w:rPr>
        <w:t>he correct use of the Black CAPM (under our foundation model approach) is to use it empirically—this results in an equity beta estimate materially higher than 0.7.</w:t>
      </w:r>
      <w:r w:rsidRPr="00220B09">
        <w:rPr>
          <w:rStyle w:val="FootnoteReference"/>
        </w:rPr>
        <w:footnoteReference w:id="1266"/>
      </w:r>
      <w:r>
        <w:rPr>
          <w:rStyle w:val="AERtextsize8"/>
        </w:rPr>
        <w:t xml:space="preserve"> </w:t>
      </w:r>
      <w:r w:rsidRPr="00013867">
        <w:rPr>
          <w:rStyle w:val="AERbody"/>
        </w:rPr>
        <w:t>We consider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AusNet Services' final decision for its distribution services and this decision.</w:t>
      </w:r>
    </w:p>
    <w:p w:rsidR="00220B09" w:rsidRPr="00013867" w:rsidRDefault="00171D80" w:rsidP="00220B09">
      <w:pPr>
        <w:rPr>
          <w:rStyle w:val="AERbody"/>
        </w:rPr>
      </w:pPr>
      <w:r>
        <w:rPr>
          <w:rStyle w:val="AERbody"/>
        </w:rPr>
        <w:t xml:space="preserve">User groups </w:t>
      </w:r>
      <w:r w:rsidR="00E915BA">
        <w:rPr>
          <w:rStyle w:val="AERbody"/>
        </w:rPr>
        <w:t>have previously submitted that n</w:t>
      </w:r>
      <w:r w:rsidR="00220B09" w:rsidRPr="00013867">
        <w:rPr>
          <w:rStyle w:val="AERbody"/>
        </w:rPr>
        <w:t>either the theory nor empirical evidence from the Black CAPM should be used to inform the equity beta point estimate.</w:t>
      </w:r>
      <w:r w:rsidR="00220B09" w:rsidRPr="00220B09">
        <w:rPr>
          <w:rStyle w:val="FootnoteReference"/>
        </w:rPr>
        <w:footnoteReference w:id="1267"/>
      </w:r>
      <w:r w:rsidR="00220B09">
        <w:rPr>
          <w:rStyle w:val="AERtextsize8"/>
        </w:rPr>
        <w:t xml:space="preserve"> </w:t>
      </w:r>
      <w:r w:rsidR="00220B09" w:rsidRPr="00013867">
        <w:rPr>
          <w:rStyle w:val="AERbody"/>
        </w:rPr>
        <w:t>We consider there are merits to the theoretical principles underpinning the Black CAPM (for example, it relaxes an assumption underlying the Sharpe-Lintner CAPM),</w:t>
      </w:r>
      <w:r w:rsidR="00220B09" w:rsidRPr="00220B09">
        <w:rPr>
          <w:rStyle w:val="FootnoteReference"/>
        </w:rPr>
        <w:footnoteReference w:id="1268"/>
      </w:r>
      <w:r w:rsidR="00220B09" w:rsidRPr="00220B09">
        <w:rPr>
          <w:rStyle w:val="AERtextsize8"/>
        </w:rPr>
        <w:t xml:space="preserve"> </w:t>
      </w:r>
      <w:r w:rsidR="00220B09" w:rsidRPr="00013867">
        <w:rPr>
          <w:rStyle w:val="AERbody"/>
        </w:rPr>
        <w:t xml:space="preserve">and we have assessed this information against the criteria set out in the Guideline. We consider this theory can be useful in informing our equity beta point estimate. For more detail see section D.4 of Attachment 3 to SAPN's final decision and section G.1 of Attachment 3 in AusNet Services' final decision for its distribution services.  And section </w:t>
      </w:r>
      <w:r w:rsidR="00220B09" w:rsidRPr="00013867">
        <w:rPr>
          <w:rStyle w:val="AERbody"/>
        </w:rPr>
        <w:fldChar w:fldCharType="begin"/>
      </w:r>
      <w:r w:rsidR="00220B09" w:rsidRPr="00013867">
        <w:rPr>
          <w:rStyle w:val="AERbody"/>
        </w:rPr>
        <w:instrText xml:space="preserve"> REF _Ref448924785 \r \h </w:instrText>
      </w:r>
      <w:r w:rsidR="00220B09">
        <w:rPr>
          <w:rStyle w:val="AERbody"/>
        </w:rPr>
        <w:instrText xml:space="preserve"> \* MERGEFORMAT </w:instrText>
      </w:r>
      <w:r w:rsidR="00220B09" w:rsidRPr="00013867">
        <w:rPr>
          <w:rStyle w:val="AERbody"/>
        </w:rPr>
      </w:r>
      <w:r w:rsidR="00220B09" w:rsidRPr="00013867">
        <w:rPr>
          <w:rStyle w:val="AERbody"/>
        </w:rPr>
        <w:fldChar w:fldCharType="separate"/>
      </w:r>
      <w:r w:rsidR="002C24D6">
        <w:rPr>
          <w:rStyle w:val="AERbody"/>
        </w:rPr>
        <w:t>B.2.3</w:t>
      </w:r>
      <w:r w:rsidR="00220B09" w:rsidRPr="00013867">
        <w:rPr>
          <w:rStyle w:val="AERbody"/>
        </w:rPr>
        <w:fldChar w:fldCharType="end"/>
      </w:r>
      <w:r w:rsidR="00220B09" w:rsidRPr="00013867">
        <w:rPr>
          <w:rStyle w:val="AERbody"/>
        </w:rPr>
        <w:t xml:space="preserve"> of this decision. </w:t>
      </w:r>
    </w:p>
    <w:p w:rsidR="00220B09" w:rsidRDefault="00220B09" w:rsidP="00013867">
      <w:pPr>
        <w:rPr>
          <w:rStyle w:val="AERbody"/>
        </w:rPr>
      </w:pPr>
      <w:r w:rsidRPr="00013867">
        <w:rPr>
          <w:rStyle w:val="AERbody"/>
        </w:rPr>
        <w:t>We also note that Partington and Handley have both provided support for our foundation model approach.</w:t>
      </w:r>
      <w:r w:rsidRPr="00220B09">
        <w:rPr>
          <w:rStyle w:val="FootnoteReference"/>
        </w:rPr>
        <w:footnoteReference w:id="1269"/>
      </w:r>
      <w:r w:rsidRPr="00220B09">
        <w:rPr>
          <w:rStyle w:val="AERtextsize8"/>
        </w:rPr>
        <w:t xml:space="preserve"> </w:t>
      </w:r>
      <w:r w:rsidRPr="00013867">
        <w:rPr>
          <w:rStyle w:val="AERbody"/>
        </w:rPr>
        <w:t>Our foundation model approach includes our use of the theory of the Black CAPM to inform the equity beta point estimate</w:t>
      </w:r>
      <w:r w:rsidR="00171D80">
        <w:rPr>
          <w:rStyle w:val="AERbody"/>
        </w:rPr>
        <w:t>.</w:t>
      </w:r>
    </w:p>
    <w:p w:rsidR="00E915BA" w:rsidRPr="00E915BA" w:rsidRDefault="00E915BA">
      <w:pPr>
        <w:pStyle w:val="Heading8"/>
      </w:pPr>
      <w:bookmarkStart w:id="388" w:name="_Toc487037193"/>
      <w:r>
        <w:t>Conceptual analysis</w:t>
      </w:r>
      <w:bookmarkEnd w:id="388"/>
    </w:p>
    <w:p w:rsidR="00171D80" w:rsidRDefault="00E915BA" w:rsidP="00013867">
      <w:pPr>
        <w:rPr>
          <w:rStyle w:val="AERbody"/>
        </w:rPr>
      </w:pPr>
      <w:r>
        <w:rPr>
          <w:rStyle w:val="AERbody"/>
        </w:rPr>
        <w:t>Consumer groups have previously submitted that t</w:t>
      </w:r>
      <w:r w:rsidRPr="00013867">
        <w:rPr>
          <w:rStyle w:val="AERbody"/>
        </w:rPr>
        <w:t>he reduction in systematic risk (specifically, demand risk) from transitioning to a revenue cap from a price cap should be reflected in the equity beta</w:t>
      </w:r>
      <w:r>
        <w:rPr>
          <w:rStyle w:val="AERtextsize8"/>
        </w:rPr>
        <w:t>.</w:t>
      </w:r>
      <w:r w:rsidRPr="00E915BA">
        <w:rPr>
          <w:rStyle w:val="FootnoteReference"/>
        </w:rPr>
        <w:footnoteReference w:id="1270"/>
      </w:r>
      <w:r w:rsidRPr="00E915BA">
        <w:rPr>
          <w:rStyle w:val="AERtextsize8"/>
        </w:rPr>
        <w:t xml:space="preserve"> </w:t>
      </w:r>
      <w:r w:rsidRPr="00E915BA">
        <w:rPr>
          <w:rStyle w:val="FootnoteReference"/>
        </w:rPr>
        <w:footnoteReference w:id="1271"/>
      </w:r>
      <w:r>
        <w:rPr>
          <w:rStyle w:val="AERtextsize8"/>
        </w:rPr>
        <w:t xml:space="preserve"> </w:t>
      </w:r>
      <w:r w:rsidRPr="00013867">
        <w:rPr>
          <w:rStyle w:val="AERbody"/>
        </w:rPr>
        <w:t>We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E915BA">
        <w:rPr>
          <w:rStyle w:val="FootnoteReference"/>
        </w:rPr>
        <w:footnoteReference w:id="1272"/>
      </w:r>
    </w:p>
    <w:p w:rsidR="00E915BA" w:rsidRPr="00013867" w:rsidRDefault="00A85DCD" w:rsidP="00E915BA">
      <w:pPr>
        <w:rPr>
          <w:rStyle w:val="AERbody"/>
        </w:rPr>
      </w:pPr>
      <w:r>
        <w:rPr>
          <w:rStyle w:val="AERbody"/>
        </w:rPr>
        <w:t>Frontier has previously submitted that o</w:t>
      </w:r>
      <w:r w:rsidR="00E915BA" w:rsidRPr="00013867">
        <w:rPr>
          <w:rStyle w:val="AERbody"/>
        </w:rPr>
        <w:t>ur assessment of financial risk and its impact on overall systematic risk is incorrect.</w:t>
      </w:r>
      <w:r w:rsidR="00E915BA" w:rsidRPr="00E915BA">
        <w:rPr>
          <w:rStyle w:val="FootnoteReference"/>
        </w:rPr>
        <w:footnoteReference w:id="1273"/>
      </w:r>
      <w:r w:rsidR="00E915BA">
        <w:rPr>
          <w:rStyle w:val="AERtextsize8"/>
        </w:rPr>
        <w:t xml:space="preserve"> </w:t>
      </w:r>
      <w:r w:rsidR="00E915BA" w:rsidRPr="00013867">
        <w:rPr>
          <w:rStyle w:val="AERbody"/>
        </w:rPr>
        <w:t>We disagree. We consider financial risk relates to the additional systematic risk exposure that arises from the debt holdings of a firm and recognise the benchmark efficient entity is likely to have higher financial risk than the market average firm because it has relatively high financial leverage. However, the exact relationship between financial risk and financial leverage is not straightforward.</w:t>
      </w:r>
    </w:p>
    <w:p w:rsidR="00E915BA" w:rsidRPr="00E915BA" w:rsidRDefault="00E915BA" w:rsidP="00013867">
      <w:pPr>
        <w:rPr>
          <w:rStyle w:val="AERbody"/>
        </w:rPr>
      </w:pPr>
      <w:r w:rsidRPr="00013867">
        <w:rPr>
          <w:rStyle w:val="AERbody"/>
        </w:rPr>
        <w:t xml:space="preserve">We consider our conceptual analysis suggests the intrinsic business risk of a firm is the main driver of its systematic risk. We expect a business with a similar degree of risk as </w:t>
      </w:r>
      <w:r w:rsidR="009946DD">
        <w:rPr>
          <w:rStyle w:val="AERbody"/>
        </w:rPr>
        <w:t>APTPPL</w:t>
      </w:r>
      <w:r w:rsidRPr="00013867">
        <w:rPr>
          <w:rStyle w:val="AERbody"/>
        </w:rPr>
        <w:t xml:space="preserve">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sidR="009946DD">
        <w:rPr>
          <w:rStyle w:val="AERbody"/>
        </w:rPr>
        <w:t>APTPPL</w:t>
      </w:r>
      <w:r w:rsidRPr="00013867">
        <w:rPr>
          <w:rStyle w:val="AERbody"/>
        </w:rPr>
        <w:t xml:space="preserve"> to be below that of the market average firm. Our views are supported by McKenzie and Partington. For more detail see section D.1 of Attachment 3 to SAPN's final decision and section 3.4.1 of Attachment 3 in AusNet Services' final decision for its distribution services.</w:t>
      </w:r>
    </w:p>
    <w:p w:rsidR="00171D80" w:rsidRDefault="00A85DCD" w:rsidP="00013867">
      <w:pPr>
        <w:rPr>
          <w:rStyle w:val="AERbody"/>
        </w:rPr>
      </w:pPr>
      <w:r>
        <w:rPr>
          <w:rStyle w:val="AERbody"/>
        </w:rPr>
        <w:t>Frontier also noted that w</w:t>
      </w:r>
      <w:r w:rsidR="00404838" w:rsidRPr="00013867">
        <w:rPr>
          <w:rStyle w:val="AERbody"/>
        </w:rPr>
        <w:t>e have misinterpreted the empirical evidence and expert reports we rely on (including Frontier Economics' 2013 report to the AER).</w:t>
      </w:r>
      <w:r w:rsidR="00404838" w:rsidRPr="00404838">
        <w:rPr>
          <w:rStyle w:val="FootnoteReference"/>
        </w:rPr>
        <w:footnoteReference w:id="1274"/>
      </w:r>
      <w:r w:rsidR="00404838">
        <w:rPr>
          <w:rStyle w:val="AERtextsize8"/>
        </w:rPr>
        <w:t xml:space="preserve"> </w:t>
      </w:r>
      <w:r w:rsidR="00404838" w:rsidRPr="00013867">
        <w:rPr>
          <w:rStyle w:val="AERbody"/>
        </w:rPr>
        <w:t>We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SAPN's final decision and sections G.2 and G.3 of Attachment 3 in AusNet Services' final decision for its distribution services.</w:t>
      </w:r>
    </w:p>
    <w:p w:rsidR="00404838" w:rsidRDefault="00A85DCD" w:rsidP="00013867">
      <w:pPr>
        <w:rPr>
          <w:rStyle w:val="AERbody"/>
        </w:rPr>
      </w:pPr>
      <w:r>
        <w:rPr>
          <w:rStyle w:val="AERbody"/>
        </w:rPr>
        <w:t>Frontier previously stated that o</w:t>
      </w:r>
      <w:r w:rsidRPr="00013867">
        <w:rPr>
          <w:rStyle w:val="AERbody"/>
        </w:rPr>
        <w:t>ur conceptual analysis is unclear and likely to be counterproductive to good regulatory decisions.</w:t>
      </w:r>
      <w:r w:rsidRPr="00A85DCD">
        <w:rPr>
          <w:rStyle w:val="FootnoteReference"/>
        </w:rPr>
        <w:footnoteReference w:id="1275"/>
      </w:r>
      <w:r>
        <w:rPr>
          <w:rStyle w:val="AERtextsize8"/>
        </w:rPr>
        <w:t xml:space="preserve"> </w:t>
      </w:r>
      <w:r w:rsidRPr="00013867">
        <w:rPr>
          <w:rStyle w:val="AERbody"/>
        </w:rPr>
        <w:t>We disagree with this view. Frontier's analysis appears to be based on a misunderstanding of the role of our conceptual analysis. For more detail see section D.1.3 of Attachment 3 to SAPN's final decision and section 3.4.1 of Attachment 3 in AusNet Services' final decision for its distribution services.</w:t>
      </w:r>
    </w:p>
    <w:p w:rsidR="00A85DCD" w:rsidRDefault="00A85DCD" w:rsidP="00013867">
      <w:pPr>
        <w:rPr>
          <w:rStyle w:val="AERbody"/>
        </w:rPr>
      </w:pPr>
      <w:r>
        <w:rPr>
          <w:rStyle w:val="AERbody"/>
        </w:rPr>
        <w:t>Frontier has submitted that w</w:t>
      </w:r>
      <w:r w:rsidRPr="00013867">
        <w:rPr>
          <w:rStyle w:val="AERbody"/>
        </w:rPr>
        <w:t>e have not adequately accounted for the recent risks arising from disruptive technologies.</w:t>
      </w:r>
      <w:r w:rsidRPr="00A85DCD">
        <w:rPr>
          <w:rStyle w:val="FootnoteReference"/>
        </w:rPr>
        <w:footnoteReference w:id="1276"/>
      </w:r>
      <w:r>
        <w:rPr>
          <w:rStyle w:val="AERtextsize8"/>
        </w:rPr>
        <w:t xml:space="preserve"> </w:t>
      </w:r>
      <w:r w:rsidRPr="00013867">
        <w:rPr>
          <w:rStyle w:val="AERbody"/>
        </w:rPr>
        <w:t>We do not consider the risk arising from disruptive technologies can be reasonably classified as systematic risk, and so should not be compensated for in the return on equity. For more detail see section D.1.4 of Attachment 3 to SAPN's final decision and section 3.4.1 of Attachment 3 in AusNet Services' final decision for its distribution services.</w:t>
      </w:r>
    </w:p>
    <w:p w:rsidR="00A85DCD" w:rsidRDefault="00A85DCD" w:rsidP="00013867">
      <w:r>
        <w:t xml:space="preserve">The equity beta used by TasNetworks in its cost of equity calculation </w:t>
      </w:r>
      <w:r w:rsidRPr="00A85DCD">
        <w:t>should reflect the lower risk produced by being able to transfer risk to customers for pass through events.</w:t>
      </w:r>
      <w:r w:rsidRPr="00A85DCD">
        <w:rPr>
          <w:rStyle w:val="FootnoteReference"/>
        </w:rPr>
        <w:footnoteReference w:id="1277"/>
      </w:r>
      <w:r>
        <w:t xml:space="preserve"> </w:t>
      </w:r>
      <w:r w:rsidRPr="007D21C9">
        <w:t>In determining the equity beta, we focus on risks that are compensated through the return on equity.</w:t>
      </w:r>
      <w:r w:rsidRPr="00A85DCD">
        <w:t xml:space="preserve"> </w:t>
      </w:r>
      <w:r w:rsidRPr="00013867">
        <w:rPr>
          <w:rStyle w:val="AERbody"/>
        </w:rPr>
        <w:t>We note</w:t>
      </w:r>
      <w:r w:rsidRPr="00A85DCD">
        <w:rPr>
          <w:rStyle w:val="AERtextsize8"/>
        </w:rPr>
        <w:t xml:space="preserve"> </w:t>
      </w:r>
      <w:r w:rsidRPr="00A85DCD">
        <w:t>cost pass throughs typically relate to unsystematic risks such as industry-specific tax changes or geographic-specific natural disasters that are not compensated through the rate of return.</w:t>
      </w:r>
      <w:r w:rsidRPr="00A85DCD">
        <w:rPr>
          <w:rStyle w:val="FootnoteReference"/>
        </w:rPr>
        <w:footnoteReference w:id="1278"/>
      </w:r>
    </w:p>
    <w:p w:rsidR="00A85DCD" w:rsidRDefault="00A85DCD" w:rsidP="00A85DCD">
      <w:pPr>
        <w:pStyle w:val="Heading8"/>
      </w:pPr>
      <w:bookmarkStart w:id="389" w:name="_Toc487037194"/>
      <w:r>
        <w:t>Other issues</w:t>
      </w:r>
      <w:bookmarkEnd w:id="389"/>
    </w:p>
    <w:p w:rsidR="00A85DCD" w:rsidRPr="00A85DCD" w:rsidRDefault="00892AAD" w:rsidP="00A85DCD">
      <w:r>
        <w:rPr>
          <w:rStyle w:val="AERbody"/>
        </w:rPr>
        <w:t>Some user groups previously submitted that t</w:t>
      </w:r>
      <w:r w:rsidR="00A85DCD" w:rsidRPr="00013867">
        <w:rPr>
          <w:rStyle w:val="AERbody"/>
        </w:rPr>
        <w:t>he AER has been conservative with regard to setting the equity beta and it should set the equity beta towards the lower end of its range.</w:t>
      </w:r>
      <w:r w:rsidR="00A85DCD" w:rsidRPr="00A85DCD">
        <w:rPr>
          <w:rStyle w:val="FootnoteReference"/>
        </w:rPr>
        <w:t xml:space="preserve"> </w:t>
      </w:r>
      <w:r w:rsidR="00A85DCD" w:rsidRPr="00A85DCD">
        <w:rPr>
          <w:rStyle w:val="FootnoteReference"/>
        </w:rPr>
        <w:footnoteReference w:id="1279"/>
      </w:r>
      <w:r w:rsidR="00A85DCD">
        <w:t xml:space="preserve"> We have considered this submission from stakeholders. However this seems to focus on only one source of the relevant evidence we consider: the empirical 2014 study by </w:t>
      </w:r>
      <w:r w:rsidR="00A85DCD" w:rsidRPr="00A85DCD">
        <w:t>Henry. Our consideration of the relevant evidence for the equity beta is based on all the relevant information identified in the Guideline following an assessment of their relative merits and suitability for our regulatory task: conceptual analysis, Australian empirical estimates, international empirical estimates and theory of the Black CAPM.</w:t>
      </w:r>
      <w:r w:rsidR="00A85DCD" w:rsidRPr="00A85DCD">
        <w:rPr>
          <w:rStyle w:val="FootnoteReference"/>
        </w:rPr>
        <w:footnoteReference w:id="1280"/>
      </w:r>
    </w:p>
    <w:p w:rsidR="00A85DCD" w:rsidRPr="00A85DCD" w:rsidRDefault="00A85DCD" w:rsidP="00A85DCD">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A85DCD">
        <w:rPr>
          <w:rStyle w:val="FootnoteReference"/>
        </w:rPr>
        <w:footnoteReference w:id="1281"/>
      </w:r>
      <w:r w:rsidRPr="00A85DCD">
        <w:t xml:space="preserve">  </w:t>
      </w:r>
    </w:p>
    <w:p w:rsidR="00A85DCD" w:rsidRDefault="00A85DCD" w:rsidP="00013867">
      <w:r>
        <w:t>We consider our approach and estimate contributes to the ARORO and this has been upheld by the Tribunal.</w:t>
      </w:r>
      <w:r w:rsidRPr="00A85DCD">
        <w:rPr>
          <w:rStyle w:val="FootnoteReference"/>
        </w:rPr>
        <w:footnoteReference w:id="1282"/>
      </w:r>
    </w:p>
    <w:p w:rsidR="00892AAD" w:rsidRDefault="00892AAD" w:rsidP="00013867">
      <w:r w:rsidRPr="00742E6B">
        <w:rPr>
          <w:rStyle w:val="AERtextsize8"/>
        </w:rPr>
        <w:t xml:space="preserve">The AER has not provided any substantive evidence that supports its decision to apply an equity beta significantly higher than Henry (2014) </w:t>
      </w:r>
      <w:r w:rsidRPr="00892AAD">
        <w:rPr>
          <w:rStyle w:val="AERtextsize8"/>
        </w:rPr>
        <w:t>estimate of 0.4.</w:t>
      </w:r>
      <w:r w:rsidRPr="00892AAD">
        <w:rPr>
          <w:rStyle w:val="FootnoteReference"/>
        </w:rPr>
        <w:footnoteReference w:id="1283"/>
      </w:r>
      <w:r>
        <w:rPr>
          <w:rStyle w:val="AERtextsize8"/>
        </w:rPr>
        <w:t xml:space="preserve"> As noted above, we apply the Guideline approach to setting the equity beta. </w:t>
      </w:r>
      <w:r w:rsidRPr="00892AAD">
        <w:rPr>
          <w:rStyle w:val="AERtextsize8"/>
        </w:rPr>
        <w:t xml:space="preserve">We outline our analysis and consideration of the relevant evidence in this chapter and do not only rely on one piece of material. </w:t>
      </w:r>
      <w:r>
        <w:rPr>
          <w:rStyle w:val="AERtextsize8"/>
        </w:rPr>
        <w:t xml:space="preserve">Our analysis of Australian empirical estimates indicates an empirical range of 0.4–0.7. And considerations of the theory of the Black CAPM and international empirical estimates lead us </w:t>
      </w:r>
      <w:r w:rsidRPr="00892AAD">
        <w:rPr>
          <w:rStyle w:val="AERtextsize8"/>
        </w:rPr>
        <w:t xml:space="preserve">to set a point estimate towards the top of our range of 0.7.  </w:t>
      </w:r>
    </w:p>
    <w:p w:rsidR="00892AAD" w:rsidRPr="00013867" w:rsidRDefault="00892AAD" w:rsidP="00013867">
      <w:pPr>
        <w:rPr>
          <w:rStyle w:val="AERbody"/>
        </w:rPr>
      </w:pPr>
      <w:r w:rsidRPr="00742E6B">
        <w:rPr>
          <w:rStyle w:val="AERtextsize8"/>
        </w:rPr>
        <w:t xml:space="preserve">The AER needs to have greater regard to </w:t>
      </w:r>
      <w:r w:rsidR="006C250D" w:rsidRPr="00742E6B">
        <w:rPr>
          <w:rStyle w:val="AERtextsize8"/>
        </w:rPr>
        <w:t>stakeholders'</w:t>
      </w:r>
      <w:r w:rsidRPr="00742E6B">
        <w:rPr>
          <w:rStyle w:val="AERtextsize8"/>
        </w:rPr>
        <w:t xml:space="preserve"> critiques of its equity beta estimation approach and to apply an equity beta at the lower end of the range (i.e. 0.4 or lower)</w:t>
      </w:r>
      <w:r>
        <w:rPr>
          <w:rStyle w:val="AERtextsize8"/>
        </w:rPr>
        <w:t>.</w:t>
      </w:r>
      <w:r w:rsidRPr="00892AAD">
        <w:rPr>
          <w:rStyle w:val="FootnoteReference"/>
        </w:rPr>
        <w:footnoteReference w:id="1284"/>
      </w:r>
      <w:r w:rsidRPr="00742E6B">
        <w:rPr>
          <w:rStyle w:val="AERtextsize8"/>
        </w:rPr>
        <w:t>.</w:t>
      </w:r>
      <w:r w:rsidRPr="00892AAD">
        <w:rPr>
          <w:rStyle w:val="AERtextsize8"/>
        </w:rPr>
        <w:t xml:space="preserve"> We consider carefully all submissions to our regulatory processes. We assess them based on their merits like all materials submitted to us</w:t>
      </w:r>
      <w:r>
        <w:rPr>
          <w:rStyle w:val="AERtextsize8"/>
        </w:rPr>
        <w:t>.</w:t>
      </w:r>
    </w:p>
    <w:p w:rsidR="004279C0" w:rsidRPr="00C01E61" w:rsidRDefault="004279C0" w:rsidP="00013867"/>
    <w:p w:rsidR="00A07066" w:rsidRDefault="00A07066" w:rsidP="00A07066">
      <w:pPr>
        <w:pStyle w:val="Heading7"/>
      </w:pPr>
      <w:bookmarkStart w:id="390" w:name="_Toc480965082"/>
      <w:bookmarkStart w:id="391" w:name="_Ref484767206"/>
      <w:bookmarkStart w:id="392" w:name="_Toc456686755"/>
      <w:bookmarkStart w:id="393" w:name="_Ref479168039"/>
      <w:bookmarkStart w:id="394" w:name="_Ref479168250"/>
      <w:bookmarkStart w:id="395" w:name="_Ref479168556"/>
      <w:bookmarkStart w:id="396" w:name="_Ref479168723"/>
      <w:bookmarkStart w:id="397" w:name="_Ref479169158"/>
      <w:bookmarkStart w:id="398" w:name="_Ref479169214"/>
      <w:bookmarkStart w:id="399" w:name="_Ref479170782"/>
      <w:bookmarkStart w:id="400" w:name="_Ref484514165"/>
      <w:bookmarkStart w:id="401" w:name="_Ref479168623"/>
      <w:bookmarkStart w:id="402" w:name="_Toc456686789"/>
      <w:bookmarkStart w:id="403" w:name="_Toc487037195"/>
      <w:bookmarkEnd w:id="390"/>
      <w:r>
        <w:t>Previous MRP issues</w:t>
      </w:r>
      <w:bookmarkEnd w:id="391"/>
      <w:bookmarkEnd w:id="403"/>
    </w:p>
    <w:p w:rsidR="00A07066" w:rsidRPr="005661F5" w:rsidRDefault="00A07066" w:rsidP="00A07066">
      <w:r>
        <w:t xml:space="preserve">In addition to those issues directly challenged in the market risk premium section of </w:t>
      </w:r>
      <w:r>
        <w:fldChar w:fldCharType="begin"/>
      </w:r>
      <w:r>
        <w:instrText xml:space="preserve"> REF _Ref430958591 \r \h </w:instrText>
      </w:r>
      <w:r>
        <w:fldChar w:fldCharType="separate"/>
      </w:r>
      <w:r w:rsidR="002C24D6">
        <w:t>3.4.1</w:t>
      </w:r>
      <w:r>
        <w:fldChar w:fldCharType="end"/>
      </w:r>
      <w:r>
        <w:t xml:space="preserve">, </w:t>
      </w:r>
      <w:r w:rsidRPr="005661F5">
        <w:t>the current service providers have also resubmitted on a number of issues raised in previous regulatory processes. Here we detail those and reasons for our decision</w:t>
      </w:r>
      <w:r>
        <w:t>.</w:t>
      </w:r>
    </w:p>
    <w:p w:rsidR="00A07066" w:rsidRPr="00A07066" w:rsidRDefault="00A07066" w:rsidP="00013867">
      <w:pPr>
        <w:pStyle w:val="Heading8"/>
        <w:numPr>
          <w:ilvl w:val="1"/>
          <w:numId w:val="57"/>
        </w:numPr>
      </w:pPr>
      <w:bookmarkStart w:id="404" w:name="_Toc487037196"/>
      <w:r>
        <w:t>Historical excess returns</w:t>
      </w:r>
      <w:bookmarkEnd w:id="404"/>
    </w:p>
    <w:p w:rsidR="00A07066" w:rsidRPr="005661F5" w:rsidRDefault="00A07066" w:rsidP="00A07066">
      <w:r>
        <w:t xml:space="preserve">Service providers </w:t>
      </w:r>
      <w:r w:rsidRPr="005661F5">
        <w:t>argued in previous regulatory processes that the adjustment to the historical stock returns from NERA are more reliable than the ASX’s adjustment.</w:t>
      </w:r>
      <w:r w:rsidRPr="005661F5">
        <w:rPr>
          <w:rStyle w:val="FootnoteReference"/>
        </w:rPr>
        <w:footnoteReference w:id="1285"/>
      </w:r>
      <w:r w:rsidRPr="005661F5">
        <w:t xml:space="preserve"> However the AER maintains its position that the NERA adjustment, which is based on less than ten data points out of 300, is not a material improvement in reliability.</w:t>
      </w:r>
      <w:r w:rsidRPr="005661F5">
        <w:rPr>
          <w:rStyle w:val="FootnoteReference"/>
        </w:rPr>
        <w:footnoteReference w:id="1286"/>
      </w:r>
      <w:r w:rsidRPr="005661F5">
        <w:t xml:space="preserve"> NERA has also not reconciled the data it uses for its adjustment to the data of the original series.</w:t>
      </w:r>
    </w:p>
    <w:p w:rsidR="00A07066" w:rsidRPr="005661F5" w:rsidRDefault="00A07066" w:rsidP="00A07066">
      <w:r>
        <w:t xml:space="preserve">In estimating the market risk premium from historical excess returns, we take into account both arithmetic and geometric averages to provide a more complete picture. </w:t>
      </w:r>
      <w:r w:rsidRPr="005661F5">
        <w:t>Service providers have again submitted that only the arithmetic averages should be used in the process.</w:t>
      </w:r>
      <w:r w:rsidRPr="005661F5">
        <w:rPr>
          <w:rStyle w:val="FootnoteReference"/>
        </w:rPr>
        <w:footnoteReference w:id="1287"/>
      </w:r>
      <w:r w:rsidRPr="005661F5">
        <w:t xml:space="preserve"> </w:t>
      </w:r>
    </w:p>
    <w:p w:rsidR="00A07066" w:rsidRDefault="00A07066" w:rsidP="00A07066">
      <w:r>
        <w:t xml:space="preserve">We note that </w:t>
      </w:r>
      <w:r w:rsidRPr="005661F5">
        <w:t>Partington and Satchell have consistently recommended the consideration of both arithmetic and geometric averages, tempered by an understanding of the potential biases.</w:t>
      </w:r>
      <w:r w:rsidRPr="005661F5">
        <w:rPr>
          <w:rStyle w:val="FootnoteReference"/>
        </w:rPr>
        <w:footnoteReference w:id="1288"/>
      </w:r>
    </w:p>
    <w:p w:rsidR="00A07066" w:rsidRPr="00A07066" w:rsidRDefault="00A07066" w:rsidP="00A07066">
      <w:pPr>
        <w:rPr>
          <w:rStyle w:val="AERbody"/>
        </w:rPr>
      </w:pPr>
      <w:r>
        <w:t xml:space="preserve">In regards to the sample periods which we use to </w:t>
      </w:r>
      <w:r w:rsidRPr="005661F5">
        <w:t>inform the Historical Excess Returns, the service providers have submitted that we should only use sample periods which begin pre 1980.</w:t>
      </w:r>
      <w:r w:rsidRPr="005661F5">
        <w:rPr>
          <w:rStyle w:val="FootnoteReference"/>
        </w:rPr>
        <w:footnoteReference w:id="1289"/>
      </w:r>
      <w:r w:rsidRPr="005661F5">
        <w:t xml:space="preserve"> </w:t>
      </w:r>
      <w:r w:rsidRPr="005661F5">
        <w:rPr>
          <w:rStyle w:val="AERbody"/>
        </w:rPr>
        <w:t>Partington and Satchell considered that, although it reduces the precision of the estimates, there are reasons for using multiple sampling periods, such as possible structural breaks in the data and issues regarding data quality.</w:t>
      </w:r>
      <w:r>
        <w:rPr>
          <w:rStyle w:val="FootnoteReference"/>
        </w:rPr>
        <w:footnoteReference w:id="1290"/>
      </w:r>
      <w:r w:rsidRPr="005661F5">
        <w:rPr>
          <w:rStyle w:val="AERbody"/>
        </w:rPr>
        <w:t xml:space="preserve"> We consider that concerns about data quality become increasingly important the further back into the past one looks. We have regard to five sampling periods because each has different strengths and weaknesses.</w:t>
      </w:r>
    </w:p>
    <w:p w:rsidR="00A07066" w:rsidRPr="005661F5" w:rsidRDefault="00A07066" w:rsidP="00A07066">
      <w:r w:rsidRPr="005661F5">
        <w:t>Service providers have also stated the Guideline approach of using the mean excess returns over a long historical period is not suitable because past conditions are not likely to hold.</w:t>
      </w:r>
      <w:r w:rsidRPr="005661F5">
        <w:rPr>
          <w:rStyle w:val="FootnoteReference"/>
        </w:rPr>
        <w:footnoteReference w:id="1291"/>
      </w:r>
      <w:r w:rsidRPr="005661F5">
        <w:t xml:space="preserve"> As noted above, we use multiple periods to account for different market conditions and use other relevant evidence to inform our decision. Partington and Satchell have also advised that using multiple time periods, when assessing excess returns, minimises variation to the current time frame.</w:t>
      </w:r>
      <w:r w:rsidRPr="005661F5">
        <w:rPr>
          <w:rStyle w:val="FootnoteReference"/>
        </w:rPr>
        <w:footnoteReference w:id="1292"/>
      </w:r>
      <w:r w:rsidRPr="005661F5">
        <w:t xml:space="preserve"> </w:t>
      </w:r>
    </w:p>
    <w:p w:rsidR="00A07066" w:rsidRPr="005661F5" w:rsidRDefault="00A07066" w:rsidP="00A07066">
      <w:r>
        <w:t xml:space="preserve">Further, </w:t>
      </w:r>
      <w:r w:rsidRPr="005661F5">
        <w:t>it is important to note the current market situation is not uncommon for Australia.</w:t>
      </w:r>
      <w:r w:rsidRPr="005661F5">
        <w:rPr>
          <w:rStyle w:val="FootnoteReference"/>
        </w:rPr>
        <w:footnoteReference w:id="1293"/>
      </w:r>
      <w:r w:rsidRPr="005661F5">
        <w:t xml:space="preserve"> We note the magnitude of current interest rates is not so dissimilar to the past as to invalidate the historic market risk premium informing an estimate of the current market risk premium.</w:t>
      </w:r>
      <w:r w:rsidRPr="005661F5">
        <w:rPr>
          <w:rStyle w:val="FootnoteReference"/>
        </w:rPr>
        <w:footnoteReference w:id="1294"/>
      </w:r>
      <w:r w:rsidRPr="005661F5">
        <w:t xml:space="preserve"> </w:t>
      </w:r>
    </w:p>
    <w:p w:rsidR="00A07066" w:rsidRPr="00772B77" w:rsidRDefault="00A07066" w:rsidP="00A07066">
      <w:r>
        <w:t>Frontier proposed that a reduction in theta from 0.6 to 0.35 would have commensurately small impact when estimating the market risk premium.</w:t>
      </w:r>
      <w:r w:rsidRPr="00772B77">
        <w:rPr>
          <w:rStyle w:val="FootnoteReference"/>
        </w:rPr>
        <w:footnoteReference w:id="1295"/>
      </w:r>
      <w:r w:rsidRPr="00772B77">
        <w:t xml:space="preserve"> </w:t>
      </w:r>
      <w:r>
        <w:t xml:space="preserve"> We note that this conclusion is a product of Frontier's estimation of historical excess returns.</w:t>
      </w:r>
      <w:r w:rsidRPr="00772B77">
        <w:t xml:space="preserve"> Frontier used 3 averaging periods: 1883–2015, 1937–2015 and 1958–2015. Given theta only affects data from 1988 onwards, Frontier's choice of averaging periods 'dilutes' theta's impact on the estimates in the following manner:</w:t>
      </w:r>
    </w:p>
    <w:p w:rsidR="00A07066" w:rsidRPr="00772B77" w:rsidRDefault="00A07066" w:rsidP="00A07066">
      <w:pPr>
        <w:pStyle w:val="AERbulletlistfirststyle"/>
      </w:pPr>
      <w:r>
        <w:t>by excluding</w:t>
      </w:r>
      <w:r w:rsidRPr="00772B77">
        <w:t xml:space="preserve"> the averaging periods (1980–2015 and 1988-2015) where theta would have a more pronounced effect </w:t>
      </w:r>
    </w:p>
    <w:p w:rsidR="00A07066" w:rsidRPr="00772B77" w:rsidRDefault="00A07066" w:rsidP="00A07066">
      <w:pPr>
        <w:pStyle w:val="AERbulletlistfirststyle"/>
      </w:pPr>
      <w:r>
        <w:t>retaining</w:t>
      </w:r>
      <w:r w:rsidRPr="00772B77">
        <w:t xml:space="preserve"> averaging periods where the large number of years reduces the impact of theta on the end estimate</w:t>
      </w:r>
    </w:p>
    <w:p w:rsidR="00A07066" w:rsidRPr="00772B77" w:rsidRDefault="00A07066" w:rsidP="00A07066">
      <w:r>
        <w:t xml:space="preserve">We note </w:t>
      </w:r>
      <w:r w:rsidRPr="00772B77">
        <w:t>changing the theta from 0.6 to 0.35 has a marked reduction on the market risk premium estimate for the two excluded averaging periods (1980–2015 and 1988-2015):</w:t>
      </w:r>
    </w:p>
    <w:p w:rsidR="00A07066" w:rsidRPr="00772B77" w:rsidRDefault="00A07066" w:rsidP="00A07066">
      <w:pPr>
        <w:pStyle w:val="AERbulletlistfirststyle"/>
      </w:pPr>
      <w:r>
        <w:t>For the 1980-2015 period, the geometric</w:t>
      </w:r>
      <w:r w:rsidRPr="00772B77">
        <w:t xml:space="preserve"> average changes from 3.9 per cent to 3.5 per cent and the arithmetic average falls from 6.2 per cent to 5.8 per cent. </w:t>
      </w:r>
    </w:p>
    <w:p w:rsidR="00A07066" w:rsidRPr="00772B77" w:rsidRDefault="00A07066" w:rsidP="00A07066">
      <w:pPr>
        <w:pStyle w:val="AERbulletlistfirststyle"/>
      </w:pPr>
      <w:r>
        <w:t>For</w:t>
      </w:r>
      <w:r w:rsidRPr="00772B77">
        <w:t xml:space="preserve"> the 1988-2015 period the geometric average falls from 4 per cent to 3.6 per cent and the arithmetic average from 5.6 per cent from 5.2 per cent. </w:t>
      </w:r>
    </w:p>
    <w:p w:rsidR="00A07066" w:rsidRPr="005661F5" w:rsidRDefault="00A07066" w:rsidP="00A07066">
      <w:r>
        <w:t>As</w:t>
      </w:r>
      <w:r w:rsidRPr="005661F5">
        <w:t xml:space="preserve"> noted above, we consider a range of estimation periods (both long term and short term) should be adopted for estimating historical excess returns. </w:t>
      </w:r>
      <w:r>
        <w:t>Frontier, in their 2016 report on the market risk premium, stated that their</w:t>
      </w:r>
      <w:r w:rsidRPr="005661F5">
        <w:t xml:space="preserve"> analysis historical excess returns supported a market risk premium of at least 7.5 per cent.</w:t>
      </w:r>
      <w:r w:rsidRPr="005661F5">
        <w:rPr>
          <w:rStyle w:val="FootnoteReference"/>
        </w:rPr>
        <w:footnoteReference w:id="1296"/>
      </w:r>
      <w:r w:rsidRPr="005661F5">
        <w:t xml:space="preserve"> They arrive at this estimate by averaging the estimates of two separate methods: the excess returns and the wright approach. Partington and Satchell has advised that 'the notion that averaging over different estimates of same parameters lead to better outcomes depends on the quality of the additional estimates used in the averaging'.</w:t>
      </w:r>
      <w:r w:rsidRPr="005661F5">
        <w:rPr>
          <w:rStyle w:val="FootnoteReference"/>
        </w:rPr>
        <w:footnoteReference w:id="1297"/>
      </w:r>
      <w:r w:rsidRPr="005661F5">
        <w:t xml:space="preserve">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Pr="005661F5">
        <w:rPr>
          <w:rStyle w:val="FootnoteReference"/>
        </w:rPr>
        <w:footnoteReference w:id="1298"/>
      </w:r>
      <w:r w:rsidRPr="005661F5">
        <w:t>. We disagree with Frontier’s historical excess returns and Wright estimates for the following reasons:</w:t>
      </w:r>
    </w:p>
    <w:p w:rsidR="00A07066" w:rsidRPr="00772B77" w:rsidRDefault="00A07066" w:rsidP="00A07066">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1299"/>
      </w:r>
    </w:p>
    <w:p w:rsidR="00A07066" w:rsidRDefault="00A07066" w:rsidP="00A07066">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1300"/>
      </w:r>
    </w:p>
    <w:p w:rsidR="00A07066" w:rsidRDefault="00A07066" w:rsidP="00A07066">
      <w:pPr>
        <w:pStyle w:val="AERbulletlistfirststyle"/>
      </w:pPr>
      <w:r>
        <w:t>Changing the theta</w:t>
      </w:r>
      <w:r w:rsidRPr="005661F5">
        <w:t xml:space="preserve"> for the two most recent averaging periods shows a large change in both the arithmetic and geometric average obtained. See above for more details.</w:t>
      </w:r>
    </w:p>
    <w:p w:rsidR="00A07066" w:rsidRPr="00D4532B" w:rsidRDefault="00A07066" w:rsidP="00A07066">
      <w:pPr>
        <w:pStyle w:val="AERbulletlistfirststyle"/>
      </w:pPr>
      <w:r>
        <w:t xml:space="preserve">Our assessment of the Wright CAPM in the Guideline and subsequent regulatory decisions </w:t>
      </w:r>
      <w:r w:rsidRPr="005661F5">
        <w:t>shows that it should be used as a cross-check for the overall return on equity</w:t>
      </w:r>
      <w:r w:rsidRPr="005661F5">
        <w:rPr>
          <w:rStyle w:val="FootnoteReference"/>
        </w:rPr>
        <w:footnoteReference w:id="1301"/>
      </w:r>
    </w:p>
    <w:p w:rsidR="00A07066" w:rsidRPr="005661F5" w:rsidRDefault="00A07066" w:rsidP="00A07066">
      <w:pPr>
        <w:pStyle w:val="Heading8"/>
      </w:pPr>
      <w:bookmarkStart w:id="405" w:name="_Toc487037197"/>
      <w:r>
        <w:t>Dividend growth model</w:t>
      </w:r>
      <w:bookmarkEnd w:id="405"/>
    </w:p>
    <w:p w:rsidR="00A07066" w:rsidRDefault="00A07066" w:rsidP="00A07066">
      <w:r>
        <w:t xml:space="preserve">Service providers have </w:t>
      </w:r>
      <w:r w:rsidRPr="005661F5">
        <w:t>repeatedly called into question the weight assigned to the dividend growth model when informing the market risk premium estimate. In more recent proposals they have insisted that we have assigned less weight to the DGM as time has progressed.</w:t>
      </w:r>
      <w:r w:rsidRPr="005661F5">
        <w:rPr>
          <w:rStyle w:val="FootnoteReference"/>
        </w:rPr>
        <w:footnoteReference w:id="1302"/>
      </w:r>
      <w:r w:rsidRPr="005661F5">
        <w:t xml:space="preserve"> We disagree. Our approach is consistent with the 2013 Rate of Return Guideline when considering evidence from dividend growth models (from our preferred construction of the models). Due to limitations with dividend growth models, namely that the model is very sensitive to input assumptions and is likely to show an upward bias, we use them to inform if the point estimate should be set above or below the baseline estimate derived from historical excess returns. Service providers pointed to jumps in the DGM’s estimations of the MRP in between decisions to highlight the lack of weight assigned by us during the decision process</w:t>
      </w:r>
      <w:r w:rsidRPr="005661F5">
        <w:rPr>
          <w:rStyle w:val="FootnoteReference"/>
        </w:rPr>
        <w:footnoteReference w:id="1303"/>
      </w:r>
      <w:r w:rsidRPr="005661F5">
        <w:t>, however this jump was a misleading use of previous results and updated risk free rates. As such this ‘jump’ in the MRP was misleading and erroneous.</w:t>
      </w:r>
      <w:r>
        <w:t xml:space="preserve"> </w:t>
      </w:r>
    </w:p>
    <w:p w:rsidR="00A07066" w:rsidRPr="00A07066" w:rsidRDefault="00A07066" w:rsidP="00A07066">
      <w:pPr>
        <w:rPr>
          <w:rStyle w:val="AERtextsize8"/>
        </w:rPr>
      </w:pPr>
      <w:r w:rsidRPr="005661F5">
        <w:rPr>
          <w:rStyle w:val="AERbody"/>
        </w:rPr>
        <w:t>Partington and Satchell have also advised that the dividend growth model is "unlikely" to produce a 'forward looking MRP commensurate with the prevailing conditions'.'</w:t>
      </w:r>
      <w:r w:rsidRPr="005661F5">
        <w:rPr>
          <w:rStyle w:val="FootnoteReference"/>
        </w:rPr>
        <w:footnoteReference w:id="1304"/>
      </w:r>
      <w:r w:rsidRPr="005661F5">
        <w:rPr>
          <w:rStyle w:val="AERtextsize8"/>
        </w:rPr>
        <w:t xml:space="preserve"> </w:t>
      </w:r>
      <w:r w:rsidRPr="005661F5">
        <w:rPr>
          <w:rStyle w:val="AERbody"/>
        </w:rPr>
        <w:t>We believe that it provides the evidence from the dividend growth model as much weight as is appropriate at the current time. We also note that, due to limitations listed below, using the 3 stage DGM to provide an estimate for the required return on equity is not an appropriate use of the model as it may lead to estimates that are persistent and stable over a period of time.</w:t>
      </w:r>
      <w:r w:rsidRPr="005661F5">
        <w:rPr>
          <w:rStyle w:val="FootnoteReference"/>
        </w:rPr>
        <w:footnoteReference w:id="1305"/>
      </w:r>
      <w:r w:rsidRPr="005661F5">
        <w:rPr>
          <w:rStyle w:val="AERtextsize8"/>
        </w:rPr>
        <w:t xml:space="preserve"> </w:t>
      </w:r>
      <w:r w:rsidRPr="005661F5">
        <w:rPr>
          <w:rStyle w:val="AERbody"/>
        </w:rPr>
        <w:t>As such, we consider the fact the return on equity estimate from the dividend growth models has remained stable since the 2013 Guideline to be a result of this and should be treated with caution.</w:t>
      </w:r>
      <w:r w:rsidRPr="005661F5">
        <w:rPr>
          <w:rStyle w:val="AERtextsize8"/>
        </w:rPr>
        <w:t xml:space="preserve"> </w:t>
      </w:r>
    </w:p>
    <w:p w:rsidR="00A07066" w:rsidRPr="005661F5" w:rsidRDefault="00A07066" w:rsidP="00A07066">
      <w:r w:rsidRPr="005661F5">
        <w:rPr>
          <w:rStyle w:val="AERbody"/>
        </w:rPr>
        <w:t>In more specific criticisms of the AER’s use of the dividend growth model , service providers maintain that the AER’s concerns regarding sticky dividends creating bias in the model are unfounded, as dividends are forecast to grow in the coming years</w:t>
      </w:r>
      <w:r w:rsidRPr="005661F5">
        <w:rPr>
          <w:rStyle w:val="FootnoteReference"/>
        </w:rPr>
        <w:footnoteReference w:id="1306"/>
      </w:r>
      <w:r w:rsidRPr="005661F5">
        <w:rPr>
          <w:rStyle w:val="AERbody"/>
        </w:rPr>
        <w:t>.</w:t>
      </w:r>
      <w:r w:rsidRPr="005661F5">
        <w:rPr>
          <w:rStyle w:val="AERtextsize8"/>
        </w:rPr>
        <w:t xml:space="preserve"> </w:t>
      </w:r>
      <w:r w:rsidRPr="005661F5">
        <w:rPr>
          <w:rStyle w:val="AERbody"/>
        </w:rPr>
        <w:t xml:space="preserve">However we believe there is no reason to believe that the bias is not material in the current market. We continue to consider that expectations in the long term may have greater effect on prices than expectations in the next year or two. Moreover, </w:t>
      </w:r>
      <w:r>
        <w:rPr>
          <w:rStyle w:val="AERbody"/>
        </w:rPr>
        <w:t xml:space="preserve">the </w:t>
      </w:r>
      <w:r w:rsidRPr="005661F5">
        <w:rPr>
          <w:rStyle w:val="AERbody"/>
        </w:rPr>
        <w:t xml:space="preserve">RBA data suggests that forecast growth in earnings per share will likely slow over the 2016-17 financial year. </w:t>
      </w:r>
      <w:r w:rsidRPr="005661F5">
        <w:rPr>
          <w:rStyle w:val="FootnoteReference"/>
        </w:rPr>
        <w:footnoteReference w:id="1307"/>
      </w:r>
    </w:p>
    <w:p w:rsidR="00A07066" w:rsidRPr="005661F5" w:rsidRDefault="00A07066" w:rsidP="00A07066">
      <w:r>
        <w:t>There are also continued concerns regarding our position on analysts’ forecasts and biases in their values.</w:t>
      </w:r>
      <w:r w:rsidRPr="005661F5">
        <w:t xml:space="preserve"> </w:t>
      </w:r>
      <w:r w:rsidRPr="005661F5">
        <w:rPr>
          <w:rStyle w:val="FootnoteReference"/>
        </w:rPr>
        <w:footnoteReference w:id="1308"/>
      </w:r>
      <w:r w:rsidRPr="005661F5">
        <w:t xml:space="preserve"> However our position remains that analysts’ forecasts are well understood to be upwardly biased.</w:t>
      </w:r>
      <w:r w:rsidRPr="005661F5">
        <w:rPr>
          <w:rStyle w:val="FootnoteReference"/>
        </w:rPr>
        <w:footnoteReference w:id="1309"/>
      </w:r>
      <w:r w:rsidRPr="005661F5">
        <w:t xml:space="preserve"> Although we show the effect of potential bias within our sensitivity analysis, the extent of any bias is unclear. There has been no proposal of a method to estimate the extent of any bias, and such methods may be complex, without widespread acceptance and open to gaming. As such, we find it appropriate not to apply an adjustment.</w:t>
      </w:r>
    </w:p>
    <w:p w:rsidR="00A07066" w:rsidRDefault="00A07066" w:rsidP="00A07066">
      <w:r>
        <w:t xml:space="preserve">In addition to the above issues with analyst forecast bias, service providers have also argued that our concern is not relevant as the forecasts reflect </w:t>
      </w:r>
      <w:r w:rsidRPr="005661F5">
        <w:t>analysts’ implied discount rates.</w:t>
      </w:r>
      <w:r w:rsidRPr="005661F5">
        <w:rPr>
          <w:rStyle w:val="FootnoteReference"/>
        </w:rPr>
        <w:footnoteReference w:id="1310"/>
      </w:r>
      <w:r w:rsidRPr="005661F5">
        <w:t xml:space="preserve"> We remain of the view that if analysts’ dividend and price forecasts are biased it is also possible that the analysts’ implied return on equity is biased. McKenzie and Partington also consider that analysts’ forecasts are slow to adjust to changing information.</w:t>
      </w:r>
      <w:r w:rsidRPr="005661F5">
        <w:rPr>
          <w:rStyle w:val="FootnoteReference"/>
        </w:rPr>
        <w:footnoteReference w:id="1311"/>
      </w:r>
      <w:r w:rsidRPr="005661F5">
        <w:t xml:space="preserve"> This creates biases to</w:t>
      </w:r>
      <w:r>
        <w:t xml:space="preserve"> the</w:t>
      </w:r>
      <w:r w:rsidRPr="005661F5">
        <w:t xml:space="preserve"> output of dividend growth models. It also implies that dividend growth models may not track changes in the return on equity accurately. Partington and Satchell also noted Frontier's survey of analysts' forecasts for the ASX 20 by stating they would "place little weight on a non-random sample of twenty firms and one year's observations" when assessing the reliability of analyst's forecasts.</w:t>
      </w:r>
      <w:r w:rsidRPr="005661F5">
        <w:rPr>
          <w:rStyle w:val="FootnoteReference"/>
        </w:rPr>
        <w:footnoteReference w:id="1312"/>
      </w:r>
    </w:p>
    <w:p w:rsidR="00A07066" w:rsidRPr="005661F5" w:rsidRDefault="00A07066" w:rsidP="00A07066">
      <w:r>
        <w:t>Service providers have previously put forward that data from the RAB’s chartpack is an indicator that our reservations with the DGM are not necessary in the current economic conditions.</w:t>
      </w:r>
      <w:r w:rsidRPr="005661F5">
        <w:rPr>
          <w:rStyle w:val="FootnoteReference"/>
        </w:rPr>
        <w:footnoteReference w:id="1313"/>
      </w:r>
      <w:r w:rsidRPr="005661F5">
        <w:t xml:space="preserve"> We disagree with this having previously noted that earnings per share as the best indicator going forward regarding dividend payments. We note the chart shows 2017 forecast of earnings per share are higher than 2016 forecasts as Frontier pointed out.</w:t>
      </w:r>
      <w:r w:rsidRPr="005661F5">
        <w:rPr>
          <w:rStyle w:val="FootnoteReference"/>
        </w:rPr>
        <w:t xml:space="preserve"> </w:t>
      </w:r>
      <w:r w:rsidRPr="005661F5">
        <w:rPr>
          <w:rStyle w:val="FootnoteReference"/>
        </w:rPr>
        <w:footnoteReference w:id="1314"/>
      </w:r>
      <w:r w:rsidRPr="005661F5">
        <w:t xml:space="preserve"> However, it is not clear that conclusive findings about earnings or dividends can be drawn from the chartpack as it relates to one-year forecasts whereas we estimate a forward looking 10-year market risk premium.</w:t>
      </w:r>
    </w:p>
    <w:p w:rsidR="00A07066" w:rsidRPr="005661F5" w:rsidRDefault="00A07066" w:rsidP="00A07066">
      <w:r>
        <w:t>Service providers have also previously relied on the DGM</w:t>
      </w:r>
      <w:r w:rsidRPr="005661F5">
        <w:t>’s estimate for the overall return on equity, stating that it has remained stable since the 2013 Guideline.</w:t>
      </w:r>
      <w:r w:rsidRPr="005661F5">
        <w:rPr>
          <w:rStyle w:val="FootnoteReference"/>
        </w:rPr>
        <w:footnoteReference w:id="1315"/>
      </w:r>
      <w:r w:rsidRPr="005661F5">
        <w:t xml:space="preserve"> We have previously considered the use of the 3-stage dividend growth model to provide an estimate for the required return on equity.</w:t>
      </w:r>
      <w:r w:rsidRPr="005661F5">
        <w:rPr>
          <w:rStyle w:val="FootnoteReference"/>
        </w:rPr>
        <w:footnoteReference w:id="1316"/>
      </w:r>
      <w:r w:rsidRPr="005661F5">
        <w:t xml:space="preserve"> However, limitations such as slow-change dividend forecasts and upward bias in analyst forecasts may lead to return on equity estimates that are persistent and stable over a period of time.</w:t>
      </w:r>
      <w:r w:rsidRPr="005661F5">
        <w:rPr>
          <w:rStyle w:val="FootnoteReference"/>
        </w:rPr>
        <w:footnoteReference w:id="1317"/>
      </w:r>
      <w:r w:rsidRPr="005661F5">
        <w:t xml:space="preserve"> None of the service providers using this approach provided any new evidence to support the use of the dividend growth model for estimating the overall return on equity, therefore we continue to be of the view that the dividend growth model estimates should be treated with caution and not used to directly estimate the market risk premium or the return on equity. Therefore we do not consider the stable estimate of the return on equity to be reasonable evidence to depart from the guideline.</w:t>
      </w:r>
    </w:p>
    <w:p w:rsidR="00A07066" w:rsidRPr="00772B77" w:rsidRDefault="00A07066" w:rsidP="00A07066">
      <w:r>
        <w:t xml:space="preserve">Frontier also stated that DGM estimates support a market risk premium of at least </w:t>
      </w:r>
      <w:r>
        <w:br/>
        <w:t>7.5 per cent.</w:t>
      </w:r>
      <w:r w:rsidRPr="00772B77">
        <w:rPr>
          <w:rStyle w:val="FootnoteReference"/>
        </w:rPr>
        <w:footnoteReference w:id="1318"/>
      </w:r>
      <w:r>
        <w:t xml:space="preserve"> As discussed above, there are a range of issues with dividend growth models which makes their results unreliable and upwardly biased. We disagree with </w:t>
      </w:r>
      <w:r w:rsidRPr="00772B77">
        <w:t xml:space="preserve">Frontier using dividend growth model estimates to support a point estimate that is directly estimated from the dividend growth model. This 'double-counts' the material and ignores the fact that this model should not be used to directly estimate the market risk premium.  </w:t>
      </w:r>
    </w:p>
    <w:p w:rsidR="00A07066" w:rsidRPr="00772B77" w:rsidRDefault="00A07066" w:rsidP="00A07066">
      <w:r>
        <w:t xml:space="preserve">We </w:t>
      </w:r>
      <w:r w:rsidRPr="00772B77">
        <w:t>also note Frontier's dividend growth model makes a number of methodological choices we disagree with:</w:t>
      </w:r>
    </w:p>
    <w:p w:rsidR="00A07066" w:rsidRPr="00772B77" w:rsidRDefault="00A07066" w:rsidP="00A07066">
      <w:pPr>
        <w:pStyle w:val="AERbulletlistfirststyle"/>
      </w:pPr>
      <w:r>
        <w:t>Frontier</w:t>
      </w:r>
      <w:r w:rsidRPr="00772B77">
        <w:t xml:space="preserve"> assumes a theta of 0.35. We consider the theta should be set at 0.6, consistent with a gamma of 0.4.</w:t>
      </w:r>
      <w:r w:rsidRPr="00772B77">
        <w:rPr>
          <w:rStyle w:val="FootnoteReference"/>
        </w:rPr>
        <w:footnoteReference w:id="1319"/>
      </w:r>
    </w:p>
    <w:p w:rsidR="00A07066" w:rsidRPr="00D36CE7" w:rsidRDefault="00A07066" w:rsidP="00A07066">
      <w:pPr>
        <w:pStyle w:val="AERbulletlistfirststyle"/>
      </w:pPr>
      <w:r>
        <w:t>Frontier</w:t>
      </w:r>
      <w:r w:rsidRPr="00772B77">
        <w:t xml:space="preserve"> does not include the downward adjustment to the long-run GDP growth. </w:t>
      </w:r>
      <w:r>
        <w:t>Partington and Satchell</w:t>
      </w:r>
      <w:r w:rsidRPr="00772B77">
        <w:t xml:space="preserve"> has advised the need for a downward adjustment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320"/>
      </w:r>
      <w:r w:rsidRPr="00772B77">
        <w:t xml:space="preserve"> We agree and consider that the downward adjustment remains appropriate.</w:t>
      </w:r>
    </w:p>
    <w:p w:rsidR="00A07066" w:rsidRPr="005661F5" w:rsidRDefault="00A07066" w:rsidP="00A07066">
      <w:pPr>
        <w:pStyle w:val="Heading8"/>
      </w:pPr>
      <w:bookmarkStart w:id="406" w:name="_Toc487037198"/>
      <w:r>
        <w:t>Wright CAPM</w:t>
      </w:r>
      <w:bookmarkEnd w:id="406"/>
    </w:p>
    <w:p w:rsidR="00A07066" w:rsidRPr="005661F5" w:rsidRDefault="00A07066" w:rsidP="00A07066">
      <w:r>
        <w:t xml:space="preserve">Various service providers have put forward that the AER should assign more weight to the results gained from the Wright approach of the CAPM. This has varied between service providers as to whether it should receive a heavier weighting when considering the overall return on equity or be directly involved in </w:t>
      </w:r>
      <w:r w:rsidRPr="005661F5">
        <w:t>estimating the MRP.</w:t>
      </w:r>
      <w:r w:rsidRPr="005661F5">
        <w:rPr>
          <w:rStyle w:val="FootnoteReference"/>
        </w:rPr>
        <w:t xml:space="preserve"> </w:t>
      </w:r>
      <w:r w:rsidRPr="005661F5">
        <w:rPr>
          <w:rStyle w:val="FootnoteReference"/>
        </w:rPr>
        <w:footnoteReference w:id="1321"/>
      </w:r>
      <w:r w:rsidRPr="005661F5">
        <w:t xml:space="preserve"> A key point of contention is that the overall return on equity estimate derived from the Wright Approach has remained stable since the 2013 Rate of Return guideline. </w:t>
      </w:r>
    </w:p>
    <w:p w:rsidR="00A07066" w:rsidRPr="005661F5" w:rsidRDefault="00A07066" w:rsidP="00A07066">
      <w:r>
        <w:t>As stated in the guideline, our view of the Wright CAPM is that it should be used to inform the overall return on equity</w:t>
      </w:r>
      <w:r w:rsidRPr="005661F5">
        <w:t>, however due to the historical form of the model we do not place much reliance on the information gained from the model. As the CAPM is a forward looking pricing model</w:t>
      </w:r>
      <w:r w:rsidRPr="005661F5">
        <w:rPr>
          <w:rStyle w:val="FootnoteReference"/>
        </w:rPr>
        <w:footnoteReference w:id="1322"/>
      </w:r>
      <w:r w:rsidRPr="005661F5">
        <w:t xml:space="preserve"> historical data, such as that from the Historical excess returns, may be a basis for estimates of the input parameters where they are good evidence of forward looking parameters. However we do not consider using historically based estimates where they are clearly not representative of the forward looking rate, as this is unlikely to result in an unbiased estimate of the return on equity. Consistent with the 2013 guideline, we use the Wright approach as a cross-check on our overall return on equity.</w:t>
      </w:r>
    </w:p>
    <w:p w:rsidR="00A07066" w:rsidRPr="005661F5" w:rsidRDefault="00A07066" w:rsidP="00A07066">
      <w:r>
        <w:t>Frontier, in their 2016 report on the market risk premium, stated that their analysis historical excess returns supported a market risk premium of at least 7.5 per cent.</w:t>
      </w:r>
      <w:r w:rsidRPr="005661F5">
        <w:rPr>
          <w:rStyle w:val="FootnoteReference"/>
        </w:rPr>
        <w:footnoteReference w:id="1323"/>
      </w:r>
      <w:r w:rsidRPr="005661F5">
        <w:t xml:space="preserve"> They arrive at this estimate by averaging the estimates of two separate methods: the excess returns and the wright approach. Partington and Satchell has advised that 'the notion that averaging over different estimates of same parameters lead to better outcomes depends on the quality of the additional estimates used in the averaging'.</w:t>
      </w:r>
      <w:r w:rsidRPr="005661F5">
        <w:rPr>
          <w:rStyle w:val="FootnoteReference"/>
        </w:rPr>
        <w:footnoteReference w:id="1324"/>
      </w:r>
      <w:r w:rsidRPr="005661F5">
        <w:t xml:space="preserve">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Pr="005661F5">
        <w:rPr>
          <w:rStyle w:val="FootnoteReference"/>
        </w:rPr>
        <w:footnoteReference w:id="1325"/>
      </w:r>
      <w:r w:rsidRPr="005661F5">
        <w:t>. We disagree with Frontier’s historical excess returns and Wright estimates for the following reasons:</w:t>
      </w:r>
    </w:p>
    <w:p w:rsidR="00A07066" w:rsidRPr="00772B77" w:rsidRDefault="00A07066" w:rsidP="00A07066">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1326"/>
      </w:r>
    </w:p>
    <w:p w:rsidR="00A07066" w:rsidRPr="00772B77" w:rsidRDefault="00A07066" w:rsidP="00A07066">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1327"/>
      </w:r>
    </w:p>
    <w:p w:rsidR="00A07066" w:rsidRDefault="00A07066" w:rsidP="00A07066">
      <w:pPr>
        <w:pStyle w:val="AERbulletlistfirststyle"/>
      </w:pPr>
      <w:r>
        <w:t>Changing the theta</w:t>
      </w:r>
      <w:r w:rsidRPr="00772B77">
        <w:t xml:space="preserve"> for the two most recent averaging periods shows a large change in both the arithmetic and geometric average obtained. See above for more details.</w:t>
      </w:r>
    </w:p>
    <w:p w:rsidR="00A07066" w:rsidRPr="00D36CE7" w:rsidRDefault="00A07066" w:rsidP="00A07066">
      <w:pPr>
        <w:pStyle w:val="AERbulletlistfirststyle"/>
      </w:pPr>
      <w:r>
        <w:t xml:space="preserve">Our assessment of the Wright CAPM in the Guideline and subsequent regulatory decisions </w:t>
      </w:r>
      <w:r w:rsidRPr="00772B77">
        <w:t>shows that it should be used as a cross-check for the overall return on equity</w:t>
      </w:r>
      <w:r w:rsidRPr="00772B77">
        <w:rPr>
          <w:rStyle w:val="FootnoteReference"/>
        </w:rPr>
        <w:footnoteReference w:id="1328"/>
      </w:r>
    </w:p>
    <w:p w:rsidR="00A07066" w:rsidRPr="005661F5" w:rsidRDefault="00A07066" w:rsidP="00A07066">
      <w:pPr>
        <w:pStyle w:val="Heading8"/>
      </w:pPr>
      <w:bookmarkStart w:id="407" w:name="_Toc487037199"/>
      <w:r>
        <w:t>Surveys</w:t>
      </w:r>
      <w:bookmarkEnd w:id="407"/>
    </w:p>
    <w:p w:rsidR="00A07066" w:rsidRPr="00A07066" w:rsidRDefault="00A07066" w:rsidP="00A07066">
      <w:pPr>
        <w:rPr>
          <w:rStyle w:val="AERtextsize8"/>
        </w:rPr>
      </w:pPr>
      <w:r>
        <w:t>Service providers have continued to state that th</w:t>
      </w:r>
      <w:r w:rsidRPr="005661F5">
        <w:t>e AER place too much weight on the evidence from surveys</w:t>
      </w:r>
      <w:r w:rsidRPr="005661F5">
        <w:rPr>
          <w:rStyle w:val="FootnoteReference"/>
        </w:rPr>
        <w:footnoteReference w:id="1329"/>
      </w:r>
      <w:r w:rsidRPr="005661F5">
        <w:t xml:space="preserve">. </w:t>
      </w:r>
      <w:r w:rsidRPr="00C926DB">
        <w:t>While survey estimates intend to provide an arm’s length assessment, we would not expect them to necessarily have complete impartiality. Survey estimates may strive for objective views but it seems unlikely that they will be entirely uninfluenced by commercial and other external interests. Respondents may also display some 'herding' behaviour. Therefore, we view that survey estimates supply relevant, but not definitive, information and considerable care needs to be taken in the analysis and interpretation o</w:t>
      </w:r>
      <w:r w:rsidRPr="00E9421B">
        <w:t>f such estimates. Nonetheless, survey estimates explore investor expectations about the market risk premium by directly asking investors and market practitioners what their expectations are a</w:t>
      </w:r>
      <w:r w:rsidRPr="00CF3FCC">
        <w:t>nd/or what they apply in practice. We consider this remains useful for informi</w:t>
      </w:r>
      <w:r w:rsidRPr="002168E3">
        <w:t>ng our market risk premium estimate</w:t>
      </w:r>
      <w:r w:rsidRPr="005661F5">
        <w:rPr>
          <w:rStyle w:val="AERtextsize8"/>
        </w:rPr>
        <w:t>.</w:t>
      </w:r>
      <w:r w:rsidRPr="005661F5">
        <w:rPr>
          <w:rStyle w:val="FootnoteReference"/>
        </w:rPr>
        <w:footnoteReference w:id="1330"/>
      </w:r>
    </w:p>
    <w:p w:rsidR="00A07066" w:rsidRPr="005661F5" w:rsidRDefault="00A07066" w:rsidP="00A07066">
      <w:r w:rsidRPr="005661F5">
        <w:t>It is also important to note that despite service provider insistence</w:t>
      </w:r>
      <w:r w:rsidRPr="005661F5">
        <w:rPr>
          <w:rStyle w:val="FootnoteReference"/>
        </w:rPr>
        <w:footnoteReference w:id="1331"/>
      </w:r>
      <w:r w:rsidRPr="005661F5">
        <w:t xml:space="preserve"> it is not clear whether survey estimates should be adjusted for imputation credits. As such we agree with the QCA’s view that 'as participants can be considered sophisticated investors and/or market observers (including academics) it seems as likely they would have taken account of all factors, including the need to implicitly adjust for dividend imputation credits'.</w:t>
      </w:r>
      <w:r w:rsidRPr="005661F5">
        <w:rPr>
          <w:rStyle w:val="FootnoteReference"/>
        </w:rPr>
        <w:footnoteReference w:id="1332"/>
      </w:r>
      <w:r w:rsidRPr="005661F5">
        <w:t xml:space="preserve">  </w:t>
      </w:r>
    </w:p>
    <w:p w:rsidR="00A07066" w:rsidRPr="005661F5" w:rsidRDefault="00A07066" w:rsidP="00A07066">
      <w:pPr>
        <w:pStyle w:val="Heading8"/>
      </w:pPr>
      <w:bookmarkStart w:id="408" w:name="_Toc487037200"/>
      <w:r>
        <w:t>Other regulators’ decision</w:t>
      </w:r>
      <w:bookmarkEnd w:id="408"/>
    </w:p>
    <w:p w:rsidR="00A07066" w:rsidRPr="005661F5" w:rsidRDefault="00A07066" w:rsidP="00A07066">
      <w:r>
        <w:t>Serv</w:t>
      </w:r>
      <w:r w:rsidRPr="005661F5">
        <w:t>ice providers have compared our decisions to that of other regulators, and have stated that other regulators are currently adopting higher market risk premium estimates than ours.</w:t>
      </w:r>
      <w:r w:rsidRPr="005661F5">
        <w:rPr>
          <w:rStyle w:val="FootnoteReference"/>
        </w:rPr>
        <w:footnoteReference w:id="1333"/>
      </w:r>
      <w:r w:rsidRPr="005661F5">
        <w:t xml:space="preserve"> We note that other regulators arrive at different conclusions for a market risk premium as other regulators adopt different approaches, have different regulatory tasks and regulate different businesses. It is important to take these differences into account when comparing the results. We use information from other Australian regulators’ decisions as a cross check to the market risk premium and return on equity point estimate because they are likely to be more comparable than foreign regulators. We note that Frontier’s submission indicates that most Australian regulators are adopting a market risk premium of 6.5 per cent or below. It is also important to note that the ERA has acknowledged its estimate of 7.4 per cent is comparable with our 6.5 per cent market risk premium once differences in parameter estimates and judgement are accounted for.</w:t>
      </w:r>
      <w:r w:rsidRPr="005661F5">
        <w:rPr>
          <w:rStyle w:val="FootnoteReference"/>
        </w:rPr>
        <w:footnoteReference w:id="1334"/>
      </w:r>
    </w:p>
    <w:p w:rsidR="00A07066" w:rsidRPr="005661F5" w:rsidRDefault="00A07066" w:rsidP="00A07066">
      <w:r>
        <w:t xml:space="preserve">We do not consider regulatory decisions by foreign regulators to be useful for </w:t>
      </w:r>
      <w:r w:rsidRPr="005661F5">
        <w:t xml:space="preserve">informing the market risk premium for </w:t>
      </w:r>
      <w:r>
        <w:t>a</w:t>
      </w:r>
      <w:r w:rsidRPr="005661F5">
        <w:t xml:space="preserve"> benchmark efficient entity with a similar degree of risk as the service provider for supplying the regulated services.</w:t>
      </w:r>
      <w:r w:rsidRPr="005661F5">
        <w:rPr>
          <w:rStyle w:val="FootnoteReference"/>
        </w:rPr>
        <w:footnoteReference w:id="1335"/>
      </w:r>
      <w:r w:rsidRPr="005661F5">
        <w:t xml:space="preserve"> This is because, in addition to Partington and Satchell’s advice that "overseas regulators decisions are not likely to be convincing unless one can show great similarities between the economies considered"</w:t>
      </w:r>
      <w:r w:rsidRPr="005661F5">
        <w:rPr>
          <w:rStyle w:val="FootnoteReference"/>
        </w:rPr>
        <w:footnoteReference w:id="1336"/>
      </w:r>
      <w:r w:rsidRPr="005661F5">
        <w:t xml:space="preserve"> and other caveats noted above, we note that the required return on the market may differ across countries.</w:t>
      </w:r>
    </w:p>
    <w:p w:rsidR="00A07066" w:rsidRPr="009C2528" w:rsidRDefault="00A07066" w:rsidP="00A07066"/>
    <w:p w:rsidR="00A07066" w:rsidRPr="005661F5" w:rsidRDefault="00A07066" w:rsidP="00A07066">
      <w:pPr>
        <w:pStyle w:val="Heading8"/>
      </w:pPr>
      <w:bookmarkStart w:id="409" w:name="_Toc487037201"/>
      <w:r>
        <w:t>Conditioning variables</w:t>
      </w:r>
      <w:bookmarkEnd w:id="409"/>
    </w:p>
    <w:p w:rsidR="00A07066" w:rsidRPr="005661F5" w:rsidRDefault="00A07066" w:rsidP="00A07066">
      <w:r>
        <w:t xml:space="preserve">Service providers have submitted that </w:t>
      </w:r>
      <w:r w:rsidRPr="005661F5">
        <w:t xml:space="preserve">conditioning variables should not be used in the absence of formal econometric mapping. </w:t>
      </w:r>
      <w:r w:rsidRPr="005661F5">
        <w:rPr>
          <w:rStyle w:val="FootnoteReference"/>
        </w:rPr>
        <w:footnoteReference w:id="1337"/>
      </w:r>
      <w:r w:rsidRPr="005661F5">
        <w:t>We are aware of the limitations of conditioning variables, however our assessment indicates that the evidence still warrants “some consideration” as they can detect changing market conditions.</w:t>
      </w:r>
      <w:r w:rsidRPr="005661F5">
        <w:rPr>
          <w:rStyle w:val="FootnoteReference"/>
        </w:rPr>
        <w:footnoteReference w:id="1338"/>
      </w:r>
      <w:r w:rsidRPr="005661F5">
        <w:t xml:space="preserve"> Therefore we use conditioning variables in a directional role and not to directly estimate. We note that other regulators, such as the ERA, use conditioning variables when forming their estimate of the market risk premium in a similar manner.</w:t>
      </w:r>
      <w:r w:rsidRPr="005661F5">
        <w:rPr>
          <w:rStyle w:val="FootnoteReference"/>
        </w:rPr>
        <w:footnoteReference w:id="1339"/>
      </w:r>
    </w:p>
    <w:p w:rsidR="00A07066" w:rsidRPr="005661F5" w:rsidRDefault="00A07066" w:rsidP="00A07066">
      <w:r>
        <w:t xml:space="preserve">Aside from the argument above, service providers submit that </w:t>
      </w:r>
      <w:r w:rsidRPr="005661F5">
        <w:t>conditioning variables does not support the proposition that the required return on equity has decreased by 25 per cent since the Guideline.</w:t>
      </w:r>
      <w:r w:rsidRPr="005661F5">
        <w:rPr>
          <w:rStyle w:val="FootnoteReference"/>
        </w:rPr>
        <w:footnoteReference w:id="1340"/>
      </w:r>
      <w:r w:rsidRPr="005661F5">
        <w:t xml:space="preserve"> We are aware of the limitations of conditioning variables and do not use them to directly estimate the market risk premium. Our use of the conditioning variable is as outlined in the Guideline: to provide directional information/change in the market risk premium.</w:t>
      </w:r>
      <w:r w:rsidRPr="005661F5">
        <w:rPr>
          <w:rStyle w:val="FootnoteReference"/>
        </w:rPr>
        <w:footnoteReference w:id="1341"/>
      </w:r>
      <w:r w:rsidRPr="005661F5">
        <w:t xml:space="preserve"> </w:t>
      </w:r>
    </w:p>
    <w:p w:rsidR="00A07066" w:rsidRPr="005661F5" w:rsidRDefault="00A07066" w:rsidP="00A07066">
      <w:pPr>
        <w:pStyle w:val="Heading8"/>
      </w:pPr>
      <w:bookmarkStart w:id="410" w:name="_Toc487037202"/>
      <w:r>
        <w:t>Other market data</w:t>
      </w:r>
      <w:bookmarkEnd w:id="410"/>
    </w:p>
    <w:p w:rsidR="00A07066" w:rsidRPr="005661F5" w:rsidRDefault="00A07066" w:rsidP="00A07066">
      <w:r>
        <w:t>In addition to other forms of evidence, service providers have proposed that data from valuation reports is useful when considering an estimate for the market risk premium.</w:t>
      </w:r>
      <w:r w:rsidRPr="005661F5">
        <w:rPr>
          <w:rStyle w:val="FootnoteReference"/>
        </w:rPr>
        <w:footnoteReference w:id="1342"/>
      </w:r>
      <w:r w:rsidRPr="005661F5">
        <w:rPr>
          <w:rStyle w:val="AERtextsize8"/>
        </w:rPr>
        <w:t xml:space="preserve"> </w:t>
      </w:r>
      <w:r w:rsidRPr="005661F5">
        <w:t>We disagree with using valuation reports to directly estimate the market risk premium. Based on a consideration of its relative strengths and suitability for our regulatory task, we have considered evidence from valuation reports as useful in a cross-check on the overall return on equity as well as return on equity our equity parameters. However valuation reports have a different objective to the ARORO which may make their estimates unsuitable for purpose.</w:t>
      </w:r>
      <w:r w:rsidRPr="005661F5">
        <w:rPr>
          <w:rStyle w:val="FootnoteReference"/>
        </w:rPr>
        <w:footnoteReference w:id="1343"/>
      </w:r>
      <w:r w:rsidRPr="005661F5">
        <w:t xml:space="preserve"> This effect is likely more prevalent for input parameters than the overall return on equity. A lack of transparency on the derivation of return on equity parameters on equity estimates prevents adjusting for these effects. Partington and Satchell have also noted that analysts’ beliefs ‘can seem somewhat unreliable’.</w:t>
      </w:r>
      <w:r w:rsidRPr="005661F5">
        <w:rPr>
          <w:rStyle w:val="FootnoteReference"/>
        </w:rPr>
        <w:footnoteReference w:id="1344"/>
      </w:r>
    </w:p>
    <w:p w:rsidR="00A07066" w:rsidRPr="005661F5" w:rsidRDefault="00A07066" w:rsidP="00A07066">
      <w:r>
        <w:t>In further submissions service providers state that valuation reports indicate a market risk premium higher than 6.5 per cent.</w:t>
      </w:r>
      <w:r w:rsidRPr="005661F5">
        <w:t xml:space="preserve"> </w:t>
      </w:r>
      <w:r w:rsidRPr="005661F5">
        <w:rPr>
          <w:rStyle w:val="FootnoteReference"/>
        </w:rPr>
        <w:footnoteReference w:id="1345"/>
      </w:r>
      <w:r w:rsidRPr="005661F5">
        <w:t xml:space="preserve"> However, our assessment of valuation reports is that they should be used to cross-check our overall return on equity.  Frontier’s observations are based on uplifted parameters and/or return on equity estimates.</w:t>
      </w:r>
      <w:r w:rsidRPr="005661F5">
        <w:rPr>
          <w:rStyle w:val="FootnoteReference"/>
        </w:rPr>
        <w:footnoteReference w:id="1346"/>
      </w:r>
      <w:r w:rsidRPr="005661F5">
        <w:t xml:space="preserve"> We have greater regard to unadjusted parameters because uplifts applied by </w:t>
      </w:r>
      <w:r>
        <w:t>b</w:t>
      </w:r>
      <w:r w:rsidRPr="005661F5">
        <w:t>rokers and valuers may be inconsistent with ARORO. Further, Partington and Satchell have advised that 'there is evidence that valuation practitioners are using an MRP lower than the 6% favoured in Australia and there is no evidence that the MRP being used is going up.'</w:t>
      </w:r>
      <w:r w:rsidRPr="005661F5">
        <w:rPr>
          <w:rStyle w:val="FootnoteReference"/>
        </w:rPr>
        <w:footnoteReference w:id="1347"/>
      </w:r>
    </w:p>
    <w:p w:rsidR="00A07066" w:rsidRPr="005661F5" w:rsidRDefault="00A07066" w:rsidP="00A07066">
      <w:r>
        <w:t>Frontier</w:t>
      </w:r>
      <w:r w:rsidRPr="005661F5">
        <w:t xml:space="preserve"> proposed that due to a decline in the P/E ratio, the AER should be increasing the required return on equity.</w:t>
      </w:r>
      <w:r w:rsidRPr="005661F5">
        <w:rPr>
          <w:rStyle w:val="FootnoteReference"/>
        </w:rPr>
        <w:footnoteReference w:id="1348"/>
      </w:r>
      <w:r w:rsidRPr="005661F5">
        <w:t xml:space="preserve"> We caution the use of P/E data. It can fluctuate significantly within a single year (2015/16 High:16, low 14.5</w:t>
      </w:r>
      <w:r w:rsidRPr="005661F5">
        <w:rPr>
          <w:rStyle w:val="FootnoteReference"/>
        </w:rPr>
        <w:footnoteReference w:id="1349"/>
      </w:r>
      <w:r w:rsidRPr="005661F5">
        <w:t>)</w:t>
      </w:r>
      <w:r w:rsidRPr="005661F5">
        <w:rPr>
          <w:rStyle w:val="FootnoteReference"/>
        </w:rPr>
        <w:t xml:space="preserve"> </w:t>
      </w:r>
      <w:r w:rsidRPr="005661F5">
        <w:t>and the conclusions one can draw may be significantly impacted by the time period selected. Further, movements in P/E data can be driven by change in the growth rate, dividend payout ratio and the cost of equity.</w:t>
      </w:r>
      <w:r w:rsidRPr="005661F5">
        <w:rPr>
          <w:rStyle w:val="FootnoteReference"/>
        </w:rPr>
        <w:footnoteReference w:id="1350"/>
      </w:r>
      <w:r w:rsidRPr="005661F5">
        <w:t xml:space="preserve"> As Partington and Satchell observed, 'inferences about the cost of equity based on plots of earnings yield or P/E ratios are highly suspect'.</w:t>
      </w:r>
      <w:r w:rsidRPr="005661F5">
        <w:rPr>
          <w:rStyle w:val="FootnoteReference"/>
        </w:rPr>
        <w:footnoteReference w:id="1351"/>
      </w:r>
    </w:p>
    <w:p w:rsidR="00A07066" w:rsidRPr="005661F5" w:rsidRDefault="00A07066" w:rsidP="00A07066">
      <w:pPr>
        <w:pStyle w:val="AERbulletlistfirststyle"/>
      </w:pPr>
      <w:r>
        <w:t>Service providers have repeatedly submitted that expert valuation reports support a 7.5 per cent market risk premium.</w:t>
      </w:r>
      <w:r w:rsidRPr="005661F5">
        <w:rPr>
          <w:rStyle w:val="FootnoteReference"/>
        </w:rPr>
        <w:footnoteReference w:id="1352"/>
      </w:r>
      <w:r w:rsidRPr="005661F5">
        <w:t xml:space="preserve"> We disagree with this use of valuation reports as their limitations makes them unsuitable in a regulatory context: </w:t>
      </w:r>
    </w:p>
    <w:p w:rsidR="00A07066" w:rsidRPr="00772B77" w:rsidRDefault="00A07066" w:rsidP="00A07066">
      <w:pPr>
        <w:pStyle w:val="AERbulletlistfirststyle"/>
      </w:pPr>
      <w:r>
        <w:t xml:space="preserve">The ARORO states that data must be </w:t>
      </w:r>
      <w:r w:rsidRPr="00772B77">
        <w:t>'informed by sound empirical analysis and robust data'</w:t>
      </w:r>
      <w:r w:rsidRPr="00772B77">
        <w:rPr>
          <w:rStyle w:val="FootnoteReference"/>
        </w:rPr>
        <w:footnoteReference w:id="1353"/>
      </w:r>
      <w:r w:rsidRPr="00772B77">
        <w:t xml:space="preserve"> however many valuation reports do not state the source of their information or decisions.</w:t>
      </w:r>
    </w:p>
    <w:p w:rsidR="00A07066" w:rsidRPr="00772B77" w:rsidRDefault="00A07066" w:rsidP="00A07066">
      <w:pPr>
        <w:pStyle w:val="AERbulletlistfirststyle"/>
      </w:pPr>
      <w:r>
        <w:t>Our recent consultant report stated that upward adjustments</w:t>
      </w:r>
      <w:r w:rsidRPr="00772B77">
        <w:t xml:space="preserve"> found in valuation reports 'seem too ad-hoc to be a regulatory tool'.</w:t>
      </w:r>
      <w:r w:rsidRPr="00772B77">
        <w:rPr>
          <w:rStyle w:val="FootnoteReference"/>
        </w:rPr>
        <w:footnoteReference w:id="1354"/>
      </w:r>
    </w:p>
    <w:p w:rsidR="00A07066" w:rsidRPr="00772B77" w:rsidRDefault="00A07066" w:rsidP="00A07066">
      <w:pPr>
        <w:pStyle w:val="AERbulletlistfirststyle"/>
      </w:pPr>
      <w:r>
        <w:t>Using valuation reports as a guide means it is highly susceptible to sampling variation as Partington and Satchell notes, and whilst some practitioners are</w:t>
      </w:r>
      <w:r w:rsidRPr="00772B77">
        <w:t xml:space="preserve"> using an MRP above 6 per cent there 'is evidence that valuation practitioners are using an MRP lower than the 6% favoured in Australia'.</w:t>
      </w:r>
      <w:r w:rsidRPr="00772B77">
        <w:rPr>
          <w:rStyle w:val="FootnoteReference"/>
        </w:rPr>
        <w:footnoteReference w:id="1355"/>
      </w:r>
    </w:p>
    <w:p w:rsidR="00A07066" w:rsidRPr="00772B77" w:rsidRDefault="00A07066" w:rsidP="00A07066">
      <w:r>
        <w:t>It is also important to note that out of the four reports Frontier listed:</w:t>
      </w:r>
    </w:p>
    <w:p w:rsidR="00A07066" w:rsidRPr="00772B77" w:rsidRDefault="00A07066" w:rsidP="00A07066">
      <w:pPr>
        <w:pStyle w:val="AERbulletlistfirststyle"/>
      </w:pPr>
      <w:r>
        <w:t xml:space="preserve">Three of the reports specify a </w:t>
      </w:r>
      <w:r w:rsidRPr="00772B77">
        <w:t>market risk premium of 6 per cent.</w:t>
      </w:r>
      <w:r w:rsidRPr="00772B77">
        <w:rPr>
          <w:rStyle w:val="FootnoteReference"/>
        </w:rPr>
        <w:footnoteReference w:id="1356"/>
      </w:r>
      <w:r w:rsidRPr="00772B77">
        <w:t xml:space="preserve"> </w:t>
      </w:r>
    </w:p>
    <w:p w:rsidR="00A07066" w:rsidRDefault="00A07066" w:rsidP="00A07066">
      <w:pPr>
        <w:pStyle w:val="AERbulletlistfirststyle"/>
      </w:pPr>
      <w:r>
        <w:t>The Grant Samuel report</w:t>
      </w:r>
      <w:r w:rsidRPr="00772B77">
        <w:t xml:space="preserve"> then goes on to apply uplift on this 6% based on "anecdotal evidence".</w:t>
      </w:r>
      <w:r w:rsidRPr="00772B77">
        <w:rPr>
          <w:rStyle w:val="FootnoteReference"/>
        </w:rPr>
        <w:footnoteReference w:id="1357"/>
      </w:r>
    </w:p>
    <w:p w:rsidR="00A07066" w:rsidRDefault="00A07066" w:rsidP="00A07066">
      <w:pPr>
        <w:pStyle w:val="AERbulletlistfirststyle"/>
      </w:pPr>
      <w:r>
        <w:t xml:space="preserve">Three of the reports apply </w:t>
      </w:r>
      <w:r w:rsidRPr="005661F5">
        <w:t>uplift to the risk free rate as calculated by the AER.</w:t>
      </w:r>
      <w:r w:rsidRPr="005661F5">
        <w:rPr>
          <w:rStyle w:val="FootnoteReference"/>
        </w:rPr>
        <w:footnoteReference w:id="1358"/>
      </w:r>
      <w:r w:rsidRPr="005661F5">
        <w:t xml:space="preserve"> This does not change the market risk premium itself and so should not be compared as such. The AER does not apply any uplift to its risk free rate.</w:t>
      </w:r>
    </w:p>
    <w:p w:rsidR="00A07066" w:rsidRPr="005661F5" w:rsidRDefault="00A07066" w:rsidP="00A07066">
      <w:pPr>
        <w:pStyle w:val="AERbulletlistfirststyle"/>
      </w:pPr>
      <w:r>
        <w:t xml:space="preserve">One of the reports, and the only one which does not </w:t>
      </w:r>
      <w:r w:rsidRPr="005661F5">
        <w:t>use a stated market risk premium of 6 per cent, does not provide any method as to how the market risk premium was calculated and as such is unsuitable for comparison.</w:t>
      </w:r>
      <w:r w:rsidRPr="005661F5">
        <w:rPr>
          <w:rStyle w:val="FootnoteReference"/>
        </w:rPr>
        <w:footnoteReference w:id="1359"/>
      </w:r>
    </w:p>
    <w:p w:rsidR="00A07066" w:rsidRDefault="00A07066" w:rsidP="00A07066">
      <w:pPr>
        <w:pStyle w:val="Heading8"/>
      </w:pPr>
      <w:bookmarkStart w:id="411" w:name="_Toc487037203"/>
      <w:r>
        <w:t>Overall Market Risk Premium</w:t>
      </w:r>
      <w:bookmarkEnd w:id="411"/>
    </w:p>
    <w:p w:rsidR="00A07066" w:rsidRPr="005661F5" w:rsidRDefault="00A07066" w:rsidP="00A07066">
      <w:r>
        <w:t xml:space="preserve">Service providers have proposed that we set a constant market risk premium for each decision, regardless of </w:t>
      </w:r>
      <w:r w:rsidRPr="005661F5">
        <w:t>evidence.</w:t>
      </w:r>
      <w:r w:rsidRPr="005661F5">
        <w:rPr>
          <w:rStyle w:val="FootnoteReference"/>
        </w:rPr>
        <w:footnoteReference w:id="1360"/>
      </w:r>
      <w:r w:rsidRPr="005661F5">
        <w:t xml:space="preserve"> Our market risk premium is informed by a range of relevant materials and our assessment of all these materials is informed by the roles assigned to them based on their relative merits and suitability for our regulatory task. The relevant evidence indicates that the forward looking 10-year market risk premium continues to be 6.5 per cent. Partington and Satchell noted 'to consider changes in the MRP requires some statistical evidence'.</w:t>
      </w:r>
      <w:r w:rsidRPr="005661F5">
        <w:rPr>
          <w:rStyle w:val="FootnoteReference"/>
        </w:rPr>
        <w:footnoteReference w:id="1361"/>
      </w:r>
      <w:r w:rsidRPr="005661F5">
        <w:t xml:space="preserve"> Service providers have not provided satisfactory evidence to indicate a different estimate. </w:t>
      </w:r>
    </w:p>
    <w:p w:rsidR="00A07066" w:rsidRDefault="00A07066" w:rsidP="00013867">
      <w:r>
        <w:t>A large amount of Frontier’s submission on the subject seems to be mainly premised on estimates from dividend growth models and alternative specifications of the Sharpe-Linter CAPM.</w:t>
      </w:r>
      <w:r w:rsidRPr="005661F5">
        <w:t xml:space="preserve"> We have stated above our issues with over-reliance on the dividend growth model estimates of the market risk premium, hence our Guideline assigns less weight to this material. Submissions to date have not provided sufficient evidence for us to depart from this view.</w:t>
      </w:r>
    </w:p>
    <w:p w:rsidR="00A07066" w:rsidRDefault="00A07066" w:rsidP="00013867">
      <w:r>
        <w:t>We accept that the market risk premium may vary over time.</w:t>
      </w:r>
      <w:r w:rsidRPr="005661F5">
        <w:rPr>
          <w:rStyle w:val="FootnoteReference"/>
        </w:rPr>
        <w:footnoteReference w:id="1362"/>
      </w:r>
      <w:r w:rsidRPr="005661F5">
        <w:t xml:space="preserve"> However, our assessment of all the relevant material indicates (when applying the Guideline) that 6.5 per cent is the forward looking 10-year market risk premium that contributes to the ARORO and commensurate with the prevailing condition in the market for equity funds. Partington and Satchell have advised that the current conditions in Australia are not at all dissimilar to the historical interest rates in the periods which the AER calculates the historical excess returns from</w:t>
      </w:r>
      <w:r w:rsidRPr="005661F5">
        <w:rPr>
          <w:rStyle w:val="FootnoteReference"/>
        </w:rPr>
        <w:footnoteReference w:id="1363"/>
      </w:r>
      <w:r w:rsidRPr="005661F5">
        <w:t xml:space="preserve"> and 'common in Australia and elsewhere'</w:t>
      </w:r>
      <w:r>
        <w:t>.</w:t>
      </w:r>
      <w:r w:rsidRPr="005661F5">
        <w:rPr>
          <w:rStyle w:val="FootnoteReference"/>
        </w:rPr>
        <w:footnoteReference w:id="1364"/>
      </w:r>
    </w:p>
    <w:p w:rsidR="00911284" w:rsidRPr="00911284" w:rsidRDefault="00911284" w:rsidP="00A07066">
      <w:pPr>
        <w:pStyle w:val="Heading7"/>
      </w:pPr>
      <w:bookmarkStart w:id="412" w:name="_Ref485118920"/>
      <w:bookmarkStart w:id="413" w:name="_Toc487037204"/>
      <w:r w:rsidRPr="00911284">
        <w:t>Return on debt approach</w:t>
      </w:r>
      <w:bookmarkEnd w:id="392"/>
      <w:bookmarkEnd w:id="393"/>
      <w:bookmarkEnd w:id="394"/>
      <w:bookmarkEnd w:id="395"/>
      <w:bookmarkEnd w:id="396"/>
      <w:bookmarkEnd w:id="397"/>
      <w:bookmarkEnd w:id="398"/>
      <w:bookmarkEnd w:id="399"/>
      <w:bookmarkEnd w:id="400"/>
      <w:bookmarkEnd w:id="412"/>
      <w:bookmarkEnd w:id="413"/>
    </w:p>
    <w:p w:rsidR="00911284" w:rsidRPr="00911284" w:rsidRDefault="00911284" w:rsidP="00911284">
      <w:r w:rsidRPr="00911284">
        <w:t>We transition all of the return on debt</w:t>
      </w:r>
      <w:r w:rsidRPr="00911284">
        <w:rPr>
          <w:rStyle w:val="FootnoteReference"/>
        </w:rPr>
        <w:footnoteReference w:id="1365"/>
      </w:r>
      <w:r w:rsidRPr="00911284">
        <w:t xml:space="preserve"> from an on-the-day approach in the first regulatory year to a trailing average by updating 10 per cent of the debt portfolio over 10 years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911284" w:rsidRPr="00911284" w:rsidRDefault="00911284" w:rsidP="00911284">
      <w:r w:rsidRPr="00911284">
        <w:t>In setting out our reasons for this view, this appendix is structured as follows:</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_Ref447803792 \r \h </w:instrText>
      </w:r>
      <w:r w:rsidRPr="00911284">
        <w:fldChar w:fldCharType="separate"/>
      </w:r>
      <w:r w:rsidR="002C24D6">
        <w:t>J.1</w:t>
      </w:r>
      <w:r w:rsidRPr="00911284">
        <w:fldChar w:fldCharType="end"/>
      </w:r>
      <w:r w:rsidRPr="00911284">
        <w:t xml:space="preserve"> establishes how we interpret the ARORO. This is with a particular focus on defining efficient financing costs (section </w:t>
      </w:r>
      <w:r w:rsidRPr="00911284">
        <w:fldChar w:fldCharType="begin"/>
      </w:r>
      <w:r w:rsidRPr="00911284">
        <w:instrText xml:space="preserve"> REF _Ref446405872 \r \h </w:instrText>
      </w:r>
      <w:r w:rsidRPr="00911284">
        <w:fldChar w:fldCharType="separate"/>
      </w:r>
      <w:r w:rsidR="002C24D6">
        <w:t>J.1.1</w:t>
      </w:r>
      <w:r w:rsidRPr="00911284">
        <w:fldChar w:fldCharType="end"/>
      </w:r>
      <w:r w:rsidRPr="00911284">
        <w:t xml:space="preserve">) and how the concept of a benchmark efficient entity interacts with the ARORO (section </w:t>
      </w:r>
      <w:r w:rsidRPr="00911284">
        <w:fldChar w:fldCharType="begin"/>
      </w:r>
      <w:r w:rsidRPr="00911284">
        <w:instrText xml:space="preserve"> REF _Ref447803806 \r \h </w:instrText>
      </w:r>
      <w:r w:rsidRPr="00911284">
        <w:fldChar w:fldCharType="separate"/>
      </w:r>
      <w:r w:rsidR="002C24D6">
        <w:t>J.1.2</w:t>
      </w:r>
      <w:r w:rsidRPr="00911284">
        <w:fldChar w:fldCharType="end"/>
      </w:r>
      <w:r w:rsidRPr="00911284">
        <w:t>).</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_Ref444778432 \r \h </w:instrText>
      </w:r>
      <w:r w:rsidRPr="00911284">
        <w:fldChar w:fldCharType="separate"/>
      </w:r>
      <w:r w:rsidR="002C24D6">
        <w:t>J.2</w:t>
      </w:r>
      <w:r w:rsidRPr="00911284">
        <w:fldChar w:fldCharType="end"/>
      </w:r>
      <w:r w:rsidRPr="00911284">
        <w:t xml:space="preserve"> sets out what is required for us to form an allowed return on debt that contributes to the achievement of the ARORO. This includes: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_Ref446603900 \r \h  \* MERGEFORMAT </w:instrText>
      </w:r>
      <w:r w:rsidRPr="00911284">
        <w:fldChar w:fldCharType="separate"/>
      </w:r>
      <w:r w:rsidR="002C24D6">
        <w:t>J.2.1</w:t>
      </w:r>
      <w:r w:rsidRPr="00911284">
        <w:fldChar w:fldCharType="end"/>
      </w:r>
      <w:r w:rsidRPr="00911284">
        <w:t>—the need to provide ex-ante compensation for efficient financing costs (ex-ante efficient compensation) as opposed to providing compensation for historically incurred costs</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_Ref447803918 \r \h </w:instrText>
      </w:r>
      <w:r w:rsidRPr="00911284">
        <w:fldChar w:fldCharType="separate"/>
      </w:r>
      <w:r w:rsidR="002C24D6">
        <w:t>J.2.2</w:t>
      </w:r>
      <w:r w:rsidRPr="00911284">
        <w:fldChar w:fldCharType="end"/>
      </w:r>
      <w:r w:rsidRPr="00911284">
        <w:t xml:space="preserve">—why we consider our approach is consistent with the National Electricity Law /National Gas Law (NEL/NGL)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_Ref447803924 \r \h </w:instrText>
      </w:r>
      <w:r w:rsidRPr="00911284">
        <w:fldChar w:fldCharType="separate"/>
      </w:r>
      <w:r w:rsidR="002C24D6">
        <w:t>J.2.3</w:t>
      </w:r>
      <w:r w:rsidRPr="00911284">
        <w:fldChar w:fldCharType="end"/>
      </w:r>
      <w:r w:rsidRPr="00911284">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_Ref444767739 \r \h </w:instrText>
      </w:r>
      <w:r w:rsidRPr="00911284">
        <w:fldChar w:fldCharType="separate"/>
      </w:r>
      <w:r w:rsidR="002C24D6">
        <w:t>J.3</w:t>
      </w:r>
      <w:r w:rsidRPr="00911284">
        <w:fldChar w:fldCharType="end"/>
      </w:r>
      <w:r w:rsidRPr="00911284">
        <w:t xml:space="preserve"> analyses the on-the-day and trailing average approaches to establish the extent these approaches can contribute to the achievement of the ARORO.</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_Ref447538284 \r \h </w:instrText>
      </w:r>
      <w:r w:rsidRPr="00911284">
        <w:fldChar w:fldCharType="separate"/>
      </w:r>
      <w:r w:rsidR="002C24D6">
        <w:t>J.4</w:t>
      </w:r>
      <w:r w:rsidRPr="00911284">
        <w:fldChar w:fldCharType="end"/>
      </w:r>
      <w:r w:rsidRPr="00911284">
        <w:t xml:space="preserve"> establishes why a full transition can contribute to the achievement of the ARORO when moving from an on-the-day to a trailing average approach.</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_Ref447266532 \r \h </w:instrText>
      </w:r>
      <w:r w:rsidRPr="00911284">
        <w:fldChar w:fldCharType="separate"/>
      </w:r>
      <w:r w:rsidR="002C24D6">
        <w:t>J.5</w:t>
      </w:r>
      <w:r w:rsidRPr="00911284">
        <w:fldChar w:fldCharType="end"/>
      </w:r>
      <w:r w:rsidRPr="00911284">
        <w:t xml:space="preserve"> explains why an immediate (or hybrid) transition will not achieve the ARORO given current interest rates relative to historical interest rates. This includes: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_Ref447886159 \r \h  \* MERGEFORMAT </w:instrText>
      </w:r>
      <w:r w:rsidRPr="00911284">
        <w:fldChar w:fldCharType="separate"/>
      </w:r>
      <w:r w:rsidR="002C24D6">
        <w:t>J.5.1</w:t>
      </w:r>
      <w:r w:rsidRPr="00911284">
        <w:fldChar w:fldCharType="end"/>
      </w:r>
      <w:r w:rsidRPr="00911284">
        <w:t xml:space="preserve">—a mathematical explanation.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_Ref447886226 \r \h  \* MERGEFORMAT </w:instrText>
      </w:r>
      <w:r w:rsidRPr="00911284">
        <w:fldChar w:fldCharType="separate"/>
      </w:r>
      <w:r w:rsidR="002C24D6">
        <w:t>J.5.2</w:t>
      </w:r>
      <w:r w:rsidRPr="00911284">
        <w:fldChar w:fldCharType="end"/>
      </w:r>
      <w:r w:rsidRPr="00911284">
        <w:t>—a further discussion responding to some issues raised in the service providers' revised proposals.</w:t>
      </w:r>
      <w:r w:rsidRPr="00911284">
        <w:rPr>
          <w:rStyle w:val="FootnoteReference"/>
        </w:rPr>
        <w:footnoteReference w:id="1366"/>
      </w:r>
      <w:r w:rsidRPr="00911284">
        <w:t xml:space="preserve"> </w:t>
      </w:r>
      <w:r w:rsidRPr="00911284">
        <w:fldChar w:fldCharType="begin"/>
      </w:r>
      <w:r w:rsidRPr="00911284">
        <w:instrText xml:space="preserve"> REF _Ref447807493 \h  \* MERGEFORMAT </w:instrText>
      </w:r>
      <w:r w:rsidRPr="00911284">
        <w:fldChar w:fldCharType="separate"/>
      </w:r>
      <w:r w:rsidR="002C24D6" w:rsidRPr="00911284">
        <w:t xml:space="preserve">Table </w:t>
      </w:r>
      <w:r w:rsidR="002C24D6">
        <w:t>3</w:t>
      </w:r>
      <w:r w:rsidR="002C24D6" w:rsidRPr="00911284">
        <w:noBreakHyphen/>
      </w:r>
      <w:r w:rsidR="002C24D6">
        <w:t>35</w:t>
      </w:r>
      <w:r w:rsidRPr="00911284">
        <w:fldChar w:fldCharType="end"/>
      </w:r>
      <w:r w:rsidRPr="00911284">
        <w:t xml:space="preserve"> responds to arguments supporting an immediate transition to a trailing average. We also provide responses to the CEG’s most recent report on the AER’s current interpretation of the ARORO in this section. For Completeness we retain the explanation from our earlier decisions on why we disagree with an earlier CEG's report recommending that if we apply a hybrid transition, we should assume a benchmark efficient entity would have hedged one third of the base rate (noting this argument becomes redundant as we do not apply a hybrid transition).</w:t>
      </w:r>
      <w:r w:rsidRPr="00911284">
        <w:rPr>
          <w:rStyle w:val="FootnoteReference"/>
        </w:rPr>
        <w:footnoteReference w:id="1367"/>
      </w:r>
    </w:p>
    <w:p w:rsidR="00911284" w:rsidRPr="00911284" w:rsidRDefault="00911284" w:rsidP="00911284">
      <w:r w:rsidRPr="00911284">
        <w:t xml:space="preserve">This section also explains why, to achieve the ARORO, the on-the-day approach should continue if there is no revenue-neutral transition from the current on the day approach. </w:t>
      </w:r>
      <w:r w:rsidR="002B12BD" w:rsidRPr="002B12BD">
        <w:t>We also included the material submitted by APA, APTPPL, AusNet and other service providers (in earlier decisions) who have proposed departures from our current approach to estimating the cost of debt. We consider it is necessary to include this material and the responses to the material given we have considered it in reaching our draft decision for APTPPL.</w:t>
      </w:r>
    </w:p>
    <w:p w:rsidR="00911284" w:rsidRPr="00911284" w:rsidRDefault="00911284" w:rsidP="00013867">
      <w:pPr>
        <w:pStyle w:val="Heading8"/>
        <w:numPr>
          <w:ilvl w:val="1"/>
          <w:numId w:val="58"/>
        </w:numPr>
      </w:pPr>
      <w:bookmarkStart w:id="414" w:name="_Toc480965076"/>
      <w:bookmarkStart w:id="415" w:name="_Ref447803792"/>
      <w:bookmarkStart w:id="416" w:name="_Toc451947832"/>
      <w:bookmarkStart w:id="417" w:name="_Toc487037205"/>
      <w:bookmarkEnd w:id="414"/>
      <w:r w:rsidRPr="00911284">
        <w:t>Interpretation of the ARORO</w:t>
      </w:r>
      <w:bookmarkEnd w:id="415"/>
      <w:bookmarkEnd w:id="416"/>
      <w:bookmarkEnd w:id="417"/>
    </w:p>
    <w:p w:rsidR="00911284" w:rsidRPr="00911284" w:rsidRDefault="00911284" w:rsidP="00911284">
      <w:r w:rsidRPr="00911284">
        <w:t>The ARORO provides that the rate of return for a service provider is to be commensurate with the efficient financing costs of a benchmark efficient entity with a similar degree of risk as that which applies to the service provider in respect of the provision of standard control, prescribed transmission or reference services.</w:t>
      </w:r>
      <w:r w:rsidRPr="00911284">
        <w:rPr>
          <w:rStyle w:val="FootnoteReference"/>
        </w:rPr>
        <w:footnoteReference w:id="1368"/>
      </w:r>
      <w:r w:rsidRPr="00911284">
        <w:t xml:space="preserve"> Given this, applying the ARORO requires an understanding of:</w:t>
      </w:r>
    </w:p>
    <w:p w:rsidR="00911284" w:rsidRPr="00911284" w:rsidRDefault="00911284" w:rsidP="00911284">
      <w:pPr>
        <w:pStyle w:val="AERbulletlistfirststyle"/>
      </w:pPr>
      <w:r w:rsidRPr="00911284">
        <w:t>efficient financing costs</w:t>
      </w:r>
    </w:p>
    <w:p w:rsidR="00911284" w:rsidRPr="00911284" w:rsidRDefault="00911284" w:rsidP="00911284">
      <w:pPr>
        <w:pStyle w:val="AERbulletlistfirststyle"/>
      </w:pPr>
      <w:r w:rsidRPr="00911284">
        <w:t>the degree of risk that applies to a benchmark efficient service provider in respect of the provision of re</w:t>
      </w:r>
      <w:r w:rsidR="00C21C87">
        <w:t>ference</w:t>
      </w:r>
      <w:r w:rsidRPr="00911284">
        <w:t xml:space="preserve"> services.</w:t>
      </w:r>
    </w:p>
    <w:p w:rsidR="00911284" w:rsidRPr="00911284" w:rsidRDefault="00911284" w:rsidP="00911284">
      <w:r w:rsidRPr="00911284">
        <w:t>We elaborate on these components of the ARORO in the following sections.</w:t>
      </w:r>
    </w:p>
    <w:p w:rsidR="00911284" w:rsidRPr="00911284" w:rsidRDefault="00911284" w:rsidP="00911284">
      <w:pPr>
        <w:pStyle w:val="Heading9"/>
      </w:pPr>
      <w:bookmarkStart w:id="418" w:name="_Ref446405872"/>
      <w:bookmarkStart w:id="419" w:name="_Toc451947833"/>
      <w:bookmarkStart w:id="420" w:name="_Toc487037206"/>
      <w:r w:rsidRPr="00911284">
        <w:t>Efficient financing costs</w:t>
      </w:r>
      <w:bookmarkEnd w:id="418"/>
      <w:bookmarkEnd w:id="419"/>
      <w:bookmarkEnd w:id="420"/>
      <w:r w:rsidRPr="00911284">
        <w:t xml:space="preserve"> </w:t>
      </w:r>
    </w:p>
    <w:p w:rsidR="00911284" w:rsidRPr="00911284" w:rsidRDefault="00911284" w:rsidP="00911284">
      <w:pPr>
        <w:numPr>
          <w:ilvl w:val="0"/>
          <w:numId w:val="24"/>
        </w:numPr>
      </w:pPr>
      <w:r w:rsidRPr="00911284">
        <w:t>The ARORO provides for a rate of return commensurate with the efficient financing costs of a benchmark efficient entity with a similar degree of risk as that which applies to the service provider in respect of the provision of re</w:t>
      </w:r>
      <w:r w:rsidR="00C21C87">
        <w:t>ference</w:t>
      </w:r>
      <w:r w:rsidRPr="00911284">
        <w:t xml:space="preserve"> services. Given this, it is important to understand efficient financing costs.</w:t>
      </w:r>
      <w:r w:rsidRPr="00911284">
        <w:rPr>
          <w:rStyle w:val="FootnoteReference"/>
        </w:rPr>
        <w:t xml:space="preserve"> </w:t>
      </w:r>
    </w:p>
    <w:p w:rsidR="00911284" w:rsidRPr="00911284" w:rsidRDefault="00911284" w:rsidP="00911284">
      <w:pPr>
        <w:numPr>
          <w:ilvl w:val="0"/>
          <w:numId w:val="24"/>
        </w:numPr>
      </w:pPr>
      <w:r w:rsidRPr="00911284">
        <w:t xml:space="preserve">Economists typically think of efficiency in three dimensions: productive, allocative and dynamic. </w:t>
      </w:r>
      <w:r w:rsidRPr="00911284">
        <w:fldChar w:fldCharType="begin"/>
      </w:r>
      <w:r w:rsidRPr="00911284">
        <w:instrText xml:space="preserve"> REF _Ref447803361 \h </w:instrText>
      </w:r>
      <w:r w:rsidRPr="00911284">
        <w:fldChar w:fldCharType="separate"/>
      </w:r>
      <w:r w:rsidR="002C24D6" w:rsidRPr="00911284">
        <w:t xml:space="preserve">Table </w:t>
      </w:r>
      <w:r w:rsidR="002C24D6">
        <w:rPr>
          <w:noProof/>
        </w:rPr>
        <w:t>3</w:t>
      </w:r>
      <w:r w:rsidR="002C24D6" w:rsidRPr="00911284">
        <w:noBreakHyphen/>
      </w:r>
      <w:r w:rsidR="002C24D6">
        <w:rPr>
          <w:noProof/>
        </w:rPr>
        <w:t>34</w:t>
      </w:r>
      <w:r w:rsidRPr="00911284">
        <w:fldChar w:fldCharType="end"/>
      </w:r>
      <w:r w:rsidRPr="00911284">
        <w:t xml:space="preserve"> sets out how this applies in the context of debt financing.</w:t>
      </w:r>
    </w:p>
    <w:p w:rsidR="00911284" w:rsidRPr="00911284" w:rsidRDefault="00911284" w:rsidP="00911284">
      <w:pPr>
        <w:pStyle w:val="Caption"/>
      </w:pPr>
      <w:bookmarkStart w:id="421" w:name="_Ref447803361"/>
      <w:r w:rsidRPr="00911284">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911284">
        <w:noBreakHyphen/>
      </w:r>
      <w:r w:rsidR="002C24D6">
        <w:fldChar w:fldCharType="begin"/>
      </w:r>
      <w:r w:rsidR="002C24D6">
        <w:instrText xml:space="preserve"> SEQ Table \* ARABIC \s 1 </w:instrText>
      </w:r>
      <w:r w:rsidR="002C24D6">
        <w:fldChar w:fldCharType="separate"/>
      </w:r>
      <w:r w:rsidR="002C24D6">
        <w:rPr>
          <w:noProof/>
        </w:rPr>
        <w:t>34</w:t>
      </w:r>
      <w:r w:rsidR="002C24D6">
        <w:rPr>
          <w:noProof/>
        </w:rPr>
        <w:fldChar w:fldCharType="end"/>
      </w:r>
      <w:bookmarkEnd w:id="421"/>
      <w:r w:rsidRPr="00911284">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911284" w:rsidRPr="00B814E2" w:rsidTr="00911284">
        <w:trPr>
          <w:cnfStyle w:val="100000000000" w:firstRow="1" w:lastRow="0" w:firstColumn="0" w:lastColumn="0" w:oddVBand="0" w:evenVBand="0" w:oddHBand="0" w:evenHBand="0" w:firstRowFirstColumn="0" w:firstRowLastColumn="0" w:lastRowFirstColumn="0" w:lastRowLastColumn="0"/>
        </w:trPr>
        <w:tc>
          <w:tcPr>
            <w:tcW w:w="795" w:type="pct"/>
          </w:tcPr>
          <w:p w:rsidR="00911284" w:rsidRPr="00911284" w:rsidRDefault="00911284" w:rsidP="00911284">
            <w:r w:rsidRPr="00911284">
              <w:t>Dimension of efficiency</w:t>
            </w:r>
          </w:p>
        </w:tc>
        <w:tc>
          <w:tcPr>
            <w:tcW w:w="2366" w:type="pct"/>
          </w:tcPr>
          <w:p w:rsidR="00911284" w:rsidRPr="00911284" w:rsidRDefault="00911284" w:rsidP="00911284">
            <w:r w:rsidRPr="00911284">
              <w:t>Economic meaning</w:t>
            </w:r>
            <w:r w:rsidRPr="00911284">
              <w:rPr>
                <w:rStyle w:val="AERsuperscript"/>
              </w:rPr>
              <w:footnoteReference w:id="1369"/>
            </w:r>
          </w:p>
        </w:tc>
        <w:tc>
          <w:tcPr>
            <w:tcW w:w="1839" w:type="pct"/>
          </w:tcPr>
          <w:p w:rsidR="00911284" w:rsidRPr="00911284" w:rsidRDefault="00911284" w:rsidP="00911284">
            <w:r w:rsidRPr="00911284">
              <w:t>Application to debt financing</w:t>
            </w:r>
            <w:r w:rsidRPr="00911284">
              <w:rPr>
                <w:rStyle w:val="AERsuperscript"/>
              </w:rPr>
              <w:footnoteReference w:id="1370"/>
            </w:r>
          </w:p>
        </w:tc>
      </w:tr>
      <w:tr w:rsidR="00911284" w:rsidRPr="00B814E2" w:rsidTr="00911284">
        <w:tc>
          <w:tcPr>
            <w:tcW w:w="795" w:type="pct"/>
          </w:tcPr>
          <w:p w:rsidR="00911284" w:rsidRPr="00911284" w:rsidRDefault="00911284" w:rsidP="00911284">
            <w:r w:rsidRPr="00911284">
              <w:t>Productive efficiency</w:t>
            </w:r>
          </w:p>
        </w:tc>
        <w:tc>
          <w:tcPr>
            <w:tcW w:w="2366" w:type="pct"/>
          </w:tcPr>
          <w:p w:rsidR="00911284" w:rsidRPr="00911284" w:rsidRDefault="00911284" w:rsidP="00911284">
            <w:r w:rsidRPr="00911284">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911284" w:rsidRPr="00911284" w:rsidRDefault="00911284" w:rsidP="00911284">
            <w:r w:rsidRPr="00911284">
              <w:t>Refers to least cost financing (that is, the lowest required return on debt) subject to any constraints, such as risk. For our determinations to be productively efficient we need to incentivise service providers to seek the lowest cost financing (all else being equal).</w:t>
            </w:r>
            <w:r w:rsidRPr="00911284">
              <w:rPr>
                <w:rStyle w:val="AERbody"/>
              </w:rPr>
              <w:t xml:space="preserve"> </w:t>
            </w:r>
          </w:p>
        </w:tc>
      </w:tr>
      <w:tr w:rsidR="00911284" w:rsidRPr="00B814E2" w:rsidTr="00911284">
        <w:trPr>
          <w:cnfStyle w:val="000000010000" w:firstRow="0" w:lastRow="0" w:firstColumn="0" w:lastColumn="0" w:oddVBand="0" w:evenVBand="0" w:oddHBand="0" w:evenHBand="1" w:firstRowFirstColumn="0" w:firstRowLastColumn="0" w:lastRowFirstColumn="0" w:lastRowLastColumn="0"/>
        </w:trPr>
        <w:tc>
          <w:tcPr>
            <w:tcW w:w="795" w:type="pct"/>
          </w:tcPr>
          <w:p w:rsidR="00911284" w:rsidRPr="00911284" w:rsidRDefault="00911284" w:rsidP="00911284">
            <w:r w:rsidRPr="00911284">
              <w:t>Allocative efficiency</w:t>
            </w:r>
          </w:p>
        </w:tc>
        <w:tc>
          <w:tcPr>
            <w:tcW w:w="2366" w:type="pct"/>
          </w:tcPr>
          <w:p w:rsidR="00911284" w:rsidRPr="00911284" w:rsidRDefault="00911284" w:rsidP="00911284">
            <w:r w:rsidRPr="00911284">
              <w:t>Achieved when the community gets the greatest return (or utility) from its scarce resources.</w:t>
            </w:r>
          </w:p>
        </w:tc>
        <w:tc>
          <w:tcPr>
            <w:tcW w:w="1839" w:type="pct"/>
          </w:tcPr>
          <w:p w:rsidR="00911284" w:rsidRPr="00911284" w:rsidRDefault="00911284" w:rsidP="00911284">
            <w:r w:rsidRPr="00911284">
              <w:t>Allocative efficiency can be achieved by setting an allowed return consistent with the expected return in the competitive capital market (determined by demand and supply) for an investment of similar degree of risk as a service provider supplying re</w:t>
            </w:r>
            <w:r w:rsidR="00C21C87">
              <w:t>ference</w:t>
            </w:r>
            <w:r w:rsidRPr="00911284">
              <w:t xml:space="preserve"> services.</w:t>
            </w:r>
          </w:p>
        </w:tc>
      </w:tr>
      <w:tr w:rsidR="00911284" w:rsidRPr="00B814E2" w:rsidTr="00911284">
        <w:tc>
          <w:tcPr>
            <w:tcW w:w="795" w:type="pct"/>
          </w:tcPr>
          <w:p w:rsidR="00911284" w:rsidRPr="00911284" w:rsidRDefault="00911284" w:rsidP="00911284">
            <w:r w:rsidRPr="00911284">
              <w:t>Dynamic efficiency</w:t>
            </w:r>
          </w:p>
        </w:tc>
        <w:tc>
          <w:tcPr>
            <w:tcW w:w="2366" w:type="pct"/>
          </w:tcPr>
          <w:p w:rsidR="00911284" w:rsidRPr="00911284" w:rsidRDefault="00911284" w:rsidP="00911284">
            <w:r w:rsidRPr="00911284">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911284" w:rsidRPr="00911284" w:rsidRDefault="00911284" w:rsidP="00911284">
            <w:r w:rsidRPr="00911284">
              <w:t xml:space="preserve">Refers to the existence of appropriate investment incentives.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911284" w:rsidRPr="00911284" w:rsidRDefault="00911284" w:rsidP="00911284">
      <w:pPr>
        <w:pStyle w:val="AERtablesource"/>
      </w:pPr>
      <w:r w:rsidRPr="00911284">
        <w:t>Source:</w:t>
      </w:r>
      <w:r w:rsidRPr="00911284">
        <w:tab/>
        <w:t xml:space="preserve">AER analysis; Productivity Commission, </w:t>
      </w:r>
      <w:r w:rsidRPr="00911284">
        <w:rPr>
          <w:rStyle w:val="AERtextitalic"/>
        </w:rPr>
        <w:t>On efficiency and effectiveness: Some definitions</w:t>
      </w:r>
      <w:r w:rsidRPr="00911284">
        <w:t xml:space="preserve">, May 2013; AER, </w:t>
      </w:r>
      <w:r w:rsidRPr="00911284">
        <w:rPr>
          <w:rStyle w:val="AERtextitalic"/>
        </w:rPr>
        <w:t>Better regulation: Rate of return guidelines consultation paper</w:t>
      </w:r>
      <w:r w:rsidRPr="00911284">
        <w:t>, May 2013.</w:t>
      </w:r>
    </w:p>
    <w:p w:rsidR="00911284" w:rsidRPr="00911284" w:rsidRDefault="00911284" w:rsidP="00911284">
      <w:pPr>
        <w:numPr>
          <w:ilvl w:val="0"/>
          <w:numId w:val="24"/>
        </w:numPr>
      </w:pPr>
      <w:r w:rsidRPr="00911284">
        <w:t>Because the market for capital finance is competitive, a benchmark efficient entity is expected to face competitive prices in the market for funds. Therefore, we consider efficient debt financing costs are reflected in the prevailing cost of debt observed in capital markets for an investment with a similar degree of risk as that which applies to a service provider in respect of the provision of re</w:t>
      </w:r>
      <w:r w:rsidR="00C21C87">
        <w:t xml:space="preserve">ference (or price regulated) </w:t>
      </w:r>
      <w:r w:rsidRPr="00911284">
        <w:t xml:space="preserve"> services.</w:t>
      </w:r>
      <w:r w:rsidRPr="00911284">
        <w:rPr>
          <w:rStyle w:val="FootnoteReference"/>
        </w:rPr>
        <w:footnoteReference w:id="1371"/>
      </w:r>
      <w:r w:rsidRPr="00911284">
        <w:t xml:space="preserve"> As Alfred Kahn stated:</w:t>
      </w:r>
      <w:r w:rsidRPr="00911284">
        <w:rPr>
          <w:rStyle w:val="FootnoteReference"/>
        </w:rPr>
        <w:footnoteReference w:id="1372"/>
      </w:r>
    </w:p>
    <w:p w:rsidR="00911284" w:rsidRPr="00911284" w:rsidRDefault="00911284" w:rsidP="00911284">
      <w:pPr>
        <w:pStyle w:val="AERquote"/>
      </w:pPr>
      <w:r w:rsidRPr="00911284">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911284" w:rsidRPr="00911284" w:rsidRDefault="00911284" w:rsidP="00911284">
      <w:pPr>
        <w:numPr>
          <w:ilvl w:val="0"/>
          <w:numId w:val="24"/>
        </w:numPr>
      </w:pPr>
      <w:r w:rsidRPr="00911284">
        <w:t>Similarly, Associate Professor Graham Partington and Professor Stephen Satchell (Partington and Satchell) interpret efficient financing costs as the opportunity cost of capital, which is a market rate of return for assets with a given level of risk.</w:t>
      </w:r>
      <w:r w:rsidRPr="00911284">
        <w:rPr>
          <w:rStyle w:val="FootnoteReference"/>
        </w:rPr>
        <w:footnoteReference w:id="1373"/>
      </w:r>
      <w:r w:rsidRPr="00911284">
        <w:t xml:space="preserve"> They advise the opportunity cost of debt is generally measured using the (appropriately benchmarked) yield to maturity.</w:t>
      </w:r>
      <w:r w:rsidRPr="00911284">
        <w:rPr>
          <w:rStyle w:val="FootnoteReference"/>
        </w:rPr>
        <w:footnoteReference w:id="1374"/>
      </w:r>
      <w:r w:rsidRPr="00911284">
        <w:t xml:space="preserve"> They also consider our use of a benchmark BBB+ credit rating and ten year term is appropriate.</w:t>
      </w:r>
      <w:r w:rsidRPr="00911284">
        <w:rPr>
          <w:rStyle w:val="FootnoteReference"/>
        </w:rPr>
        <w:footnoteReference w:id="1375"/>
      </w:r>
      <w:r w:rsidRPr="00911284">
        <w:t xml:space="preserve"> In a new report to the AER, Partington and Satchell define the efficient financing cost of a BEE as the current cost of finance that leads to efficient investment.</w:t>
      </w:r>
      <w:r w:rsidRPr="00911284">
        <w:rPr>
          <w:rStyle w:val="FootnoteReference"/>
        </w:rPr>
        <w:footnoteReference w:id="1376"/>
      </w:r>
      <w:r w:rsidRPr="00911284">
        <w:t xml:space="preserve"> This is consistent with their previous interpretation.</w:t>
      </w:r>
      <w:r w:rsidRPr="00911284">
        <w:rPr>
          <w:rStyle w:val="FootnoteReference"/>
        </w:rPr>
        <w:footnoteReference w:id="1377"/>
      </w:r>
    </w:p>
    <w:p w:rsidR="00911284" w:rsidRPr="00911284" w:rsidRDefault="00911284" w:rsidP="00911284">
      <w:pPr>
        <w:numPr>
          <w:ilvl w:val="0"/>
          <w:numId w:val="24"/>
        </w:numPr>
      </w:pPr>
      <w:r w:rsidRPr="00911284">
        <w:t>We consider that productive, allocative and dynamic efficiency are advanced by employing a return on debt that reflects prevailing rates in the market for funds. This will also promote the long term interests of consumers in line with the National Electricity Objective / National Gas Objective (NEO/NGO).</w:t>
      </w:r>
      <w:r w:rsidRPr="00911284">
        <w:rPr>
          <w:rStyle w:val="FootnoteReference"/>
        </w:rPr>
        <w:footnoteReference w:id="1378"/>
      </w:r>
      <w:r w:rsidRPr="00911284">
        <w:t xml:space="preserve"> </w:t>
      </w:r>
    </w:p>
    <w:p w:rsidR="00911284" w:rsidRPr="00911284" w:rsidRDefault="00911284" w:rsidP="00911284">
      <w:pPr>
        <w:pStyle w:val="Heading9"/>
      </w:pPr>
      <w:bookmarkStart w:id="422" w:name="_Ref447803806"/>
      <w:bookmarkStart w:id="423" w:name="_Toc451947834"/>
      <w:bookmarkStart w:id="424" w:name="_Toc487037207"/>
      <w:r w:rsidRPr="00911284">
        <w:t>Benchmark efficient entity</w:t>
      </w:r>
      <w:bookmarkEnd w:id="422"/>
      <w:bookmarkEnd w:id="423"/>
      <w:bookmarkEnd w:id="424"/>
    </w:p>
    <w:p w:rsidR="00911284" w:rsidRPr="00911284" w:rsidRDefault="00911284" w:rsidP="00911284">
      <w:r w:rsidRPr="00911284">
        <w:t>We previously considered a benchmark efficient entity would be 'a pure play, regulated energy network business operating within Australia'. This had been adopted in:</w:t>
      </w:r>
    </w:p>
    <w:p w:rsidR="00911284" w:rsidRPr="00911284" w:rsidRDefault="00911284" w:rsidP="00911284">
      <w:pPr>
        <w:pStyle w:val="AERbulletlistfirststyle"/>
      </w:pPr>
      <w:r w:rsidRPr="00911284">
        <w:t>The rate of return guidelines published in December 2013 (the Guideline).</w:t>
      </w:r>
      <w:r w:rsidRPr="00911284">
        <w:rPr>
          <w:rStyle w:val="FootnoteReference"/>
        </w:rPr>
        <w:footnoteReference w:id="1379"/>
      </w:r>
      <w:r w:rsidRPr="00911284">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911284">
        <w:rPr>
          <w:rStyle w:val="FootnoteReference"/>
        </w:rPr>
        <w:footnoteReference w:id="1380"/>
      </w:r>
      <w:r w:rsidRPr="00911284">
        <w:t xml:space="preserve"> To the contrary, stakeholders recognised that price and revenue caps had particular roles in mitigating risk as well as other features of the regulatory framework such as maintenance of the regulatory asset base.</w:t>
      </w:r>
      <w:r w:rsidRPr="00911284">
        <w:rPr>
          <w:rStyle w:val="FootnoteReference"/>
        </w:rPr>
        <w:footnoteReference w:id="1381"/>
      </w:r>
    </w:p>
    <w:p w:rsidR="00911284" w:rsidRPr="00911284" w:rsidRDefault="00911284" w:rsidP="00911284">
      <w:pPr>
        <w:pStyle w:val="AERbulletlistfirststyle"/>
      </w:pPr>
      <w:r w:rsidRPr="00911284">
        <w:t>Our previous 2009 weighted average cost of capital (WACC) review.</w:t>
      </w:r>
      <w:r w:rsidRPr="00911284">
        <w:rPr>
          <w:rStyle w:val="FootnoteReference"/>
        </w:rPr>
        <w:footnoteReference w:id="1382"/>
      </w:r>
      <w:r w:rsidRPr="00911284">
        <w:t xml:space="preserve"> </w:t>
      </w:r>
    </w:p>
    <w:p w:rsidR="00911284" w:rsidRPr="00911284" w:rsidRDefault="00911284" w:rsidP="00911284">
      <w:pPr>
        <w:pStyle w:val="AERbulletlistfirststyle"/>
      </w:pPr>
      <w:r w:rsidRPr="00911284">
        <w:t>Our rate of return decisions following the publication of the Guideline.</w:t>
      </w:r>
      <w:r w:rsidRPr="00911284">
        <w:rPr>
          <w:rStyle w:val="FootnoteReference"/>
        </w:rPr>
        <w:footnoteReference w:id="1383"/>
      </w:r>
    </w:p>
    <w:p w:rsidR="00911284" w:rsidRPr="00911284" w:rsidRDefault="00911284" w:rsidP="00911284">
      <w:r w:rsidRPr="00911284">
        <w:t>We have devoted considerable time to considering the characteristics of a benchmark efficient entity in the Guideline and this decision. We consider a 'benchmark' is a reference point or standard against which performance of achievements can be assessed.</w:t>
      </w:r>
      <w:r w:rsidRPr="00911284">
        <w:rPr>
          <w:rStyle w:val="FootnoteReference"/>
        </w:rPr>
        <w:footnoteReference w:id="1384"/>
      </w:r>
      <w:r w:rsidRPr="00911284">
        <w:t xml:space="preserve"> For a benchmark to be useful, it must 'fairly and accurately represent the key attributes of the market segment or financial instrument in question’.</w:t>
      </w:r>
      <w:r w:rsidRPr="00911284">
        <w:rPr>
          <w:rStyle w:val="FootnoteReference"/>
        </w:rPr>
        <w:footnoteReference w:id="1385"/>
      </w:r>
      <w:r w:rsidRPr="00911284">
        <w:t xml:space="preserve"> As the AEMC recognised (underline added for emphasis):</w:t>
      </w:r>
      <w:r w:rsidRPr="00911284">
        <w:rPr>
          <w:rStyle w:val="FootnoteReference"/>
        </w:rPr>
        <w:footnoteReference w:id="1386"/>
      </w:r>
    </w:p>
    <w:p w:rsidR="00911284" w:rsidRPr="00911284" w:rsidRDefault="00911284" w:rsidP="00911284">
      <w:pPr>
        <w:pStyle w:val="AERquote"/>
      </w:pPr>
      <w:r w:rsidRPr="00911284">
        <w:t xml:space="preserve">In order to meet the NEO and the NGO, this [allowed rate of return] objective reflected the need for the rate of return to "correspond to" the efficient financing costs of a benchmark efficient entity, this entity being one </w:t>
      </w:r>
      <w:r w:rsidRPr="00911284">
        <w:rPr>
          <w:rStyle w:val="AERtextunderline"/>
        </w:rPr>
        <w:t>with similar circumstances and degree of risk to the service provider</w:t>
      </w:r>
      <w:r w:rsidRPr="00911284">
        <w:t>.</w:t>
      </w:r>
    </w:p>
    <w:p w:rsidR="00911284" w:rsidRPr="00911284" w:rsidRDefault="00911284" w:rsidP="00911284">
      <w:r w:rsidRPr="00911284">
        <w:t>It is important to note that a debate has now arisen, since the submissions of Victorian electricity DNSPs'</w:t>
      </w:r>
      <w:r w:rsidRPr="00911284">
        <w:rPr>
          <w:rStyle w:val="FootnoteReference"/>
        </w:rPr>
        <w:footnoteReference w:id="1387"/>
      </w:r>
      <w:r w:rsidRPr="00911284">
        <w:t xml:space="preserve"> proposals as to whether a benchmark efficient entity would be unregulated. In their revised proposals the Victorian DNSPs submitted that a benchmark efficient entity with a similar degree of risk in respect of the provision of regulated services must be an unregulated business.</w:t>
      </w:r>
      <w:r w:rsidRPr="00911284">
        <w:rPr>
          <w:rStyle w:val="FootnoteReference"/>
        </w:rPr>
        <w:footnoteReference w:id="1388"/>
      </w:r>
      <w:r w:rsidRPr="00911284">
        <w:t xml:space="preserve">  This is consistent with the submission of AusNet Services in its revised </w:t>
      </w:r>
      <w:r w:rsidR="00C21C87">
        <w:t xml:space="preserve">electricity transmission </w:t>
      </w:r>
      <w:r w:rsidRPr="00911284">
        <w:t>proposal and in APA VTS and APTPPL's initial proposal.</w:t>
      </w:r>
      <w:r w:rsidRPr="00911284">
        <w:rPr>
          <w:rStyle w:val="FootnoteReference"/>
        </w:rPr>
        <w:footnoteReference w:id="1389"/>
      </w:r>
      <w:r w:rsidRPr="00911284">
        <w:t xml:space="preserve"> The position of the Victorian DNSPs on this matter followed the Tribunal hearing in an application for review of revenue determinations by Networks NSW</w:t>
      </w:r>
      <w:r w:rsidR="00C442DF">
        <w:t xml:space="preserve"> and several other service providers</w:t>
      </w:r>
      <w:r w:rsidR="00C21C87">
        <w:t>.</w:t>
      </w:r>
      <w:r w:rsidRPr="00911284">
        <w:t>.</w:t>
      </w:r>
      <w:r w:rsidRPr="00911284">
        <w:rPr>
          <w:rStyle w:val="FootnoteReference"/>
        </w:rPr>
        <w:footnoteReference w:id="1390"/>
      </w:r>
      <w:r w:rsidRPr="00911284">
        <w:t xml:space="preserve">  </w:t>
      </w:r>
    </w:p>
    <w:p w:rsidR="00911284" w:rsidRPr="00911284" w:rsidRDefault="00911284" w:rsidP="00911284">
      <w:r w:rsidRPr="00911284">
        <w:t>We did not consider this particular issue prior to the Ausgrid Tribunal's decision because it had not been raised substantively by any service provider.</w:t>
      </w:r>
      <w:r w:rsidRPr="00911284">
        <w:rPr>
          <w:rStyle w:val="FootnoteReference"/>
        </w:rPr>
        <w:footnoteReference w:id="1391"/>
      </w:r>
      <w:r w:rsidRPr="00911284">
        <w:t xml:space="preserve"> Consequently, the Tribunal did not have our fully formed view and reasoning before it when it considered this issue. We consider the Tribunal may have come to its position because it did not have our fully formed arguments before it. We sought review of the Tribunal's decision in the Full Federal Court. The decision was handed down in May 2017.</w:t>
      </w:r>
      <w:r w:rsidRPr="00911284">
        <w:rPr>
          <w:rStyle w:val="FootnoteReference"/>
        </w:rPr>
        <w:footnoteReference w:id="1392"/>
      </w:r>
      <w:r w:rsidRPr="00911284">
        <w:t xml:space="preserve"> The Full Federal Court arrived at the conclusion that the benchmark efficient entity should be taken as having "a similar degree of risk" as that which applies to the particular service provider in providing its </w:t>
      </w:r>
      <w:r w:rsidR="009C2AEA">
        <w:t xml:space="preserve">regulated </w:t>
      </w:r>
      <w:r w:rsidRPr="00911284">
        <w:t>services,</w:t>
      </w:r>
      <w:r w:rsidR="00C442DF">
        <w:rPr>
          <w:rStyle w:val="FootnoteReference"/>
        </w:rPr>
        <w:footnoteReference w:id="1393"/>
      </w:r>
      <w:r w:rsidRPr="00911284">
        <w:t xml:space="preserve"> but it does not mean that the benchmark efficient entity must be characterised as a regulated entity.</w:t>
      </w:r>
      <w:r w:rsidRPr="00911284">
        <w:rPr>
          <w:rStyle w:val="FootnoteReference"/>
        </w:rPr>
        <w:footnoteReference w:id="1394"/>
      </w:r>
      <w:r w:rsidRPr="00911284">
        <w:t xml:space="preserve"> We consider the characteristics of a benchmark efficient entity we are adopting for this decision is consistent with the Full Federal Court's finding that the benchmark efficient entity must be </w:t>
      </w:r>
      <w:r w:rsidR="00A65A7E" w:rsidRPr="00911284">
        <w:t>efficient</w:t>
      </w:r>
      <w:r w:rsidRPr="00911284">
        <w:t xml:space="preserve"> and it must face "a similar degree of risk" as that which applies to the regulated service provider in question in relation to the provision of </w:t>
      </w:r>
      <w:r w:rsidR="009C2AEA">
        <w:t xml:space="preserve">its </w:t>
      </w:r>
      <w:r w:rsidRPr="00911284">
        <w:t xml:space="preserve">reference services. We adopt the Full Federal Court's decision that a benchmark efficient entity is not necessarily to be characterised as a regulated entity. </w:t>
      </w:r>
      <w:r w:rsidR="00A328F8">
        <w:t>Therefore in assessing the efficient rate of return we look to comparators that have similar risk characteristics. Otherwise our allowed rate of return w</w:t>
      </w:r>
      <w:r w:rsidRPr="00911284">
        <w:t xml:space="preserve">ould not achieve the ARORO or the NGO.  </w:t>
      </w:r>
    </w:p>
    <w:p w:rsidR="00911284" w:rsidRPr="00911284" w:rsidRDefault="00911284" w:rsidP="00911284">
      <w:r w:rsidRPr="00911284">
        <w:t xml:space="preserve">We also base our analysis in this decision on the brief material submitted by other service providers in earlier decision process (including AusNet </w:t>
      </w:r>
      <w:r w:rsidR="00A65A7E" w:rsidRPr="00911284">
        <w:t>Services</w:t>
      </w:r>
      <w:r w:rsidRPr="00911284">
        <w:t xml:space="preserve"> in its revised </w:t>
      </w:r>
      <w:r w:rsidR="00A65A7E" w:rsidRPr="00911284">
        <w:t>transmission</w:t>
      </w:r>
      <w:r w:rsidRPr="00911284">
        <w:t xml:space="preserve"> proposal) and the material submitted by APTPPL, AGN</w:t>
      </w:r>
      <w:r w:rsidR="002B12BD">
        <w:t>, Multinet, AusNet Gas</w:t>
      </w:r>
      <w:r w:rsidRPr="00911284">
        <w:t xml:space="preserve"> and APA VTS in their initial proposals. This includes consideration of a new report by CEG that was submitted subsequent to our final decisions for the Victorian DNSPs.</w:t>
      </w:r>
      <w:r w:rsidRPr="00911284">
        <w:rPr>
          <w:rStyle w:val="FootnoteReference"/>
        </w:rPr>
        <w:footnoteReference w:id="1395"/>
      </w:r>
    </w:p>
    <w:p w:rsidR="00911284" w:rsidRPr="00911284" w:rsidRDefault="00911284" w:rsidP="00911284">
      <w:r w:rsidRPr="00911284">
        <w:t xml:space="preserve">After considering the material submitted by service providers  subject </w:t>
      </w:r>
      <w:r w:rsidR="009D3C6E">
        <w:t xml:space="preserve">to the </w:t>
      </w:r>
      <w:r w:rsidRPr="00911284">
        <w:t xml:space="preserve"> earlier decisions, and by APTPPL, APA VTS</w:t>
      </w:r>
      <w:r w:rsidR="002B12BD">
        <w:t>,</w:t>
      </w:r>
      <w:r w:rsidRPr="00911284">
        <w:t xml:space="preserve"> </w:t>
      </w:r>
      <w:r w:rsidR="002B12BD">
        <w:t>Multinet, AusNet Gas</w:t>
      </w:r>
      <w:r w:rsidR="002B12BD" w:rsidRPr="00911284">
        <w:t xml:space="preserve"> </w:t>
      </w:r>
      <w:r w:rsidRPr="00911284">
        <w:t xml:space="preserve">and AGN, we consider a benchmark entity would be an entity, whether it is conceived as regulated or not, that has a similar degree of systematic risk as that which applies to </w:t>
      </w:r>
      <w:r w:rsidR="002B12BD">
        <w:t xml:space="preserve">APTPPL </w:t>
      </w:r>
      <w:r w:rsidRPr="00911284">
        <w:t>in the provision of its re</w:t>
      </w:r>
      <w:r w:rsidR="00C21C87">
        <w:t>ference</w:t>
      </w:r>
      <w:r w:rsidRPr="00911284">
        <w:t xml:space="preserve"> services. </w:t>
      </w:r>
      <w:r w:rsidR="00A328F8">
        <w:t>In our guideline we undertook extensive analysis to identify a suitable set of comparator firms and we consider the comparators identified in that exercise remain valid.</w:t>
      </w:r>
      <w:r w:rsidRPr="00911284">
        <w:t xml:space="preserve"> For our analysis, see 'elements of the ARORO' under section 3.3.3 of attachment three. </w:t>
      </w:r>
    </w:p>
    <w:p w:rsidR="00911284" w:rsidRPr="00911284" w:rsidRDefault="00911284" w:rsidP="00911284">
      <w:r w:rsidRPr="00911284">
        <w:t>With respect to the current decision before us, we do not consider that the material submitted fully explores the implications of an unregulated benchmark efficient entity for all aspects of our decision on the allowed rate of return. This is consistent with the view we expressed in our final decisions released in May 2016 for ActewAGL and others, and also in our recent final decisions released in April 2017 for AusNet, TasNetworks and Powerlink.</w:t>
      </w:r>
      <w:r w:rsidRPr="00911284">
        <w:rPr>
          <w:rStyle w:val="FootnoteReference"/>
        </w:rPr>
        <w:footnoteReference w:id="1396"/>
      </w:r>
    </w:p>
    <w:p w:rsidR="00911284" w:rsidRPr="00911284" w:rsidRDefault="00911284" w:rsidP="00911284">
      <w:r w:rsidRPr="00911284">
        <w:t xml:space="preserve">Regulation has a fundamental impact on the risk characteristics of a service provider in the provision of </w:t>
      </w:r>
      <w:r w:rsidR="00C21C87" w:rsidRPr="00911284">
        <w:t>re</w:t>
      </w:r>
      <w:r w:rsidR="00C21C87">
        <w:t>ference</w:t>
      </w:r>
      <w:r w:rsidR="00C21C87" w:rsidRPr="00911284">
        <w:t xml:space="preserve"> </w:t>
      </w:r>
      <w:r w:rsidRPr="00911284">
        <w:t>services. Regulation provides a range of risk mitigation treatments that are unavailable to firms in competitive markets such as a revenue cap (or price cap), preservation of capital in a regulated asset base, pass through arrangements and shipwreck clauses.</w:t>
      </w:r>
      <w:r w:rsidRPr="00911284">
        <w:rPr>
          <w:rStyle w:val="FootnoteReference"/>
        </w:rPr>
        <w:footnoteReference w:id="1397"/>
      </w:r>
    </w:p>
    <w:p w:rsidR="00911284" w:rsidRPr="00911284" w:rsidRDefault="00911284" w:rsidP="00911284">
      <w:r w:rsidRPr="00911284">
        <w:t xml:space="preserve">Nevertheless, even if the benchmark efficient entity that has "a similar degree of risk" as that which applies to APTPPL was necessarily unregulated, we do not consider this would affect our conclusions. Our approach to the cost of debt would be applicable to an unregulated firm if it had a similar degree of risk to the service provider in providing </w:t>
      </w:r>
      <w:r w:rsidR="00C21C87">
        <w:t>reference</w:t>
      </w:r>
      <w:r w:rsidR="00C21C87" w:rsidRPr="00911284">
        <w:t xml:space="preserve"> </w:t>
      </w:r>
      <w:r w:rsidRPr="00911284">
        <w:t xml:space="preserve">services. Further, irrespective of whether a firm is regulated or not, efficient financing costs reflect the current (or prevailing) forward looking costs observed in capital markets. </w:t>
      </w:r>
    </w:p>
    <w:p w:rsidR="00911284" w:rsidRPr="00911284" w:rsidRDefault="00911284" w:rsidP="00911284">
      <w:pPr>
        <w:pStyle w:val="Heading8"/>
      </w:pPr>
      <w:bookmarkStart w:id="425" w:name="_Ref444778432"/>
      <w:bookmarkStart w:id="426" w:name="_Toc451947835"/>
      <w:bookmarkStart w:id="427" w:name="_Toc487037208"/>
      <w:r w:rsidRPr="00911284">
        <w:t>Requirements under the ARORO</w:t>
      </w:r>
      <w:bookmarkEnd w:id="425"/>
      <w:bookmarkEnd w:id="426"/>
      <w:bookmarkEnd w:id="427"/>
    </w:p>
    <w:p w:rsidR="00911284" w:rsidRPr="00911284" w:rsidRDefault="00911284" w:rsidP="00911284">
      <w:r w:rsidRPr="00911284">
        <w:t xml:space="preserve">The ARORO provides that the rate of return for a service provider is to be commensurate with the efficient financing costs of a benchmark efficient entity with a similar degree of risk as that which applies to the service provider in respect of the provision of </w:t>
      </w:r>
      <w:r w:rsidR="00C21C87" w:rsidRPr="00911284">
        <w:t>re</w:t>
      </w:r>
      <w:r w:rsidR="00C21C87">
        <w:t>ference</w:t>
      </w:r>
      <w:r w:rsidR="00C21C87" w:rsidRPr="00911284">
        <w:t xml:space="preserve"> </w:t>
      </w:r>
      <w:r w:rsidRPr="00911284">
        <w:t>services.</w:t>
      </w:r>
      <w:r w:rsidRPr="00911284">
        <w:rPr>
          <w:rStyle w:val="FootnoteReference"/>
        </w:rPr>
        <w:footnoteReference w:id="1398"/>
      </w:r>
      <w:r w:rsidRPr="00911284">
        <w:t xml:space="preserve"> We consider this requires us to set an allowed rate of return that appropriately compensates investors on their capital investments (in an ex-ante sense) and aims to minimise the long run cost of capital (all else being equal).</w:t>
      </w:r>
      <w:r w:rsidRPr="00911284">
        <w:rPr>
          <w:rStyle w:val="FootnoteReference"/>
        </w:rPr>
        <w:footnoteReference w:id="1399"/>
      </w:r>
      <w:r w:rsidRPr="00911284">
        <w:t xml:space="preserve"> By appropriate compensation we mean that the ex-ante return should be commensurate with the </w:t>
      </w:r>
      <w:r w:rsidRPr="00911284">
        <w:rPr>
          <w:rStyle w:val="AERtextunderline"/>
        </w:rPr>
        <w:t>expected</w:t>
      </w:r>
      <w:r w:rsidRPr="00911284">
        <w:t xml:space="preserve"> return in the capital market for an investment with a similar degree of risk as that of a benchmark efficient entity in the position of the service provider supplying </w:t>
      </w:r>
      <w:r w:rsidR="002F56E5" w:rsidRPr="00911284">
        <w:t>re</w:t>
      </w:r>
      <w:r w:rsidR="002F56E5">
        <w:t>ference</w:t>
      </w:r>
      <w:r w:rsidR="002F56E5" w:rsidRPr="00911284">
        <w:t xml:space="preserve"> </w:t>
      </w:r>
      <w:r w:rsidRPr="00911284">
        <w:t>services.</w:t>
      </w:r>
      <w:r w:rsidRPr="00911284">
        <w:rPr>
          <w:rStyle w:val="FootnoteReference"/>
        </w:rPr>
        <w:footnoteReference w:id="1400"/>
      </w:r>
      <w:r w:rsidRPr="00911284">
        <w:t xml:space="preserve"> We consider this is the efficient return expected in a competitive capital market, consistent with models underpinning financial theory on efficient markets.</w:t>
      </w:r>
      <w:r w:rsidRPr="00911284">
        <w:rPr>
          <w:rStyle w:val="FootnoteReference"/>
        </w:rPr>
        <w:footnoteReference w:id="1401"/>
      </w:r>
      <w:r w:rsidR="00C442DF" w:rsidRPr="00C442DF">
        <w:t xml:space="preserve"> </w:t>
      </w:r>
      <w:r w:rsidR="00C442DF" w:rsidRPr="00E544A2">
        <w:t xml:space="preserve">However, given the benefits of a trailing average approach as discussed in section </w:t>
      </w:r>
      <w:r w:rsidR="00C442DF" w:rsidRPr="00E544A2">
        <w:fldChar w:fldCharType="begin"/>
      </w:r>
      <w:r w:rsidR="00C442DF" w:rsidRPr="00E544A2">
        <w:instrText xml:space="preserve"> REF _Ref478718271 \r \h </w:instrText>
      </w:r>
      <w:r w:rsidR="00C442DF" w:rsidRPr="00E544A2">
        <w:fldChar w:fldCharType="separate"/>
      </w:r>
      <w:r w:rsidR="002C24D6">
        <w:t>3.4.2</w:t>
      </w:r>
      <w:r w:rsidR="00C442DF" w:rsidRPr="00E544A2">
        <w:fldChar w:fldCharType="end"/>
      </w:r>
      <w:r w:rsidR="00C442DF" w:rsidRPr="00E544A2">
        <w:t xml:space="preserve">, we consider that neither an on-the-day nor trailing average approach would be clearly superior to the other. </w:t>
      </w:r>
      <w:r w:rsidR="00C442DF" w:rsidRPr="003B6944">
        <w:t xml:space="preserve">With a full transition, a trailing average approach would provide a benchmark efficient entity with a reasonable opportunity to recover at least efficient costs. </w:t>
      </w:r>
    </w:p>
    <w:p w:rsidR="00911284" w:rsidRPr="00911284" w:rsidRDefault="00911284" w:rsidP="00911284">
      <w:r w:rsidRPr="00911284">
        <w:t>We elaborate on this in the following sections by setting out why and how a rate of return that meets the ARORO must:</w:t>
      </w:r>
    </w:p>
    <w:p w:rsidR="00911284" w:rsidRPr="00911284" w:rsidRDefault="00911284" w:rsidP="00911284">
      <w:pPr>
        <w:pStyle w:val="AERbulletlistfirststyle"/>
      </w:pPr>
      <w:r w:rsidRPr="00911284">
        <w:t xml:space="preserve">provide for ex-ante efficient compensation </w:t>
      </w:r>
    </w:p>
    <w:p w:rsidR="00911284" w:rsidRPr="00911284" w:rsidRDefault="00911284" w:rsidP="00911284">
      <w:pPr>
        <w:pStyle w:val="AERbulletlistfirststyle"/>
      </w:pPr>
      <w:r w:rsidRPr="00911284">
        <w:t>be consistent with the NEL/NGL</w:t>
      </w:r>
    </w:p>
    <w:p w:rsidR="00911284" w:rsidRPr="00911284" w:rsidRDefault="00911284" w:rsidP="00911284">
      <w:pPr>
        <w:pStyle w:val="AERbulletlistfirststyle"/>
      </w:pPr>
      <w:r w:rsidRPr="00911284">
        <w:t>require a revenue-neutral transition if there is a change in the methodology used to estimate the allowed return on debt (assuming that both methodologies can meet the ARORO but produce different estimates across time).</w:t>
      </w:r>
    </w:p>
    <w:p w:rsidR="00911284" w:rsidRPr="00911284" w:rsidRDefault="00911284" w:rsidP="00911284">
      <w:pPr>
        <w:pStyle w:val="Heading9"/>
      </w:pPr>
      <w:bookmarkStart w:id="428" w:name="_Ref446603900"/>
      <w:bookmarkStart w:id="429" w:name="_Toc451947836"/>
      <w:bookmarkStart w:id="430" w:name="_Toc487037209"/>
      <w:r w:rsidRPr="00911284">
        <w:t>Ex-ante efficient compensation</w:t>
      </w:r>
      <w:bookmarkEnd w:id="428"/>
      <w:bookmarkEnd w:id="429"/>
      <w:bookmarkEnd w:id="430"/>
    </w:p>
    <w:p w:rsidR="00911284" w:rsidRPr="00911284" w:rsidRDefault="00911284" w:rsidP="00911284">
      <w:r w:rsidRPr="00911284">
        <w:t xml:space="preserve">We consider a rate of return that meets the ARORO must provide ex-ante compensation for efficient financing costs (we refer to this as ex-ante efficient compensation). </w:t>
      </w:r>
    </w:p>
    <w:p w:rsidR="00911284" w:rsidRPr="00911284" w:rsidRDefault="00911284" w:rsidP="00911284">
      <w:r w:rsidRPr="00911284">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 rate of return for a benchmark efficient entity such that the return on its investment (in its RAB) equals its efficient cost.</w:t>
      </w:r>
      <w:r w:rsidRPr="00911284">
        <w:rPr>
          <w:rStyle w:val="FootnoteReference"/>
        </w:rPr>
        <w:footnoteReference w:id="1402"/>
      </w:r>
      <w:r w:rsidRPr="00911284">
        <w:t xml:space="preserve"> This is a zero net present value (NPV) investment condition,</w:t>
      </w:r>
      <w:r w:rsidRPr="00911284">
        <w:rPr>
          <w:rStyle w:val="FootnoteReference"/>
        </w:rPr>
        <w:footnoteReference w:id="1403"/>
      </w:r>
      <w:r w:rsidRPr="00911284">
        <w:t xml:space="preserve"> which is a forward looking concept that shows a benchmark efficient entity is provided with a reasonable opportunity to recover at least efficient financing costs over the life of its investment (in its RAB). Partington and Satchell described it as follows:</w:t>
      </w:r>
      <w:r w:rsidRPr="00911284">
        <w:rPr>
          <w:rStyle w:val="FootnoteReference"/>
        </w:rPr>
        <w:footnoteReference w:id="1404"/>
      </w:r>
      <w:r w:rsidRPr="00911284">
        <w:t xml:space="preserve"> </w:t>
      </w:r>
    </w:p>
    <w:p w:rsidR="00911284" w:rsidRPr="00911284" w:rsidRDefault="00911284" w:rsidP="00911284">
      <w:pPr>
        <w:pStyle w:val="AERquote"/>
      </w:pPr>
      <w:r w:rsidRPr="00911284">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911284" w:rsidRPr="00911284" w:rsidRDefault="00911284" w:rsidP="00911284">
      <w:r w:rsidRPr="00911284">
        <w:t xml:space="preserve">As discussed in section </w:t>
      </w:r>
      <w:r w:rsidRPr="00911284">
        <w:fldChar w:fldCharType="begin"/>
      </w:r>
      <w:r w:rsidRPr="00911284">
        <w:instrText xml:space="preserve"> REF _Ref479168847 \r \h </w:instrText>
      </w:r>
      <w:r w:rsidRPr="00911284">
        <w:fldChar w:fldCharType="separate"/>
      </w:r>
      <w:r w:rsidR="002C24D6">
        <w:t>3.3.3</w:t>
      </w:r>
      <w:r w:rsidRPr="00911284">
        <w:fldChar w:fldCharType="end"/>
      </w:r>
      <w:r w:rsidRPr="00911284">
        <w:t xml:space="preserve"> and </w:t>
      </w:r>
      <w:r w:rsidRPr="00911284">
        <w:fldChar w:fldCharType="begin"/>
      </w:r>
      <w:r w:rsidRPr="00911284">
        <w:instrText xml:space="preserve"> REF _Ref446405872 \r \h </w:instrText>
      </w:r>
      <w:r w:rsidRPr="00911284">
        <w:fldChar w:fldCharType="separate"/>
      </w:r>
      <w:r w:rsidR="002C24D6">
        <w:t>J.1.1</w:t>
      </w:r>
      <w:r w:rsidRPr="00911284">
        <w:fldChar w:fldCharType="end"/>
      </w:r>
      <w:r w:rsidRPr="00911284">
        <w:t xml:space="preserve">, we consider efficient financing costs, for debt and equity, should be based on (appropriately benchmarked) prevailing market rates. This reflects the current opportunity cost of capital for investments of similar risk to a benchmark efficient entity that has "a </w:t>
      </w:r>
      <w:r w:rsidR="00A65A7E" w:rsidRPr="00911284">
        <w:t>similar</w:t>
      </w:r>
      <w:r w:rsidRPr="00911284">
        <w:t xml:space="preserve"> degree of risk" as that which applies to the particular service provider in providing its </w:t>
      </w:r>
      <w:r w:rsidR="002F56E5" w:rsidRPr="00911284">
        <w:t>re</w:t>
      </w:r>
      <w:r w:rsidR="002F56E5">
        <w:t>ference</w:t>
      </w:r>
      <w:r w:rsidR="002F56E5" w:rsidRPr="00911284">
        <w:t xml:space="preserve"> </w:t>
      </w:r>
      <w:r w:rsidRPr="00911284">
        <w:t>services.</w:t>
      </w:r>
      <w:r w:rsidRPr="00911284">
        <w:rPr>
          <w:rStyle w:val="FootnoteReference"/>
        </w:rPr>
        <w:footnoteReference w:id="1405"/>
      </w:r>
      <w:r w:rsidRPr="00911284">
        <w:t xml:space="preserve"> The opportunity cost of capital is the rate used to discount firms' expected future cash flows in NPV calculations.</w:t>
      </w:r>
      <w:r w:rsidRPr="00911284">
        <w:rPr>
          <w:rStyle w:val="FootnoteReference"/>
        </w:rPr>
        <w:footnoteReference w:id="1406"/>
      </w:r>
    </w:p>
    <w:p w:rsidR="00911284" w:rsidRPr="00911284" w:rsidRDefault="00911284" w:rsidP="00911284">
      <w:r w:rsidRPr="00911284">
        <w:t>Under the ex-ante regulatory regime, we reset the allowed rate of return (through the returns on debt and equity) at the commencement of each regulatory period (or annually for the allowed return on debt if we use a trailing average). If the allowed rate of return is reset to reflect the prevailing market cost of capital, it provides ex-ante efficient compensation over each reset period.</w:t>
      </w:r>
      <w:r w:rsidRPr="00911284">
        <w:rPr>
          <w:rStyle w:val="FootnoteReference"/>
        </w:rPr>
        <w:footnoteReference w:id="1407"/>
      </w:r>
      <w:r w:rsidRPr="00911284">
        <w:t xml:space="preserve"> </w:t>
      </w:r>
    </w:p>
    <w:p w:rsidR="00911284" w:rsidRPr="00911284" w:rsidRDefault="00911284" w:rsidP="00911284">
      <w:r w:rsidRPr="00911284">
        <w:t xml:space="preserve">As shown in section </w:t>
      </w:r>
      <w:r w:rsidRPr="00911284">
        <w:fldChar w:fldCharType="begin"/>
      </w:r>
      <w:r w:rsidRPr="00911284">
        <w:instrText xml:space="preserve"> REF _Ref444767739 \r \h </w:instrText>
      </w:r>
      <w:r w:rsidRPr="00911284">
        <w:fldChar w:fldCharType="separate"/>
      </w:r>
      <w:r w:rsidR="002C24D6">
        <w:t>J.3</w:t>
      </w:r>
      <w:r w:rsidRPr="00911284">
        <w:fldChar w:fldCharType="end"/>
      </w:r>
      <w:r w:rsidRPr="00911284">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RAB).This is supported by Partington and Satchell who expressed their strong favour in the on the day approach over trailing average approach.</w:t>
      </w:r>
      <w:r w:rsidRPr="00911284">
        <w:rPr>
          <w:rStyle w:val="FootnoteReference"/>
        </w:rPr>
        <w:footnoteReference w:id="1408"/>
      </w:r>
    </w:p>
    <w:p w:rsidR="00911284" w:rsidRPr="00911284" w:rsidRDefault="00911284" w:rsidP="00911284">
      <w:r w:rsidRPr="00911284">
        <w:t>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sidRPr="00911284">
        <w:rPr>
          <w:rStyle w:val="FootnoteReference"/>
        </w:rPr>
        <w:footnoteReference w:id="1409"/>
      </w:r>
      <w:r w:rsidR="002F56E5" w:rsidRPr="002F56E5">
        <w:t xml:space="preserve"> </w:t>
      </w:r>
      <w:r w:rsidR="002F56E5" w:rsidRPr="009A0622">
        <w:t>This is because if a full transition is not applied the ex ante cash flows will have a present value that is above or below the value of the RAB where historical interest rates are below or above prevailing interest rates at the commencement of the trailing average.</w:t>
      </w:r>
    </w:p>
    <w:p w:rsidR="00911284" w:rsidRPr="00911284" w:rsidRDefault="00911284" w:rsidP="00911284">
      <w:r w:rsidRPr="00911284">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rsidRPr="00911284">
        <w:t xml:space="preserve"> is as follows:</w:t>
      </w:r>
      <w:r w:rsidRPr="00911284">
        <w:rPr>
          <w:rStyle w:val="FootnoteReference"/>
        </w:rPr>
        <w:footnoteReference w:id="1410"/>
      </w:r>
    </w:p>
    <w:p w:rsidR="00911284" w:rsidRPr="00911284" w:rsidRDefault="002C24D6" w:rsidP="00911284">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911284" w:rsidRPr="00911284" w:rsidRDefault="00911284" w:rsidP="00911284">
      <w:pPr>
        <w:pStyle w:val="AERbodytextnospace"/>
      </w:pPr>
    </w:p>
    <w:p w:rsidR="00911284" w:rsidRPr="00911284" w:rsidRDefault="00911284" w:rsidP="00911284">
      <w:pPr>
        <w:pStyle w:val="AERbodytextnospace"/>
      </w:pPr>
      <w:r w:rsidRPr="00911284">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911284">
        <w:t xml:space="preserve"> is the price of the bond at time 0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911284">
        <w:t xml:space="preserve"> is the coupon (or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911284" w:rsidRPr="00911284" w:rsidRDefault="00911284" w:rsidP="00911284">
      <w:pPr>
        <w:pStyle w:val="AERbodytextnospace"/>
      </w:pPr>
      <w:r w:rsidRPr="00911284">
        <w:tab/>
      </w:r>
      <w:r w:rsidRPr="00911284">
        <w:tab/>
      </w:r>
      <m:oMath>
        <m:r>
          <w:rPr>
            <w:rFonts w:ascii="Cambria Math" w:hAnsi="Cambria Math"/>
          </w:rPr>
          <m:t>c</m:t>
        </m:r>
      </m:oMath>
      <w:r w:rsidRPr="00911284">
        <w:t xml:space="preserve"> is the coupon rate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911284">
        <w:t xml:space="preserve"> is the required rate of return or cost of capital (based on market rates) at time 0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911284">
        <w:t xml:space="preserve"> is the face (or par) value of the bond (or principal repayment) at maturity.</w:t>
      </w:r>
    </w:p>
    <w:p w:rsidR="00911284" w:rsidRPr="00911284" w:rsidRDefault="00911284" w:rsidP="00911284">
      <w:r w:rsidRPr="00911284">
        <w:t>The above formula shows that for a bond's price to equal its face (or par) value, at any time 0, the coupon rate (which is akin to the allowed rate of return) must be set (or reset) to equal the prevailing cost of capital.</w:t>
      </w:r>
      <w:r w:rsidRPr="00911284">
        <w:rPr>
          <w:rStyle w:val="FootnoteReference"/>
        </w:rPr>
        <w:footnoteReference w:id="1411"/>
      </w:r>
      <w:r w:rsidRPr="00911284">
        <w:t xml:space="preserve"> If the coupon rate is set (or reset) to a value above (below) the prevailing cost of capital, the price of the bond would trade above (below) its face value. This means the investor that paid the face value would be ex-ante over (under) compensated relative to other investments of similar risk.</w:t>
      </w:r>
    </w:p>
    <w:p w:rsidR="00911284" w:rsidRPr="00911284" w:rsidRDefault="00911284" w:rsidP="00911284">
      <w:pPr>
        <w:pStyle w:val="HeadingBoldBlue"/>
      </w:pPr>
      <w:r w:rsidRPr="00911284">
        <w:t>Compensation for historically incurred costs</w:t>
      </w:r>
    </w:p>
    <w:p w:rsidR="00911284" w:rsidRPr="00911284" w:rsidRDefault="00911284" w:rsidP="00911284">
      <w:r w:rsidRPr="00911284">
        <w:t>We do not interpret the ARORO to require us to compensate a benchmark efficient entity for historically incurred financing costs where this will lead to compensation that would not be ex-ante efficient.</w:t>
      </w:r>
    </w:p>
    <w:p w:rsidR="00911284" w:rsidRPr="00911284" w:rsidRDefault="00911284" w:rsidP="00911284">
      <w:r w:rsidRPr="00911284">
        <w:t xml:space="preserve">We consider setting an allowed rate of return that provides ex-ante efficient compensation gives a benchmark efficient entity a reasonable opportunity to recover at least efficient financing costs. This sets a </w:t>
      </w:r>
      <w:r w:rsidRPr="00911284">
        <w:rPr>
          <w:rStyle w:val="AERtextunderline"/>
        </w:rPr>
        <w:t>forward looking</w:t>
      </w:r>
      <w:r w:rsidRPr="00911284">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sidRPr="00911284">
        <w:rPr>
          <w:rStyle w:val="FootnoteReference"/>
        </w:rPr>
        <w:footnoteReference w:id="1412"/>
      </w:r>
      <w:r w:rsidRPr="00911284">
        <w:t xml:space="preserve"> Partington and Satchell agree with this view.</w:t>
      </w:r>
      <w:r w:rsidRPr="00911284">
        <w:rPr>
          <w:rStyle w:val="FootnoteReference"/>
        </w:rPr>
        <w:footnoteReference w:id="1413"/>
      </w:r>
      <w:r w:rsidRPr="00911284">
        <w:t xml:space="preserve"> The timeline below shows how we consider ex-post movements in interest rates (and historical costs) relate to ex-ante efficient compensation.</w:t>
      </w:r>
    </w:p>
    <w:p w:rsidR="00911284" w:rsidRPr="00911284" w:rsidRDefault="00911284" w:rsidP="00911284">
      <w:r w:rsidRPr="00911284">
        <w:rPr>
          <w:noProof/>
          <w:lang w:eastAsia="en-AU"/>
        </w:rPr>
        <mc:AlternateContent>
          <mc:Choice Requires="wpg">
            <w:drawing>
              <wp:inline distT="0" distB="0" distL="0" distR="0" wp14:anchorId="2B75D383" wp14:editId="6240177D">
                <wp:extent cx="5086350" cy="2524125"/>
                <wp:effectExtent l="38100" t="0" r="0" b="0"/>
                <wp:docPr id="57" name="Group 5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58" name="Group 58"/>
                        <wpg:cNvGrpSpPr/>
                        <wpg:grpSpPr>
                          <a:xfrm>
                            <a:off x="0" y="0"/>
                            <a:ext cx="4411384" cy="2203376"/>
                            <a:chOff x="0" y="0"/>
                            <a:chExt cx="4411384" cy="2203376"/>
                          </a:xfrm>
                        </wpg:grpSpPr>
                        <wpg:grpSp>
                          <wpg:cNvPr id="59" name="Group 59"/>
                          <wpg:cNvGrpSpPr/>
                          <wpg:grpSpPr>
                            <a:xfrm>
                              <a:off x="0" y="0"/>
                              <a:ext cx="4411384" cy="2203376"/>
                              <a:chOff x="0" y="1"/>
                              <a:chExt cx="4411384" cy="2203376"/>
                            </a:xfrm>
                          </wpg:grpSpPr>
                          <wps:wsp>
                            <wps:cNvPr id="60" name="Text Box 6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671" w:rsidRDefault="00484671" w:rsidP="00911284">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257175"/>
                                <a:ext cx="4019550" cy="492442"/>
                                <a:chOff x="0" y="0"/>
                                <a:chExt cx="4019550" cy="492442"/>
                              </a:xfrm>
                            </wpg:grpSpPr>
                            <wps:wsp>
                              <wps:cNvPr id="62" name="Straight Arrow Connector 6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Text Box 6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671" w:rsidRDefault="00484671" w:rsidP="00911284">
                                  <w:pPr>
                                    <w:pStyle w:val="AERbodytextnospaceleftalign"/>
                                  </w:pPr>
                                  <w:r>
                                    <w:t>Historically incurred costs:</w:t>
                                  </w:r>
                                </w:p>
                                <w:p w:rsidR="00484671" w:rsidRDefault="00484671" w:rsidP="00911284">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671" w:rsidRDefault="00484671" w:rsidP="00911284">
                                  <w:pPr>
                                    <w:pStyle w:val="AERbodytextnospaceleftalign"/>
                                  </w:pPr>
                                  <w:r>
                                    <w:t>Ex-post movement in interest rates:</w:t>
                                  </w:r>
                                </w:p>
                                <w:p w:rsidR="00484671" w:rsidRDefault="00484671" w:rsidP="00911284">
                                  <w:pPr>
                                    <w:pStyle w:val="AERbodytextnospaceleftalign"/>
                                  </w:pPr>
                                  <w:r>
                                    <w:t>—unknown at date x, but the associated risks are priced into the forward looking rate of return at date x</w:t>
                                  </w:r>
                                </w:p>
                                <w:p w:rsidR="00484671" w:rsidRDefault="00484671" w:rsidP="00911284">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671" w:rsidRDefault="00484671" w:rsidP="00911284">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Oval 69"/>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7"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">
                <v:group id="Group 5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60"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484671" w:rsidRDefault="00484671" w:rsidP="00911284">
                            <w:pPr>
                              <w:pStyle w:val="AERbodytextnospaceleftalign"/>
                            </w:pPr>
                            <w:r>
                              <w:t>reset date x</w:t>
                            </w:r>
                          </w:p>
                        </w:txbxContent>
                      </v:textbox>
                    </v:shape>
                    <v:group id="Group 6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2"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06648a [3040]">
                        <v:stroke startarrow="open" endarrow="open"/>
                      </v:shape>
                      <v:oval id="Oval 63"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OsMA&#10;AADbAAAADwAAAGRycy9kb3ducmV2LnhtbESPQYvCMBSE74L/ITzBm6YqqK1GkYWFVfZiu7DXZ/Ns&#10;q81LabJa/71ZEDwOM/MNs952phY3al1lWcFkHIEgzq2uuFDwk32OliCcR9ZYWyYFD3Kw3fR7a0y0&#10;vfORbqkvRICwS1BB6X2TSOnykgy6sW2Ig3e2rUEfZFtI3eI9wE0tp1E0lwYrDgslNvRRUn5N/4yC&#10;4nh1hynG+eUUL9J9XWXf8W+m1HDQ7VYgPHX+HX61v7SC+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OsMAAADbAAAADwAAAAAAAAAAAAAAAACYAgAAZHJzL2Rv&#10;d25yZXYueG1sUEsFBgAAAAAEAAQA9QAAAIgDA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TfcUA&#10;AADbAAAADwAAAGRycy9kb3ducmV2LnhtbESPT4vCMBTE7wt+h/AEb2uqqEg1ioqKy7IH/1y8PZpn&#10;W21eShNr3U9vhIU9DjPzG2Y6b0whaqpcbllBrxuBIE6szjlVcDpuPscgnEfWWFgmBU9yMJ+1PqYY&#10;a/vgPdUHn4oAYRejgsz7MpbSJRkZdF1bEgfvYiuDPsgqlbrCR4CbQvajaCQN5hwWMixplVFyO9yN&#10;gnqwvf1c18XxudzvztuT/v0efl2V6rSbxQSEp8b/h//aO61gNID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N9xQAAANsAAAAPAAAAAAAAAAAAAAAAAJgCAABkcnMv&#10;ZG93bnJldi54bWxQSwUGAAAAAAQABAD1AAAAigMAAAAA&#10;" adj="269" strokecolor="#06648a [3040]"/>
                      <v:shape id="Right Brace 65"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25sYA&#10;AADbAAAADwAAAGRycy9kb3ducmV2LnhtbESPT2vCQBTE70K/w/IKvemmpYYSXaUtrSjiIeqlt0f2&#10;mb/7NmS3MfrpuwXB4zAzv2Hmy8E0oqfOlZYVPE8iEMSZ1SXnCo6H7/EbCOeRNTaWScGFHCwXD6M5&#10;JtqeOaV+73MRIOwSVFB43yZSuqwgg25iW+LgnWxn0AfZ5VJ3eA5w08iXKIqlwZLDQoEtfRaU1ftf&#10;o6B/XdW76qs5XD7S9c/qqK/b6aZS6ulxeJ+B8DT4e/jWXmsF8RT+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A25sYAAADbAAAADwAAAAAAAAAAAAAAAACYAgAAZHJz&#10;L2Rvd25yZXYueG1sUEsFBgAAAAAEAAQA9QAAAIsDAAAAAA==&#10;" adj="269" strokecolor="#06648a [3040]"/>
                    </v:group>
                    <v:shape id="Text Box 66"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484671" w:rsidRDefault="00484671" w:rsidP="00911284">
                            <w:pPr>
                              <w:pStyle w:val="AERbodytextnospaceleftalign"/>
                            </w:pPr>
                            <w:r>
                              <w:t>Historically incurred costs:</w:t>
                            </w:r>
                          </w:p>
                          <w:p w:rsidR="00484671" w:rsidRDefault="00484671" w:rsidP="00911284">
                            <w:pPr>
                              <w:pStyle w:val="AERbodytextnospaceleftalign"/>
                            </w:pPr>
                            <w:r>
                              <w:t>—incorporating these into the rate of return at date x does not lead to ex-ante efficient compensation for the reset period (x to x+1)</w:t>
                            </w:r>
                          </w:p>
                        </w:txbxContent>
                      </v:textbox>
                    </v:shape>
                    <v:shape id="Text Box 67"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484671" w:rsidRDefault="00484671" w:rsidP="00911284">
                            <w:pPr>
                              <w:pStyle w:val="AERbodytextnospaceleftalign"/>
                            </w:pPr>
                            <w:r>
                              <w:t>Ex-post movement in interest rates:</w:t>
                            </w:r>
                          </w:p>
                          <w:p w:rsidR="00484671" w:rsidRDefault="00484671" w:rsidP="00911284">
                            <w:pPr>
                              <w:pStyle w:val="AERbodytextnospaceleftalign"/>
                            </w:pPr>
                            <w:r>
                              <w:t>—unknown at date x, but the associated risks are priced into the forward looking rate of return at date x</w:t>
                            </w:r>
                          </w:p>
                          <w:p w:rsidR="00484671" w:rsidRDefault="00484671" w:rsidP="00911284">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68"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484671" w:rsidRDefault="00484671" w:rsidP="00911284">
                          <w:pPr>
                            <w:pStyle w:val="AERbodytextnospaceleftalign"/>
                          </w:pPr>
                          <w:r>
                            <w:t>reset date x+1</w:t>
                          </w:r>
                        </w:p>
                      </w:txbxContent>
                    </v:textbox>
                  </v:shape>
                </v:group>
                <v:oval id="Oval 69"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076a92 [3200]" strokeweight="2pt"/>
                <w10:anchorlock/>
              </v:group>
            </w:pict>
          </mc:Fallback>
        </mc:AlternateContent>
      </w:r>
    </w:p>
    <w:p w:rsidR="00911284" w:rsidRPr="00911284" w:rsidRDefault="00911284" w:rsidP="00911284">
      <w:r w:rsidRPr="00911284">
        <w:t xml:space="preserve">If, at reset date x+1, we set an allowed rate of return that provides compensation for a service provider's actual (historical) cost outcomes from the previous period, we would effectively remove realised gains or losses from risk it had previously borne. The regulatory regime is an ex-ante regime that is not intended to remove all risk from service providers and their capital investors. We set a forward looking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faced by capital investors then the appropriate return would theoretically be the risk free rate. </w:t>
      </w:r>
    </w:p>
    <w:p w:rsidR="00911284" w:rsidRPr="00911284" w:rsidRDefault="00911284" w:rsidP="00911284">
      <w:r w:rsidRPr="00911284">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911284" w:rsidRPr="00911284" w:rsidRDefault="00911284" w:rsidP="00911284">
      <w:r w:rsidRPr="00911284">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sidRPr="00911284">
        <w:rPr>
          <w:rStyle w:val="FootnoteReference"/>
        </w:rPr>
        <w:footnoteReference w:id="1414"/>
      </w:r>
      <w:r w:rsidRPr="00911284">
        <w:t xml:space="preserve"> </w:t>
      </w:r>
    </w:p>
    <w:p w:rsidR="00911284" w:rsidRPr="00911284" w:rsidRDefault="00911284" w:rsidP="00911284">
      <w:pPr>
        <w:pStyle w:val="HeadingBoldItalic"/>
      </w:pPr>
      <w:r w:rsidRPr="00911284">
        <w:t>Desirability of minimising mismatch</w:t>
      </w:r>
    </w:p>
    <w:p w:rsidR="00911284" w:rsidRPr="00911284" w:rsidRDefault="00911284" w:rsidP="00911284">
      <w:r w:rsidRPr="00911284">
        <w:t>In determining the allowed return on debt, we are required to have regard to the 'mismatch' between a benchmark efficient entity's actual debt cost outcomes (or cash outflows) and the return on debt allowance.</w:t>
      </w:r>
      <w:r w:rsidRPr="00911284">
        <w:rPr>
          <w:rStyle w:val="FootnoteReference"/>
        </w:rPr>
        <w:footnoteReference w:id="1415"/>
      </w:r>
      <w:r w:rsidRPr="00911284">
        <w:t xml:space="preserve"> However, we do not consider that this permits us to set a rate of return that will not meet the ARORO or will not achieve the NEO/NGO.</w:t>
      </w:r>
    </w:p>
    <w:p w:rsidR="00911284" w:rsidRPr="00911284" w:rsidRDefault="00911284" w:rsidP="00911284">
      <w:r w:rsidRPr="00911284">
        <w:t>Rather, some mismatch between the actual (cash) debt costs and the regulated debt allowance is an intrinsic part of incentive regulation―whether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sidRPr="00911284">
        <w:rPr>
          <w:rStyle w:val="FootnoteReference"/>
        </w:rPr>
        <w:footnoteReference w:id="1416"/>
      </w:r>
      <w:r w:rsidRPr="00911284">
        <w:t xml:space="preserve"> SFG recognised this in its report for the Australian Energy Market Commission (AEMC). Here, SFG considered a mismatch between a firm's debt service payments and the regulatory allowance could arise for a number of reasons, including:</w:t>
      </w:r>
      <w:r w:rsidRPr="00911284">
        <w:rPr>
          <w:rStyle w:val="FootnoteReference"/>
        </w:rPr>
        <w:footnoteReference w:id="1417"/>
      </w:r>
    </w:p>
    <w:p w:rsidR="00911284" w:rsidRPr="00911284" w:rsidRDefault="00911284" w:rsidP="00911284">
      <w:pPr>
        <w:pStyle w:val="AERbulletlistfirststyle"/>
      </w:pPr>
      <w:r w:rsidRPr="00911284">
        <w:t>‘because the cost of capital is, in fact, variable over time’ rather than because there is problem with the measurement</w:t>
      </w:r>
    </w:p>
    <w:p w:rsidR="00911284" w:rsidRPr="00911284" w:rsidRDefault="00911284" w:rsidP="00911284">
      <w:pPr>
        <w:pStyle w:val="AERbulletlistfirststyle"/>
      </w:pPr>
      <w:r w:rsidRPr="00911284">
        <w:t>because 'there may be a difference between the rate at which the business can borrow and the regulatory benchmark'.</w:t>
      </w:r>
    </w:p>
    <w:p w:rsidR="00911284" w:rsidRPr="00911284" w:rsidRDefault="00911284" w:rsidP="00911284">
      <w:r w:rsidRPr="00911284">
        <w:t xml:space="preserve">We consider a service provider's ex-post mismatch does not (of itself) imply the regulator is setting a rate of return that will not appropriately compensate a benchmark efficient entity for its efficient cost of debt finance. 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 </w:t>
      </w:r>
    </w:p>
    <w:p w:rsidR="00911284" w:rsidRPr="00911284" w:rsidRDefault="00911284" w:rsidP="00911284">
      <w:r w:rsidRPr="00911284">
        <w:t xml:space="preserve">In section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911284" w:rsidRPr="00911284" w:rsidRDefault="00911284" w:rsidP="00911284">
      <w:r w:rsidRPr="00911284">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sidRPr="00911284">
        <w:rPr>
          <w:rStyle w:val="FootnoteReference"/>
        </w:rPr>
        <w:footnoteReference w:id="1418"/>
      </w:r>
      <w:r w:rsidRPr="00911284">
        <w:t xml:space="preserve"> on observed data from service providers comparable to a benchmark efficient entity operating under an on-the-day approach (where the risk of mismatch is likely more material).</w:t>
      </w:r>
      <w:r w:rsidRPr="00911284">
        <w:rPr>
          <w:rStyle w:val="FootnoteReference"/>
        </w:rPr>
        <w:footnoteReference w:id="1419"/>
      </w:r>
      <w:r w:rsidRPr="00911284">
        <w:t xml:space="preserve"> Therefore, the allowed rate of return should be commensurate with the efficient financing costs of a benchmark efficient entity with a similar degree of risk as a regulated service provider operating under this approach. To the extent a benchmark efficient entity's investors expect that moving to a  trailing average approach would reduce the  risk they require compensation for, our allowed return on debt will likely be generous to  service providers.</w:t>
      </w:r>
      <w:r w:rsidRPr="00911284">
        <w:rPr>
          <w:rStyle w:val="FootnoteReference"/>
        </w:rPr>
        <w:footnoteReference w:id="1420"/>
      </w:r>
      <w:r w:rsidRPr="00911284">
        <w:t xml:space="preserve"> In particular, our estimate of systematic risk (beta) includes historical data, which will capture the systematic risk that a benchmark efficient entity would have been exposed to under the on-the-day approach.</w:t>
      </w:r>
    </w:p>
    <w:p w:rsidR="00911284" w:rsidRPr="00911284" w:rsidRDefault="00911284" w:rsidP="00911284">
      <w:r w:rsidRPr="00911284">
        <w:t>We also note that Partington and Satchell considered mismatch between a service provider's actual incurred cost of debt and allowed return on debt is a consequence of its particular debt financing choices as an issue faces all firms. They do not consider this affects a benchmark efficient entity's opportunity to earn the efficient return on its RAB.</w:t>
      </w:r>
      <w:r w:rsidRPr="00911284">
        <w:rPr>
          <w:rStyle w:val="FootnoteReference"/>
        </w:rPr>
        <w:footnoteReference w:id="1421"/>
      </w:r>
      <w:r w:rsidRPr="00911284">
        <w:t xml:space="preserve"> Instead, the competitive equilibrium that results in zero NVP investments, which is characterised by product prices and the market value of assets and securities adjusting to a value where they offer the current cost of capital, is what regulators are generally attempting to replicate. It is this action of the regulator that determines the allowed rate of return.  In this process the allowed rate for the cost of debt may well not match the historic cost of debt. Partington and Satchell referred to this mismatch as a direct consequence of interest rate risk (which is consistent with our interpretation above).</w:t>
      </w:r>
      <w:r w:rsidRPr="00911284">
        <w:rPr>
          <w:rStyle w:val="FootnoteReference"/>
        </w:rPr>
        <w:footnoteReference w:id="1422"/>
      </w:r>
      <w:r w:rsidRPr="00911284" w:rsidDel="0051093A">
        <w:t xml:space="preserve"> </w:t>
      </w:r>
      <w:r w:rsidRPr="00911284">
        <w:t>Moreover, the desirability of minimising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sidRPr="00911284">
        <w:rPr>
          <w:rStyle w:val="FootnoteReference"/>
        </w:rPr>
        <w:footnoteReference w:id="1423"/>
      </w:r>
      <w:r w:rsidRPr="00911284">
        <w:t xml:space="preserve"> To the extent that this type of mismatch results in compensation that is not ex-ante efficient, we consider this would not meet the ARORO. </w:t>
      </w:r>
    </w:p>
    <w:p w:rsidR="00911284" w:rsidRPr="00911284" w:rsidRDefault="00911284" w:rsidP="00911284">
      <w:r w:rsidRPr="00911284">
        <w:t>While a trailing average approach is expected to reduce the former type of mismatch</w:t>
      </w:r>
      <w:r w:rsidR="00C442DF">
        <w:t>,</w:t>
      </w:r>
      <w:r w:rsidR="00C442DF" w:rsidRPr="00C442DF">
        <w:t xml:space="preserve"> </w:t>
      </w:r>
      <w:r w:rsidR="00C442DF" w:rsidRPr="00E544A2">
        <w:t xml:space="preserve">the mismatch between the allowed rate for the cost of debt and </w:t>
      </w:r>
      <w:r w:rsidR="00C442DF" w:rsidRPr="004E5240">
        <w:t xml:space="preserve"> the return on debt of a benchmark efficient entity</w:t>
      </w:r>
      <w:r w:rsidR="00C442DF" w:rsidRPr="00E544A2">
        <w:t>,</w:t>
      </w:r>
      <w:r w:rsidRPr="00911284">
        <w:t xml:space="preserve"> relative to an on-the-day approach, an on-the-day approach is expected to reduce the latter type of mismatch</w:t>
      </w:r>
      <w:r w:rsidR="00C442DF">
        <w:t>,</w:t>
      </w:r>
      <w:r w:rsidR="00C442DF" w:rsidRPr="00E544A2">
        <w:t xml:space="preserve"> the mismatch between the allowed return on debt and the prevailing cost of debt for a benchmark efficient entity at the time at which the allowed rate of return is reset,</w:t>
      </w:r>
      <w:r w:rsidR="00C442DF" w:rsidRPr="00911284">
        <w:t xml:space="preserve"> </w:t>
      </w:r>
      <w:r w:rsidRPr="00911284">
        <w:t xml:space="preserve"> relative to a trailing average approach. </w:t>
      </w:r>
    </w:p>
    <w:p w:rsidR="00911284" w:rsidRPr="00911284" w:rsidRDefault="00911284" w:rsidP="001A5B2E">
      <w:pPr>
        <w:pStyle w:val="Heading9"/>
      </w:pPr>
      <w:bookmarkStart w:id="431" w:name="_Ref447803918"/>
      <w:bookmarkStart w:id="432" w:name="_Toc451947837"/>
      <w:bookmarkStart w:id="433" w:name="_Toc487037210"/>
      <w:r w:rsidRPr="00911284">
        <w:t>Consistency with the NEL/NGL</w:t>
      </w:r>
      <w:bookmarkEnd w:id="431"/>
      <w:bookmarkEnd w:id="432"/>
      <w:bookmarkEnd w:id="433"/>
    </w:p>
    <w:p w:rsidR="00911284" w:rsidRPr="00911284" w:rsidRDefault="00911284" w:rsidP="00911284">
      <w:r w:rsidRPr="00911284">
        <w:t>We consider an allowed rate of return that meets the ARORO should lead to economically efficient investment, provision of and use of infrastructure, consistent with the NEL/NGL.</w:t>
      </w:r>
      <w:r w:rsidRPr="00911284">
        <w:rPr>
          <w:rStyle w:val="FootnoteReference"/>
        </w:rPr>
        <w:footnoteReference w:id="1424"/>
      </w:r>
      <w:r w:rsidRPr="00911284">
        <w:t xml:space="preserve"> This allowed rate of return should also provide service providers with a </w:t>
      </w:r>
      <w:r w:rsidRPr="00911284">
        <w:rPr>
          <w:rStyle w:val="AERtextunderline"/>
        </w:rPr>
        <w:t>reasonable opportunity</w:t>
      </w:r>
      <w:r w:rsidRPr="00911284">
        <w:t xml:space="preserve"> to recover their efficient costs. We consider our interpretation of the ARORO is consistent with the wording in the NEO/NGO in the NEL/NGL. Our view appears consistent with the views of the AEMC when it stated:</w:t>
      </w:r>
      <w:r w:rsidRPr="00911284">
        <w:rPr>
          <w:rStyle w:val="FootnoteReference"/>
        </w:rPr>
        <w:footnoteReference w:id="1425"/>
      </w:r>
    </w:p>
    <w:p w:rsidR="00911284" w:rsidRPr="00911284" w:rsidRDefault="00911284" w:rsidP="00911284">
      <w:pPr>
        <w:pStyle w:val="AERquote"/>
      </w:pPr>
      <w:r w:rsidRPr="00911284">
        <w:t>If the rate of return estimate is set to the efficient required return, there will be no incentive for under- or over- investment. Such incentives for inefficient investment become more pronounced when the rate of return estimate differs from the efficient required return.</w:t>
      </w:r>
    </w:p>
    <w:p w:rsidR="00911284" w:rsidRPr="00911284" w:rsidRDefault="00911284" w:rsidP="00911284">
      <w:r w:rsidRPr="00911284">
        <w:t>The concept that a reasonable return to investment is important to achieving efficient regulatory investment appears common sense. Setting an too high (or low) expected return relative to the expected return on alternate equivalent risk investments would be expected to lead to distorted over (or under) investment in regulated assets (all else being equal). The aim of setting an expected return to achieve efficient investment also appears broadly accepted in regulatory literature.</w:t>
      </w:r>
      <w:r w:rsidRPr="00911284">
        <w:rPr>
          <w:rStyle w:val="FootnoteReference"/>
        </w:rPr>
        <w:footnoteReference w:id="1426"/>
      </w:r>
      <w:r w:rsidRPr="00911284">
        <w:t xml:space="preserve"> This is also consistent with advice from the Consumer Challenge Panel Sub Panel 3 (CCP3) that stated:</w:t>
      </w:r>
      <w:r w:rsidRPr="00911284">
        <w:rPr>
          <w:rStyle w:val="FootnoteReference"/>
        </w:rPr>
        <w:footnoteReference w:id="1427"/>
      </w:r>
    </w:p>
    <w:p w:rsidR="00911284" w:rsidRPr="00911284" w:rsidRDefault="00911284" w:rsidP="00911284">
      <w:pPr>
        <w:pStyle w:val="AERquote"/>
      </w:pPr>
      <w:r w:rsidRPr="00911284">
        <w:t xml:space="preserve">The AER must have regard to the impact of their RoR decision on capex incentives. Given that the DNSPs’ revised proposal is significantly above current costs of capital for BBB/BBB+ rated companies, there will be perverse incentives to overinvest in the network. </w:t>
      </w:r>
    </w:p>
    <w:p w:rsidR="00911284" w:rsidRPr="00911284" w:rsidRDefault="00911284" w:rsidP="00911284">
      <w:r w:rsidRPr="00911284">
        <w:t>Similarly, Partington and Satchell consider the rule requirements are consistent with the zero NPV investment condition, stating:</w:t>
      </w:r>
      <w:r w:rsidRPr="00911284">
        <w:rPr>
          <w:rStyle w:val="FootnoteReference"/>
        </w:rPr>
        <w:footnoteReference w:id="1428"/>
      </w:r>
    </w:p>
    <w:p w:rsidR="00911284" w:rsidRPr="00911284" w:rsidRDefault="00911284" w:rsidP="00911284">
      <w:pPr>
        <w:pStyle w:val="AERquote"/>
      </w:pPr>
      <w:r w:rsidRPr="00911284">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costs and risks of overinvestment. There is very clear criterion that can be applied to meet these requirements. That criterion is that investment in regulated assets should be a zero NPV activity.</w:t>
      </w:r>
      <w:r w:rsidRPr="00911284" w:rsidDel="00770BC0">
        <w:t xml:space="preserve"> </w:t>
      </w:r>
    </w:p>
    <w:p w:rsidR="00911284" w:rsidRPr="00911284" w:rsidRDefault="00911284" w:rsidP="00911284">
      <w:pPr>
        <w:pStyle w:val="Heading9"/>
      </w:pPr>
      <w:bookmarkStart w:id="434" w:name="_Ref447803924"/>
      <w:bookmarkStart w:id="435" w:name="_Toc451947838"/>
      <w:bookmarkStart w:id="436" w:name="_Toc487037211"/>
      <w:r w:rsidRPr="00911284">
        <w:t>Requirement for a revenue-neutral transition if there is a regime change</w:t>
      </w:r>
      <w:bookmarkEnd w:id="434"/>
      <w:bookmarkEnd w:id="435"/>
      <w:bookmarkEnd w:id="436"/>
    </w:p>
    <w:p w:rsidR="00911284" w:rsidRPr="00911284" w:rsidRDefault="00911284" w:rsidP="00911284">
      <w:r w:rsidRPr="00911284">
        <w:t xml:space="preserve">We consider that both an on-the-day methodology to setting the cost of debt and a trailing average methodology can meet the ARORO. However, in moving between different approaches, a transition that is revenue-neutral in a present value sense will meet the ARORO. Section </w:t>
      </w:r>
      <w:r w:rsidRPr="00911284">
        <w:fldChar w:fldCharType="begin"/>
      </w:r>
      <w:r w:rsidRPr="00911284">
        <w:instrText xml:space="preserve"> REF _Ref444767739 \r \h </w:instrText>
      </w:r>
      <w:r w:rsidRPr="00911284">
        <w:fldChar w:fldCharType="separate"/>
      </w:r>
      <w:r w:rsidR="002C24D6">
        <w:t>J.3</w:t>
      </w:r>
      <w:r w:rsidRPr="00911284">
        <w:fldChar w:fldCharType="end"/>
      </w:r>
      <w:r w:rsidRPr="00911284">
        <w:t xml:space="preserve"> further discusses the position that either approach can result in a reasonable return on capital (and therefore could meet the ARORO). This position also appears consistent with SFG's view that the AEMC noted in its final rule determination where it stated:</w:t>
      </w:r>
      <w:r w:rsidRPr="00911284">
        <w:rPr>
          <w:rStyle w:val="FootnoteReference"/>
        </w:rPr>
        <w:footnoteReference w:id="1429"/>
      </w:r>
    </w:p>
    <w:p w:rsidR="00911284" w:rsidRPr="00911284" w:rsidRDefault="00911284" w:rsidP="00911284">
      <w:pPr>
        <w:pStyle w:val="AERquote"/>
      </w:pPr>
      <w:r w:rsidRPr="00911284">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 approaches will by definition result in smoother estimates of the return on debt over time.</w:t>
      </w:r>
    </w:p>
    <w:p w:rsidR="00911284" w:rsidRPr="00911284" w:rsidRDefault="00911284" w:rsidP="00911284">
      <w:r w:rsidRPr="00911284">
        <w:t>We note that when undertaking the rule change in 2012 the AEMC added in clause 6.5.3(k)(4) that states (emphasis added):</w:t>
      </w:r>
    </w:p>
    <w:p w:rsidR="00911284" w:rsidRPr="00911284" w:rsidRDefault="00911284" w:rsidP="00911284">
      <w:pPr>
        <w:pStyle w:val="AERquote"/>
      </w:pPr>
      <w:r w:rsidRPr="00911284">
        <w:t>(k) In estimating the return on debt under paragraph (h), regard must be had to the following factors…</w:t>
      </w:r>
    </w:p>
    <w:p w:rsidR="00911284" w:rsidRPr="00911284" w:rsidRDefault="00911284" w:rsidP="00911284">
      <w:pPr>
        <w:pStyle w:val="AERquote"/>
      </w:pPr>
      <w:r w:rsidRPr="00911284">
        <w:t xml:space="preserve">(4)  any impacts (including in relation to the costs of servicing debt across regulatory control periods) on a benchmark efficient entity referred to in the allowed rate of return objective that could arise </w:t>
      </w:r>
      <w:r w:rsidRPr="00911284">
        <w:rPr>
          <w:rStyle w:val="AERtextboldunderline"/>
        </w:rPr>
        <w:t>as a result of changing the methodology</w:t>
      </w:r>
      <w:r w:rsidRPr="00911284">
        <w:t xml:space="preserve"> that is used to estimate the return on debt from one regulatory control period to the next.</w:t>
      </w:r>
    </w:p>
    <w:p w:rsidR="00911284" w:rsidRPr="00911284" w:rsidRDefault="00911284" w:rsidP="00911284">
      <w:r w:rsidRPr="00911284">
        <w:t xml:space="preserve">This clause is explicit in requiring us to have regard to any impacts on a benchmark efficient entity that could arise as a result of a change of methodology. This would include having regard to any material changes in the present value of a benchmark efficient entity's </w:t>
      </w:r>
      <w:r w:rsidR="00C442DF">
        <w:t>allowed</w:t>
      </w:r>
      <w:r w:rsidR="002F56E5" w:rsidRPr="00911284">
        <w:t xml:space="preserve"> </w:t>
      </w:r>
      <w:r w:rsidRPr="00911284">
        <w:t>revenue purely due to changing the debt estimation methodology. If such changes increased a benchmark efficient entity's value, then this would benefit its equity holders at the expense of consumers. Conversely, if such changes decreased a benchmark efficient entity's value, then this would cost its equity holders but provide a short term financial benefit to consumers (which may not be a long-term benefit to the extent this results in underinvestment).  As such, this methodological change may also have a material negative impact on the confidence in the predictability of the regulatory regime.</w:t>
      </w:r>
      <w:r w:rsidRPr="00911284">
        <w:rPr>
          <w:rStyle w:val="FootnoteReference"/>
        </w:rPr>
        <w:footnoteReference w:id="1430"/>
      </w:r>
      <w:r w:rsidRPr="00911284">
        <w:t xml:space="preserve"> This is also noted by Partington and Satchell. They proposed that under the trailing average approach consumers are effectively guaranteeing revenue to pay the historic cost of debt. A cost arising from that guarantee will arise immediately under a switch to the historic trailing average without transition as consumers will find themselves paying the premium of historic rates over current rates (knowing historic</w:t>
      </w:r>
      <w:r w:rsidR="002F56E5">
        <w:t xml:space="preserve"> interest</w:t>
      </w:r>
      <w:r w:rsidRPr="00911284">
        <w:t xml:space="preserve"> rates </w:t>
      </w:r>
      <w:r w:rsidR="002F56E5">
        <w:t>are</w:t>
      </w:r>
      <w:r w:rsidRPr="00911284">
        <w:t xml:space="preserve"> much higher than the current </w:t>
      </w:r>
      <w:r w:rsidR="002F56E5">
        <w:t xml:space="preserve">interest </w:t>
      </w:r>
      <w:r w:rsidRPr="00911284">
        <w:t xml:space="preserve">rates). </w:t>
      </w:r>
      <w:r w:rsidRPr="00911284">
        <w:rPr>
          <w:rStyle w:val="FootnoteReference"/>
        </w:rPr>
        <w:footnoteReference w:id="1431"/>
      </w:r>
      <w:r w:rsidRPr="00911284">
        <w:t xml:space="preserve"> We consider the AEMC's guidance on the intent of this clause is consistent with our approach (emphasis added):</w:t>
      </w:r>
      <w:r w:rsidRPr="00911284">
        <w:rPr>
          <w:rStyle w:val="FootnoteReference"/>
        </w:rPr>
        <w:footnoteReference w:id="1432"/>
      </w:r>
    </w:p>
    <w:p w:rsidR="00911284" w:rsidRPr="00911284" w:rsidRDefault="00911284" w:rsidP="00911284">
      <w:pPr>
        <w:pStyle w:val="AERquote"/>
      </w:pPr>
      <w:r w:rsidRPr="00911284">
        <w:t xml:space="preserve">The purpose of the fourth factor is for the regulator to have regard to </w:t>
      </w:r>
      <w:r w:rsidRPr="00911284">
        <w:rPr>
          <w:rStyle w:val="AERtextboldunderline"/>
        </w:rPr>
        <w:t>impacts of changes in the methodology</w:t>
      </w:r>
      <w:r w:rsidRPr="00911284">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11284" w:rsidRPr="00911284" w:rsidRDefault="00911284" w:rsidP="00911284">
      <w:r w:rsidRPr="00911284">
        <w:t>We have taken this factor into account and consider our transitional approach is consistent with the intent of this factor. Nevertheless, we consider that irrespective of this factor, our transition approach meets the requirements of the ARORO, NEO/NGO and RPPs. Partington and Satchell and the CCP3, in the context of our decisions released in May and July 2016, formed a similar view that the full transition to a trailing average in the Guideline would better satisfy the ARORO than the Victorian DNSP various revised proposals.</w:t>
      </w:r>
      <w:r w:rsidRPr="00911284">
        <w:rPr>
          <w:rStyle w:val="FootnoteReference"/>
        </w:rPr>
        <w:footnoteReference w:id="1433"/>
      </w:r>
      <w:r w:rsidRPr="00911284">
        <w:t xml:space="preserve"> Partington and Satchell remain of the view this is the case having considered CEG’s new report.</w:t>
      </w:r>
      <w:r w:rsidRPr="00911284">
        <w:rPr>
          <w:rStyle w:val="FootnoteReference"/>
        </w:rPr>
        <w:footnoteReference w:id="1434"/>
      </w:r>
      <w:r w:rsidRPr="00911284">
        <w:t xml:space="preserve"> They proposed that a revenue neutral transition (full transition) in present value terms is appropriate as this involves no unplanned wealth transfers arising from regulatory risk. Without a revenue neutral transition the wealth transfer away from consumers will be a substantial unintended cost to consumers of the regulatory change to a trailing average.</w:t>
      </w:r>
      <w:r w:rsidRPr="00911284">
        <w:rPr>
          <w:rStyle w:val="FootnoteReference"/>
        </w:rPr>
        <w:footnoteReference w:id="1435"/>
      </w:r>
      <w:r w:rsidRPr="00911284">
        <w:t xml:space="preserve"> We also consider that an immediate (or hybrid) transition to a trailing average would result in a material and unexpected change in the present value of a benchmark efficient entity relative to a value consistent with investor expectations formed under the on-the-day regime. If this occurred it would likely increase expected regulatory uncertainty going forward. We consider this may both undermine confidence in the predictability of the regulatory arrangements and not minimise efficient financing costs (all else being equal).</w:t>
      </w:r>
      <w:r w:rsidRPr="00911284">
        <w:rPr>
          <w:rStyle w:val="FootnoteReference"/>
        </w:rPr>
        <w:footnoteReference w:id="1436"/>
      </w:r>
      <w:r w:rsidRPr="00911284">
        <w:t xml:space="preserve"> For these reasons, we consider a lack of transition to limit uncertainty of regulatory changes affecting the value of the benchmark efficient entity is unlikely to be consistent with achieving the NEO/NGO and the RPPs.</w:t>
      </w:r>
    </w:p>
    <w:p w:rsidR="00911284" w:rsidRPr="00911284" w:rsidRDefault="00911284" w:rsidP="00911284">
      <w:r w:rsidRPr="00911284">
        <w:t>Similarly, SFG advised the AEMC that a transition may be required to limit 'regulatory risk' and to avoid being inconsistent with the NEO and RPPs.</w:t>
      </w:r>
      <w:r w:rsidRPr="00911284">
        <w:rPr>
          <w:rStyle w:val="FootnoteReference"/>
        </w:rPr>
        <w:footnoteReference w:id="1437"/>
      </w:r>
      <w:r w:rsidRPr="00911284">
        <w:t xml:space="preserve"> SFG also considered that the transition we proposed (the QTC method) would be an appropriate means of transitioning from the current rules (that used an on-the-day methodology) to the use of a historical average cost of debt approach.</w:t>
      </w:r>
      <w:r w:rsidRPr="00911284">
        <w:rPr>
          <w:rStyle w:val="FootnoteReference"/>
        </w:rPr>
        <w:footnoteReference w:id="1438"/>
      </w:r>
      <w:r w:rsidRPr="00911284">
        <w:t xml:space="preserve"> The desirability for predictability was also commented on by an Expert Panel on Energy Access pricing for the Ministerial Council on Energy in 2006 who noted [emphasis added]:</w:t>
      </w:r>
      <w:r w:rsidRPr="00911284">
        <w:rPr>
          <w:rStyle w:val="FootnoteReference"/>
        </w:rPr>
        <w:footnoteReference w:id="1439"/>
      </w:r>
    </w:p>
    <w:p w:rsidR="00911284" w:rsidRPr="00911284" w:rsidRDefault="00911284" w:rsidP="00911284">
      <w:pPr>
        <w:pStyle w:val="AERquote"/>
      </w:pPr>
      <w:r w:rsidRPr="00911284">
        <w:t>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with the outcome of the review…</w:t>
      </w:r>
    </w:p>
    <w:p w:rsidR="00911284" w:rsidRPr="00911284" w:rsidRDefault="00911284" w:rsidP="00911284">
      <w:pPr>
        <w:pStyle w:val="AERquote"/>
      </w:pPr>
      <w:r w:rsidRPr="00911284">
        <w:rPr>
          <w:rStyle w:val="Strong"/>
        </w:rPr>
        <w:t>Equally important is the predictability of those decisions</w:t>
      </w:r>
      <w:r w:rsidRPr="00911284">
        <w:t xml:space="preserve"> – that is the development of an approach that gives energy users and investors in transmission and distribution infrastructure confidence that access and pricing outcomes will be guided by known principles that are applied in a consistent manner.</w:t>
      </w:r>
    </w:p>
    <w:p w:rsidR="00911284" w:rsidRPr="00911284" w:rsidRDefault="00911284" w:rsidP="00911284">
      <w:r w:rsidRPr="00911284">
        <w:t>We consider our approach is consistent with the desire for predictability in regulatory decisions by using a transition to avoid material wealth impacts from the change in methodology. HoustonKemp also provided support for a transition when it advised the Essential Services Commission of SA (ESCOSA):</w:t>
      </w:r>
      <w:r w:rsidRPr="00911284">
        <w:rPr>
          <w:rStyle w:val="FootnoteReference"/>
        </w:rPr>
        <w:footnoteReference w:id="1440"/>
      </w:r>
    </w:p>
    <w:p w:rsidR="00911284" w:rsidRPr="00911284" w:rsidRDefault="00911284" w:rsidP="00911284">
      <w:pPr>
        <w:pStyle w:val="AERquote"/>
      </w:pPr>
      <w:r w:rsidRPr="00911284">
        <w:t>Consistent with regulatory best practice, a regulatory authority should seek to avoid imposing windfall gains or losses as a result of regulatory changes. A regulatory change that imposes windfall gains or losses will be to the detriment of regulatory certainty and will likely increase the perceived level of regulatory risk, and so the cost of capital.</w:t>
      </w:r>
    </w:p>
    <w:p w:rsidR="00911284" w:rsidRPr="00911284" w:rsidRDefault="00911284" w:rsidP="00911284">
      <w:r w:rsidRPr="00911284">
        <w:t>A transition is also likely to be important for maintaining the incentives on service providers to adopt efficient financing practices under the regulatory regime. We consider this is consistent with the Revenue and Pricing Principles, which indicate regulated firms should be provided with a range of incentives including incentives that should promote the efficient provision of electricity network/pipeline services.</w:t>
      </w:r>
      <w:r w:rsidRPr="00911284">
        <w:rPr>
          <w:rStyle w:val="FootnoteReference"/>
        </w:rPr>
        <w:footnoteReference w:id="1441"/>
      </w:r>
      <w:r w:rsidRPr="00911284">
        <w:t xml:space="preserve"> These principles show our regime is intended to be an incentive base regime as opposed to a cost of service regime. To promote efficiency incentives, we consider regulated firms should be required to bear the consequences of their chosen financing approach from the prior regulatory period where returns were set under the on-the-day methodology and any financing decisions they made over this period were made in the expectation this methodology would continue. It could significantly undermine service providers' incentives to manage financial risk efficiently if we provide an allowed return on debt in this decision that results in regulated firms not bearing the consequences of their chosen financing practices. This is because service providers were required to bear and manage this risk.</w:t>
      </w:r>
      <w:r w:rsidRPr="00911284">
        <w:rPr>
          <w:rStyle w:val="FootnoteReference"/>
        </w:rPr>
        <w:footnoteReference w:id="1442"/>
      </w:r>
      <w:r w:rsidRPr="00911284">
        <w:t xml:space="preserve"> </w:t>
      </w:r>
    </w:p>
    <w:p w:rsidR="00911284" w:rsidRPr="00911284" w:rsidRDefault="00911284" w:rsidP="00911284">
      <w:r w:rsidRPr="00911284">
        <w:t>Partington and Satchell argued that it is the on the day approach that promotes efficient investment.</w:t>
      </w:r>
      <w:r w:rsidRPr="00911284">
        <w:rPr>
          <w:rStyle w:val="FootnoteReference"/>
        </w:rPr>
        <w:footnoteReference w:id="1443"/>
      </w:r>
      <w:r w:rsidRPr="00911284">
        <w:t xml:space="preserve"> If a trailing average approach is to apply, the AER’s transition is less distortionary in terms of investment incentives than a switch to a trailing average without transition. As an immediate switch to the trailing average immediately gives rise to a regulatory allowed return that exceeds the current required return, Partington and Satchell proposed that it will immediately give rise to economic rents and an incentive to overinvest.</w:t>
      </w:r>
      <w:r w:rsidRPr="00911284">
        <w:rPr>
          <w:rStyle w:val="FootnoteReference"/>
        </w:rPr>
        <w:footnoteReference w:id="1444"/>
      </w:r>
    </w:p>
    <w:p w:rsidR="00911284" w:rsidRPr="00911284" w:rsidRDefault="00911284" w:rsidP="00911284">
      <w:pPr>
        <w:pStyle w:val="Heading8"/>
      </w:pPr>
      <w:bookmarkStart w:id="437" w:name="_Ref444767739"/>
      <w:bookmarkStart w:id="438" w:name="_Toc451947839"/>
      <w:bookmarkStart w:id="439" w:name="_Toc487037212"/>
      <w:r w:rsidRPr="00911284">
        <w:t>On-the-day and trailing average approaches</w:t>
      </w:r>
      <w:bookmarkEnd w:id="437"/>
      <w:bookmarkEnd w:id="438"/>
      <w:bookmarkEnd w:id="439"/>
    </w:p>
    <w:p w:rsidR="00911284" w:rsidRPr="00911284" w:rsidRDefault="00911284" w:rsidP="00911284">
      <w:r w:rsidRPr="00911284">
        <w:t>In this section, we analyse the on-the-day and trailing average approaches to establish whether these approaches can contribute to the achievement of the ARORO. We also explain that, while we consider both approaches would be open to us; we would expect either approach to produce different estimates at given points in time.</w:t>
      </w:r>
    </w:p>
    <w:p w:rsidR="00911284" w:rsidRPr="00911284" w:rsidRDefault="00911284" w:rsidP="00911284">
      <w:r w:rsidRPr="00911284">
        <w:t>From establishing this, we can demonstrate that in changing approaches from the on-the-day to the trailing average approach (or vice versa); a revenue neutral transition (in present value terms) is required to contribute to the achievement of the ARORO.</w:t>
      </w:r>
    </w:p>
    <w:p w:rsidR="00911284" w:rsidRPr="00911284" w:rsidRDefault="00911284" w:rsidP="00911284">
      <w:pPr>
        <w:pStyle w:val="Heading9"/>
      </w:pPr>
      <w:bookmarkStart w:id="440" w:name="_Ref445131744"/>
      <w:bookmarkStart w:id="441" w:name="_Toc451947840"/>
      <w:bookmarkStart w:id="442" w:name="_Toc487037213"/>
      <w:r w:rsidRPr="00911284">
        <w:t>On-the-day approach</w:t>
      </w:r>
      <w:bookmarkEnd w:id="440"/>
      <w:bookmarkEnd w:id="441"/>
      <w:bookmarkEnd w:id="442"/>
    </w:p>
    <w:p w:rsidR="00911284" w:rsidRPr="00911284" w:rsidRDefault="00911284" w:rsidP="00911284">
      <w:r w:rsidRPr="00911284">
        <w:t>The on-the-day approach estimates the allowed return on debt for a service provider as the prevailing cost of debt as close as possible to the start of the regulatory period.</w:t>
      </w:r>
      <w:r w:rsidRPr="00911284">
        <w:rPr>
          <w:rStyle w:val="FootnoteReference"/>
        </w:rPr>
        <w:footnoteReference w:id="1445"/>
      </w:r>
      <w:r w:rsidRPr="00911284">
        <w:t xml:space="preserve"> The on-the-day approach is the longstanding return on debt approach adopted by us and generally by other regulators in Australia.</w:t>
      </w:r>
      <w:r w:rsidRPr="00911284">
        <w:rPr>
          <w:rStyle w:val="FootnoteReference"/>
        </w:rPr>
        <w:footnoteReference w:id="1446"/>
      </w:r>
      <w:r w:rsidRPr="00911284">
        <w:t xml:space="preserve"> While the NER and NGR no longer mandate that we adopt this approach, they still make it available to us.</w:t>
      </w:r>
      <w:r w:rsidRPr="00911284">
        <w:rPr>
          <w:rStyle w:val="FootnoteReference"/>
        </w:rPr>
        <w:footnoteReference w:id="1447"/>
      </w:r>
      <w:r w:rsidRPr="00911284">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sidRPr="00911284">
        <w:rPr>
          <w:rStyle w:val="FootnoteReference"/>
        </w:rPr>
        <w:footnoteReference w:id="1448"/>
      </w:r>
    </w:p>
    <w:p w:rsidR="00911284" w:rsidRPr="00911284" w:rsidRDefault="00911284" w:rsidP="00911284">
      <w:r w:rsidRPr="00911284">
        <w:t xml:space="preserve">We consider the on-the-day approach can estimate an allowed rate of return commensurate with the efficient financing costs of a benchmark efficient entity with a similar degree of risk as a service provider in the provision of </w:t>
      </w:r>
      <w:r w:rsidR="002F56E5" w:rsidRPr="00911284">
        <w:t>re</w:t>
      </w:r>
      <w:r w:rsidR="002F56E5">
        <w:t>ference</w:t>
      </w:r>
      <w:r w:rsidR="002F56E5" w:rsidRPr="00911284">
        <w:t xml:space="preserve"> </w:t>
      </w:r>
      <w:r w:rsidRPr="00911284">
        <w:t xml:space="preserve">services. This is because the on-the-day approach provides service providers with a reasonable opportunity to recover at least efficient costs over the term of the RAB </w:t>
      </w:r>
      <w:r w:rsidRPr="00911284">
        <w:rPr>
          <w:rStyle w:val="AERtextunderline"/>
        </w:rPr>
        <w:t>and</w:t>
      </w:r>
      <w:r w:rsidRPr="00911284">
        <w:t xml:space="preserve"> over each regulatory period (see section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911284">
        <w:rPr>
          <w:rStyle w:val="FootnoteReference"/>
        </w:rPr>
        <w:footnoteReference w:id="1449"/>
      </w:r>
    </w:p>
    <w:p w:rsidR="00911284" w:rsidRPr="00911284" w:rsidRDefault="00911284" w:rsidP="00911284">
      <w:r w:rsidRPr="00911284">
        <w:t xml:space="preserve">While we have chosen to move towards a trailing average approach (section </w:t>
      </w:r>
      <w:r w:rsidRPr="00911284">
        <w:fldChar w:fldCharType="begin"/>
      </w:r>
      <w:r w:rsidRPr="00911284">
        <w:instrText xml:space="preserve"> REF _Ref444774464 \r \h </w:instrText>
      </w:r>
      <w:r w:rsidRPr="00911284">
        <w:fldChar w:fldCharType="separate"/>
      </w:r>
      <w:r w:rsidR="002C24D6">
        <w:t>J.3.2</w:t>
      </w:r>
      <w:r w:rsidRPr="00911284">
        <w:fldChar w:fldCharType="end"/>
      </w:r>
      <w:r w:rsidRPr="00911284">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911284" w:rsidRPr="00911284" w:rsidRDefault="00911284" w:rsidP="00911284">
      <w:pPr>
        <w:pStyle w:val="AERbulletlistfirststyle"/>
      </w:pPr>
      <w:r w:rsidRPr="00911284">
        <w:t>It is consistent with the prevailing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911284" w:rsidRPr="00911284" w:rsidRDefault="00911284" w:rsidP="00911284">
      <w:pPr>
        <w:pStyle w:val="AERbulletlistfirststyle"/>
      </w:pPr>
      <w:r w:rsidRPr="00911284">
        <w:t>It leads to an estimate that is likely to more closely imitate the outcomes of a competitive market near the start of the regulatory period than a trailing average approach.</w:t>
      </w:r>
    </w:p>
    <w:p w:rsidR="00911284" w:rsidRPr="00911284" w:rsidRDefault="00911284" w:rsidP="00911284">
      <w:pPr>
        <w:pStyle w:val="HeadingBoldBlue"/>
      </w:pPr>
      <w:bookmarkStart w:id="443" w:name="_Ref445121562"/>
      <w:r w:rsidRPr="00911284">
        <w:t>Consistent with prevailing market cost of debt</w:t>
      </w:r>
      <w:bookmarkEnd w:id="443"/>
    </w:p>
    <w:p w:rsidR="00911284" w:rsidRPr="00911284" w:rsidRDefault="00911284" w:rsidP="00911284">
      <w:r w:rsidRPr="00911284">
        <w:t xml:space="preserve">As discussed in section </w:t>
      </w:r>
      <w:r w:rsidRPr="00911284">
        <w:fldChar w:fldCharType="begin"/>
      </w:r>
      <w:r w:rsidRPr="00911284">
        <w:instrText xml:space="preserve"> REF _Ref446405872 \r \h </w:instrText>
      </w:r>
      <w:r w:rsidRPr="00911284">
        <w:fldChar w:fldCharType="separate"/>
      </w:r>
      <w:r w:rsidR="002C24D6">
        <w:t>J.1.1</w:t>
      </w:r>
      <w:r w:rsidRPr="00911284">
        <w:fldChar w:fldCharType="end"/>
      </w:r>
      <w:r w:rsidRPr="00911284">
        <w:t xml:space="preserve"> and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xml:space="preserve">, we consider efficient financing costs, for debt and equity, should be based on (appropriately benchmarked) prevailing market rates. As shown mathematically in section </w:t>
      </w:r>
      <w:r w:rsidRPr="00911284">
        <w:fldChar w:fldCharType="begin"/>
      </w:r>
      <w:r w:rsidRPr="00911284">
        <w:instrText xml:space="preserve"> REF _Ref444767739 \r \h </w:instrText>
      </w:r>
      <w:r w:rsidRPr="00911284">
        <w:fldChar w:fldCharType="separate"/>
      </w:r>
      <w:r w:rsidR="002C24D6">
        <w:t>J.3</w:t>
      </w:r>
      <w:r w:rsidRPr="00911284">
        <w:fldChar w:fldCharType="end"/>
      </w:r>
      <w:r w:rsidRPr="00911284">
        <w:t>, the on-the-day approach resets the entire allowed rate of return (which includes the return on debt) to reflect, as closely as possible, the prevailing market cost of capital (which includes the cost of debt) at the commencement of each regulatory period.</w:t>
      </w:r>
    </w:p>
    <w:p w:rsidR="00911284" w:rsidRPr="00911284" w:rsidRDefault="00911284" w:rsidP="00911284">
      <w:r w:rsidRPr="00911284">
        <w:t>We consider an allowed return on debt that reflects the prevailing market cost of debt promotes efficient investment decisions. When firms make investment decisions, they estimate the cost of capital based on prevailing market rates. This is important because the cost of capital is based on investors’ expectations of future returns.</w:t>
      </w:r>
      <w:r w:rsidRPr="00911284">
        <w:rPr>
          <w:rStyle w:val="FootnoteReference"/>
        </w:rPr>
        <w:footnoteReference w:id="1450"/>
      </w:r>
      <w:r w:rsidRPr="00911284">
        <w:t xml:space="preserve"> Firms then use this estimate to set a discount rate at which they discount the expected future cash flows of the proposed investment in order to determine its viability (that is, whether the NPV of the expected cash flows is greater than or equal to zero).</w:t>
      </w:r>
    </w:p>
    <w:p w:rsidR="00911284" w:rsidRPr="00911284" w:rsidRDefault="00911284" w:rsidP="00911284">
      <w:r w:rsidRPr="00911284">
        <w:t xml:space="preserve">As discussed in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we consider the ARORO requires us to set an allowed rate of return for a benchmark efficient entity such that the return on its investment in its RAB equals its efficient cost (that is, the zero NPV investment condition). The prevailing market cost of capital is the only discount rate that sets the present value of expected future cash flows equal to the RAB. In its 2012 report to the AEMC, SFG summarised this point by stating:</w:t>
      </w:r>
      <w:r w:rsidRPr="00911284">
        <w:rPr>
          <w:rStyle w:val="FootnoteReference"/>
        </w:rPr>
        <w:footnoteReference w:id="1451"/>
      </w:r>
    </w:p>
    <w:p w:rsidR="00911284" w:rsidRPr="00911284" w:rsidRDefault="00911284" w:rsidP="00911284">
      <w:pPr>
        <w:pStyle w:val="AERquote"/>
      </w:pPr>
      <w:r w:rsidRPr="00911284">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911284" w:rsidRPr="00911284" w:rsidRDefault="00911284" w:rsidP="00911284">
      <w:pPr>
        <w:numPr>
          <w:ilvl w:val="0"/>
          <w:numId w:val="24"/>
        </w:numPr>
      </w:pPr>
      <w:r w:rsidRPr="00911284">
        <w:t>Similarly, Partington and Satchell (who recommend the on-the-day approach) stated:</w:t>
      </w:r>
      <w:r w:rsidRPr="00911284">
        <w:rPr>
          <w:rStyle w:val="FootnoteReference"/>
        </w:rPr>
        <w:footnoteReference w:id="1452"/>
      </w:r>
    </w:p>
    <w:p w:rsidR="00911284" w:rsidRPr="00911284" w:rsidRDefault="00911284" w:rsidP="00911284">
      <w:pPr>
        <w:pStyle w:val="AERquote"/>
      </w:pPr>
      <w:r w:rsidRPr="00911284">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911284" w:rsidRPr="00911284" w:rsidRDefault="00911284" w:rsidP="00911284">
      <w:pPr>
        <w:numPr>
          <w:ilvl w:val="0"/>
          <w:numId w:val="24"/>
        </w:numPr>
      </w:pPr>
      <w:r w:rsidRPr="00911284">
        <w:t>Therefore, we consider the on-the-day approach provides an appropriate signal for investment decisions made near the commencement of the regulatory period. We consider this would promote efficient investment decisions that increase dynamic efficiency. Partington and Satchell also argue in their reports to the AER, in terms of investment efficiency, it would be better to maintain the on the day approach rather than move to a trailing average, even with a transition.</w:t>
      </w:r>
      <w:r w:rsidRPr="00911284">
        <w:rPr>
          <w:rStyle w:val="FootnoteReference"/>
        </w:rPr>
        <w:footnoteReference w:id="1453"/>
      </w:r>
      <w:r w:rsidRPr="00911284">
        <w:t xml:space="preserve"> This aligns with the AEMC's view that:</w:t>
      </w:r>
      <w:r w:rsidRPr="00911284">
        <w:rPr>
          <w:rStyle w:val="FootnoteReference"/>
        </w:rPr>
        <w:footnoteReference w:id="1454"/>
      </w:r>
    </w:p>
    <w:p w:rsidR="00911284" w:rsidRPr="00911284" w:rsidRDefault="00911284" w:rsidP="00911284">
      <w:pPr>
        <w:pStyle w:val="AERquote"/>
      </w:pPr>
      <w:r w:rsidRPr="00911284">
        <w:t>[the return on debt framework] should try to create an incentive for service providers to adopt efficient financing practices and minimise the risk of creating distortions in the service provider's investment decisions.</w:t>
      </w:r>
    </w:p>
    <w:p w:rsidR="00911284" w:rsidRPr="00911284" w:rsidRDefault="00911284" w:rsidP="00911284">
      <w:r w:rsidRPr="00911284">
        <w:t>If we were to set the allowed return on debt in a different way, it would no longer be an estimate of the cost of debt (and thus the cost of capital) at the time of the determination or access arrangement. For example, under a trailing average approach, the overall allowed return on debt predominately compensates for historical interest rates, rather than for the risk of providing debt finance in the future.</w:t>
      </w:r>
      <w:r w:rsidRPr="00911284">
        <w:rPr>
          <w:rStyle w:val="FootnoteReference"/>
        </w:rPr>
        <w:footnoteReference w:id="1455"/>
      </w:r>
      <w:r w:rsidRPr="00911284">
        <w:t xml:space="preserve">  Only 10 per cent of the allowed return on debt will compensate for the risk of providing debt finance in the future because 10 per cent of the return on debt is updated annually to reflect prevailing interest rates. As discussed in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this results in a mismatch between the allowed return on debt and the prevailing cost of debt for a benchmark efficient entity at the time of the determination or access arrangement.</w:t>
      </w:r>
    </w:p>
    <w:p w:rsidR="00911284" w:rsidRPr="00911284" w:rsidRDefault="00911284" w:rsidP="00911284">
      <w:r w:rsidRPr="00911284">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sidRPr="00911284">
        <w:rPr>
          <w:rStyle w:val="FootnoteReference"/>
        </w:rPr>
        <w:footnoteReference w:id="1456"/>
      </w:r>
      <w:r w:rsidRPr="00911284">
        <w:t xml:space="preserve"> </w:t>
      </w:r>
    </w:p>
    <w:p w:rsidR="00911284" w:rsidRPr="00911284" w:rsidRDefault="00911284" w:rsidP="00911284">
      <w:pPr>
        <w:pStyle w:val="HeadingBoldBlue"/>
      </w:pPr>
      <w:r w:rsidRPr="00911284">
        <w:t>Imitates the outcomes of a competitive market</w:t>
      </w:r>
    </w:p>
    <w:p w:rsidR="00911284" w:rsidRPr="00911284" w:rsidRDefault="00911284" w:rsidP="00911284">
      <w:r w:rsidRPr="00911284">
        <w:t>We consider an allowed return on debt that reflects the prevailing market cost of debt at the time of the determination or access arrangement (that is, an on-the-day approach) is likely to promote economic efficiency because:</w:t>
      </w:r>
    </w:p>
    <w:p w:rsidR="00911284" w:rsidRPr="00911284" w:rsidRDefault="00911284" w:rsidP="00911284">
      <w:pPr>
        <w:pStyle w:val="AERbulletlistfirststyle"/>
      </w:pPr>
      <w:r w:rsidRPr="00911284">
        <w:t>Productive efficiency refers to least cost financing (that is, the lowest required return on debt). An allowed return on debt that reflects the (appropriately benchmarked) prevailing market cost of debt will likely promote productive efficiency. This is because a benchmark efficient entity faces competitive prices in the market for funds.</w:t>
      </w:r>
    </w:p>
    <w:p w:rsidR="00911284" w:rsidRPr="00911284" w:rsidRDefault="00911284" w:rsidP="00911284">
      <w:pPr>
        <w:pStyle w:val="AERbulletlistfirststyle"/>
      </w:pPr>
      <w:r w:rsidRPr="00911284">
        <w:t>Allocative efficiency refers to the allowed return on debt reflecting investors' opportunity cost of debt for investments of similar risk. The prevailing market cost of debt at any given time is likely to reflect investors' opportunity cost. This is because the market for capital finance is competitive with many buyers and sellers.</w:t>
      </w:r>
    </w:p>
    <w:p w:rsidR="00911284" w:rsidRPr="00911284" w:rsidRDefault="00911284" w:rsidP="00911284">
      <w:pPr>
        <w:pStyle w:val="AERbulletlistfirststyle"/>
      </w:pPr>
      <w:r w:rsidRPr="00911284">
        <w:t xml:space="preserve">Dynamic efficiency refers to the existence of appropriate investment incentives. As discussed above, a return on debt that reflects the prevailing market cost of debt provides an appropriate signal for new investment and promotes efficient investment decisions. </w:t>
      </w:r>
    </w:p>
    <w:p w:rsidR="00911284" w:rsidRPr="00911284" w:rsidRDefault="00911284" w:rsidP="00911284">
      <w:r w:rsidRPr="00911284">
        <w:t>Moreover, a return on debt that better reflects the prevailing market cost of debt more closely imitates the outcomes of a competitive market. This is because the current market cost of debt reflects investors' opportunity cost of debt for investments of similar risk.</w:t>
      </w:r>
      <w:r w:rsidRPr="00911284" w:rsidDel="004F070F">
        <w:t xml:space="preserve"> </w:t>
      </w:r>
    </w:p>
    <w:p w:rsidR="00911284" w:rsidRPr="00911284" w:rsidRDefault="00911284" w:rsidP="00911284">
      <w:r w:rsidRPr="00911284">
        <w:t>The current market cost of debt represents the costs that other service providers will face to enter the market. The on-the-day approach is more consistent than the trailing average approach with the theory that prices in a competitive market would be constrained by the entry, or threat of entry, of new providers. This is because in a competitive market, prices are theoretically constrained by entry or the threat of entry.</w:t>
      </w:r>
      <w:r w:rsidRPr="00911284">
        <w:rPr>
          <w:rStyle w:val="FootnoteReference"/>
        </w:rPr>
        <w:footnoteReference w:id="1457"/>
      </w:r>
      <w:r w:rsidRPr="00911284">
        <w:t xml:space="preserve"> As observed by HoustonKemp:</w:t>
      </w:r>
      <w:r w:rsidRPr="00911284">
        <w:rPr>
          <w:rStyle w:val="FootnoteReference"/>
        </w:rPr>
        <w:footnoteReference w:id="1458"/>
      </w:r>
    </w:p>
    <w:p w:rsidR="00911284" w:rsidRPr="00911284" w:rsidRDefault="00911284" w:rsidP="00911284">
      <w:pPr>
        <w:pStyle w:val="AERquote"/>
      </w:pPr>
      <w:r w:rsidRPr="00911284">
        <w:t>when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911284" w:rsidRPr="00911284" w:rsidRDefault="00911284" w:rsidP="00911284">
      <w:r w:rsidRPr="00911284">
        <w:t>Similarly, Chairmont captured this concept when it advised:</w:t>
      </w:r>
      <w:r w:rsidRPr="00911284">
        <w:rPr>
          <w:rStyle w:val="FootnoteReference"/>
        </w:rPr>
        <w:footnoteReference w:id="1459"/>
      </w:r>
    </w:p>
    <w:p w:rsidR="00911284" w:rsidRPr="00911284" w:rsidRDefault="00911284" w:rsidP="00911284">
      <w:pPr>
        <w:pStyle w:val="AERquote"/>
      </w:pPr>
      <w:r w:rsidRPr="00911284">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911284" w:rsidRPr="00911284" w:rsidRDefault="00911284" w:rsidP="00911284">
      <w:r w:rsidRPr="00911284">
        <w:t>We also note that Partington and Satchell considered the on-the-day approach is consistent with competitive market outcomes, stating:</w:t>
      </w:r>
      <w:r w:rsidRPr="00911284">
        <w:rPr>
          <w:rStyle w:val="FootnoteReference"/>
        </w:rPr>
        <w:footnoteReference w:id="1460"/>
      </w:r>
    </w:p>
    <w:p w:rsidR="00911284" w:rsidRPr="00911284" w:rsidRDefault="00911284" w:rsidP="00911284">
      <w:pPr>
        <w:pStyle w:val="AERquote"/>
      </w:pPr>
      <w:r w:rsidRPr="00911284">
        <w:t>The equilibrium in a competitive market is that investments in assets are zero NPV. This implies that firms can expect to recover the current cost of capital, which in the form of the WACC includes the current cost of debt.</w:t>
      </w:r>
    </w:p>
    <w:p w:rsidR="00911284" w:rsidRPr="00911284" w:rsidRDefault="00911284" w:rsidP="00911284">
      <w:pPr>
        <w:pStyle w:val="Heading9"/>
      </w:pPr>
      <w:bookmarkStart w:id="444" w:name="_Ref444774464"/>
      <w:bookmarkStart w:id="445" w:name="_Toc451947841"/>
      <w:bookmarkStart w:id="446" w:name="_Toc487037214"/>
      <w:r w:rsidRPr="00911284">
        <w:t>Trailing average approach</w:t>
      </w:r>
      <w:bookmarkEnd w:id="444"/>
      <w:bookmarkEnd w:id="445"/>
      <w:bookmarkEnd w:id="446"/>
    </w:p>
    <w:p w:rsidR="00911284" w:rsidRPr="00911284" w:rsidRDefault="00911284" w:rsidP="00911284">
      <w:pPr>
        <w:numPr>
          <w:ilvl w:val="0"/>
          <w:numId w:val="24"/>
        </w:numPr>
      </w:pPr>
      <w:r w:rsidRPr="00911284">
        <w:t>The trailing average approach estimates the allowed return on debt for a service provider as an average of the cost of debt over 10 years (which is annually updated). This approach is available to us under the NER/NGR.</w:t>
      </w:r>
      <w:r w:rsidRPr="00911284">
        <w:rPr>
          <w:rStyle w:val="FootnoteReference"/>
        </w:rPr>
        <w:footnoteReference w:id="1461"/>
      </w:r>
    </w:p>
    <w:p w:rsidR="00911284" w:rsidRPr="00911284" w:rsidRDefault="00911284" w:rsidP="00911284">
      <w:pPr>
        <w:numPr>
          <w:ilvl w:val="0"/>
          <w:numId w:val="24"/>
        </w:numPr>
      </w:pPr>
      <w:r w:rsidRPr="00911284">
        <w:t xml:space="preserve">We consider the trailing average approach can estimate an allowed rate of return commensurate with the efficient financing costs of a benchmark efficient entity with a similar degree of risk as a service provider in the provision of </w:t>
      </w:r>
      <w:r w:rsidR="002F56E5" w:rsidRPr="00911284">
        <w:t>re</w:t>
      </w:r>
      <w:r w:rsidR="002F56E5">
        <w:t>ference</w:t>
      </w:r>
      <w:r w:rsidR="002F56E5" w:rsidRPr="00911284">
        <w:t xml:space="preserve"> </w:t>
      </w:r>
      <w:r w:rsidRPr="00911284">
        <w:t xml:space="preserve">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w:t>
      </w:r>
    </w:p>
    <w:p w:rsidR="00911284" w:rsidRPr="00911284" w:rsidRDefault="00911284" w:rsidP="00911284">
      <w:r w:rsidRPr="00911284">
        <w:t>Further, the trailing average approach may have particular benefits that an on-the-day approach cannot achieve. For instance, when it advised the AEMC, SFG stated that 'if it can be demonstrated that the benefits of a regulated rate of return which is less variable over time outweigh the costs associated with investment distortions, then a trailing average should be considered'.</w:t>
      </w:r>
      <w:r w:rsidRPr="00911284">
        <w:rPr>
          <w:rStyle w:val="FootnoteReference"/>
        </w:rPr>
        <w:footnoteReference w:id="1462"/>
      </w:r>
      <w:r w:rsidRPr="00911284">
        <w:t xml:space="preserve"> The potential benefits mainly relate to smoother prices and a potentially reduced mismatch between a benchmark efficient entity's actual debt cost outcomes (or cash outflows) and the allowed return on debt (see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which we discuss further below.</w:t>
      </w:r>
    </w:p>
    <w:p w:rsidR="00911284" w:rsidRPr="00911284" w:rsidRDefault="00911284" w:rsidP="00911284">
      <w:r w:rsidRPr="00911284">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911284" w:rsidRPr="00911284" w:rsidRDefault="00911284" w:rsidP="00911284">
      <w:pPr>
        <w:pStyle w:val="HeadingBoldBlue"/>
      </w:pPr>
      <w:r w:rsidRPr="00911284">
        <w:t>Reduced mismatch</w:t>
      </w:r>
    </w:p>
    <w:p w:rsidR="00911284" w:rsidRPr="00911284" w:rsidRDefault="00911284" w:rsidP="00911284">
      <w:r w:rsidRPr="00911284">
        <w:t xml:space="preserve">In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we introduce and discuss the concept of an ex-post 'mismatch' between a benchmark efficient entity's actual debt cost outcomes (or cash outflows) and the regulatory return on debt allowance in determining the allowed return on debt. We consider an ex-post mismatch can occur for a number of reasons, including because a benchmark efficient entity does not (or cannot) engage in debt financing practices that result in debt cash outflows that match the regulatory return on debt allowance. We explain this below in the context of comparing the trailing average with the on-the-day approach to estimating the return on debt.</w:t>
      </w:r>
    </w:p>
    <w:p w:rsidR="00911284" w:rsidRPr="00911284" w:rsidRDefault="00911284" w:rsidP="00911284">
      <w:r w:rsidRPr="00911284">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sidRPr="00911284">
        <w:rPr>
          <w:rStyle w:val="FootnoteReference"/>
        </w:rPr>
        <w:footnoteReference w:id="1463"/>
      </w:r>
      <w:r w:rsidRPr="00911284">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911284" w:rsidRPr="00911284" w:rsidRDefault="00911284" w:rsidP="00911284">
      <w:r w:rsidRPr="00911284">
        <w:t>In contrast to the on-the-day approach, a trailing average approach is expected to better account for a benchmark efficient entity's actual (cash) debt costs within a regulatory period because it provides service providers with a return on debt allowance that they can more readily match each regulatory period.</w:t>
      </w:r>
      <w:r w:rsidRPr="00911284">
        <w:rPr>
          <w:rStyle w:val="FootnoteReference"/>
        </w:rPr>
        <w:footnoteReference w:id="1464"/>
      </w:r>
      <w:r w:rsidRPr="00911284">
        <w:t xml:space="preserve"> As such, this will likely reduce the mismatch between actual debt interest costs of regulated firms and the regulated return on debt allowance.</w:t>
      </w:r>
      <w:r w:rsidRPr="00911284">
        <w:rPr>
          <w:rStyle w:val="FootnoteReference"/>
        </w:rPr>
        <w:footnoteReference w:id="1465"/>
      </w:r>
      <w:r w:rsidRPr="00911284">
        <w:t xml:space="preserve"> Given that a trailing average approach reduces the risk of cash flow mismatch (a form of interest rate risk), it might better lead to productive efficiency. All else being equal, this reduced risk and the reduced need to enter hedging arrangements might lower the cost of financing. Partington and Satchell proposed that a motivation that has been advanced for the switch to the trailing average is that there will be less volatility in revenue and prices. In the case of the switch to a trailing average, while the physical assets may remain unchanged, the expected cash flows from revenue are changed. Ceteris Paribus, the risk of the assets will fall and hence the required return will fall.</w:t>
      </w:r>
      <w:r w:rsidRPr="00911284">
        <w:rPr>
          <w:rStyle w:val="FootnoteReference"/>
        </w:rPr>
        <w:footnoteReference w:id="1466"/>
      </w:r>
    </w:p>
    <w:p w:rsidR="00911284" w:rsidRPr="00911284" w:rsidRDefault="00911284" w:rsidP="00911284">
      <w:r w:rsidRPr="00911284">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xml:space="preserve"> and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 xml:space="preserve">). </w:t>
      </w:r>
    </w:p>
    <w:p w:rsidR="00911284" w:rsidRPr="00911284" w:rsidRDefault="00911284" w:rsidP="00911284">
      <w:pPr>
        <w:pStyle w:val="Heading9"/>
      </w:pPr>
      <w:bookmarkStart w:id="447" w:name="_Ref444773920"/>
      <w:bookmarkStart w:id="448" w:name="_Ref448326736"/>
      <w:bookmarkStart w:id="449" w:name="_Toc451947842"/>
      <w:bookmarkStart w:id="450" w:name="_Toc487037215"/>
      <w:r w:rsidRPr="00911284">
        <w:t>Mathematical explanation</w:t>
      </w:r>
      <w:bookmarkEnd w:id="447"/>
      <w:bookmarkEnd w:id="448"/>
      <w:bookmarkEnd w:id="449"/>
      <w:bookmarkEnd w:id="450"/>
    </w:p>
    <w:p w:rsidR="00911284" w:rsidRPr="00911284" w:rsidRDefault="00911284" w:rsidP="00911284">
      <w:r w:rsidRPr="00911284">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911284" w:rsidRPr="00911284" w:rsidRDefault="00911284" w:rsidP="00911284">
      <w:pPr>
        <w:pStyle w:val="AERbulletlistfirststyle"/>
      </w:pPr>
      <w:r w:rsidRPr="00911284">
        <w:t>The on-the-day approach service providers with the reasonable opportunity to recover at least efficient costs over each regulatory period and over the term of the RAB.</w:t>
      </w:r>
      <w:r w:rsidRPr="00911284">
        <w:rPr>
          <w:rStyle w:val="FootnoteReference"/>
        </w:rPr>
        <w:footnoteReference w:id="1467"/>
      </w:r>
    </w:p>
    <w:p w:rsidR="00911284" w:rsidRPr="00911284" w:rsidRDefault="00911284" w:rsidP="00911284">
      <w:pPr>
        <w:pStyle w:val="AERbulletlistfirststyle"/>
      </w:pPr>
      <w:r w:rsidRPr="00911284">
        <w:t>The trailing average approach provides service providers with the reasonable opportunity to recover at least efficient costs over the term of the RAB.</w:t>
      </w:r>
    </w:p>
    <w:p w:rsidR="00911284" w:rsidRPr="00911284" w:rsidRDefault="00911284" w:rsidP="00911284">
      <w:r w:rsidRPr="00911284">
        <w:t>If switching between regimes, a full transition provides service providers with a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911284" w:rsidRPr="00911284" w:rsidRDefault="00911284" w:rsidP="00911284">
      <w:r w:rsidRPr="00911284">
        <w:t>We use the following notation:</w:t>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911284" w:rsidRPr="00911284">
        <w:t xml:space="preserve"> denotes net operating cash flows for year </w:t>
      </w:r>
      <m:oMath>
        <m:r>
          <w:rPr>
            <w:rFonts w:ascii="Cambria Math" w:hAnsi="Cambria Math"/>
          </w:rPr>
          <m:t>t</m:t>
        </m:r>
        <m:r>
          <w:rPr>
            <w:rStyle w:val="FootnoteReference"/>
            <w:rFonts w:ascii="Cambria Math" w:hAnsi="Cambria Math"/>
            <w:i/>
          </w:rPr>
          <w:footnoteReference w:id="1468"/>
        </m:r>
      </m:oMath>
      <w:r w:rsidR="00911284" w:rsidRPr="00911284">
        <w:t>―that is, revenue less operating  expenditure (opex).</w:t>
      </w:r>
      <w:r w:rsidR="00911284" w:rsidRPr="00911284">
        <w:rPr>
          <w:rStyle w:val="FootnoteReference"/>
        </w:rPr>
        <w:footnoteReference w:id="1469"/>
      </w:r>
      <w:r w:rsidR="00911284" w:rsidRPr="00911284">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911284" w:rsidRPr="00911284">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911284" w:rsidRPr="00911284">
        <w:t xml:space="preserve">is the return on capital cash flow. </w:t>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911284" w:rsidRPr="00911284">
        <w:t xml:space="preserve"> is the allowed rate of return (which is reset periodically).</w:t>
      </w:r>
      <w:r w:rsidR="00911284" w:rsidRPr="00911284">
        <w:rPr>
          <w:rStyle w:val="FootnoteReference"/>
        </w:rPr>
        <w:footnoteReference w:id="1470"/>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911284" w:rsidRPr="00911284">
        <w:t xml:space="preserve"> is the closing RAB at the end of year </w:t>
      </w:r>
      <m:oMath>
        <m:r>
          <w:rPr>
            <w:rFonts w:ascii="Cambria Math" w:hAnsi="Cambria Math"/>
          </w:rPr>
          <m:t>t</m:t>
        </m:r>
      </m:oMath>
      <w:r w:rsidR="00911284" w:rsidRPr="00911284">
        <w:t xml:space="preserve"> (which equals the opening RAB at the beginning of year </w:t>
      </w:r>
      <m:oMath>
        <m:r>
          <w:rPr>
            <w:rFonts w:ascii="Cambria Math" w:hAnsi="Cambria Math"/>
          </w:rPr>
          <m:t>t+1</m:t>
        </m:r>
      </m:oMath>
      <w:r w:rsidR="00911284" w:rsidRPr="00911284">
        <w:t>).</w:t>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911284" w:rsidRPr="00911284">
        <w:t xml:space="preserve">is the ex-ante cost of capital prevailing in the market for the investment at time </w:t>
      </w:r>
      <m:oMath>
        <m:r>
          <w:rPr>
            <w:rFonts w:ascii="Cambria Math" w:hAnsi="Cambria Math"/>
          </w:rPr>
          <m:t>i</m:t>
        </m:r>
      </m:oMath>
      <w:r w:rsidR="00911284" w:rsidRPr="00911284">
        <w:t>,</w:t>
      </w:r>
      <w:r w:rsidR="00911284" w:rsidRPr="00911284">
        <w:rPr>
          <w:rStyle w:val="FootnoteReference"/>
        </w:rPr>
        <w:footnoteReference w:id="1471"/>
      </w:r>
      <w:r w:rsidR="00911284" w:rsidRPr="00911284">
        <w:t xml:space="preserve"> with a term of </w:t>
      </w:r>
      <m:oMath>
        <m:r>
          <w:rPr>
            <w:rFonts w:ascii="Cambria Math" w:hAnsi="Cambria Math"/>
          </w:rPr>
          <m:t>j</m:t>
        </m:r>
      </m:oMath>
      <w:r w:rsidR="00911284" w:rsidRPr="00911284">
        <w:t xml:space="preserve"> years—used to discount the expected cash flows.</w:t>
      </w:r>
    </w:p>
    <w:p w:rsidR="00911284" w:rsidRPr="00911284" w:rsidRDefault="00911284" w:rsidP="00911284">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911284">
        <w:t xml:space="preserve"> denotes expected value.</w:t>
      </w:r>
    </w:p>
    <w:p w:rsidR="00911284" w:rsidRPr="00911284" w:rsidRDefault="002C24D6" w:rsidP="00911284">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911284" w:rsidRPr="00911284">
        <w:t xml:space="preserve"> denotes present value, at year t (can also be referred to as market value). </w:t>
      </w:r>
    </w:p>
    <w:p w:rsidR="00911284" w:rsidRPr="00911284" w:rsidRDefault="00911284" w:rsidP="00911284">
      <w:r w:rsidRPr="00911284">
        <w:t>For simplicity, we assume within-period investment equals depreciation in all periods prior to the end of the term of the RAB (year</w:t>
      </w:r>
      <m:oMath>
        <m:r>
          <w:rPr>
            <w:rFonts w:ascii="Cambria Math" w:hAnsi="Cambria Math"/>
          </w:rPr>
          <m:t xml:space="preserve"> t=T</m:t>
        </m:r>
      </m:oMath>
      <w:r w:rsidRPr="00911284">
        <w:t>),</w:t>
      </w:r>
      <w:r w:rsidRPr="00911284">
        <w:rPr>
          <w:rStyle w:val="FootnoteReference"/>
        </w:rPr>
        <w:footnoteReference w:id="1472"/>
      </w:r>
      <w:r w:rsidRPr="00911284">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911284">
        <w:t>).</w:t>
      </w:r>
      <w:r w:rsidRPr="00911284">
        <w:rPr>
          <w:rStyle w:val="FootnoteReference"/>
        </w:rPr>
        <w:footnoteReference w:id="1473"/>
      </w:r>
      <w:r w:rsidRPr="00911284">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rsidRPr="00911284">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911284">
        <w:t xml:space="preserve"> is depreciation (or return of capital) for year </w:t>
      </w:r>
      <m:oMath>
        <m:r>
          <w:rPr>
            <w:rFonts w:ascii="Cambria Math" w:hAnsi="Cambria Math"/>
          </w:rPr>
          <m:t>t</m:t>
        </m:r>
      </m:oMath>
      <w:r w:rsidRPr="00911284">
        <w:t xml:space="preserve">. </w:t>
      </w:r>
    </w:p>
    <w:p w:rsidR="00911284" w:rsidRPr="00911284" w:rsidRDefault="00911284" w:rsidP="00911284">
      <w:r w:rsidRPr="00911284">
        <w:t>We note the mathematical explanation in this section is a simplification of reality. We use it to demonstrate the principle that the allowed rate of return should be set (and periodically reset) such that the ex-ante allowed return on (and of) capital cash flows equals the ex-ante cost of a benchmark efficient entity's investment in its RAB (in present value terms). This gives service providers a reasonable opportunity to recover at least efficient financing costs over the term of the RAB. As Brennan (1991) stated:</w:t>
      </w:r>
      <w:r w:rsidRPr="00911284">
        <w:rPr>
          <w:rStyle w:val="FootnoteReference"/>
        </w:rPr>
        <w:footnoteReference w:id="1474"/>
      </w:r>
    </w:p>
    <w:p w:rsidR="00911284" w:rsidRPr="00911284" w:rsidRDefault="00911284" w:rsidP="00911284">
      <w:pPr>
        <w:pStyle w:val="AERquote"/>
      </w:pPr>
      <w:r w:rsidRPr="00911284">
        <w:t>With regard to investor compensation, the basic goal of regulation is to give investors an income stream just sufficient to cover the costs of their assets, and no more</w:t>
      </w:r>
    </w:p>
    <w:p w:rsidR="00911284" w:rsidRPr="00911284" w:rsidRDefault="00911284" w:rsidP="00911284">
      <w:pPr>
        <w:pStyle w:val="HeadingBoldBlue"/>
      </w:pPr>
      <w:r w:rsidRPr="00911284">
        <w:t>On-the-day approach</w:t>
      </w:r>
    </w:p>
    <w:p w:rsidR="00911284" w:rsidRPr="00911284" w:rsidRDefault="00911284" w:rsidP="00911284">
      <w:r w:rsidRPr="00911284">
        <w:t>For simplicity, assume the term of the risk free rate matches the regulatory period (five years) under the on-the-day approach.</w:t>
      </w:r>
      <w:r w:rsidRPr="00911284">
        <w:rPr>
          <w:rStyle w:val="FootnoteReference"/>
        </w:rPr>
        <w:footnoteReference w:id="1475"/>
      </w:r>
      <w:r w:rsidRPr="00911284">
        <w:t xml:space="preserve">  If we provide service providers with a reasonable opportunity to recover at least efficient costs over a regulatory period commencing year </w:t>
      </w:r>
      <m:oMath>
        <m:r>
          <w:rPr>
            <w:rFonts w:ascii="Cambria Math" w:hAnsi="Cambria Math"/>
          </w:rPr>
          <m:t>t</m:t>
        </m:r>
      </m:oMath>
      <w:r w:rsidRPr="00911284">
        <w:t xml:space="preserve">, then the present value of expected net operating cash flows over this period plus the closing RAB (at </w:t>
      </w:r>
      <m:oMath>
        <m:r>
          <w:rPr>
            <w:rFonts w:ascii="Cambria Math" w:hAnsi="Cambria Math"/>
          </w:rPr>
          <m:t>t+5</m:t>
        </m:r>
      </m:oMath>
      <w:r w:rsidRPr="00911284">
        <w:t xml:space="preserve">) should equal the opening RAB (at </w:t>
      </w:r>
      <m:oMath>
        <m:r>
          <w:rPr>
            <w:rFonts w:ascii="Cambria Math" w:hAnsi="Cambria Math"/>
          </w:rPr>
          <m:t>t</m:t>
        </m:r>
      </m:oMath>
      <w:r w:rsidRPr="00911284">
        <w:t xml:space="preserve">). Under our depreciation assumptions, the opening RAB (at </w:t>
      </w:r>
      <m:oMath>
        <m:r>
          <w:rPr>
            <w:rFonts w:ascii="Cambria Math" w:hAnsi="Cambria Math"/>
          </w:rPr>
          <m:t>t</m:t>
        </m:r>
      </m:oMath>
      <w:r w:rsidRPr="00911284">
        <w:t xml:space="preserve">) will equal its initial value (at </w:t>
      </w:r>
      <m:oMath>
        <m:r>
          <w:rPr>
            <w:rFonts w:ascii="Cambria Math" w:hAnsi="Cambria Math"/>
          </w:rPr>
          <m:t>t=0</m:t>
        </m:r>
      </m:oMath>
      <w:r w:rsidRPr="00911284">
        <w:t>).</w:t>
      </w:r>
    </w:p>
    <w:p w:rsidR="00911284" w:rsidRPr="00911284" w:rsidRDefault="00911284" w:rsidP="00911284">
      <w:r w:rsidRPr="00911284">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911284">
        <w:t>)</w:t>
      </w:r>
      <w:r w:rsidRPr="00911284">
        <w:rPr>
          <w:rStyle w:val="FootnoteReference"/>
        </w:rPr>
        <w:footnoteReference w:id="1476"/>
      </w:r>
      <w:r w:rsidRPr="00911284">
        <w:t xml:space="preserve"> at the commencement of each regulatory period. We show this below: </w:t>
      </w:r>
    </w:p>
    <w:p w:rsidR="00911284" w:rsidRPr="00911284" w:rsidRDefault="002C24D6" w:rsidP="00911284">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911284" w:rsidRPr="00911284" w:rsidRDefault="00911284" w:rsidP="00911284">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477"/>
          </m:r>
        </m:oMath>
      </m:oMathPara>
    </w:p>
    <w:p w:rsidR="00911284" w:rsidRPr="00911284" w:rsidRDefault="00911284" w:rsidP="00911284">
      <w:r w:rsidRPr="00911284">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rsidRPr="00911284">
        <w:t>,</w:t>
      </w:r>
      <w:r w:rsidRPr="00911284">
        <w:rPr>
          <w:rStyle w:val="FootnoteReference"/>
        </w:rPr>
        <w:footnoteReference w:id="1478"/>
      </w:r>
      <w:r w:rsidRPr="00911284">
        <w:t xml:space="preserve"> and the present value (at time </w:t>
      </w:r>
      <m:oMath>
        <m:r>
          <w:rPr>
            <w:rFonts w:ascii="Cambria Math" w:hAnsi="Cambria Math"/>
          </w:rPr>
          <m:t>t+5</m:t>
        </m:r>
      </m:oMath>
      <w:r w:rsidRPr="00911284">
        <w:t xml:space="preserve">) of expected future cash flows over the remaining term of the RAB equals the closing RAB at the end of year </w:t>
      </w:r>
      <m:oMath>
        <m:r>
          <w:rPr>
            <w:rFonts w:ascii="Cambria Math" w:hAnsi="Cambria Math"/>
          </w:rPr>
          <m:t>t+5</m:t>
        </m:r>
      </m:oMath>
      <w:r w:rsidRPr="00911284">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911284">
        <w:t>).</w:t>
      </w:r>
    </w:p>
    <w:p w:rsidR="00911284" w:rsidRPr="00911284" w:rsidRDefault="00911284" w:rsidP="00911284">
      <w:r w:rsidRPr="00911284">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911284">
        <w:t>, and:</w:t>
      </w:r>
      <w:r w:rsidRPr="00911284">
        <w:rPr>
          <w:rStyle w:val="FootnoteReference"/>
        </w:rPr>
        <w:footnoteReference w:id="1479"/>
      </w:r>
    </w:p>
    <w:p w:rsidR="00911284" w:rsidRPr="00911284" w:rsidRDefault="002C24D6" w:rsidP="00911284">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pPr>
        <w:pStyle w:val="ListContinue"/>
      </w:pPr>
      <w:r w:rsidRPr="00911284">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911284" w:rsidRPr="00911284" w:rsidRDefault="002C24D6" w:rsidP="00911284">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911284" w:rsidRPr="00911284" w:rsidRDefault="00911284" w:rsidP="00911284">
      <w:r w:rsidRPr="00911284">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rsidRPr="00911284">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rsidRPr="00911284">
        <w:t>:</w:t>
      </w:r>
      <w:r w:rsidRPr="00911284">
        <w:rPr>
          <w:rStyle w:val="FootnoteReference"/>
        </w:rPr>
        <w:footnoteReference w:id="1480"/>
      </w:r>
    </w:p>
    <w:p w:rsidR="00911284" w:rsidRPr="00911284" w:rsidRDefault="002C24D6" w:rsidP="00911284">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2C24D6" w:rsidP="00911284">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911284" w:rsidP="00911284">
      <m:oMathPara>
        <m:oMath>
          <m:r>
            <w:rPr>
              <w:rFonts w:ascii="Cambria Math" w:hAnsi="Cambria Math"/>
            </w:rPr>
            <m:t>…</m:t>
          </m:r>
        </m:oMath>
      </m:oMathPara>
    </w:p>
    <w:p w:rsidR="00911284" w:rsidRPr="00911284" w:rsidRDefault="002C24D6" w:rsidP="00911284">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911284" w:rsidRPr="00911284" w:rsidRDefault="00911284" w:rsidP="00911284">
      <w:r w:rsidRPr="00911284">
        <w:t>The above present value principle should hold under any regulatory period under the on-the-day approach, and therefore should hold over the term of the RAB, which would comprise of multiple regulatory periods.</w:t>
      </w:r>
      <w:r w:rsidRPr="00911284">
        <w:rPr>
          <w:rStyle w:val="FootnoteReference"/>
        </w:rPr>
        <w:footnoteReference w:id="1481"/>
      </w:r>
      <w:r w:rsidRPr="00911284">
        <w:t xml:space="preserve"> The allowed rate of return is reset to reflect the (appropriately benchmarked) prevailing market cost of capital at the commencement of each regulatory period. Therefore, the present (or market) value of the RAB is reset to its statutory value (or, under our assumptions, its initial value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at the commencement of each regulatory period. This is supported by Partington and Satchell.</w:t>
      </w:r>
      <w:r w:rsidRPr="00911284">
        <w:rPr>
          <w:rStyle w:val="FootnoteReference"/>
        </w:rPr>
        <w:footnoteReference w:id="1482"/>
      </w:r>
      <w:r w:rsidRPr="00911284">
        <w:t xml:space="preserve"> To this extent, the regulatory regime under an on-the-day approach can be likened to a long term floating rate security where the allowed rate of return is the coupon rate, reset at the start of each regulatory period such that the present (or market) value of the bond equals its par (or face) value.</w:t>
      </w:r>
      <w:r w:rsidRPr="00911284">
        <w:rPr>
          <w:rStyle w:val="FootnoteReference"/>
        </w:rPr>
        <w:footnoteReference w:id="1483"/>
      </w:r>
    </w:p>
    <w:p w:rsidR="00911284" w:rsidRPr="00911284" w:rsidRDefault="00911284" w:rsidP="00911284">
      <w:r w:rsidRPr="00911284">
        <w:t>We consider this section shows the on-the-day approach provides service providers with a reasonable opportunity to recover at least efficient costs.</w:t>
      </w:r>
      <w:r w:rsidRPr="00911284">
        <w:rPr>
          <w:rStyle w:val="FootnoteReference"/>
        </w:rPr>
        <w:footnoteReference w:id="1484"/>
      </w:r>
      <w:r w:rsidRPr="00911284">
        <w:t xml:space="preserve"> That is, at the commencement of each regulatory period, the present value of expected future cash flows will equal the RAB. We note that given the ARORO is standalone, the ARORO will be achieved if the present value of expected return on (and of) capital cash flows equal the start-of-period opening RAB.</w:t>
      </w:r>
    </w:p>
    <w:p w:rsidR="00911284" w:rsidRPr="00911284" w:rsidRDefault="00911284" w:rsidP="00911284">
      <w:pPr>
        <w:pStyle w:val="HeadingBoldBlue"/>
      </w:pPr>
      <w:r w:rsidRPr="00911284">
        <w:t>Trailing average approach</w:t>
      </w:r>
    </w:p>
    <w:p w:rsidR="00911284" w:rsidRPr="00911284" w:rsidRDefault="00911284" w:rsidP="00911284">
      <w:r w:rsidRPr="00911284">
        <w:t>Under the trailing average approach, the service providers would not necessarily have a reasonable opportunity to recover at least efficient costs over a regulatory period. However, the service providers would still have a reasonable opportunity to recover at least efficient costs over the term of the RAB.</w:t>
      </w:r>
    </w:p>
    <w:p w:rsidR="00911284" w:rsidRPr="00911284" w:rsidRDefault="00911284" w:rsidP="00911284">
      <w:r w:rsidRPr="00911284">
        <w:t xml:space="preserve">Assume we set the allowed rate of return based on a trailing average return on debt for a particular regulatory period (commencing year </w:t>
      </w:r>
      <m:oMath>
        <m:r>
          <w:rPr>
            <w:rFonts w:ascii="Cambria Math" w:hAnsi="Cambria Math"/>
          </w:rPr>
          <m:t>t</m:t>
        </m:r>
      </m:oMath>
      <w:r w:rsidRPr="00911284">
        <w:t xml:space="preserve">). As set out above, for the present value principle to hold over the regulatory period commencing year </w:t>
      </w:r>
      <m:oMath>
        <m:r>
          <w:rPr>
            <w:rFonts w:ascii="Cambria Math" w:hAnsi="Cambria Math"/>
          </w:rPr>
          <m:t>t</m:t>
        </m:r>
      </m:oMath>
      <w:r w:rsidRPr="00911284">
        <w:t xml:space="preserve">, the present value of expected net operating cash flows over this period plus the closing RAB (at </w:t>
      </w:r>
      <m:oMath>
        <m:r>
          <w:rPr>
            <w:rFonts w:ascii="Cambria Math" w:hAnsi="Cambria Math"/>
          </w:rPr>
          <m:t>t+5</m:t>
        </m:r>
      </m:oMath>
      <w:r w:rsidRPr="00911284">
        <w:t xml:space="preserve">) should equate to the opening RAB (at </w:t>
      </w:r>
      <m:oMath>
        <m:r>
          <w:rPr>
            <w:rFonts w:ascii="Cambria Math" w:hAnsi="Cambria Math"/>
          </w:rPr>
          <m:t>t</m:t>
        </m:r>
      </m:oMath>
      <w:r w:rsidRPr="00911284">
        <w:t xml:space="preserve">). Under our depreciation assumptions, this should result in the opening RAB (at </w:t>
      </w:r>
      <m:oMath>
        <m:r>
          <w:rPr>
            <w:rFonts w:ascii="Cambria Math" w:hAnsi="Cambria Math"/>
          </w:rPr>
          <m:t>t</m:t>
        </m:r>
      </m:oMath>
      <w:r w:rsidRPr="00911284">
        <w:t xml:space="preserve">) being equal to its initial value (at </w:t>
      </w:r>
      <m:oMath>
        <m:r>
          <w:rPr>
            <w:rFonts w:ascii="Cambria Math" w:hAnsi="Cambria Math"/>
          </w:rPr>
          <m:t>t=0</m:t>
        </m:r>
      </m:oMath>
      <w:r w:rsidRPr="00911284">
        <w:t xml:space="preserve">). That is, for the present value principle to hold over a regulatory period commencing year </w:t>
      </w:r>
      <m:oMath>
        <m:r>
          <w:rPr>
            <w:rFonts w:ascii="Cambria Math" w:hAnsi="Cambria Math"/>
          </w:rPr>
          <m:t>t</m:t>
        </m:r>
      </m:oMath>
      <w:r w:rsidRPr="00911284">
        <w:t>, the following equality must hold:</w:t>
      </w:r>
    </w:p>
    <w:p w:rsidR="00911284" w:rsidRPr="00911284" w:rsidRDefault="002C24D6" w:rsidP="00911284">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911284" w:rsidP="00911284">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911284" w:rsidRPr="00911284" w:rsidRDefault="00911284" w:rsidP="00911284">
      <w:r w:rsidRPr="00911284">
        <w:t>where, under an immediate trailing average approach (under our assumptions):</w:t>
      </w:r>
      <w:r w:rsidRPr="00911284">
        <w:rPr>
          <w:rStyle w:val="FootnoteReference"/>
        </w:rPr>
        <w:footnoteReference w:id="1485"/>
      </w:r>
    </w:p>
    <w:p w:rsidR="00911284" w:rsidRPr="00911284" w:rsidRDefault="002C24D6" w:rsidP="00911284">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r w:rsidRPr="00911284">
        <w:tab/>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911284" w:rsidRPr="00911284" w:rsidRDefault="00911284" w:rsidP="00911284">
      <w:r w:rsidRPr="00911284">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911284">
        <w:t>,</w:t>
      </w:r>
      <w:r w:rsidRPr="00911284">
        <w:rPr>
          <w:rStyle w:val="FootnoteReference"/>
        </w:rPr>
        <w:footnoteReference w:id="1486"/>
      </w:r>
      <w:r w:rsidRPr="00911284">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911284">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xml:space="preserve"> under our assumptions).</w:t>
      </w:r>
      <w:r w:rsidRPr="00911284">
        <w:rPr>
          <w:rStyle w:val="FootnoteReference"/>
        </w:rPr>
        <w:t xml:space="preserve"> </w:t>
      </w:r>
    </w:p>
    <w:p w:rsidR="00911284" w:rsidRPr="00911284" w:rsidRDefault="00911284" w:rsidP="00911284">
      <w:r w:rsidRPr="00911284">
        <w:t>Despite this, we can show the service providers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911284" w:rsidRPr="00911284" w:rsidRDefault="00911284" w:rsidP="00911284">
      <w:r w:rsidRPr="00911284">
        <w:t>There are three different components to the trailing average approach: the transition in, the full staggered portfolio, and the transition out at the end of the investment horizon (or end of the term of the RAB). We show these below.</w:t>
      </w:r>
    </w:p>
    <w:p w:rsidR="00911284" w:rsidRPr="00911284" w:rsidRDefault="00911284" w:rsidP="00911284">
      <w:r w:rsidRPr="00911284">
        <w:t>The allowed return on equity continues to be reset to reflect the prevailing market cost of equity at the commencement of each regulatory period. Therefore, we can reasonably assume the present value of expected return on equity cash flows equals the equity financed component of the RAB each regulatory period, although Partington and Satchell note there are likely to be complications associated with leverage.</w:t>
      </w:r>
      <w:r w:rsidRPr="00911284">
        <w:rPr>
          <w:rStyle w:val="FootnoteReference"/>
        </w:rPr>
        <w:footnoteReference w:id="1487"/>
      </w:r>
      <w:r w:rsidRPr="00911284">
        <w:t xml:space="preserve"> Because of this, in the following sections we focus on the return on debt cash flows and assume, for simplicity, the RAB is 100 per cent debt financed.</w:t>
      </w:r>
    </w:p>
    <w:p w:rsidR="00911284" w:rsidRPr="00911284" w:rsidRDefault="00911284" w:rsidP="00911284">
      <w:pPr>
        <w:pStyle w:val="HeadingBoldItalic"/>
      </w:pPr>
      <w:r w:rsidRPr="00911284">
        <w:t>Transition into the staggered portfolio</w:t>
      </w:r>
    </w:p>
    <w:p w:rsidR="00911284" w:rsidRPr="00911284" w:rsidRDefault="00911284" w:rsidP="00911284">
      <w:pPr>
        <w:rPr>
          <w:rStyle w:val="AERbody"/>
        </w:rPr>
      </w:pPr>
      <w:r w:rsidRPr="00911284">
        <w:rPr>
          <w:rStyle w:val="AERbody"/>
        </w:rPr>
        <w:t>On the first year of a trailing average, a business would either:</w:t>
      </w:r>
    </w:p>
    <w:p w:rsidR="00911284" w:rsidRPr="00911284" w:rsidRDefault="00911284" w:rsidP="00911284">
      <w:pPr>
        <w:pStyle w:val="AERbulletlistfirststyle"/>
        <w:rPr>
          <w:rStyle w:val="AERbody"/>
        </w:rPr>
      </w:pPr>
      <w:r w:rsidRPr="00911284">
        <w:rPr>
          <w:rStyle w:val="AERbody"/>
        </w:rPr>
        <w:t>Raise an equal-weighted portfolio of 1, 2, 3 ... 9, 10 year debt. Each year 10 per cent of this would expire and the business would replace this with 10 year debt.</w:t>
      </w:r>
    </w:p>
    <w:p w:rsidR="00911284" w:rsidRPr="00911284" w:rsidRDefault="00911284" w:rsidP="00911284">
      <w:pPr>
        <w:pStyle w:val="AERbulletlistfirststyle"/>
        <w:rPr>
          <w:rStyle w:val="AERbody"/>
        </w:rPr>
      </w:pPr>
      <w:r w:rsidRPr="00911284">
        <w:rPr>
          <w:rStyle w:val="AERbody"/>
        </w:rPr>
        <w:t>Raise 10 year debt. Each year it would refinance 10 per cent of this and replace this with more 10 year debt.</w:t>
      </w:r>
    </w:p>
    <w:p w:rsidR="00911284" w:rsidRPr="00911284" w:rsidRDefault="00911284" w:rsidP="00911284">
      <w:pPr>
        <w:rPr>
          <w:rStyle w:val="AERbody"/>
        </w:rPr>
      </w:pPr>
      <w:r w:rsidRPr="00911284">
        <w:rPr>
          <w:rStyle w:val="AERbody"/>
        </w:rPr>
        <w:t>We have calculated the return on debt allowance assuming the latter option. Since we expect this would be the higher cost option given interest rates on longer-term debt securities are often higher than those on shorter-term debt securities, our debt allowance should be conservative in the service providers' favour.</w:t>
      </w:r>
    </w:p>
    <w:p w:rsidR="00911284" w:rsidRPr="00911284" w:rsidRDefault="00911284" w:rsidP="00911284">
      <w:r w:rsidRPr="00911284">
        <w:rPr>
          <w:rStyle w:val="AERbody"/>
        </w:rPr>
        <w:t xml:space="preserve">Valuing the return on debt allowance using the first of the two options would be expected to provide a benchmark efficient entity </w:t>
      </w:r>
      <w:r w:rsidRPr="00911284">
        <w:t xml:space="preserve">a reasonable opportunity to recover at least efficient costs for its initial investment at </w:t>
      </w:r>
      <m:oMath>
        <m:r>
          <w:rPr>
            <w:rFonts w:ascii="Cambria Math" w:hAnsi="Cambria Math"/>
          </w:rPr>
          <m:t>t=0</m:t>
        </m:r>
      </m:oMath>
      <w:r w:rsidRPr="00911284">
        <w:t xml:space="preserve"> as this would allow the following equality to hold:</w:t>
      </w:r>
      <w:r w:rsidRPr="00911284">
        <w:rPr>
          <w:rStyle w:val="FootnoteReference"/>
        </w:rPr>
        <w:footnoteReference w:id="1488"/>
      </w:r>
    </w:p>
    <w:p w:rsidR="00911284" w:rsidRPr="00911284" w:rsidRDefault="002C24D6" w:rsidP="00911284">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489"/>
        </m:r>
      </m:oMath>
      <w:r w:rsidR="00911284" w:rsidRPr="00911284">
        <w:t xml:space="preserve"> </w:t>
      </w:r>
    </w:p>
    <w:p w:rsidR="00911284" w:rsidRPr="00911284" w:rsidRDefault="00911284" w:rsidP="00911284">
      <w:r w:rsidRPr="00911284">
        <w:t>where, under our assumptions:</w:t>
      </w:r>
      <w:r w:rsidRPr="00911284">
        <w:rPr>
          <w:rStyle w:val="FootnoteReference"/>
        </w:rPr>
        <w:footnoteReference w:id="1490"/>
      </w:r>
    </w:p>
    <w:p w:rsidR="00911284" w:rsidRPr="00911284" w:rsidRDefault="002C24D6" w:rsidP="00911284">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pPr>
        <w:pStyle w:val="ListContinue2"/>
      </w:pPr>
      <w:r w:rsidRPr="00911284">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911284" w:rsidRPr="00911284" w:rsidRDefault="00911284" w:rsidP="00911284">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demonstrated under 'On-the-day approach', this equality holds because, for each one-tenth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t=0</m:t>
        </m:r>
      </m:oMath>
      <w:r w:rsidRPr="00911284">
        <w:t>, with the expectation that the allowed rate of return will be periodically reset to prevailing market rates</w:t>
      </w:r>
    </w:p>
    <w:p w:rsidR="00911284" w:rsidRPr="00911284" w:rsidRDefault="00911284" w:rsidP="00911284">
      <w:pPr>
        <w:pStyle w:val="AERbulletlistfirststyle"/>
      </w:pPr>
      <w:r w:rsidRPr="00911284">
        <w:t>the present (or market) value of the closing RAB (portion) at the end of each 'reset period' equals its statutory value.</w:t>
      </w:r>
    </w:p>
    <w:p w:rsidR="00911284" w:rsidRPr="00911284" w:rsidRDefault="00911284" w:rsidP="00911284">
      <w:r w:rsidRPr="00911284">
        <w:t xml:space="preserve">For example, at </w:t>
      </w:r>
      <m:oMath>
        <m:r>
          <w:rPr>
            <w:rFonts w:ascii="Cambria Math" w:hAnsi="Cambria Math"/>
          </w:rPr>
          <m:t>t=0</m:t>
        </m:r>
      </m:oMath>
      <w:r w:rsidRPr="00911284">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Pr="00911284">
        <w:t xml:space="preserve">, should equal portion one of the opening RAB at </w:t>
      </w:r>
      <m:oMath>
        <m:r>
          <w:rPr>
            <w:rFonts w:ascii="Cambria Math" w:hAnsi="Cambria Math"/>
          </w:rPr>
          <m:t>t=0</m:t>
        </m:r>
      </m:oMath>
      <w:r w:rsidRPr="00911284">
        <w:t xml:space="preserve">. This is because it is expected that, at </w:t>
      </w:r>
      <m:oMath>
        <m:r>
          <w:rPr>
            <w:rFonts w:ascii="Cambria Math" w:hAnsi="Cambria Math"/>
          </w:rPr>
          <m:t>t=1</m:t>
        </m:r>
      </m:oMath>
      <w:r w:rsidRPr="00911284">
        <w:t xml:space="preserve">, we reset the allowed rate of return on portion one of the RAB to reflect the prevailing market cost of capital, and continue resetting every ten years (see equalities under 'The staggered portfolio' and 'End of the term of the RAB' below). </w:t>
      </w:r>
    </w:p>
    <w:p w:rsidR="00911284" w:rsidRPr="00911284" w:rsidRDefault="00911284" w:rsidP="00911284">
      <w:r w:rsidRPr="00911284">
        <w:t xml:space="preserve">Similarly, at </w:t>
      </w:r>
      <m:oMath>
        <m:r>
          <w:rPr>
            <w:rFonts w:ascii="Cambria Math" w:hAnsi="Cambria Math"/>
          </w:rPr>
          <m:t>t=0</m:t>
        </m:r>
      </m:oMath>
      <w:r w:rsidRPr="00911284">
        <w:t>, portion two of the initial RAB is financed through debt with a term of two years, and the present value relationship holds for portion two over the two year period. The same logic applies to portions three to ten.</w:t>
      </w:r>
    </w:p>
    <w:p w:rsidR="00911284" w:rsidRPr="00911284" w:rsidRDefault="00911284" w:rsidP="00911284">
      <w:r w:rsidRPr="00911284">
        <w:t>What this shows, is that at the beginning of the transition into a trailing average approach, the present value of expected future cash flows should equal the RAB (all else equal).</w:t>
      </w:r>
    </w:p>
    <w:p w:rsidR="00911284" w:rsidRPr="00911284" w:rsidRDefault="00911284" w:rsidP="00911284">
      <w:pPr>
        <w:pStyle w:val="HeadingBoldItalic"/>
      </w:pPr>
      <w:r w:rsidRPr="00911284">
        <w:t>The staggered portfolio</w:t>
      </w:r>
    </w:p>
    <w:p w:rsidR="00911284" w:rsidRPr="00911284" w:rsidRDefault="00911284" w:rsidP="00911284">
      <w:r w:rsidRPr="00911284">
        <w:t>As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sidRPr="00911284">
        <w:rPr>
          <w:rStyle w:val="FootnoteReference"/>
        </w:rPr>
        <w:footnoteReference w:id="1491"/>
      </w:r>
      <w:r w:rsidRPr="00911284">
        <w:t xml:space="preserve"> as </w:t>
      </w:r>
      <m:oMath>
        <m:r>
          <w:rPr>
            <w:rFonts w:ascii="Cambria Math" w:hAnsi="Cambria Math"/>
          </w:rPr>
          <m:t>p1</m:t>
        </m:r>
      </m:oMath>
      <w:r w:rsidRPr="00911284">
        <w:t xml:space="preserve"> to </w:t>
      </w:r>
      <m:oMath>
        <m:r>
          <w:rPr>
            <w:rFonts w:ascii="Cambria Math" w:hAnsi="Cambria Math"/>
          </w:rPr>
          <m:t>p10</m:t>
        </m:r>
      </m:oMath>
      <w:r w:rsidRPr="00911284">
        <w:t xml:space="preserve">. From </w:t>
      </w:r>
      <m:oMath>
        <m:r>
          <w:rPr>
            <w:rFonts w:ascii="Cambria Math" w:hAnsi="Cambria Math"/>
          </w:rPr>
          <m:t>t=1</m:t>
        </m:r>
      </m:oMath>
      <w:r w:rsidRPr="00911284">
        <w:t xml:space="preserve"> to </w:t>
      </w:r>
      <m:oMath>
        <m:r>
          <w:rPr>
            <w:rFonts w:ascii="Cambria Math" w:hAnsi="Cambria Math"/>
          </w:rPr>
          <m:t>t=10</m:t>
        </m:r>
      </m:oMath>
      <w:r w:rsidRPr="00911284">
        <w:t>, the present value relationships can be presented as:</w:t>
      </w:r>
    </w:p>
    <w:p w:rsidR="00911284" w:rsidRPr="00911284" w:rsidRDefault="002C24D6" w:rsidP="00911284">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492"/>
        </m:r>
      </m:oMath>
      <w:r w:rsidR="00911284" w:rsidRPr="00911284">
        <w:t xml:space="preserve"> </w:t>
      </w:r>
    </w:p>
    <w:p w:rsidR="00911284" w:rsidRPr="00911284" w:rsidRDefault="002C24D6" w:rsidP="00911284">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911284" w:rsidRPr="00911284">
        <w:t xml:space="preserve"> </w:t>
      </w:r>
    </w:p>
    <w:p w:rsidR="00911284" w:rsidRPr="00911284" w:rsidRDefault="00911284" w:rsidP="00911284">
      <w:r w:rsidRPr="00911284">
        <w:t>…</w:t>
      </w:r>
    </w:p>
    <w:p w:rsidR="00911284" w:rsidRPr="00911284" w:rsidRDefault="002C24D6" w:rsidP="00911284">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911284" w:rsidRPr="00911284">
        <w:rPr>
          <w:rStyle w:val="AERtextsize10"/>
        </w:rPr>
        <w:t xml:space="preserve"> </w:t>
      </w:r>
    </w:p>
    <w:p w:rsidR="00911284" w:rsidRPr="00911284" w:rsidRDefault="00911284" w:rsidP="00911284">
      <w:r w:rsidRPr="00911284">
        <w:t>where the expected net operating cash flow generated each year from portions 1 to 10 of the RAB is based on the portion of the allowed rate of return that reflects the prevailing market cost of capital at time 1 to 10 respectively;</w:t>
      </w:r>
      <w:r w:rsidRPr="00911284">
        <w:rPr>
          <w:rStyle w:val="FootnoteReference"/>
        </w:rPr>
        <w:footnoteReference w:id="1493"/>
      </w:r>
      <w:r w:rsidRPr="00911284">
        <w:t xml:space="preserve"> that is:</w:t>
      </w:r>
      <w:r w:rsidRPr="00911284">
        <w:rPr>
          <w:rStyle w:val="FootnoteReference"/>
        </w:rPr>
        <w:footnoteReference w:id="1494"/>
      </w:r>
      <w:r w:rsidRPr="00911284">
        <w:t xml:space="preserve">  </w:t>
      </w:r>
    </w:p>
    <w:p w:rsidR="00911284" w:rsidRPr="00911284" w:rsidRDefault="00911284" w:rsidP="00911284">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rsidRPr="00911284">
        <w:t xml:space="preserve"> </w:t>
      </w:r>
    </w:p>
    <w:p w:rsidR="00911284" w:rsidRPr="00911284" w:rsidRDefault="00911284" w:rsidP="00911284">
      <w:r w:rsidRPr="00911284">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demonstrated under 'On-the-day approach', the above equalities hold because, for each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t=1…10</m:t>
        </m:r>
      </m:oMath>
      <w:r w:rsidRPr="00911284">
        <w:t xml:space="preserve"> respectively, with the expectation that the allowed rate of return will be reset to prevailing market rates every ten years</w:t>
      </w:r>
    </w:p>
    <w:p w:rsidR="00911284" w:rsidRPr="00911284" w:rsidRDefault="00911284" w:rsidP="00911284">
      <w:pPr>
        <w:pStyle w:val="AERbulletlistfirststyle"/>
      </w:pPr>
      <w:r w:rsidRPr="00911284">
        <w:t>the present (or market) value of the closing RAB (portion) at the end of each 'reset period' equals its statutory value.</w:t>
      </w:r>
    </w:p>
    <w:p w:rsidR="00911284" w:rsidRPr="00911284" w:rsidRDefault="00911284" w:rsidP="00911284">
      <w:r w:rsidRPr="00911284">
        <w:t xml:space="preserve">In this way, the staggered portfolio can be seen as ten on-the-day approaches on ten portions of the RAB. Therefore, for each portion of the RAB, the present value of expected net operating cash flows over the ten year 'reset period' plus the closing RAB (portion) at </w:t>
      </w:r>
      <m:oMath>
        <m:r>
          <w:rPr>
            <w:rFonts w:ascii="Cambria Math" w:hAnsi="Cambria Math"/>
          </w:rPr>
          <m:t>t+10</m:t>
        </m:r>
      </m:oMath>
      <w:r w:rsidRPr="00911284">
        <w:t xml:space="preserve"> should equal the opening RAB (portion) at </w:t>
      </w:r>
      <m:oMath>
        <m:r>
          <w:rPr>
            <w:rFonts w:ascii="Cambria Math" w:hAnsi="Cambria Math"/>
          </w:rPr>
          <m:t>t</m:t>
        </m:r>
      </m:oMath>
      <w:r w:rsidRPr="00911284">
        <w:t>.</w:t>
      </w:r>
    </w:p>
    <w:p w:rsidR="00911284" w:rsidRPr="00911284" w:rsidRDefault="00911284" w:rsidP="00911284">
      <w:r w:rsidRPr="00911284">
        <w:t>We also note that while Partington and Satchell recommend the on-the-day approach, they acknowledge 'since the trailing average approach resets one tenth of the cost of debt to the market rate each year, the compensation is correctly set for one tenth of the debt each year'.</w:t>
      </w:r>
      <w:r w:rsidRPr="00911284">
        <w:rPr>
          <w:rStyle w:val="FootnoteReference"/>
        </w:rPr>
        <w:footnoteReference w:id="1495"/>
      </w:r>
    </w:p>
    <w:p w:rsidR="00911284" w:rsidRPr="00911284" w:rsidRDefault="00911284" w:rsidP="00911284">
      <w:pPr>
        <w:pStyle w:val="HeadingBoldItalic"/>
      </w:pPr>
      <w:r w:rsidRPr="00911284">
        <w:t>End of the term of the RAB</w:t>
      </w:r>
    </w:p>
    <w:p w:rsidR="00911284" w:rsidRPr="00911284" w:rsidRDefault="00911284" w:rsidP="00911284">
      <w:r w:rsidRPr="00911284">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rsidRPr="00911284">
        <w:t>, the business could either:</w:t>
      </w:r>
      <w:r w:rsidRPr="00911284">
        <w:rPr>
          <w:rStyle w:val="FootnoteReference"/>
        </w:rPr>
        <w:footnoteReference w:id="1496"/>
      </w:r>
    </w:p>
    <w:p w:rsidR="00911284" w:rsidRPr="00911284" w:rsidRDefault="00911284" w:rsidP="00911284">
      <w:pPr>
        <w:pStyle w:val="AERbulletlistfirststyle"/>
        <w:rPr>
          <w:rStyle w:val="AERbody"/>
        </w:rPr>
      </w:pPr>
      <w:r w:rsidRPr="00911284">
        <w:rPr>
          <w:rStyle w:val="AERbody"/>
        </w:rPr>
        <w:t>Raise 9, 8 … 2, 1 year debt on a staggered basis. All its debt would thus expire in year T and it would repay the entire initial value of the RAB back to its investors.</w:t>
      </w:r>
    </w:p>
    <w:p w:rsidR="00911284" w:rsidRPr="00911284" w:rsidRDefault="00911284" w:rsidP="00911284">
      <w:pPr>
        <w:pStyle w:val="AERbulletlistfirststyle"/>
        <w:rPr>
          <w:rStyle w:val="AERbody"/>
        </w:rPr>
      </w:pPr>
      <w:r w:rsidRPr="00911284">
        <w:rPr>
          <w:rStyle w:val="AERbody"/>
        </w:rPr>
        <w:t xml:space="preserve">Allow its staggered portfolio to gradually expire, repaying 10 per cent of the initial value of the RAB to investors each year. </w:t>
      </w:r>
    </w:p>
    <w:p w:rsidR="00911284" w:rsidRPr="00911284" w:rsidRDefault="00911284" w:rsidP="00911284">
      <w:r w:rsidRPr="00911284">
        <w:t xml:space="preserve">This means our return on debt allowance would have to allow for a transition out of the staggered portfolio. </w:t>
      </w:r>
      <w:r w:rsidRPr="00911284">
        <w:rPr>
          <w:rStyle w:val="AERbody"/>
        </w:rPr>
        <w:t xml:space="preserve">Valuing the return on debt allowance using the first of the two options would be expected to provide a benchmark efficient entity </w:t>
      </w:r>
      <w:r w:rsidRPr="00911284">
        <w:t xml:space="preserve">a reasonable opportunity to recover at least efficient costs as this would allow the following equalities to hold (from </w:t>
      </w:r>
      <m:oMath>
        <m:r>
          <w:rPr>
            <w:rFonts w:ascii="Cambria Math" w:hAnsi="Cambria Math"/>
          </w:rPr>
          <m:t>t=T-10</m:t>
        </m:r>
      </m:oMath>
      <w:r w:rsidRPr="00911284">
        <w:t xml:space="preserve"> to </w:t>
      </w:r>
      <m:oMath>
        <m:r>
          <w:rPr>
            <w:rFonts w:ascii="Cambria Math" w:hAnsi="Cambria Math"/>
          </w:rPr>
          <m:t>t=T-1</m:t>
        </m:r>
      </m:oMath>
      <w:r w:rsidRPr="00911284">
        <w:t>):</w:t>
      </w:r>
    </w:p>
    <w:p w:rsidR="00911284" w:rsidRPr="00911284" w:rsidRDefault="002C24D6" w:rsidP="00911284">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497"/>
        </m:r>
      </m:oMath>
      <w:r w:rsidR="00911284" w:rsidRPr="00911284">
        <w:rPr>
          <w:rStyle w:val="AERtextsize10"/>
        </w:rPr>
        <w:t xml:space="preserve"> </w:t>
      </w:r>
    </w:p>
    <w:p w:rsidR="00911284" w:rsidRPr="00911284" w:rsidRDefault="002C24D6" w:rsidP="00911284">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911284" w:rsidRPr="00911284">
        <w:t xml:space="preserve"> </w:t>
      </w:r>
    </w:p>
    <w:p w:rsidR="00911284" w:rsidRPr="00911284" w:rsidRDefault="00911284" w:rsidP="00911284">
      <w:r w:rsidRPr="00911284">
        <w:t>…</w:t>
      </w:r>
    </w:p>
    <w:p w:rsidR="00911284" w:rsidRPr="00911284" w:rsidRDefault="002C24D6" w:rsidP="00911284">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911284" w:rsidRPr="00911284">
        <w:t xml:space="preserve"> </w:t>
      </w:r>
    </w:p>
    <w:p w:rsidR="00911284" w:rsidRPr="00911284" w:rsidRDefault="00911284" w:rsidP="00911284">
      <w:r w:rsidRPr="00911284">
        <w:t>where the proportion of net operating cash flow generated from each portion of the RAB each year equals the interest payment on that tranche of debt; that is:</w:t>
      </w:r>
      <w:r w:rsidRPr="00911284">
        <w:rPr>
          <w:rStyle w:val="FootnoteReference"/>
        </w:rPr>
        <w:footnoteReference w:id="1498"/>
      </w:r>
      <w:r w:rsidRPr="00911284">
        <w:t xml:space="preserve">  </w:t>
      </w:r>
    </w:p>
    <w:p w:rsidR="00911284" w:rsidRPr="00911284" w:rsidRDefault="00911284" w:rsidP="00911284">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rsidRPr="00911284">
        <w:t xml:space="preserve">  </w:t>
      </w:r>
    </w:p>
    <w:p w:rsidR="00911284" w:rsidRPr="00911284" w:rsidRDefault="00911284" w:rsidP="00911284">
      <w:r w:rsidRPr="00911284">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shown in the above sections, the above equalities hold because, for each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t=T-10…T-1</m:t>
        </m:r>
      </m:oMath>
      <w:r w:rsidRPr="00911284">
        <w:t xml:space="preserve"> respectively</w:t>
      </w:r>
    </w:p>
    <w:p w:rsidR="00911284" w:rsidRPr="00911284" w:rsidRDefault="00911284" w:rsidP="00911284">
      <w:pPr>
        <w:pStyle w:val="AERbulletlistfirststyle"/>
      </w:pPr>
      <w:r w:rsidRPr="00911284">
        <w:t>the present (or market) value of the closing RAB (portion) at the end of each period equals its statutory value.</w:t>
      </w:r>
    </w:p>
    <w:p w:rsidR="00911284" w:rsidRPr="00911284" w:rsidRDefault="00911284" w:rsidP="00911284">
      <w:r w:rsidRPr="00911284">
        <w:t>Given these equalities hold, the service providers would expect to have a reasonable opportunity to recover at least efficient costs for each of its investment portions. Since this applies to all stages of the trailing average approach, the service providers would expect to have a reasonable opportunity to recover at least efficient costs over the entire term of the RAB.</w:t>
      </w:r>
    </w:p>
    <w:p w:rsidR="00911284" w:rsidRPr="00911284" w:rsidRDefault="00911284" w:rsidP="00911284">
      <w:r w:rsidRPr="00911284">
        <w:t>The sections above show that the key distinction between an on-the-day and a trailing average approach is:</w:t>
      </w:r>
    </w:p>
    <w:p w:rsidR="00911284" w:rsidRPr="00911284" w:rsidRDefault="00911284" w:rsidP="00911284">
      <w:pPr>
        <w:pStyle w:val="AERbulletlistfirststyle"/>
      </w:pPr>
      <w:r w:rsidRPr="00911284">
        <w:t xml:space="preserve">the on-the-day approach results in the entire allowed rate of return being reset to reflect prevailing market (or efficient) rates near the commencement of the regulatory period </w:t>
      </w:r>
    </w:p>
    <w:p w:rsidR="00911284" w:rsidRPr="00911284" w:rsidRDefault="00911284" w:rsidP="00911284">
      <w:pPr>
        <w:pStyle w:val="AERbulletlistfirststyle"/>
      </w:pPr>
      <w:r w:rsidRPr="00911284">
        <w:t xml:space="preserve">the trailing average approach results in one tenth of the allowed rate of return being reset to reflect prevailing market (or efficient) rates each year. </w:t>
      </w:r>
    </w:p>
    <w:p w:rsidR="00911284" w:rsidRPr="00911284" w:rsidRDefault="00911284" w:rsidP="00911284">
      <w:pPr>
        <w:rPr>
          <w:rStyle w:val="AERbody"/>
        </w:rPr>
      </w:pPr>
      <w:r w:rsidRPr="00911284">
        <w:rPr>
          <w:rStyle w:val="AERbody"/>
        </w:rPr>
        <w:t xml:space="preserve">However, both approaches to setting the allowed rate of return, if appropriately implemented (in a forward looking manner) should result in the same </w:t>
      </w:r>
      <w:r w:rsidRPr="00911284">
        <w:t>ex-ante compensation for a benchmark efficient entity's ex-ante efficient financing costs over the term of the RAB</w:t>
      </w:r>
      <w:r w:rsidRPr="00911284">
        <w:rPr>
          <w:rStyle w:val="AERbody"/>
        </w:rPr>
        <w:t>.</w:t>
      </w:r>
    </w:p>
    <w:p w:rsidR="00911284" w:rsidRPr="00911284" w:rsidRDefault="00911284" w:rsidP="00911284">
      <w:pPr>
        <w:pStyle w:val="Heading8"/>
      </w:pPr>
      <w:bookmarkStart w:id="451" w:name="_Ref447538284"/>
      <w:bookmarkStart w:id="452" w:name="_Toc451947843"/>
      <w:bookmarkStart w:id="453" w:name="_Toc487037216"/>
      <w:r w:rsidRPr="00911284">
        <w:t>A full transition satisfies the ARORO</w:t>
      </w:r>
      <w:bookmarkEnd w:id="451"/>
      <w:bookmarkEnd w:id="452"/>
      <w:bookmarkEnd w:id="453"/>
    </w:p>
    <w:p w:rsidR="00911284" w:rsidRPr="00911284" w:rsidRDefault="00911284" w:rsidP="00911284">
      <w:r w:rsidRPr="00911284">
        <w:t>If moving from the on-the-day to the trailing average approach, we consider a full transition is required to meet the ARORO and the objectives of the NEL/NGL. A full transition is revenue neutral in a present value sense.</w:t>
      </w:r>
      <w:r w:rsidRPr="00911284">
        <w:rPr>
          <w:rStyle w:val="FootnoteReference"/>
        </w:rPr>
        <w:footnoteReference w:id="1499"/>
      </w:r>
      <w:r w:rsidRPr="00911284">
        <w:t xml:space="preserve"> Assuming the on-the-day or trailing average approach would contribute to the achievement of the ARORO, a revenue neutral transition will also contribute to the achievement of the ARORO.</w:t>
      </w:r>
    </w:p>
    <w:p w:rsidR="00911284" w:rsidRPr="00911284" w:rsidRDefault="00911284" w:rsidP="00911284">
      <w:r w:rsidRPr="00911284">
        <w:t xml:space="preserve">As shown in section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 ex-ante efficient compensation can hold under either the on-the-day approach or the trailing average approach (if a transition is applied). As such, both approaches are capable of being approximately equivalent over the term of the RAB (which will be multiple regulatory periods).</w:t>
      </w:r>
    </w:p>
    <w:p w:rsidR="00911284" w:rsidRPr="00911284" w:rsidRDefault="00911284" w:rsidP="00911284">
      <w:r w:rsidRPr="00911284">
        <w:t xml:space="preserve">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 This is supported by Partington and Satchell. They stated that the transition to the trailing average may approximate the zero NPV investment </w:t>
      </w:r>
      <w:r w:rsidR="001A5B2E" w:rsidRPr="00911284">
        <w:t>c</w:t>
      </w:r>
      <w:r w:rsidR="001A5B2E">
        <w:t>ondition</w:t>
      </w:r>
      <w:r w:rsidR="001A5B2E" w:rsidRPr="00911284">
        <w:t xml:space="preserve"> </w:t>
      </w:r>
      <w:r w:rsidRPr="00911284">
        <w:t xml:space="preserve">that would be achieved under the on day approach. However, using the full trailing average (i.e. with no transition), which by definition is entirely backwards looking, will not give rise to efficient investment outcomes meeting the zero NPV investment </w:t>
      </w:r>
      <w:r w:rsidR="001A5B2E">
        <w:t>condition</w:t>
      </w:r>
      <w:r w:rsidRPr="00911284">
        <w:t>.</w:t>
      </w:r>
      <w:r w:rsidRPr="00911284">
        <w:rPr>
          <w:rStyle w:val="FootnoteReference"/>
        </w:rPr>
        <w:footnoteReference w:id="1500"/>
      </w:r>
    </w:p>
    <w:p w:rsidR="00911284" w:rsidRPr="00911284" w:rsidRDefault="00911284" w:rsidP="00911284">
      <w:r w:rsidRPr="00911284">
        <w:t xml:space="preserve">We show in section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period, the present value of expected future cash flows will unlikely equal the RAB because the cash flows based on historical interest rates will either be higher or too low (relative to the prevailing cost of debt in the market). Given this, switching between regimes without a full transition would not satisfy the requirement to provide service providers with a reasonable opportunity to recover at least efficient costs over either the regulatory period or over the term of the RAB.</w:t>
      </w:r>
    </w:p>
    <w:p w:rsidR="00911284" w:rsidRPr="00911284" w:rsidRDefault="00911284" w:rsidP="00911284">
      <w:pPr>
        <w:pStyle w:val="Heading8"/>
      </w:pPr>
      <w:bookmarkStart w:id="454" w:name="_Ref447266532"/>
      <w:bookmarkStart w:id="455" w:name="_Toc451947844"/>
      <w:bookmarkStart w:id="456" w:name="_Toc487037217"/>
      <w:r w:rsidRPr="00911284">
        <w:t>An immediate (or hybrid) transition will not satisfy the ARORO</w:t>
      </w:r>
      <w:bookmarkEnd w:id="454"/>
      <w:bookmarkEnd w:id="455"/>
      <w:bookmarkEnd w:id="456"/>
    </w:p>
    <w:p w:rsidR="00911284" w:rsidRPr="00911284" w:rsidRDefault="00911284" w:rsidP="00911284">
      <w:r w:rsidRPr="00911284">
        <w:t xml:space="preserve">We consider a full transition to a trailing average will result in an ex-ante reasonable return and would contribute to the achievement of the ARORO (see section </w:t>
      </w:r>
      <w:r w:rsidRPr="00911284">
        <w:fldChar w:fldCharType="begin"/>
      </w:r>
      <w:r w:rsidRPr="00911284">
        <w:instrText xml:space="preserve"> REF _Ref447538284 \r \h </w:instrText>
      </w:r>
      <w:r w:rsidRPr="00911284">
        <w:fldChar w:fldCharType="separate"/>
      </w:r>
      <w:r w:rsidR="002C24D6">
        <w:t>J.4</w:t>
      </w:r>
      <w:r w:rsidRPr="00911284">
        <w:fldChar w:fldCharType="end"/>
      </w:r>
      <w:r w:rsidRPr="00911284">
        <w:t>). Conversely, we do not consider that an immediate (or hybrid) transition to a trailing average will result in an ex-ante reasonable return and would contribute to the achievement of the ARORO. This is because these approaches are not revenue neutral (in a present value sense). Rather, because these approaches would not be revenue-neutral (supported by Partington and Satchell</w:t>
      </w:r>
      <w:r w:rsidRPr="00911284">
        <w:rPr>
          <w:rStyle w:val="FootnoteReference"/>
        </w:rPr>
        <w:footnoteReference w:id="1501"/>
      </w:r>
      <w:r w:rsidRPr="00911284">
        <w:t>), these would result in ex-ante overcompensation if moving from a high to a low interest rate environment. Conversely, these would result in ex-ante undercompensation if moving from a low to a high interest rate environment. We show the difference between our full transition approach and the immediate transition to the trailing average approach that some service providers have favoured</w:t>
      </w:r>
      <w:r w:rsidRPr="00911284">
        <w:rPr>
          <w:rStyle w:val="FootnoteReference"/>
        </w:rPr>
        <w:footnoteReference w:id="1502"/>
      </w:r>
      <w:r w:rsidRPr="00911284">
        <w:t xml:space="preserve">mathematically in section </w:t>
      </w:r>
      <w:r w:rsidRPr="00911284">
        <w:fldChar w:fldCharType="begin"/>
      </w:r>
      <w:r w:rsidRPr="00911284">
        <w:instrText xml:space="preserve"> REF _Ref447886159 \r \h </w:instrText>
      </w:r>
      <w:r w:rsidRPr="00911284">
        <w:fldChar w:fldCharType="separate"/>
      </w:r>
      <w:r w:rsidR="002C24D6">
        <w:t>J.5.1</w:t>
      </w:r>
      <w:r w:rsidRPr="00911284">
        <w:fldChar w:fldCharType="end"/>
      </w:r>
      <w:r w:rsidRPr="00911284">
        <w:t xml:space="preserve">. </w:t>
      </w:r>
    </w:p>
    <w:p w:rsidR="00911284" w:rsidRPr="00911284" w:rsidRDefault="00911284" w:rsidP="00911284">
      <w:r w:rsidRPr="00911284">
        <w:t>It is also worth noting that while stakeholders generally supported moving to a trailing average approach when we developed the Guideline, the trailing average cannot be considered in isolation of the transition set out in the Guideline.</w:t>
      </w:r>
      <w:r w:rsidRPr="00911284">
        <w:rPr>
          <w:rStyle w:val="FootnoteReference"/>
        </w:rPr>
        <w:footnoteReference w:id="1503"/>
      </w:r>
      <w:r w:rsidRPr="00911284">
        <w:t xml:space="preserve"> This was supported by the CCP3 in the context of the 2016 AER Vic DNSP decision in advising:</w:t>
      </w:r>
      <w:r w:rsidRPr="00911284">
        <w:rPr>
          <w:rStyle w:val="FootnoteReference"/>
        </w:rPr>
        <w:footnoteReference w:id="1504"/>
      </w:r>
    </w:p>
    <w:p w:rsidR="00911284" w:rsidRPr="00911284" w:rsidRDefault="00911284" w:rsidP="00911284">
      <w:pPr>
        <w:pStyle w:val="AERquote"/>
      </w:pPr>
      <w:r w:rsidRPr="00911284">
        <w:t>consumer acceptance for the 10</w:t>
      </w:r>
      <w:r w:rsidRPr="00911284">
        <w:rPr>
          <w:rFonts w:ascii="Cambria Math" w:hAnsi="Cambria Math" w:cs="Cambria Math"/>
        </w:rPr>
        <w:t>‐</w:t>
      </w:r>
      <w:r w:rsidRPr="00911284">
        <w:t>year trailing average cost of debt (rather than continuation of the “on</w:t>
      </w:r>
      <w:r w:rsidRPr="00911284">
        <w:rPr>
          <w:rFonts w:ascii="Cambria Math" w:hAnsi="Cambria Math" w:cs="Cambria Math"/>
        </w:rPr>
        <w:t>‐</w:t>
      </w:r>
      <w:r w:rsidRPr="00911284">
        <w:t>the</w:t>
      </w:r>
      <w:r w:rsidRPr="00911284">
        <w:rPr>
          <w:rFonts w:ascii="Cambria Math" w:hAnsi="Cambria Math" w:cs="Cambria Math"/>
        </w:rPr>
        <w:t>‐</w:t>
      </w:r>
      <w:r w:rsidRPr="00911284">
        <w:t>day” or a 5</w:t>
      </w:r>
      <w:r w:rsidRPr="00911284">
        <w:rPr>
          <w:rFonts w:ascii="Cambria Math" w:hAnsi="Cambria Math" w:cs="Cambria Math"/>
        </w:rPr>
        <w:t>‐</w:t>
      </w:r>
      <w:r w:rsidRPr="00911284">
        <w:t>year trailing average aligned with the regulatory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911284">
        <w:rPr>
          <w:rFonts w:ascii="Cambria Math" w:hAnsi="Cambria Math" w:cs="Cambria Math"/>
        </w:rPr>
        <w:t>‐</w:t>
      </w:r>
      <w:r w:rsidRPr="00911284">
        <w:t>year rolling average approach.</w:t>
      </w:r>
    </w:p>
    <w:p w:rsidR="00911284" w:rsidRPr="00911284" w:rsidRDefault="00911284" w:rsidP="00911284">
      <w:r w:rsidRPr="00911284">
        <w:t>For this reason, the CCP3 also advised that, 'the significant impact on consumers of the DNSPs’ proposed departure from the RoR Guideline risks a collapse in consumer confidence in the regulatory process'.</w:t>
      </w:r>
      <w:r w:rsidRPr="00911284">
        <w:rPr>
          <w:rStyle w:val="FootnoteReference"/>
        </w:rPr>
        <w:footnoteReference w:id="1505"/>
      </w:r>
      <w:r w:rsidRPr="00911284">
        <w:t xml:space="preserve"> </w:t>
      </w:r>
    </w:p>
    <w:p w:rsidR="00911284" w:rsidRPr="00911284" w:rsidRDefault="00911284" w:rsidP="00911284">
      <w:r w:rsidRPr="00911284">
        <w:t>Moreover, Partington and Satchell advise that, given a move to the trailing average approach, our full transition is preferable to an immediate (or hybrid) transition.</w:t>
      </w:r>
      <w:r w:rsidRPr="00911284">
        <w:rPr>
          <w:rStyle w:val="FootnoteReference"/>
        </w:rPr>
        <w:footnoteReference w:id="1506"/>
      </w:r>
      <w:r w:rsidRPr="00911284">
        <w:t xml:space="preserve"> They also state that:</w:t>
      </w:r>
      <w:r w:rsidRPr="00911284">
        <w:rPr>
          <w:rStyle w:val="FootnoteReference"/>
        </w:rPr>
        <w:footnoteReference w:id="1507"/>
      </w:r>
    </w:p>
    <w:p w:rsidR="00911284" w:rsidRPr="00911284" w:rsidRDefault="00911284" w:rsidP="00911284">
      <w:pPr>
        <w:pStyle w:val="AERquote"/>
      </w:pPr>
      <w:r w:rsidRPr="00911284">
        <w:t>…it is appropriate in the present case, of significant divergence between the trailing average and the current cost of debt, that a transition should be made to the trailing average rather than immediately moving to full implementation.</w:t>
      </w:r>
    </w:p>
    <w:p w:rsidR="00911284" w:rsidRPr="00911284" w:rsidRDefault="00911284" w:rsidP="00911284">
      <w:r w:rsidRPr="00911284">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rsidRPr="00911284">
        <w:fldChar w:fldCharType="begin"/>
      </w:r>
      <w:r w:rsidRPr="00911284">
        <w:instrText xml:space="preserve"> REF _Ref448326736 \r \h </w:instrText>
      </w:r>
      <w:r w:rsidRPr="00911284">
        <w:fldChar w:fldCharType="separate"/>
      </w:r>
      <w:r w:rsidR="002C24D6">
        <w:t>J.3.3</w:t>
      </w:r>
      <w:r w:rsidRPr="00911284">
        <w:fldChar w:fldCharType="end"/>
      </w:r>
      <w:r w:rsidRPr="00911284">
        <w:t xml:space="preserve">, the on-the-day approach provides ex-ante efficient compensation for a benchmark efficient entity's efficient cost of financing over each regulatory period and over the term of the RAB. </w:t>
      </w:r>
    </w:p>
    <w:p w:rsidR="00911284" w:rsidRPr="00911284" w:rsidRDefault="00911284" w:rsidP="00911284">
      <w:pPr>
        <w:pStyle w:val="Heading9"/>
      </w:pPr>
      <w:bookmarkStart w:id="457" w:name="_Ref447886159"/>
      <w:bookmarkStart w:id="458" w:name="_Ref451538254"/>
      <w:bookmarkStart w:id="459" w:name="_Toc451947845"/>
      <w:bookmarkStart w:id="460" w:name="_Toc487037218"/>
      <w:r w:rsidRPr="00911284">
        <w:t>Mathematical explanation</w:t>
      </w:r>
      <w:bookmarkEnd w:id="457"/>
      <w:bookmarkEnd w:id="458"/>
      <w:bookmarkEnd w:id="459"/>
      <w:bookmarkEnd w:id="460"/>
    </w:p>
    <w:p w:rsidR="00911284" w:rsidRPr="00911284" w:rsidRDefault="00911284" w:rsidP="00911284">
      <w:r w:rsidRPr="00911284">
        <w:t>This section demonstrates the difference (in present value terms) between our full transition and the immediate transition to the trailing average approach. We use the following notation:</w:t>
      </w:r>
    </w:p>
    <w:p w:rsidR="00911284" w:rsidRPr="00911284" w:rsidRDefault="002C24D6" w:rsidP="00911284">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911284" w:rsidRPr="00911284">
        <w:t xml:space="preserve"> denotes present value, at year t </w:t>
      </w:r>
    </w:p>
    <w:p w:rsidR="00911284" w:rsidRPr="00911284" w:rsidRDefault="00911284" w:rsidP="00911284">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911284">
        <w:t xml:space="preserve"> denotes expected value</w:t>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911284" w:rsidRPr="00911284">
        <w:t xml:space="preserve"> is the closing RAB at the end of year </w:t>
      </w:r>
      <m:oMath>
        <m:r>
          <w:rPr>
            <w:rFonts w:ascii="Cambria Math" w:hAnsi="Cambria Math"/>
          </w:rPr>
          <m:t>t</m:t>
        </m:r>
      </m:oMath>
      <w:r w:rsidR="00911284" w:rsidRPr="00911284">
        <w:t xml:space="preserve"> (which equals the opening RAB at the beginning of year </w:t>
      </w:r>
      <m:oMath>
        <m:r>
          <w:rPr>
            <w:rFonts w:ascii="Cambria Math" w:hAnsi="Cambria Math"/>
          </w:rPr>
          <m:t>t+1</m:t>
        </m:r>
      </m:oMath>
      <w:r w:rsidR="00911284" w:rsidRPr="00911284">
        <w:t>).</w:t>
      </w:r>
    </w:p>
    <w:p w:rsidR="00911284" w:rsidRPr="00911284" w:rsidRDefault="00911284" w:rsidP="00911284">
      <w:pPr>
        <w:pStyle w:val="AERbulletlistfirststyle"/>
      </w:pPr>
      <w:r w:rsidRPr="00911284">
        <w:t>0.6 is the proportion of the RAB that is debt financed</w:t>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911284" w:rsidRPr="00911284">
        <w:t xml:space="preserve"> are the estimates of the return on debt used to calculate the return on capital cash flows</w:t>
      </w:r>
    </w:p>
    <w:p w:rsidR="00911284" w:rsidRPr="00911284" w:rsidRDefault="002C24D6"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911284" w:rsidRPr="00911284">
        <w:t xml:space="preserve"> is the (spot) discount rate at year </w:t>
      </w:r>
      <m:oMath>
        <m:r>
          <w:rPr>
            <w:rFonts w:ascii="Cambria Math" w:hAnsi="Cambria Math"/>
          </w:rPr>
          <m:t>t</m:t>
        </m:r>
      </m:oMath>
      <w:r w:rsidR="00911284" w:rsidRPr="00911284">
        <w:t xml:space="preserve"> for a term of </w:t>
      </w:r>
      <m:oMath>
        <m:r>
          <w:rPr>
            <w:rFonts w:ascii="Cambria Math" w:hAnsi="Cambria Math"/>
          </w:rPr>
          <m:t>j</m:t>
        </m:r>
      </m:oMath>
      <w:r w:rsidR="00911284" w:rsidRPr="00911284">
        <w:t xml:space="preserve"> years.</w:t>
      </w:r>
    </w:p>
    <w:p w:rsidR="00911284" w:rsidRPr="00911284" w:rsidRDefault="00911284" w:rsidP="00911284">
      <w:r w:rsidRPr="00911284">
        <w:t xml:space="preserve">The present value of our proposed return on debt allowance over the next ten years (under a full transition) at time </w:t>
      </w:r>
      <m:oMath>
        <m:r>
          <w:rPr>
            <w:rFonts w:ascii="Cambria Math" w:hAnsi="Cambria Math"/>
          </w:rPr>
          <m:t>t=0</m:t>
        </m:r>
      </m:oMath>
      <w:r w:rsidRPr="00911284">
        <w:t xml:space="preserve"> is as follows:</w:t>
      </w:r>
      <w:r w:rsidRPr="00911284">
        <w:rPr>
          <w:rStyle w:val="FootnoteReference"/>
        </w:rPr>
        <w:footnoteReference w:id="1508"/>
      </w:r>
    </w:p>
    <w:p w:rsidR="00911284" w:rsidRPr="00911284" w:rsidRDefault="002C24D6" w:rsidP="00911284">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r w:rsidRPr="00911284">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911284">
        <w:t xml:space="preserve"> </w:t>
      </w:r>
      <w:r w:rsidRPr="00911284">
        <w:br/>
        <w:t xml:space="preserve">The present value of the service providers' proposed return on debt allowance over the next ten years (under an immediate transition) at time </w:t>
      </w:r>
      <m:oMath>
        <m:r>
          <w:rPr>
            <w:rFonts w:ascii="Cambria Math" w:hAnsi="Cambria Math"/>
          </w:rPr>
          <m:t>t=0</m:t>
        </m:r>
      </m:oMath>
      <w:r w:rsidRPr="00911284">
        <w:t xml:space="preserve">  is as follows:</w:t>
      </w:r>
    </w:p>
    <w:p w:rsidR="00911284" w:rsidRPr="00911284" w:rsidRDefault="002C24D6" w:rsidP="00911284">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p>
    <w:p w:rsidR="00911284" w:rsidRPr="00911284" w:rsidRDefault="00911284" w:rsidP="00911284">
      <m:oMath>
        <m:r>
          <w:rPr>
            <w:rFonts w:ascii="Cambria Math" w:hAnsi="Cambria Math"/>
          </w:rPr>
          <m:t>+</m:t>
        </m:r>
        <m:r>
          <m:rPr>
            <m:sty m:val="p"/>
          </m:rPr>
          <w:rPr>
            <w:rFonts w:ascii="Cambria Math" w:hAnsi="Cambria Math"/>
          </w:rPr>
          <m:t>…</m:t>
        </m:r>
      </m:oMath>
      <w:r w:rsidRPr="00911284">
        <w:t xml:space="preserve"> </w:t>
      </w:r>
      <w:r w:rsidRPr="00911284">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911284">
        <w:t xml:space="preserve"> </w:t>
      </w:r>
    </w:p>
    <w:p w:rsidR="00911284" w:rsidRPr="00911284" w:rsidRDefault="00911284" w:rsidP="00911284">
      <w:r w:rsidRPr="00911284">
        <w:t>Subtracting the present value of our return on debt allowance over the next ten years from the present value of the service providers' proposed return on debt allowance over the next ten years gives the following difference in present value terms:</w:t>
      </w:r>
    </w:p>
    <w:p w:rsidR="00911284" w:rsidRPr="00911284" w:rsidRDefault="002C24D6" w:rsidP="00911284">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r w:rsidRPr="00911284">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911284">
        <w:t xml:space="preserve"> </w:t>
      </w:r>
    </w:p>
    <w:p w:rsidR="00911284" w:rsidRPr="00911284" w:rsidRDefault="00911284" w:rsidP="00911284">
      <m:oMath>
        <m:r>
          <w:rPr>
            <w:rFonts w:ascii="Cambria Math" w:hAnsi="Cambria Math"/>
          </w:rPr>
          <m:t>+0</m:t>
        </m:r>
      </m:oMath>
      <w:r w:rsidRPr="00911284">
        <w:t xml:space="preserve"> </w:t>
      </w:r>
    </w:p>
    <w:p w:rsidR="00911284" w:rsidRPr="00911284" w:rsidRDefault="00911284" w:rsidP="00911284">
      <w:r w:rsidRPr="00911284">
        <w:t>We can conclude several things from the above calculation in relation to the expected return on debt allowance:</w:t>
      </w:r>
    </w:p>
    <w:p w:rsidR="00911284" w:rsidRPr="00911284" w:rsidRDefault="00911284" w:rsidP="00911284">
      <w:pPr>
        <w:pStyle w:val="AERbulletlistfirststyle"/>
      </w:pPr>
      <w:r w:rsidRPr="00911284">
        <w:t>Assuming you use the same data series, term and credit rating, the difference between our proposed return on debt allowance and return on debt allowance under no transition is a fixed amount in each of the first nine years.</w:t>
      </w:r>
      <w:r w:rsidRPr="00911284">
        <w:rPr>
          <w:rStyle w:val="FootnoteReference"/>
        </w:rPr>
        <w:footnoteReference w:id="1509"/>
      </w:r>
    </w:p>
    <w:p w:rsidR="00911284" w:rsidRPr="00911284" w:rsidRDefault="00911284" w:rsidP="00911284">
      <w:pPr>
        <w:pStyle w:val="AERbulletlistfirststyle"/>
      </w:pPr>
      <w:r w:rsidRPr="00911284">
        <w:t>Assuming you use the same data series, term and credit rating, there is no difference between our proposed return on debt allowance and return on debt allowance under no transition from year ten onwards.</w:t>
      </w:r>
    </w:p>
    <w:p w:rsidR="00911284" w:rsidRPr="00911284" w:rsidRDefault="00911284" w:rsidP="00911284">
      <w:pPr>
        <w:pStyle w:val="AERbulletlistfirststyle"/>
      </w:pPr>
      <w:r w:rsidRPr="00911284">
        <w:t>The present value of the difference in our proposed return on debt allowance and return on debt allowance under no transition</w:t>
      </w:r>
      <w:r w:rsidRPr="00911284" w:rsidDel="00616770">
        <w:t xml:space="preserve"> </w:t>
      </w:r>
      <w:r w:rsidRPr="00911284">
        <w:t>for each of the next nine years can be calculated today.</w:t>
      </w:r>
      <w:r w:rsidRPr="00911284">
        <w:rPr>
          <w:rStyle w:val="FootnoteReference"/>
        </w:rPr>
        <w:footnoteReference w:id="1510"/>
      </w:r>
      <w:r w:rsidRPr="00911284">
        <w:t xml:space="preserve"> This total present value is a sum of the difference in values for each of the next nine years (as shown above).</w:t>
      </w:r>
    </w:p>
    <w:p w:rsidR="00911284" w:rsidRPr="00911284" w:rsidRDefault="00911284" w:rsidP="00911284">
      <w:pPr>
        <w:pStyle w:val="AERbulletlistfirststyle"/>
      </w:pPr>
      <w:r w:rsidRPr="00911284">
        <w:t>Given that current interest rates are well below average historical rates over the last nine years, return on debt allowance under no transition</w:t>
      </w:r>
      <w:r w:rsidRPr="00911284" w:rsidDel="00616770">
        <w:t xml:space="preserve"> </w:t>
      </w:r>
      <w:r w:rsidRPr="00911284">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911284" w:rsidRPr="00911284" w:rsidRDefault="00911284" w:rsidP="00911284">
      <w:r w:rsidRPr="00911284">
        <w:t>The above propositions also hold when comparing our transitional approach with a hybrid transitional approach. That is, the difference between these allowances each year will be a fixed amount that can be quantified and valued. However, the magnitude of this difference will differ depending on the approach proposed.</w:t>
      </w:r>
    </w:p>
    <w:p w:rsidR="00911284" w:rsidRPr="00911284" w:rsidRDefault="00911284" w:rsidP="00911284">
      <w:r w:rsidRPr="00911284">
        <w:t>In relation to the risk associated with the alternative return on debt allowances, 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sidRPr="00911284">
        <w:rPr>
          <w:rStyle w:val="FootnoteReference"/>
        </w:rPr>
        <w:footnoteReference w:id="1511"/>
      </w:r>
      <w:r w:rsidRPr="00911284">
        <w:t xml:space="preserve"> </w:t>
      </w:r>
    </w:p>
    <w:p w:rsidR="00911284" w:rsidRPr="00911284" w:rsidRDefault="00911284" w:rsidP="00911284">
      <w:r w:rsidRPr="00911284">
        <w:t>This above analysis implies the key difference between our proposed return on debt allowance and the other transitional approaches that service providers have recently proposed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sidRPr="00911284">
        <w:rPr>
          <w:rStyle w:val="FootnoteReference"/>
        </w:rPr>
        <w:footnoteReference w:id="1512"/>
      </w:r>
    </w:p>
    <w:p w:rsidR="00911284" w:rsidRPr="00911284" w:rsidRDefault="00911284" w:rsidP="00911284">
      <w:pPr>
        <w:pStyle w:val="AERquote"/>
      </w:pPr>
      <w:r w:rsidRPr="00911284">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r w:rsidRPr="00911284">
        <w:rPr>
          <w:rFonts w:eastAsiaTheme="minorHAnsi"/>
        </w:rPr>
        <w:t xml:space="preserve"> </w:t>
      </w:r>
    </w:p>
    <w:p w:rsidR="00911284" w:rsidRPr="00911284" w:rsidRDefault="00911284" w:rsidP="00911284">
      <w:r w:rsidRPr="00911284">
        <w:t>In their new report to the AER, they further state:</w:t>
      </w:r>
      <w:r w:rsidRPr="00911284">
        <w:rPr>
          <w:rStyle w:val="FootnoteReference"/>
        </w:rPr>
        <w:footnoteReference w:id="1513"/>
      </w:r>
    </w:p>
    <w:p w:rsidR="00911284" w:rsidRPr="00911284" w:rsidRDefault="00911284" w:rsidP="00911284">
      <w:pPr>
        <w:pStyle w:val="AERquote"/>
      </w:pPr>
      <w:r w:rsidRPr="00911284">
        <w:t>As far as possible regulatory action should not damage stakeholders’ confidence in the regulatory process. When there are substantial and unintended wealth transfers that arise from regulatory change this may damage confidence in the regulator by those who suffer the wealth loss and increase the perception of regulatory risk.</w:t>
      </w:r>
    </w:p>
    <w:p w:rsidR="00911284" w:rsidRPr="00911284" w:rsidRDefault="00911284" w:rsidP="00911284"/>
    <w:p w:rsidR="00911284" w:rsidRPr="00911284" w:rsidRDefault="00911284" w:rsidP="00911284">
      <w:pPr>
        <w:pStyle w:val="Heading9"/>
      </w:pPr>
      <w:bookmarkStart w:id="461" w:name="_Ref447886226"/>
      <w:bookmarkStart w:id="462" w:name="_Toc451947846"/>
      <w:bookmarkStart w:id="463" w:name="_Toc487037219"/>
      <w:r w:rsidRPr="00911284">
        <w:t xml:space="preserve">Initial proposal of </w:t>
      </w:r>
      <w:r w:rsidR="00CF6A9A">
        <w:t>APTPPL</w:t>
      </w:r>
      <w:bookmarkEnd w:id="463"/>
      <w:r w:rsidRPr="00911284">
        <w:t xml:space="preserve"> </w:t>
      </w:r>
      <w:bookmarkEnd w:id="461"/>
      <w:bookmarkEnd w:id="462"/>
      <w:r w:rsidRPr="00911284">
        <w:t xml:space="preserve"> </w:t>
      </w:r>
    </w:p>
    <w:p w:rsidR="00911284" w:rsidRPr="00911284" w:rsidRDefault="00911284" w:rsidP="00911284">
      <w:r w:rsidRPr="00911284">
        <w:t>APA VTS and APTPPL both proposed</w:t>
      </w:r>
      <w:r w:rsidR="00CF6A9A">
        <w:t xml:space="preserve"> to depart from the AER's Guideline approach for debt transition and adopted</w:t>
      </w:r>
      <w:r w:rsidRPr="00911284">
        <w:t xml:space="preserve"> an immediate trailing average.</w:t>
      </w:r>
      <w:r w:rsidRPr="00911284">
        <w:rPr>
          <w:rStyle w:val="FootnoteReference"/>
        </w:rPr>
        <w:footnoteReference w:id="1514"/>
      </w:r>
      <w:r w:rsidRPr="00911284">
        <w:t xml:space="preserve">  We note that some services providers in the past have proposed a hybrid transition under partial hedging.</w:t>
      </w:r>
      <w:r w:rsidRPr="00911284">
        <w:rPr>
          <w:rStyle w:val="FootnoteReference"/>
        </w:rPr>
        <w:footnoteReference w:id="1515"/>
      </w:r>
      <w:r w:rsidRPr="00911284">
        <w:t xml:space="preserve"> The hybrid transition combined a 10 year transition of the base rate into a trailing average approach with a backwards looking trailing average DRP.  We do not agree with the reasons provided for adopting either no transition or a hybrid transition when changing methodology, which we respond to separately in the following sections.</w:t>
      </w:r>
      <w:r w:rsidR="008D591E">
        <w:t xml:space="preserve"> We note </w:t>
      </w:r>
      <w:r w:rsidR="0053654F">
        <w:t xml:space="preserve">that </w:t>
      </w:r>
      <w:r w:rsidR="008D591E" w:rsidRPr="008D591E">
        <w:t>APTPPL and APA have not submitted a hybrid transition as their second preference and have solely proposed immediate adoption of a backwards looking trailing average.</w:t>
      </w:r>
    </w:p>
    <w:p w:rsidR="00911284" w:rsidRPr="00911284" w:rsidRDefault="00911284" w:rsidP="00911284">
      <w:r w:rsidRPr="00911284">
        <w:t>In response to the Victorian DNSPs' revised proposals</w:t>
      </w:r>
      <w:r w:rsidR="009C2AEA">
        <w:t xml:space="preserve"> lodged with the AER in early 2016</w:t>
      </w:r>
      <w:r w:rsidRPr="00911284">
        <w:t xml:space="preserve"> (that changed their transition approach in their initial proposals to an immediate backward looking trailing average), CCP3 submitted that following this new position, these service providers were proposing a higher effective DRP than what they would have incurred during the Global Financial Crisis.</w:t>
      </w:r>
      <w:r w:rsidRPr="00911284">
        <w:rPr>
          <w:rStyle w:val="FootnoteReference"/>
        </w:rPr>
        <w:footnoteReference w:id="1516"/>
      </w:r>
      <w:r w:rsidRPr="00911284">
        <w:t xml:space="preserve"> It subsequently advised:</w:t>
      </w:r>
      <w:r w:rsidRPr="00911284">
        <w:rPr>
          <w:rStyle w:val="FootnoteReference"/>
        </w:rPr>
        <w:footnoteReference w:id="1517"/>
      </w:r>
    </w:p>
    <w:p w:rsidR="00911284" w:rsidRPr="00911284" w:rsidRDefault="00911284" w:rsidP="00911284">
      <w:pPr>
        <w:pStyle w:val="AERquote"/>
      </w:pPr>
      <w:r w:rsidRPr="00911284">
        <w:t>CCP3 does not consider that the DNSPs’ revised RoD proposals for 2016</w:t>
      </w:r>
      <w:r w:rsidRPr="00911284">
        <w:rPr>
          <w:rFonts w:ascii="Cambria Math" w:hAnsi="Cambria Math" w:cs="Cambria Math"/>
        </w:rPr>
        <w:t>‐</w:t>
      </w:r>
      <w:r w:rsidRPr="00911284">
        <w:t>20 reflect a reasonable expectation of their current overall efficient debt portfolio costs; nor do the RoD proposals reflect expected future debt costs.</w:t>
      </w:r>
    </w:p>
    <w:p w:rsidR="00911284" w:rsidRPr="00911284" w:rsidRDefault="00911284" w:rsidP="00911284">
      <w:pPr>
        <w:pStyle w:val="HeadingBoldBlue"/>
      </w:pPr>
      <w:r w:rsidRPr="00911284">
        <w:t>Proposals for immediately adopting a trailing average</w:t>
      </w:r>
    </w:p>
    <w:p w:rsidR="00911284" w:rsidRPr="00911284" w:rsidRDefault="00911284" w:rsidP="00911284">
      <w:r w:rsidRPr="00911284">
        <w:t xml:space="preserve">APTPPL in relation to its access arrangement, APA VTS in relation to its transmission submission, AusNet Services in relation to its transmission determination (prior to changing its approach), and ActewAGL Gas and the Victorian DNSPs in relation to their distribution processes completed last year submitted a range of (often interrelated) reasons for immediately transitioning to a trailing average. We do not agree with the logic driving the no transition approach, which </w:t>
      </w:r>
      <w:r w:rsidRPr="00911284">
        <w:fldChar w:fldCharType="begin"/>
      </w:r>
      <w:r w:rsidRPr="00911284">
        <w:instrText xml:space="preserve"> REF  _Ref447807493 \* Lower \h </w:instrText>
      </w:r>
      <w:r w:rsidRPr="00911284">
        <w:fldChar w:fldCharType="separate"/>
      </w:r>
      <w:r w:rsidR="002C24D6" w:rsidRPr="00911284">
        <w:t xml:space="preserve">table </w:t>
      </w:r>
      <w:r w:rsidR="002C24D6">
        <w:rPr>
          <w:noProof/>
        </w:rPr>
        <w:t>3</w:t>
      </w:r>
      <w:r w:rsidR="002C24D6" w:rsidRPr="00911284">
        <w:noBreakHyphen/>
      </w:r>
      <w:r w:rsidR="002C24D6">
        <w:rPr>
          <w:noProof/>
        </w:rPr>
        <w:t>35</w:t>
      </w:r>
      <w:r w:rsidRPr="00911284">
        <w:fldChar w:fldCharType="end"/>
      </w:r>
      <w:r w:rsidRPr="00911284">
        <w:t xml:space="preserve"> addresses. This table covers the reasons put forward by service providers in relation to decisions released in May and July 2016, as well as the reasons put forward by AusNet Transmission in its revised proposal and APTPPL and APA VTS in their initial proposals. We note that APTPPL and APA VTS bot</w:t>
      </w:r>
      <w:r w:rsidR="009C2AEA">
        <w:t>h</w:t>
      </w:r>
      <w:r w:rsidRPr="00911284">
        <w:t xml:space="preserve"> submitted the same reasoning for adopting an immediate trailing average approach in their regulatory proposal.</w:t>
      </w:r>
    </w:p>
    <w:p w:rsidR="00911284" w:rsidRPr="00911284" w:rsidRDefault="00911284" w:rsidP="00911284"/>
    <w:p w:rsidR="00911284" w:rsidRPr="00911284" w:rsidRDefault="00911284" w:rsidP="00911284">
      <w:pPr>
        <w:pStyle w:val="Caption"/>
      </w:pPr>
      <w:bookmarkStart w:id="464" w:name="_Ref447807493"/>
      <w:r w:rsidRPr="00911284">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911284">
        <w:noBreakHyphen/>
      </w:r>
      <w:r w:rsidR="002C24D6">
        <w:fldChar w:fldCharType="begin"/>
      </w:r>
      <w:r w:rsidR="002C24D6">
        <w:instrText xml:space="preserve"> SEQ Ta</w:instrText>
      </w:r>
      <w:r w:rsidR="002C24D6">
        <w:instrText xml:space="preserve">ble \* ARABIC \s 1 </w:instrText>
      </w:r>
      <w:r w:rsidR="002C24D6">
        <w:fldChar w:fldCharType="separate"/>
      </w:r>
      <w:r w:rsidR="002C24D6">
        <w:rPr>
          <w:noProof/>
        </w:rPr>
        <w:t>35</w:t>
      </w:r>
      <w:r w:rsidR="002C24D6">
        <w:rPr>
          <w:noProof/>
        </w:rPr>
        <w:fldChar w:fldCharType="end"/>
      </w:r>
      <w:bookmarkEnd w:id="464"/>
      <w:r w:rsidRPr="00911284">
        <w:t xml:space="preserve"> </w:t>
      </w:r>
      <w:r w:rsidRPr="00911284">
        <w:tab/>
        <w:t>AER view of reasons in proposals</w:t>
      </w:r>
    </w:p>
    <w:tbl>
      <w:tblPr>
        <w:tblStyle w:val="AERtable-text0"/>
        <w:tblW w:w="0" w:type="auto"/>
        <w:tblLook w:val="04A0" w:firstRow="1" w:lastRow="0" w:firstColumn="1" w:lastColumn="0" w:noHBand="0" w:noVBand="1"/>
      </w:tblPr>
      <w:tblGrid>
        <w:gridCol w:w="2802"/>
        <w:gridCol w:w="5891"/>
      </w:tblGrid>
      <w:tr w:rsidR="00911284" w:rsidTr="00911284">
        <w:trPr>
          <w:cnfStyle w:val="100000000000" w:firstRow="1" w:lastRow="0" w:firstColumn="0" w:lastColumn="0" w:oddVBand="0" w:evenVBand="0" w:oddHBand="0" w:evenHBand="0" w:firstRowFirstColumn="0" w:firstRowLastColumn="0" w:lastRowFirstColumn="0" w:lastRowLastColumn="0"/>
        </w:trPr>
        <w:tc>
          <w:tcPr>
            <w:tcW w:w="2802" w:type="dxa"/>
          </w:tcPr>
          <w:p w:rsidR="00911284" w:rsidRPr="00911284" w:rsidRDefault="00911284" w:rsidP="00911284">
            <w:r w:rsidRPr="00911284">
              <w:t>Reason provided in  proposals</w:t>
            </w:r>
          </w:p>
        </w:tc>
        <w:tc>
          <w:tcPr>
            <w:tcW w:w="5891" w:type="dxa"/>
          </w:tcPr>
          <w:p w:rsidR="00911284" w:rsidRPr="00911284" w:rsidRDefault="00911284" w:rsidP="00911284">
            <w:r w:rsidRPr="00911284">
              <w:t>AER view</w:t>
            </w:r>
          </w:p>
        </w:tc>
      </w:tr>
      <w:tr w:rsidR="00911284" w:rsidTr="00911284">
        <w:tc>
          <w:tcPr>
            <w:tcW w:w="2802" w:type="dxa"/>
          </w:tcPr>
          <w:p w:rsidR="00911284" w:rsidRPr="00911284" w:rsidRDefault="00911284" w:rsidP="00911284">
            <w:r w:rsidRPr="00911284">
              <w:t xml:space="preserve">An immediate (or hybrid) transition is consistent with a historically-based definition of efficient financing costs. </w:t>
            </w:r>
          </w:p>
        </w:tc>
        <w:tc>
          <w:tcPr>
            <w:tcW w:w="5891" w:type="dxa"/>
          </w:tcPr>
          <w:p w:rsidR="00911284" w:rsidRPr="00911284" w:rsidRDefault="00911284" w:rsidP="00911284">
            <w:r w:rsidRPr="00911284">
              <w:t xml:space="preserve">We do not consider 'efficient financing costs' in the ARORO refers to historical costs, requiring compensation for losses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xml:space="preserve">). If provided with ex-ante efficient compensation, then a benchmark efficient entity has a reasonable opportunity to recover its efficient debt financing costs. </w:t>
            </w:r>
          </w:p>
          <w:p w:rsidR="00911284" w:rsidRPr="00911284" w:rsidRDefault="00911284" w:rsidP="00911284">
            <w:r w:rsidRPr="00911284">
              <w:t xml:space="preserve">The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911284">
              <w:fldChar w:fldCharType="begin"/>
            </w:r>
            <w:r w:rsidRPr="00911284">
              <w:instrText xml:space="preserve"> REF _Ref446405872 \r \h </w:instrText>
            </w:r>
            <w:r w:rsidRPr="00911284">
              <w:fldChar w:fldCharType="separate"/>
            </w:r>
            <w:r w:rsidR="002C24D6">
              <w:t>J.1.1</w:t>
            </w:r>
            <w:r w:rsidRPr="00911284">
              <w:fldChar w:fldCharType="end"/>
            </w:r>
            <w:r w:rsidRPr="00911284">
              <w:t>).</w:t>
            </w:r>
            <w:r w:rsidRPr="00911284">
              <w:rPr>
                <w:rStyle w:val="FootnoteReference"/>
              </w:rPr>
              <w:footnoteReference w:id="1518"/>
            </w:r>
          </w:p>
          <w:p w:rsidR="00911284" w:rsidRPr="00911284" w:rsidRDefault="00911284" w:rsidP="00911284">
            <w:r w:rsidRPr="00911284">
              <w:t xml:space="preserve">The trailing average approach can also reflect prevailing market rates because one-tenth of the historical average is updated each year to reflect prevailing market rates (see section </w:t>
            </w:r>
            <w:r w:rsidRPr="00911284">
              <w:fldChar w:fldCharType="begin"/>
            </w:r>
            <w:r w:rsidRPr="00911284">
              <w:instrText xml:space="preserve"> REF _Ref444773920 \r \h </w:instrText>
            </w:r>
            <w:r w:rsidRPr="00911284">
              <w:fldChar w:fldCharType="separate"/>
            </w:r>
            <w:r w:rsidR="002C24D6">
              <w:t>J.3.3</w:t>
            </w:r>
            <w:r w:rsidRPr="00911284">
              <w:fldChar w:fldCharType="end"/>
            </w:r>
            <w:r w:rsidRPr="00911284">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Immediately implementing a trailing average (in whole or part) would reduce the ex-post 'mismatch' between the allowed return on debt cash flows and a benchmark efficient entity's actual (historical) debt costs (or cash outflows).</w:t>
            </w:r>
            <w:r w:rsidRPr="00911284">
              <w:rPr>
                <w:rStyle w:val="FootnoteReference"/>
              </w:rPr>
              <w:footnoteReference w:id="1519"/>
            </w:r>
            <w:r w:rsidRPr="00911284">
              <w:t xml:space="preserve"> </w:t>
            </w:r>
          </w:p>
        </w:tc>
        <w:tc>
          <w:tcPr>
            <w:tcW w:w="5891" w:type="dxa"/>
          </w:tcPr>
          <w:p w:rsidR="00911284" w:rsidRPr="00911284" w:rsidRDefault="00911284" w:rsidP="00911284">
            <w:r w:rsidRPr="00911284">
              <w:t xml:space="preserve">As discussed in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911284">
              <w:rPr>
                <w:rStyle w:val="FootnoteReference"/>
              </w:rPr>
              <w:footnoteReference w:id="1520"/>
            </w:r>
          </w:p>
          <w:p w:rsidR="00911284" w:rsidRPr="00911284" w:rsidRDefault="00911284" w:rsidP="00911284">
            <w:r w:rsidRPr="00911284">
              <w:t>We consider that under ex-ante regulation, we are required to have regard to the desirability of reducing the risk of a mismatch (going forward).</w:t>
            </w:r>
            <w:r w:rsidRPr="00911284">
              <w:rPr>
                <w:rStyle w:val="FootnoteReference"/>
              </w:rPr>
              <w:footnoteReference w:id="1521"/>
            </w:r>
            <w:r w:rsidRPr="00911284">
              <w:t xml:space="preserve"> In contrast to what service providers suggest, we are not required to remove a mismatch that has eventuated (ex-post). Ex-post mismatch reflects the realisation of interest rate risk that has already occurred and cannot be hedged.</w:t>
            </w:r>
            <w:r w:rsidRPr="00911284">
              <w:rPr>
                <w:rStyle w:val="FootnoteReference"/>
              </w:rPr>
              <w:footnoteReference w:id="1522"/>
            </w:r>
            <w:r w:rsidRPr="00911284">
              <w:t xml:space="preserve"> The equity value of the service providers we regulate should already reflect the value of any losses (or gains) from interest rate movements.</w:t>
            </w:r>
            <w:r w:rsidRPr="00911284">
              <w:rPr>
                <w:rStyle w:val="FootnoteReference"/>
              </w:rPr>
              <w:footnoteReference w:id="1523"/>
            </w:r>
          </w:p>
          <w:p w:rsidR="00911284" w:rsidRPr="00911284" w:rsidRDefault="00911284" w:rsidP="00911284">
            <w:r w:rsidRPr="00911284">
              <w:t xml:space="preserve">We consider the desirability of reducing mismatch risk is only applicable to new debt. All proposed approaches (immediate, hybrid and full transition) have 10 per cent of the allowed return on debt reset each year (see section </w:t>
            </w:r>
            <w:r w:rsidRPr="00911284">
              <w:fldChar w:fldCharType="begin"/>
            </w:r>
            <w:r w:rsidRPr="00911284">
              <w:instrText xml:space="preserve"> REF _Ref447886159 \r \h </w:instrText>
            </w:r>
            <w:r w:rsidRPr="00911284">
              <w:fldChar w:fldCharType="separate"/>
            </w:r>
            <w:r w:rsidR="002C24D6">
              <w:t>J.5.1</w:t>
            </w:r>
            <w:r w:rsidRPr="00911284">
              <w:fldChar w:fldCharType="end"/>
            </w:r>
            <w:r w:rsidRPr="00911284">
              <w:t>). Therefore, all proposed approaches should have the same exposure to future interest rate risk and result in the same level of genuine mismatch risk from changes in future interest rates.</w:t>
            </w:r>
          </w:p>
        </w:tc>
      </w:tr>
      <w:tr w:rsidR="00911284" w:rsidTr="00911284">
        <w:tc>
          <w:tcPr>
            <w:tcW w:w="2802" w:type="dxa"/>
          </w:tcPr>
          <w:p w:rsidR="00911284" w:rsidRPr="00911284" w:rsidRDefault="00911284" w:rsidP="00911284">
            <w:r w:rsidRPr="00911284">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911284">
              <w:rPr>
                <w:rStyle w:val="FootnoteReference"/>
              </w:rPr>
              <w:footnoteReference w:id="1524"/>
            </w:r>
          </w:p>
        </w:tc>
        <w:tc>
          <w:tcPr>
            <w:tcW w:w="5891" w:type="dxa"/>
          </w:tcPr>
          <w:p w:rsidR="00911284" w:rsidRPr="00911284" w:rsidRDefault="00911284" w:rsidP="00911284">
            <w:r w:rsidRPr="00911284">
              <w:t xml:space="preserve">Given the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911284">
              <w:fldChar w:fldCharType="begin"/>
            </w:r>
            <w:r w:rsidRPr="00911284">
              <w:instrText xml:space="preserve"> REF _Ref445131744 \r \h </w:instrText>
            </w:r>
            <w:r w:rsidRPr="00911284">
              <w:fldChar w:fldCharType="separate"/>
            </w:r>
            <w:r w:rsidR="002C24D6">
              <w:t>J.3.1</w:t>
            </w:r>
            <w:r w:rsidRPr="00911284">
              <w:fldChar w:fldCharType="end"/>
            </w:r>
            <w:r w:rsidRPr="00911284">
              <w:t xml:space="preserve">). </w:t>
            </w:r>
          </w:p>
          <w:p w:rsidR="00911284" w:rsidRPr="00911284" w:rsidRDefault="00911284" w:rsidP="00911284">
            <w:r w:rsidRPr="00911284">
              <w:t>Also, we consider 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CEG advised that incentives created by the on-the-day regime may not have resulted in efficient financing practices and may not be commensurate with 'efficient financing costs' referenced in the ARORO.</w:t>
            </w:r>
            <w:r w:rsidRPr="00911284">
              <w:rPr>
                <w:rStyle w:val="FootnoteReference"/>
              </w:rPr>
              <w:footnoteReference w:id="1525"/>
            </w:r>
            <w:r w:rsidRPr="00911284">
              <w:t xml:space="preserve"> </w:t>
            </w:r>
          </w:p>
          <w:p w:rsidR="00911284" w:rsidRPr="00911284" w:rsidRDefault="00911284" w:rsidP="00911284"/>
        </w:tc>
        <w:tc>
          <w:tcPr>
            <w:tcW w:w="5891" w:type="dxa"/>
          </w:tcPr>
          <w:p w:rsidR="00911284" w:rsidRPr="00911284" w:rsidRDefault="00911284" w:rsidP="00911284">
            <w:r w:rsidRPr="00911284">
              <w:t xml:space="preserve">We observe that CEG did not indicate what it considered 'efficient financing costs' meant in the context of the ARORO. As explained in section </w:t>
            </w:r>
            <w:r w:rsidRPr="00911284">
              <w:fldChar w:fldCharType="begin"/>
            </w:r>
            <w:r w:rsidRPr="00911284">
              <w:instrText xml:space="preserve"> REF _Ref444778432 \r \h  \* MERGEFORMAT </w:instrText>
            </w:r>
            <w:r w:rsidRPr="00911284">
              <w:fldChar w:fldCharType="separate"/>
            </w:r>
            <w:r w:rsidR="002C24D6">
              <w:t>J.2</w:t>
            </w:r>
            <w:r w:rsidRPr="00911284">
              <w:fldChar w:fldCharType="end"/>
            </w:r>
            <w:r w:rsidRPr="00911284">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911284" w:rsidTr="00911284">
        <w:tc>
          <w:tcPr>
            <w:tcW w:w="2802" w:type="dxa"/>
          </w:tcPr>
          <w:p w:rsidR="00911284" w:rsidRPr="00911284" w:rsidRDefault="00911284" w:rsidP="00911284">
            <w:r w:rsidRPr="00911284">
              <w:t>The AER should define a benchmark efficient entity as unregulated rather than regulated.</w:t>
            </w:r>
            <w:r w:rsidRPr="00911284">
              <w:rPr>
                <w:rStyle w:val="FootnoteReference"/>
              </w:rPr>
              <w:footnoteReference w:id="1526"/>
            </w:r>
          </w:p>
          <w:p w:rsidR="00911284" w:rsidRPr="00911284" w:rsidRDefault="00911284" w:rsidP="00911284">
            <w:r w:rsidRPr="00911284">
              <w:t xml:space="preserve">An unregulated benchmark efficient entity is consistent with the intent of the law to replicate workably competitive market outcomes. </w:t>
            </w:r>
          </w:p>
        </w:tc>
        <w:tc>
          <w:tcPr>
            <w:tcW w:w="5891" w:type="dxa"/>
          </w:tcPr>
          <w:p w:rsidR="00911284" w:rsidRPr="00911284" w:rsidRDefault="002F333C" w:rsidP="00911284">
            <w:r>
              <w:t>We consider a benchmark efficient entity i</w:t>
            </w:r>
            <w:r w:rsidRPr="002F333C">
              <w:t xml:space="preserve">s to be taken as having "a similar degree of risk" as that which applies to the particular service provider in providing its </w:t>
            </w:r>
            <w:r w:rsidR="00C442DF">
              <w:t xml:space="preserve">reference </w:t>
            </w:r>
            <w:r w:rsidRPr="002F333C">
              <w:t>services.</w:t>
            </w:r>
            <w:r w:rsidR="00911284" w:rsidRPr="00911284">
              <w:t>Seeking to replicate the outcomes of a workably competitive market does not require defining a benchmark efficient entity as unregulated. Rather, it requires that we replicate the efficiency outcomes that we would expect under a workably competitive market (and the resulting prices and service levels).</w:t>
            </w:r>
            <w:r w:rsidR="00911284" w:rsidRPr="00911284">
              <w:rPr>
                <w:rStyle w:val="FootnoteReference"/>
              </w:rPr>
              <w:footnoteReference w:id="1527"/>
            </w:r>
          </w:p>
          <w:p w:rsidR="00911284" w:rsidRPr="00911284" w:rsidRDefault="00911284" w:rsidP="00911284">
            <w:r w:rsidRPr="00911284">
              <w:t>We consider our approach preferable for achieving efficiency outcomes expected in a workably competitive market.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Efficient financing costs are properly identified by reference to financing practices that would be adopted in workably competitive markets.</w:t>
            </w:r>
            <w:r w:rsidRPr="00911284">
              <w:rPr>
                <w:rStyle w:val="FootnoteReference"/>
              </w:rPr>
              <w:footnoteReference w:id="1528"/>
            </w:r>
          </w:p>
        </w:tc>
        <w:tc>
          <w:tcPr>
            <w:tcW w:w="5891" w:type="dxa"/>
          </w:tcPr>
          <w:p w:rsidR="00911284" w:rsidRPr="00911284" w:rsidRDefault="00911284" w:rsidP="00911284">
            <w:r w:rsidRPr="00911284">
              <w:t xml:space="preserve">We do not consider a benchmark efficient entity's past financing practices determine its efficient financing costs (although we note we benchmark current gearing, credit rating  and debt term at issuance in determining a benchmark efficient entity's ex ante efficient allowed return on debt). Rather, we consider achieving the ARORO requires a benchmark efficient entity be ex-ante appropriately compensated for its efficient financing costs in present value terms, where efficient financing costs are based on prevailing market rates (see section </w:t>
            </w:r>
            <w:r w:rsidRPr="00911284">
              <w:fldChar w:fldCharType="begin"/>
            </w:r>
            <w:r w:rsidRPr="00911284">
              <w:instrText xml:space="preserve"> REF _Ref446603900 \r \h </w:instrText>
            </w:r>
            <w:r w:rsidRPr="00911284">
              <w:fldChar w:fldCharType="separate"/>
            </w:r>
            <w:r w:rsidR="002C24D6">
              <w:t>J.2.1</w:t>
            </w:r>
            <w:r w:rsidRPr="00911284">
              <w:fldChar w:fldCharType="end"/>
            </w:r>
            <w:r w:rsidRPr="00911284">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911284" w:rsidRPr="00911284" w:rsidRDefault="00911284" w:rsidP="00911284">
            <w:r w:rsidRPr="00911284">
              <w:t>We note that Partington and Satchell also advise against interpreting the efficient financing costs as relating to some assumed financing strategy. They state a number of reasons to support their view, including that what constitutes a benchmark efficient financing practice is ambiguous.</w:t>
            </w:r>
            <w:r w:rsidRPr="00911284">
              <w:rPr>
                <w:rStyle w:val="FootnoteReference"/>
              </w:rPr>
              <w:footnoteReference w:id="1529"/>
            </w:r>
          </w:p>
        </w:tc>
      </w:tr>
    </w:tbl>
    <w:p w:rsidR="00911284" w:rsidRPr="00911284" w:rsidRDefault="00911284" w:rsidP="00911284">
      <w:pPr>
        <w:pStyle w:val="AERtablesource"/>
      </w:pPr>
      <w:r w:rsidRPr="00911284">
        <w:t>Source:</w:t>
      </w:r>
      <w:r w:rsidRPr="00911284">
        <w:tab/>
        <w:t>AER analysis, service providers' proposals and supporting material.</w:t>
      </w:r>
    </w:p>
    <w:p w:rsidR="00911284" w:rsidRPr="00911284" w:rsidRDefault="00911284" w:rsidP="00911284">
      <w:pPr>
        <w:pStyle w:val="HeadingBoldBlue"/>
      </w:pPr>
      <w:r w:rsidRPr="00911284">
        <w:t>Response to CEG's report</w:t>
      </w:r>
    </w:p>
    <w:p w:rsidR="00911284" w:rsidRPr="00911284" w:rsidRDefault="00911284" w:rsidP="00911284"/>
    <w:p w:rsidR="00911284" w:rsidRPr="00911284" w:rsidRDefault="008D591E" w:rsidP="00911284">
      <w:r>
        <w:t>APTPPL and APA proposed to adopt an immediate transition to the trailing average approach in their initial proposals.</w:t>
      </w:r>
      <w:r>
        <w:rPr>
          <w:rStyle w:val="FootnoteReference"/>
        </w:rPr>
        <w:footnoteReference w:id="1530"/>
      </w:r>
      <w:r w:rsidR="00911284" w:rsidRPr="00911284">
        <w:t xml:space="preserve">APA VTS and APTPPL argue that </w:t>
      </w:r>
      <w:r w:rsidR="009C2AEA">
        <w:t>they</w:t>
      </w:r>
      <w:r w:rsidR="00911284" w:rsidRPr="00911284">
        <w:t xml:space="preserve"> have not raised debt differently in response to the previous "on the day" approach to estimating the regulatory allowance for the return on debt. Rather,</w:t>
      </w:r>
      <w:r w:rsidR="009C2AEA">
        <w:t xml:space="preserve"> they submit they hold </w:t>
      </w:r>
      <w:r w:rsidR="00911284" w:rsidRPr="00911284">
        <w:t>efficient trailing average</w:t>
      </w:r>
      <w:r w:rsidR="009C2AEA">
        <w:t>s</w:t>
      </w:r>
      <w:r w:rsidR="00911284" w:rsidRPr="00911284">
        <w:t xml:space="preserve"> already and therefore </w:t>
      </w:r>
      <w:r w:rsidR="009C2AEA">
        <w:t>their</w:t>
      </w:r>
      <w:r w:rsidR="00911284" w:rsidRPr="00911284">
        <w:t xml:space="preserve"> financing cost structure can be readily applied to the trailing average approach and no transition is required.</w:t>
      </w:r>
      <w:r w:rsidR="00911284" w:rsidRPr="00911284">
        <w:rPr>
          <w:rStyle w:val="FootnoteReference"/>
        </w:rPr>
        <w:footnoteReference w:id="1531"/>
      </w:r>
      <w:r w:rsidR="00911284" w:rsidRPr="00911284">
        <w:t xml:space="preserve"> As the service providers operate under an ex-ante regulatory regime, we consider the ARORO requires us to provide ex-ante efficient compensation rather than compensating for historically incurred costs. Investors have invested accepting the interest rate risk from the on-the-day approach and we have already compensated the services providers using the approach for bearing this risk. If we move to a trailing average approach without a transition, it would effectively </w:t>
      </w:r>
      <w:r w:rsidR="001A5B2E">
        <w:t>re</w:t>
      </w:r>
      <w:r w:rsidR="00911284" w:rsidRPr="00911284">
        <w:t xml:space="preserve">move realised losses or gain from interest rate risk that it had previously borne. Critically, it would also set </w:t>
      </w:r>
      <w:r w:rsidR="00121C8C">
        <w:t>an</w:t>
      </w:r>
      <w:r w:rsidR="00911284" w:rsidRPr="00911284">
        <w:t xml:space="preserve"> allowed rate of return above efficient financing costs and thereby not contribute to achieving the ARORO or the NEO.</w:t>
      </w:r>
    </w:p>
    <w:p w:rsidR="008D591E" w:rsidRDefault="008D591E" w:rsidP="00911284">
      <w:r w:rsidRPr="00911284">
        <w:t>We also repeat our response released in April 2017 to AusNet's revised tran</w:t>
      </w:r>
      <w:r>
        <w:t>s</w:t>
      </w:r>
      <w:r w:rsidRPr="00911284">
        <w:t>mission proposal and the report by CEG on the AER’s current interpretation of the ARORO submitted by AusNet with its revised revenue proposal given that we have considered this material in reaching this draft decision.</w:t>
      </w:r>
      <w:r w:rsidRPr="00911284">
        <w:rPr>
          <w:rStyle w:val="FootnoteReference"/>
        </w:rPr>
        <w:t xml:space="preserve"> </w:t>
      </w:r>
      <w:r w:rsidRPr="00911284">
        <w:rPr>
          <w:rStyle w:val="FootnoteReference"/>
        </w:rPr>
        <w:footnoteReference w:id="1532"/>
      </w:r>
    </w:p>
    <w:p w:rsidR="00911284" w:rsidRPr="00911284" w:rsidRDefault="00911284" w:rsidP="00911284">
      <w:r w:rsidRPr="00911284">
        <w:t>In the new report for AusNet transmission, CEG critiqued the AER’s approach and rational for a full transition to a trailing average cost of debt and stated that it does not believe that the AER’s 2016 interpretation is consistent with a reasonable economic interpretation of the ARORO.</w:t>
      </w:r>
      <w:r w:rsidRPr="00911284">
        <w:rPr>
          <w:rStyle w:val="FootnoteReference"/>
        </w:rPr>
        <w:footnoteReference w:id="1533"/>
      </w:r>
      <w:r w:rsidRPr="00911284">
        <w:t xml:space="preserve"> CEG proposed that the correct approach to determine the allowed rate of return on debt is an approach that results in a match to the BEE’s efficiently incurred financing costs. </w:t>
      </w:r>
    </w:p>
    <w:p w:rsidR="00911284" w:rsidRPr="00911284" w:rsidRDefault="00911284" w:rsidP="00911284">
      <w:r w:rsidRPr="00911284">
        <w:t>We do not agree with CEG. We consider our interpretation of an allowed rate of return that compensates investors on their capital investments (in an ex-ante sense) and aims to minimise the long run cost of capital is consistent with the ARORO. We consider ex-ante efficient compensation should result in the ex-ante allowed return on capital cash flows having a present value equal to the present value of the ex-ante efficient cost of capital cash flows required to finance the regulatory asset base (RAB). In that sense, we must set allowances with a present value equal to the present value of future efficient costs.</w:t>
      </w:r>
      <w:r w:rsidRPr="00911284">
        <w:rPr>
          <w:rStyle w:val="FootnoteReference"/>
        </w:rPr>
        <w:footnoteReference w:id="1534"/>
      </w:r>
      <w:r w:rsidRPr="00911284">
        <w:t xml:space="preserve"> This is a zero net present value (NPV) investment condition. The theory of finance is that in computing the weighted average cost of capital for use in NPV calculations it is the current required returns on debt and equity (forward looking) that should be used for the WACC, instead of the historical values. We consider that the continuation of the on the day approach is revenue neutral in a present value sense and would contribute to the achievement of the ARORO. As discussed in section </w:t>
      </w:r>
      <w:r w:rsidRPr="00911284">
        <w:fldChar w:fldCharType="begin"/>
      </w:r>
      <w:r w:rsidRPr="00911284">
        <w:instrText xml:space="preserve"> REF _Ref444767739 \r \h </w:instrText>
      </w:r>
      <w:r w:rsidRPr="00911284">
        <w:fldChar w:fldCharType="separate"/>
      </w:r>
      <w:r w:rsidR="002C24D6">
        <w:t>J.3</w:t>
      </w:r>
      <w:r w:rsidRPr="00911284">
        <w:fldChar w:fldCharType="end"/>
      </w:r>
      <w:r w:rsidRPr="00911284">
        <w:t>, a revenue neutral transition will also contribute to the achievement of the ARORO. However, we do not consider a change in methodology that results in material wealth transfers will contribute to the achievement of the ARORO. For this reason, we consider a full transition is required if there is a change in methodology from on-the-day approach to trailing average approach.</w:t>
      </w:r>
    </w:p>
    <w:p w:rsidR="00911284" w:rsidRPr="00911284" w:rsidRDefault="00911284" w:rsidP="00911284">
      <w:r w:rsidRPr="00911284">
        <w:fldChar w:fldCharType="begin"/>
      </w:r>
      <w:r w:rsidRPr="00911284">
        <w:instrText xml:space="preserve"> REF _Ref479867871 \h </w:instrText>
      </w:r>
      <w:r w:rsidRPr="00911284">
        <w:fldChar w:fldCharType="separate"/>
      </w:r>
      <w:r w:rsidR="002C24D6" w:rsidRPr="00911284">
        <w:t xml:space="preserve">Table </w:t>
      </w:r>
      <w:r w:rsidR="002C24D6">
        <w:rPr>
          <w:noProof/>
        </w:rPr>
        <w:t>3</w:t>
      </w:r>
      <w:r w:rsidR="002C24D6" w:rsidRPr="00911284">
        <w:noBreakHyphen/>
      </w:r>
      <w:r w:rsidR="002C24D6">
        <w:rPr>
          <w:noProof/>
        </w:rPr>
        <w:t>36</w:t>
      </w:r>
      <w:r w:rsidRPr="00911284">
        <w:fldChar w:fldCharType="end"/>
      </w:r>
      <w:r w:rsidRPr="00911284">
        <w:t xml:space="preserve"> sets out the key issues raised by CEG in its September 2016 report. We sought advice from Partington and Satchell and provide a summary of our responses in the table below.</w:t>
      </w:r>
      <w:r w:rsidRPr="00911284">
        <w:rPr>
          <w:rStyle w:val="FootnoteReference"/>
        </w:rPr>
        <w:footnoteReference w:id="1535"/>
      </w:r>
    </w:p>
    <w:p w:rsidR="00911284" w:rsidRPr="00911284" w:rsidRDefault="00911284" w:rsidP="00911284">
      <w:pPr>
        <w:pStyle w:val="Caption"/>
      </w:pPr>
      <w:bookmarkStart w:id="465" w:name="_Ref479867871"/>
      <w:r w:rsidRPr="00911284">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911284">
        <w:noBreakHyphen/>
      </w:r>
      <w:r w:rsidR="002C24D6">
        <w:fldChar w:fldCharType="begin"/>
      </w:r>
      <w:r w:rsidR="002C24D6">
        <w:instrText xml:space="preserve"> SEQ Table \* ARABIC \s 1 </w:instrText>
      </w:r>
      <w:r w:rsidR="002C24D6">
        <w:fldChar w:fldCharType="separate"/>
      </w:r>
      <w:r w:rsidR="002C24D6">
        <w:rPr>
          <w:noProof/>
        </w:rPr>
        <w:t>36</w:t>
      </w:r>
      <w:r w:rsidR="002C24D6">
        <w:rPr>
          <w:noProof/>
        </w:rPr>
        <w:fldChar w:fldCharType="end"/>
      </w:r>
      <w:bookmarkEnd w:id="465"/>
      <w:r w:rsidRPr="00911284">
        <w:tab/>
        <w:t xml:space="preserve"> Key issues raised by CEG</w:t>
      </w:r>
    </w:p>
    <w:tbl>
      <w:tblPr>
        <w:tblStyle w:val="AERtable-text0"/>
        <w:tblW w:w="0" w:type="auto"/>
        <w:tblLook w:val="04A0" w:firstRow="1" w:lastRow="0" w:firstColumn="1" w:lastColumn="0" w:noHBand="0" w:noVBand="1"/>
      </w:tblPr>
      <w:tblGrid>
        <w:gridCol w:w="3794"/>
        <w:gridCol w:w="4899"/>
      </w:tblGrid>
      <w:tr w:rsidR="00911284" w:rsidTr="00911284">
        <w:trPr>
          <w:cnfStyle w:val="100000000000" w:firstRow="1" w:lastRow="0" w:firstColumn="0" w:lastColumn="0" w:oddVBand="0" w:evenVBand="0" w:oddHBand="0" w:evenHBand="0" w:firstRowFirstColumn="0" w:firstRowLastColumn="0" w:lastRowFirstColumn="0" w:lastRowLastColumn="0"/>
        </w:trPr>
        <w:tc>
          <w:tcPr>
            <w:tcW w:w="3794" w:type="dxa"/>
          </w:tcPr>
          <w:p w:rsidR="00911284" w:rsidRPr="00911284" w:rsidRDefault="00911284" w:rsidP="00911284">
            <w:r w:rsidRPr="00911284">
              <w:t>Issue</w:t>
            </w:r>
          </w:p>
        </w:tc>
        <w:tc>
          <w:tcPr>
            <w:tcW w:w="4899" w:type="dxa"/>
          </w:tcPr>
          <w:p w:rsidR="00911284" w:rsidRPr="00911284" w:rsidRDefault="00911284" w:rsidP="00911284">
            <w:r w:rsidRPr="00911284">
              <w:t>Summary of response</w:t>
            </w:r>
          </w:p>
        </w:tc>
      </w:tr>
      <w:tr w:rsidR="00911284" w:rsidTr="00911284">
        <w:tc>
          <w:tcPr>
            <w:tcW w:w="3794" w:type="dxa"/>
          </w:tcPr>
          <w:p w:rsidR="00911284" w:rsidRPr="00911284" w:rsidRDefault="00911284" w:rsidP="001A5B2E">
            <w:r w:rsidRPr="00911284">
              <w:t xml:space="preserve">The AER’s application of the NPV=0 </w:t>
            </w:r>
            <w:r w:rsidR="001A5B2E" w:rsidRPr="00911284">
              <w:t>c</w:t>
            </w:r>
            <w:r w:rsidR="001A5B2E">
              <w:t>ondition</w:t>
            </w:r>
            <w:r w:rsidR="001A5B2E" w:rsidRPr="00911284">
              <w:t xml:space="preserve"> </w:t>
            </w:r>
            <w:r w:rsidRPr="00911284">
              <w:t>in the AusNet Services draft decision only holds if you assume a BEE has no debt at the commencement of the regulatory control period</w:t>
            </w:r>
            <w:r w:rsidRPr="00911284">
              <w:rPr>
                <w:rStyle w:val="FootnoteReference"/>
              </w:rPr>
              <w:footnoteReference w:id="1536"/>
            </w:r>
          </w:p>
        </w:tc>
        <w:tc>
          <w:tcPr>
            <w:tcW w:w="4899" w:type="dxa"/>
          </w:tcPr>
          <w:p w:rsidR="00911284" w:rsidRPr="00911284" w:rsidRDefault="00911284" w:rsidP="001A5B2E">
            <w:r w:rsidRPr="00911284">
              <w:t xml:space="preserve">With respect to the cost of debt, it is the current cost of debt (as currently required in the market) that should be used in the WACC to calculate the NPV, not the historic cost of debt. This is basic valuation theory in corporate finance text books. The AER’s application of the NPV=0 </w:t>
            </w:r>
            <w:r w:rsidR="001A5B2E" w:rsidRPr="00911284">
              <w:t>c</w:t>
            </w:r>
            <w:r w:rsidR="001A5B2E">
              <w:t>ondition</w:t>
            </w:r>
            <w:r w:rsidR="001A5B2E" w:rsidRPr="00911284">
              <w:t xml:space="preserve"> </w:t>
            </w:r>
            <w:r w:rsidRPr="00911284">
              <w:t xml:space="preserve">holds regardless of the debt held by a BEE before the commencement of the regulatory control period or the access arrangement period. Appropriate regulatory compensation is about setting allowances with a present value equal to the present value of future efficient costs.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Mismatch risk is correctly defined as “regulatory risk’ and not ‘interest rate risk’. The implication is to reduce regulatory risk we must set allowed debt costs to match historically incurred debt costs.</w:t>
            </w:r>
            <w:r w:rsidRPr="00911284">
              <w:rPr>
                <w:rStyle w:val="FootnoteReference"/>
              </w:rPr>
              <w:footnoteReference w:id="1537"/>
            </w:r>
          </w:p>
          <w:p w:rsidR="00911284" w:rsidRPr="00911284" w:rsidRDefault="00911284" w:rsidP="00911284"/>
        </w:tc>
        <w:tc>
          <w:tcPr>
            <w:tcW w:w="4899" w:type="dxa"/>
          </w:tcPr>
          <w:p w:rsidR="00911284" w:rsidRPr="00911284" w:rsidRDefault="00911284" w:rsidP="00911284">
            <w:r w:rsidRPr="00911284">
              <w:t>CEG is incorrect in defining mismatch risk as regulatory risk. We consider mismatch risk under the on the day approach flows from unexpected changes in interest rates. This is agreed by our consultants.</w:t>
            </w:r>
            <w:r w:rsidRPr="00911284">
              <w:rPr>
                <w:rStyle w:val="FootnoteReference"/>
              </w:rPr>
              <w:footnoteReference w:id="1538"/>
            </w:r>
            <w:r w:rsidRPr="00911284">
              <w:t xml:space="preserve"> In competitive market, the equilibrium is achieved by setting product prices that result in zero NPV investments. In achieving the competitive equilibrium, the allowed rate of return should be set at the current cost of capital, which may not match the historical costs.  This gives rise to interest rate risk, the risk associated with a mismatch between the allowed return on debt and a BEE’s actual return on debt.</w:t>
            </w:r>
            <w:r w:rsidRPr="00911284">
              <w:rPr>
                <w:rStyle w:val="FootnoteReference"/>
              </w:rPr>
              <w:t xml:space="preserve"> </w:t>
            </w:r>
            <w:r w:rsidRPr="00911284">
              <w:rPr>
                <w:rStyle w:val="FootnoteReference"/>
              </w:rPr>
              <w:footnoteReference w:id="1539"/>
            </w:r>
            <w:r w:rsidRPr="00911284">
              <w:t xml:space="preserve">  </w:t>
            </w:r>
          </w:p>
          <w:p w:rsidR="00911284" w:rsidRPr="00911284" w:rsidRDefault="00911284" w:rsidP="00911284">
            <w:r w:rsidRPr="00911284">
              <w:t>However, we agree with our consultants that changes in the method for determining compensation for the cost of debt may give rise to regulatory risk; however the risk may apply either to the regulated entities, or to the consumers. In the case of a switch to a trailing average approach, there may be risk for some regulated entities in that their preferred financing strategy changes and there is a cost in switching. There is also regulatory risk and cost to consumers in that, under the trailing average approach, they are effectively guaranteeing revenue to pay the historic cost of debt. A cost arising from that guarantee will arise immediately under a switch to the historic trailing average (without a transition) as consumers will find themselves paying the premium of historic rates over current rates (historic rates are much higher than the current rates)</w:t>
            </w:r>
            <w:r w:rsidRPr="00911284">
              <w:rPr>
                <w:rStyle w:val="FootnoteReference"/>
              </w:rPr>
              <w:footnoteReference w:id="1540"/>
            </w:r>
            <w:r w:rsidRPr="00911284">
              <w:t xml:space="preserve">. </w:t>
            </w:r>
          </w:p>
          <w:p w:rsidR="00911284" w:rsidRPr="00911284" w:rsidRDefault="00911284" w:rsidP="00911284"/>
        </w:tc>
      </w:tr>
      <w:tr w:rsidR="00911284" w:rsidTr="00911284">
        <w:tc>
          <w:tcPr>
            <w:tcW w:w="3794" w:type="dxa"/>
          </w:tcPr>
          <w:p w:rsidR="00911284" w:rsidRPr="00911284" w:rsidRDefault="00911284" w:rsidP="00911284">
            <w:r w:rsidRPr="00911284">
              <w:t>The use of a trailing average will provide better investment incentives than prevailing rates.</w:t>
            </w:r>
            <w:r w:rsidRPr="00911284">
              <w:rPr>
                <w:rStyle w:val="FootnoteReference"/>
              </w:rPr>
              <w:footnoteReference w:id="1541"/>
            </w:r>
          </w:p>
          <w:p w:rsidR="00911284" w:rsidRPr="00911284" w:rsidRDefault="00911284" w:rsidP="00911284"/>
          <w:p w:rsidR="00911284" w:rsidRPr="00911284" w:rsidRDefault="00911284" w:rsidP="00911284"/>
        </w:tc>
        <w:tc>
          <w:tcPr>
            <w:tcW w:w="4899" w:type="dxa"/>
          </w:tcPr>
          <w:p w:rsidR="00911284" w:rsidRPr="00911284" w:rsidRDefault="00911284" w:rsidP="00911284">
            <w:r w:rsidRPr="00911284">
              <w:t>The trailing average reflects historic interest rates and only by chance this will reflect the current required return on debt.</w:t>
            </w:r>
          </w:p>
          <w:p w:rsidR="00911284" w:rsidRPr="00911284" w:rsidRDefault="00911284" w:rsidP="00911284">
            <w:r w:rsidRPr="00911284">
              <w:t>Our consultants consider that since the trailing average is unlikely to reflect current required return, then by definition it will not give the correct signal with respect to the desirability of investments. In other words, they consider it is inappropriate for the computation of an investment’s NPV to be based on historic rates and consider that if the allowed rate of return is based on the historic cost of debt (calculated using a trailing average approach), it is likely to result in either understatement or overstatement of the current required rate of return. They consider this will lead to either an understatement or overstatement of allowable revenue, which will in turn provide incentives for underinvestment and overinvestment respectively</w:t>
            </w:r>
            <w:r w:rsidRPr="00911284">
              <w:rPr>
                <w:rStyle w:val="FootnoteReference"/>
              </w:rPr>
              <w:footnoteReference w:id="1542"/>
            </w:r>
            <w:r w:rsidRPr="00911284">
              <w:t xml:space="preserve">. Thus, they do not consider the use of a trailing average will provide better investment incentives than the use of the prevailing rate. They note that SFG (for the AEMC) and others have expressed the same view that the on the day rate is likely to provide better investment incentives. </w:t>
            </w:r>
          </w:p>
          <w:p w:rsidR="00911284" w:rsidRPr="00911284" w:rsidRDefault="00911284" w:rsidP="00911284">
            <w:r w:rsidRPr="00911284">
              <w:t xml:space="preserve">Having considered our consultants’ views we remain of the view that the trailing average (implemented with full transition) will promote relatively efficient investment signals as cash flows with the correct present value are obtained over the life of the asset. To the extent the investment incentives are inferior to those obtained under the on the day approach, we consider the benefits of the trailing average (implemented with full transition) still warrant its use.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ARORO arguably requires compensation to match the BEE’s efficiently incurred financing costs regardless of efficiency</w:t>
            </w:r>
            <w:r w:rsidRPr="00911284">
              <w:rPr>
                <w:rStyle w:val="FootnoteReference"/>
              </w:rPr>
              <w:footnoteReference w:id="1543"/>
            </w:r>
          </w:p>
          <w:p w:rsidR="00911284" w:rsidRPr="00911284" w:rsidRDefault="00911284" w:rsidP="00911284"/>
          <w:p w:rsidR="00911284" w:rsidRPr="00911284" w:rsidRDefault="00911284" w:rsidP="00911284"/>
        </w:tc>
        <w:tc>
          <w:tcPr>
            <w:tcW w:w="4899" w:type="dxa"/>
          </w:tcPr>
          <w:p w:rsidR="00911284" w:rsidRPr="00911284" w:rsidRDefault="00911284" w:rsidP="00911284">
            <w:r w:rsidRPr="00911284">
              <w:t xml:space="preserve">CEG, APTPPL and APA VTS refers to historic financing costs as efficient financing costs, which we do not agree with. We consider efficient financing costs should be defined on an ex-ante or forward looking basis and should reflect the current cost of capital. The current cost of capital is the opportunity cost that investors currently demand in order to buy a firm’s securities. We consider compensations based on historic financing costs are not reflective of efficient financing costs. If there was a change in methodology from using on the day approach to trailing average approach, we consider a full transition is required to meet the ARORO and the objectives of the NEL/NGL. A full transition is revenue neutral in a present value sense (shown in section H.7.3 in the AER draft decision) </w:t>
            </w:r>
          </w:p>
        </w:tc>
      </w:tr>
      <w:tr w:rsidR="00911284" w:rsidTr="00911284">
        <w:tc>
          <w:tcPr>
            <w:tcW w:w="3794" w:type="dxa"/>
          </w:tcPr>
          <w:p w:rsidR="00911284" w:rsidRPr="00911284" w:rsidRDefault="00911284" w:rsidP="001A5B2E">
            <w:r w:rsidRPr="00911284">
              <w:t xml:space="preserve">The AER has changed its definition/approach to the NPV=0 </w:t>
            </w:r>
            <w:r w:rsidR="001A5B2E" w:rsidRPr="00911284">
              <w:t>c</w:t>
            </w:r>
            <w:r w:rsidR="001A5B2E">
              <w:t>ondition</w:t>
            </w:r>
            <w:r w:rsidRPr="00911284">
              <w:rPr>
                <w:rStyle w:val="FootnoteReference"/>
              </w:rPr>
              <w:footnoteReference w:id="1544"/>
            </w:r>
          </w:p>
        </w:tc>
        <w:tc>
          <w:tcPr>
            <w:tcW w:w="4899" w:type="dxa"/>
          </w:tcPr>
          <w:p w:rsidR="00911284" w:rsidRPr="00911284" w:rsidRDefault="00911284" w:rsidP="00911284">
            <w:r w:rsidRPr="00911284">
              <w:t>We consider the approach we are currently adopting to the NPV=0 c</w:t>
            </w:r>
            <w:r w:rsidR="001A5B2E">
              <w:t>ondition</w:t>
            </w:r>
            <w:r w:rsidRPr="00911284">
              <w:t>, which is ex-ante efficient compensation should result in the ex-ante allowed return on capital cash flows having a present value equal to the present value of the ex-ante efficient cost of capital cash flows required to finance the regulatory asset base (RAB), is consistent with a reasonable interpretation of the ARORO. This is supported by our consultants.</w:t>
            </w:r>
            <w:r w:rsidRPr="00911284">
              <w:rPr>
                <w:rStyle w:val="FootnoteReference"/>
              </w:rPr>
              <w:footnoteReference w:id="1545"/>
            </w:r>
            <w:r w:rsidRPr="00911284">
              <w:t xml:space="preserve">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The mathematical proof  under the AER’s assumption that allowed rates of return are based on a 5 year horizon is invalid given that the AER compensates debt based on a 10 year horizon</w:t>
            </w:r>
            <w:r w:rsidRPr="00911284">
              <w:rPr>
                <w:rStyle w:val="FootnoteReference"/>
              </w:rPr>
              <w:footnoteReference w:id="1546"/>
            </w:r>
          </w:p>
        </w:tc>
        <w:tc>
          <w:tcPr>
            <w:tcW w:w="4899" w:type="dxa"/>
          </w:tcPr>
          <w:p w:rsidR="00911284" w:rsidRPr="00911284" w:rsidRDefault="00911284" w:rsidP="00911284">
            <w:r w:rsidRPr="00911284">
              <w:t>We consider this is not a valid criticism. As long as the allowed rate of return in the cash flows is equal to the discount rate used,  the RAB at time t+5 should be the same as at time t. We consider our allowed return estimated based on debt with a 10 year maturity should approximately achieve this for the reasons set out in our decision. The algebra from our consultants is provided below.</w:t>
            </w:r>
          </w:p>
        </w:tc>
      </w:tr>
    </w:tbl>
    <w:p w:rsidR="00911284" w:rsidRPr="00911284" w:rsidRDefault="00911284" w:rsidP="00911284">
      <w:r w:rsidRPr="00911284">
        <w:t>In the report to the AER, Partington and Satchell expressed their view that a trailing average is inferior to the on the day approach in terms of an efficient investment incentive.</w:t>
      </w:r>
      <w:r w:rsidRPr="00911284">
        <w:rPr>
          <w:rStyle w:val="FootnoteReference"/>
        </w:rPr>
        <w:footnoteReference w:id="1547"/>
      </w:r>
      <w:r w:rsidRPr="00911284">
        <w:t xml:space="preserve"> They proposed that the trailing average is likely to be an incentive for inefficient investment and the generation of economic rents</w:t>
      </w:r>
      <w:r w:rsidRPr="00911284">
        <w:rPr>
          <w:rStyle w:val="FootnoteReference"/>
        </w:rPr>
        <w:footnoteReference w:id="1548"/>
      </w:r>
      <w:r w:rsidRPr="00911284">
        <w:t xml:space="preserve">, as we discussed in </w:t>
      </w:r>
      <w:r w:rsidRPr="00911284">
        <w:fldChar w:fldCharType="begin"/>
      </w:r>
      <w:r w:rsidRPr="00911284">
        <w:instrText xml:space="preserve"> REF _Ref447803924 \r \h </w:instrText>
      </w:r>
      <w:r w:rsidRPr="00911284">
        <w:fldChar w:fldCharType="separate"/>
      </w:r>
      <w:r w:rsidR="002C24D6">
        <w:t>J.2.3</w:t>
      </w:r>
      <w:r w:rsidRPr="00911284">
        <w:fldChar w:fldCharType="end"/>
      </w:r>
      <w:r w:rsidRPr="00911284">
        <w:t xml:space="preserve"> above. Moreover, Partington and Satchell also pointed out that the cost of equity should be adjusted downwards if a trailing average approach is adopted, otherwise the regulated entities would be likely to be overcompensated and there would be an incentive to overinvestment. They stated:</w:t>
      </w:r>
      <w:r w:rsidRPr="00911284">
        <w:rPr>
          <w:rStyle w:val="FootnoteReference"/>
        </w:rPr>
        <w:footnoteReference w:id="1549"/>
      </w:r>
    </w:p>
    <w:p w:rsidR="00911284" w:rsidRPr="00911284" w:rsidRDefault="00911284" w:rsidP="00911284">
      <w:pPr>
        <w:pStyle w:val="AERquote"/>
      </w:pPr>
      <w:r w:rsidRPr="00911284">
        <w:t xml:space="preserve"> “Setting the allowed return by using the historic cost of debt and weighting by the amount of financing undertaken substantially reduces the risk of leverage while retaining the benefits. A key effect of leverage for equity holders is to increase the volatility of returns. The equity holders gain from higher returns when the return on debt financed assets exceeds the cost of debt and lose when the return on debt financed assets is less than the cost of debt. The latter risk of loss is reduced if the allowed return is set using the historic cost of debt and more so if the weighting is by the amount of financing undertaken. The volatility of equity returns would be reduced and a consequence of this would be that equity betas would come down. Thus a reduction in the allowed cost of equity would be warranted. If this reduction were not made the regulated entities would be likely to be overcompensated and so there would be an incentive to overinvestment.”</w:t>
      </w:r>
    </w:p>
    <w:p w:rsidR="00911284" w:rsidRPr="00911284" w:rsidRDefault="00911284" w:rsidP="00911284">
      <w:r w:rsidRPr="00911284">
        <w:t xml:space="preserve">While we note Partington and Satchell’s concerns, we remain of the view that a trailing average (implemented with full transition) will result in reasonably efficient investment incentives. We also note that the use of a trailing average will smooth price volatility for consumers moving forward. </w:t>
      </w:r>
    </w:p>
    <w:p w:rsidR="00911284" w:rsidRPr="00911284" w:rsidRDefault="00911284" w:rsidP="00911284">
      <w:r w:rsidRPr="00911284">
        <w:t xml:space="preserve">While we acknowledge the introduction of a trailing average may reduce regulated firms default risk and equity beta, we consider material changes in risk should be reflected in benchmarked cost of capital parameters in the future. To the extent this occurs this benefit may flow through to consumers in the form of lower </w:t>
      </w:r>
      <w:r w:rsidR="00C442DF">
        <w:t xml:space="preserve">allowed </w:t>
      </w:r>
      <w:r w:rsidRPr="00911284">
        <w:t>rates of return in future revenue determinations.</w:t>
      </w:r>
    </w:p>
    <w:p w:rsidR="00911284" w:rsidRPr="00911284" w:rsidRDefault="00911284" w:rsidP="00911284">
      <w:pPr>
        <w:pStyle w:val="HeadingBoldItalic"/>
      </w:pPr>
      <w:r w:rsidRPr="00911284">
        <w:t xml:space="preserve">Response to CEG’s criticism on the AER’s application of the NPV=0 </w:t>
      </w:r>
      <w:r w:rsidR="001A5B2E">
        <w:t>condition</w:t>
      </w:r>
    </w:p>
    <w:p w:rsidR="00911284" w:rsidRPr="00911284" w:rsidRDefault="00911284" w:rsidP="00911284">
      <w:r w:rsidRPr="00911284">
        <w:t xml:space="preserve">We agree with our consultants that the zero net present value (NPV) investment </w:t>
      </w:r>
      <w:r w:rsidR="001A5B2E" w:rsidRPr="00911284">
        <w:t>c</w:t>
      </w:r>
      <w:r w:rsidR="001A5B2E">
        <w:t>ondition</w:t>
      </w:r>
      <w:r w:rsidR="001A5B2E" w:rsidRPr="00911284">
        <w:t xml:space="preserve"> </w:t>
      </w:r>
      <w:r w:rsidRPr="00911284">
        <w:t xml:space="preserve">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 </w:t>
      </w:r>
      <w:r w:rsidRPr="00911284">
        <w:rPr>
          <w:rStyle w:val="FootnoteReference"/>
        </w:rPr>
        <w:footnoteReference w:id="1550"/>
      </w:r>
      <w:r w:rsidRPr="00911284">
        <w:t xml:space="preserve"> This is basic theory of business finance.</w:t>
      </w:r>
    </w:p>
    <w:p w:rsidR="00911284" w:rsidRPr="00911284" w:rsidRDefault="00911284" w:rsidP="00911284">
      <w:r w:rsidRPr="00911284">
        <w:t>Partington and Satchell consider that the allowed rate of return should be the rate of return consistent with regulated assets being a zero NPV investment. The theory of finance (and common practice) is that in computing the weighted average cost of capital (WACC) for use in NPV calculations it is the current required returns on debt and equity that should be used.</w:t>
      </w:r>
      <w:r w:rsidRPr="00911284">
        <w:rPr>
          <w:rStyle w:val="FootnoteReference"/>
        </w:rPr>
        <w:footnoteReference w:id="1551"/>
      </w:r>
      <w:r w:rsidRPr="00911284">
        <w:t xml:space="preserve"> </w:t>
      </w:r>
    </w:p>
    <w:p w:rsidR="00911284" w:rsidRPr="00911284" w:rsidRDefault="00911284" w:rsidP="00911284">
      <w:r w:rsidRPr="00911284">
        <w:t xml:space="preserve">We agree with Partington and Satchell that efficient debt financing costs reflect prevailing market rates and investment in regulated firms should be a zero NPV activity. Given this, we consider the trailing average must be estimated based on prevailing rates (i.e. implemented in a forward looking manner) to ensure a zero NPV condition is maintained. </w:t>
      </w:r>
    </w:p>
    <w:p w:rsidR="00911284" w:rsidRPr="00911284" w:rsidRDefault="00911284" w:rsidP="00911284">
      <w:r w:rsidRPr="00911284">
        <w:t xml:space="preserve">CEG claims the AER's view is the zero NPV investment </w:t>
      </w:r>
      <w:r w:rsidR="001A5B2E" w:rsidRPr="00911284">
        <w:t>c</w:t>
      </w:r>
      <w:r w:rsidR="001A5B2E">
        <w:t>ondition</w:t>
      </w:r>
      <w:r w:rsidR="001A5B2E" w:rsidRPr="00911284">
        <w:t xml:space="preserve"> </w:t>
      </w:r>
      <w:r w:rsidRPr="00911284">
        <w:t>is based on the present value of cash flows ‘before efficiently incurred debt financing costs are removed’.</w:t>
      </w:r>
      <w:r w:rsidRPr="00911284">
        <w:rPr>
          <w:rStyle w:val="FootnoteReference"/>
        </w:rPr>
        <w:footnoteReference w:id="1552"/>
      </w:r>
      <w:r w:rsidRPr="00911284">
        <w:t xml:space="preserve"> It then claims that ‘the AER’s new NPV </w:t>
      </w:r>
      <w:r w:rsidR="001A5B2E" w:rsidRPr="00911284">
        <w:t>c</w:t>
      </w:r>
      <w:r w:rsidR="001A5B2E">
        <w:t>ondition</w:t>
      </w:r>
      <w:r w:rsidR="001A5B2E" w:rsidRPr="00911284">
        <w:t xml:space="preserve"> </w:t>
      </w:r>
      <w:r w:rsidRPr="00911284">
        <w:t>assumes zero debt financing at the commencement of the regulatory control period’.</w:t>
      </w:r>
      <w:r w:rsidRPr="00911284">
        <w:rPr>
          <w:rStyle w:val="FootnoteReference"/>
        </w:rPr>
        <w:footnoteReference w:id="1553"/>
      </w:r>
      <w:r w:rsidRPr="00911284">
        <w:t xml:space="preserve"> We agree the NPV calculation should be performed on total cash flows to capital before debt financing costs are removed. This is supported by our consultants. However, we disagree with CEG that this assumes no debt financing at the commencement of the regulatory control period. As explained above, we consider it is the current required returns on debt rather than the historical cost of debt that is relevant in NPV calculation. We consider our zero NPV </w:t>
      </w:r>
      <w:r w:rsidR="001A5B2E" w:rsidRPr="00911284">
        <w:t>c</w:t>
      </w:r>
      <w:r w:rsidR="001A5B2E">
        <w:t>ondition</w:t>
      </w:r>
      <w:r w:rsidR="001A5B2E" w:rsidRPr="00911284">
        <w:t xml:space="preserve"> </w:t>
      </w:r>
      <w:r w:rsidRPr="00911284">
        <w:t xml:space="preserve">is consistent with well accepted finance theory and holds even if a benchmark efficient entity has outstanding debt. This is supported by our consultants. Partington and Satchell argue that if debt financing costs were to be removed from the cash flow before computing the present value of the cash flow, you would be left with the cash-flow to equity. The cash flow to equity would appropriately be discounted at the current cost of equity to give the market value of equity. While the debt financing cash flows would be discounted at the current cost of debt to give the market value of debt. These two values add together would be exactly the same as the value obtained by valuing the cash flows before “debt financing costs are removed” by discounting at the WACC based on the current costs of debt and equity. </w:t>
      </w:r>
      <w:r w:rsidRPr="00911284">
        <w:rPr>
          <w:rStyle w:val="FootnoteReference"/>
        </w:rPr>
        <w:footnoteReference w:id="1554"/>
      </w:r>
      <w:r w:rsidRPr="00911284">
        <w:t xml:space="preserve"> </w:t>
      </w:r>
    </w:p>
    <w:p w:rsidR="00911284" w:rsidRPr="00911284" w:rsidRDefault="00911284" w:rsidP="00911284">
      <w:r w:rsidRPr="00911284">
        <w:t>We also agree with Partington and Satchell that any shifts in the value of assets and liabilities occurs  at the time interest rate changes and would give rise to (immediate) gains or losses to the debtholders and shareholders. Consequently, at the start of the next regulatory period, the effect of interest rate shifts will already have been fully reflected in the equity market value of the entity undertaking the investment.</w:t>
      </w:r>
      <w:r w:rsidRPr="00911284">
        <w:rPr>
          <w:rStyle w:val="FootnoteReference"/>
        </w:rPr>
        <w:footnoteReference w:id="1555"/>
      </w:r>
      <w:r w:rsidRPr="00911284">
        <w:t xml:space="preserve"> Therefore, we consider our application of the NPV=0 c</w:t>
      </w:r>
      <w:r w:rsidR="001A5B2E">
        <w:t>ondition</w:t>
      </w:r>
      <w:r w:rsidRPr="00911284">
        <w:t xml:space="preserve"> holds for a BEE with debt financing at the commencement of the regulatory control period.</w:t>
      </w:r>
    </w:p>
    <w:p w:rsidR="00911284" w:rsidRPr="00911284" w:rsidRDefault="00911284" w:rsidP="00911284">
      <w:r w:rsidRPr="00911284">
        <w:t xml:space="preserve">Partington and Satchell further emphasise the appropriate discount rate in computing the NPV as the opportunity cost of capital to support the points made above. </w:t>
      </w:r>
      <w:r w:rsidRPr="00911284">
        <w:rPr>
          <w:rStyle w:val="FootnoteReference"/>
        </w:rPr>
        <w:footnoteReference w:id="1556"/>
      </w:r>
      <w:r w:rsidRPr="00911284">
        <w:t xml:space="preserve"> The current required rates of return on a firm’s asset should be equal to the rate of return that is currently offered in the capital market by securities of equivalent risk to the asset in equilibrium. If the return on the regulated asset is lower than the return on the equivalent risk securities, investors will prefer to invest in other securities rather than the regulated asset. Hence, the prevailing cost of capital from securities with the same risk as the regulated asset should be set as an allowed rate of return as it gives the opportunity cost of capital . Partington and Satchell also note that it is well understood that in a competitive industry the competition drives the prices of the goods produced to an equilibrium where investment is a zero NPV activity.</w:t>
      </w:r>
      <w:r w:rsidRPr="00911284">
        <w:rPr>
          <w:rStyle w:val="FootnoteReference"/>
        </w:rPr>
        <w:footnoteReference w:id="1557"/>
      </w:r>
      <w:r w:rsidRPr="00911284">
        <w:t xml:space="preserve"> Partington and Satchell also point out that in markets where producers have significant monopoly power this competitive equilibrium will not prevail unless there is a regulator who sets an allowed rate of return that result in zero NPV investments.</w:t>
      </w:r>
      <w:r w:rsidRPr="00911284">
        <w:rPr>
          <w:rStyle w:val="FootnoteReference"/>
        </w:rPr>
        <w:footnoteReference w:id="1558"/>
      </w:r>
    </w:p>
    <w:p w:rsidR="00911284" w:rsidRPr="00911284" w:rsidRDefault="00911284" w:rsidP="00911284">
      <w:pPr>
        <w:pStyle w:val="HeadingBoldItalic"/>
      </w:pPr>
      <w:r w:rsidRPr="00911284">
        <w:t>The validity of the AER’s mathematical proof</w:t>
      </w:r>
    </w:p>
    <w:p w:rsidR="00911284" w:rsidRPr="00911284" w:rsidRDefault="00911284" w:rsidP="00911284">
      <w:r w:rsidRPr="00911284">
        <w:t>CEG proposed that the mathematical proof under the AER’s assumption that allowed rates of return are based on a 5 year horizon is invalid given that the AER compensates on a 10 year horizon for the cost of debt.</w:t>
      </w:r>
      <w:r w:rsidRPr="00911284">
        <w:rPr>
          <w:rStyle w:val="FootnoteReference"/>
        </w:rPr>
        <w:footnoteReference w:id="1559"/>
      </w:r>
      <w:r w:rsidRPr="00911284">
        <w:t xml:space="preserve"> To address this issue we sought advice from our consultants. They provided the mathematical proof and explanation below:</w:t>
      </w:r>
      <w:r w:rsidRPr="00911284">
        <w:rPr>
          <w:rStyle w:val="FootnoteReference"/>
        </w:rPr>
        <w:footnoteReference w:id="1560"/>
      </w:r>
    </w:p>
    <w:p w:rsidR="00911284" w:rsidRPr="00911284" w:rsidRDefault="00911284" w:rsidP="00911284">
      <w:r w:rsidRPr="00911284">
        <w:t>Let N be the regulatory period, t</w:t>
      </w:r>
      <w:r w:rsidR="001B041A">
        <w:t xml:space="preserve"> is</w:t>
      </w:r>
      <w:r w:rsidRPr="00911284">
        <w:t xml:space="preserve"> the current time, let c be the allowed rate of return and r the discount rate, both known at time t. Let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911284">
        <w:t xml:space="preserve"> be the RAB at time t. </w:t>
      </w:r>
    </w:p>
    <w:p w:rsidR="00911284" w:rsidRPr="00911284" w:rsidRDefault="00911284" w:rsidP="00911284">
      <w:r w:rsidRPr="00911284">
        <w:t xml:space="preserve">Let </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911284">
        <w:t xml:space="preserve"> be the present value of an investment at time t; let </w:t>
      </w:r>
      <m:oMath>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 xml:space="preserve"> </m:t>
        </m:r>
      </m:oMath>
      <w:r w:rsidRPr="00911284">
        <w:t>be the net operating cash flow for year t. The present value equation is that:</w:t>
      </w:r>
    </w:p>
    <w:p w:rsidR="00911284" w:rsidRPr="00911284" w:rsidRDefault="002C24D6" w:rsidP="00911284">
      <m:oMath>
        <m:sSub>
          <m:sSubPr>
            <m:ctrlPr>
              <w:rPr>
                <w:rFonts w:ascii="Cambria Math" w:hAnsi="Cambria Math"/>
                <w:i/>
              </w:rPr>
            </m:ctrlPr>
          </m:sSubPr>
          <m:e>
            <m:r>
              <w:rPr>
                <w:rFonts w:ascii="Cambria Math" w:hAnsi="Cambria Math"/>
              </w:rPr>
              <m:t>PV</m:t>
            </m:r>
          </m:e>
          <m:sub>
            <m:r>
              <w:rPr>
                <w:rFonts w:ascii="Cambria Math" w:hAnsi="Cambria Math"/>
              </w:rPr>
              <m:t>t</m:t>
            </m:r>
          </m:sub>
        </m:sSub>
        <m:r>
          <w:rPr>
            <w:rFonts w:ascii="Cambria Math" w:hAnsi="Cambria Math"/>
          </w:rPr>
          <m:t xml:space="preserve"> </m:t>
        </m:r>
      </m:oMath>
      <w:r w:rsidR="00911284" w:rsidRPr="00911284">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s=t+1</m:t>
                </m:r>
              </m:sub>
              <m:sup>
                <m:r>
                  <w:rPr>
                    <w:rFonts w:ascii="Cambria Math" w:hAnsi="Cambria Math"/>
                  </w:rPr>
                  <m:t>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s</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s-t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e>
            </m:nary>
          </m:e>
        </m:d>
        <m:r>
          <w:rPr>
            <w:rFonts w:ascii="Cambria Math" w:hAnsi="Cambria Math"/>
          </w:rPr>
          <m:t xml:space="preserve">                   </m:t>
        </m:r>
      </m:oMath>
      <w:r w:rsidR="00911284" w:rsidRPr="00911284">
        <w:tab/>
      </w:r>
      <w:r w:rsidR="00911284" w:rsidRPr="00911284">
        <w:tab/>
      </w:r>
      <w:r w:rsidR="00911284" w:rsidRPr="00911284">
        <w:tab/>
        <w:t>(1)</w:t>
      </w:r>
    </w:p>
    <w:p w:rsidR="00911284" w:rsidRPr="00911284" w:rsidRDefault="00911284" w:rsidP="00911284">
      <w:r w:rsidRPr="00911284">
        <w:t>Consistent with the AER’s assumptions in H7.3, we make the following two assumptions:</w:t>
      </w:r>
    </w:p>
    <w:p w:rsidR="00911284" w:rsidRPr="00911284" w:rsidRDefault="00911284" w:rsidP="00911284">
      <w:r w:rsidRPr="00911284">
        <w:t xml:space="preserve">Assumption 1: We shall assume that </w:t>
      </w:r>
      <m:oMath>
        <m:sSub>
          <m:sSubPr>
            <m:ctrlPr>
              <w:rPr>
                <w:rFonts w:ascii="Cambria Math" w:hAnsi="Cambria Math"/>
                <w:i/>
              </w:rPr>
            </m:ctrlPr>
          </m:sSubPr>
          <m:e>
            <m:r>
              <w:rPr>
                <w:rFonts w:ascii="Cambria Math" w:hAnsi="Cambria Math"/>
              </w:rPr>
              <m:t>CF</m:t>
            </m:r>
          </m:e>
          <m:sub>
            <m:r>
              <w:rPr>
                <w:rFonts w:ascii="Cambria Math" w:hAnsi="Cambria Math"/>
              </w:rPr>
              <m:t>s</m:t>
            </m:r>
          </m:sub>
        </m:sSub>
      </m:oMath>
      <w:r w:rsidRPr="00911284">
        <w:t>= c</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911284">
        <w:t>; s=t+1,...,t+N.</w:t>
      </w:r>
    </w:p>
    <w:p w:rsidR="00911284" w:rsidRPr="00911284" w:rsidRDefault="00911284" w:rsidP="00911284">
      <w:r w:rsidRPr="00911284">
        <w:t xml:space="preserve">Assumption 2: We shall assume that </w:t>
      </w:r>
      <m:oMath>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oMath>
      <w:r w:rsidRPr="00911284">
        <w:t>=</w:t>
      </w:r>
      <m:oMath>
        <m:r>
          <w:rPr>
            <w:rFonts w:ascii="Cambria Math" w:hAnsi="Cambria Math"/>
          </w:rPr>
          <m:t xml:space="preserve"> </m:t>
        </m:r>
        <m:sSub>
          <m:sSubPr>
            <m:ctrlPr>
              <w:rPr>
                <w:rFonts w:ascii="Cambria Math" w:hAnsi="Cambria Math"/>
                <w:i/>
              </w:rPr>
            </m:ctrlPr>
          </m:sSubPr>
          <m:e>
            <m:r>
              <w:rPr>
                <w:rFonts w:ascii="Cambria Math" w:hAnsi="Cambria Math"/>
              </w:rPr>
              <m:t>PV</m:t>
            </m:r>
          </m:e>
          <m:sub>
            <m:r>
              <w:rPr>
                <w:rFonts w:ascii="Cambria Math" w:hAnsi="Cambria Math"/>
              </w:rPr>
              <m:t>t</m:t>
            </m:r>
          </m:sub>
        </m:sSub>
      </m:oMath>
    </w:p>
    <w:p w:rsidR="00911284" w:rsidRPr="00911284" w:rsidRDefault="00911284" w:rsidP="00911284">
      <w:r w:rsidRPr="00911284">
        <w:t>Theorem. If equation 1 holds as well as Assumptions 1 and 2, then c = r.</w:t>
      </w:r>
    </w:p>
    <w:p w:rsidR="00911284" w:rsidRPr="00911284" w:rsidRDefault="00911284" w:rsidP="00911284">
      <w:r w:rsidRPr="00911284">
        <w:t>Proof.</w:t>
      </w:r>
    </w:p>
    <w:p w:rsidR="00911284" w:rsidRPr="00911284" w:rsidRDefault="00911284" w:rsidP="00911284">
      <w:r w:rsidRPr="00911284">
        <w:t>Under the above assumptions, nothing is stochastic at time t; so we can drop the expected value operator. Equation 1 becomes, letting a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oMath>
    </w:p>
    <w:p w:rsidR="00911284" w:rsidRPr="00911284" w:rsidRDefault="00911284" w:rsidP="00911284">
      <w:r w:rsidRPr="00911284">
        <w:t>1 = c</w:t>
      </w:r>
      <m:oMath>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911284">
        <w:t>; simplifying, we see that</w:t>
      </w:r>
    </w:p>
    <w:p w:rsidR="00911284" w:rsidRPr="00911284" w:rsidRDefault="00911284" w:rsidP="00911284">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=ca</m:t>
        </m:r>
        <m:d>
          <m:dPr>
            <m:ctrlPr>
              <w:rPr>
                <w:rFonts w:ascii="Cambria Math" w:hAnsi="Cambria Math"/>
                <w:i/>
              </w:rPr>
            </m:ctrlPr>
          </m:dPr>
          <m:e>
            <m:f>
              <m:fPr>
                <m:ctrlPr>
                  <w:rPr>
                    <w:rFonts w:ascii="Cambria Math" w:hAnsi="Cambria Math"/>
                    <w:i/>
                  </w:rPr>
                </m:ctrlPr>
              </m:fPr>
              <m:num>
                <m:r>
                  <w:rPr>
                    <w:rFonts w:ascii="Cambria Math" w:hAnsi="Cambria Math"/>
                  </w:rPr>
                  <m:t xml:space="preserve">   1-</m:t>
                </m:r>
                <m:sSup>
                  <m:sSupPr>
                    <m:ctrlPr>
                      <w:rPr>
                        <w:rFonts w:ascii="Cambria Math" w:hAnsi="Cambria Math"/>
                        <w:i/>
                      </w:rPr>
                    </m:ctrlPr>
                  </m:sSupPr>
                  <m:e>
                    <m:r>
                      <w:rPr>
                        <w:rFonts w:ascii="Cambria Math" w:hAnsi="Cambria Math"/>
                      </w:rPr>
                      <m:t>a</m:t>
                    </m:r>
                  </m:e>
                  <m:sup>
                    <m:r>
                      <w:rPr>
                        <w:rFonts w:ascii="Cambria Math" w:hAnsi="Cambria Math"/>
                      </w:rPr>
                      <m:t>N</m:t>
                    </m:r>
                  </m:sup>
                </m:sSup>
              </m:num>
              <m:den>
                <m:r>
                  <w:rPr>
                    <w:rFonts w:ascii="Cambria Math" w:hAnsi="Cambria Math"/>
                  </w:rPr>
                  <m:t>1-a</m:t>
                </m:r>
              </m:den>
            </m:f>
          </m:e>
        </m:d>
      </m:oMath>
      <w:r w:rsidRPr="00911284">
        <w:t>,</w:t>
      </w:r>
    </w:p>
    <w:p w:rsidR="00911284" w:rsidRPr="00911284" w:rsidRDefault="00911284" w:rsidP="00911284">
      <w:r w:rsidRPr="00911284">
        <w:t xml:space="preserve">as long as r&gt;0, a&lt;1 </w:t>
      </w:r>
    </w:p>
    <w:p w:rsidR="00911284" w:rsidRPr="00911284" w:rsidRDefault="00911284" w:rsidP="00911284">
      <w:r w:rsidRPr="00911284">
        <w:t xml:space="preserve">We can cancel </w:t>
      </w:r>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911284">
        <w:t>and 1=</w:t>
      </w:r>
      <m:oMath>
        <m:r>
          <w:rPr>
            <w:rFonts w:ascii="Cambria Math" w:hAnsi="Cambria Math"/>
          </w:rPr>
          <m:t xml:space="preserve"> c</m:t>
        </m:r>
        <m:d>
          <m:dPr>
            <m:ctrlPr>
              <w:rPr>
                <w:rFonts w:ascii="Cambria Math" w:hAnsi="Cambria Math"/>
                <w:i/>
              </w:rPr>
            </m:ctrlPr>
          </m:dPr>
          <m:e>
            <m:f>
              <m:fPr>
                <m:ctrlPr>
                  <w:rPr>
                    <w:rFonts w:ascii="Cambria Math" w:hAnsi="Cambria Math"/>
                    <w:i/>
                  </w:rPr>
                </m:ctrlPr>
              </m:fPr>
              <m:num>
                <m:r>
                  <w:rPr>
                    <w:rFonts w:ascii="Cambria Math" w:hAnsi="Cambria Math"/>
                  </w:rPr>
                  <m:t xml:space="preserve">   a</m:t>
                </m:r>
              </m:num>
              <m:den>
                <m:r>
                  <w:rPr>
                    <w:rFonts w:ascii="Cambria Math" w:hAnsi="Cambria Math"/>
                  </w:rPr>
                  <m:t>1-a</m:t>
                </m:r>
              </m:den>
            </m:f>
          </m:e>
        </m:d>
      </m:oMath>
      <w:r w:rsidRPr="00911284">
        <w:t>,</w:t>
      </w:r>
    </w:p>
    <w:p w:rsidR="00911284" w:rsidRPr="00911284" w:rsidRDefault="00911284" w:rsidP="00911284">
      <w:r w:rsidRPr="00911284">
        <w:t xml:space="preserve"> c =</w:t>
      </w:r>
      <m:oMath>
        <m:r>
          <w:rPr>
            <w:rFonts w:ascii="Cambria Math" w:hAnsi="Cambria Math"/>
          </w:rPr>
          <m:t xml:space="preserve"> </m:t>
        </m:r>
        <m:f>
          <m:fPr>
            <m:ctrlPr>
              <w:rPr>
                <w:rFonts w:ascii="Cambria Math" w:hAnsi="Cambria Math"/>
                <w:i/>
              </w:rPr>
            </m:ctrlPr>
          </m:fPr>
          <m:num>
            <m:r>
              <w:rPr>
                <w:rFonts w:ascii="Cambria Math" w:hAnsi="Cambria Math"/>
              </w:rPr>
              <m:t>1-a</m:t>
            </m:r>
          </m:num>
          <m:den>
            <m:r>
              <w:rPr>
                <w:rFonts w:ascii="Cambria Math" w:hAnsi="Cambria Math"/>
              </w:rPr>
              <m:t>a</m:t>
            </m:r>
          </m:den>
        </m:f>
        <m:r>
          <w:rPr>
            <w:rFonts w:ascii="Cambria Math" w:hAnsi="Cambria Math"/>
          </w:rPr>
          <m:t xml:space="preserve"> </m:t>
        </m:r>
      </m:oMath>
      <w:r w:rsidRPr="00911284">
        <w:t>=</w:t>
      </w:r>
      <m:oMath>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(1+r)</m:t>
                </m:r>
              </m:den>
            </m:f>
          </m:num>
          <m:den>
            <m:f>
              <m:fPr>
                <m:ctrlPr>
                  <w:rPr>
                    <w:rFonts w:ascii="Cambria Math" w:hAnsi="Cambria Math"/>
                    <w:i/>
                  </w:rPr>
                </m:ctrlPr>
              </m:fPr>
              <m:num>
                <m:r>
                  <w:rPr>
                    <w:rFonts w:ascii="Cambria Math" w:hAnsi="Cambria Math"/>
                  </w:rPr>
                  <m:t>1</m:t>
                </m:r>
              </m:num>
              <m:den>
                <m:r>
                  <w:rPr>
                    <w:rFonts w:ascii="Cambria Math" w:hAnsi="Cambria Math"/>
                  </w:rPr>
                  <m:t>(1+r)</m:t>
                </m:r>
              </m:den>
            </m:f>
          </m:den>
        </m:f>
        <m:r>
          <w:rPr>
            <w:rFonts w:ascii="Cambria Math" w:hAnsi="Cambria Math"/>
          </w:rPr>
          <m:t xml:space="preserve"> </m:t>
        </m:r>
      </m:oMath>
      <w:r w:rsidRPr="00911284">
        <w:t xml:space="preserve"> . We multiply top and bottom by 1+r,</w:t>
      </w:r>
    </w:p>
    <w:p w:rsidR="00911284" w:rsidRPr="00911284" w:rsidRDefault="00911284" w:rsidP="00911284">
      <w:r w:rsidRPr="00911284">
        <w:t>c=</w:t>
      </w:r>
      <m:oMath>
        <m:f>
          <m:fPr>
            <m:ctrlPr>
              <w:rPr>
                <w:rFonts w:ascii="Cambria Math" w:hAnsi="Cambria Math"/>
                <w:i/>
              </w:rPr>
            </m:ctrlPr>
          </m:fPr>
          <m:num>
            <m:r>
              <w:rPr>
                <w:rFonts w:ascii="Cambria Math" w:hAnsi="Cambria Math"/>
              </w:rPr>
              <m:t>1+r-1</m:t>
            </m:r>
          </m:num>
          <m:den>
            <m:r>
              <w:rPr>
                <w:rFonts w:ascii="Cambria Math" w:hAnsi="Cambria Math"/>
              </w:rPr>
              <m:t>1</m:t>
            </m:r>
          </m:den>
        </m:f>
      </m:oMath>
      <w:r w:rsidRPr="00911284">
        <w:t>=r</w:t>
      </w:r>
    </w:p>
    <w:p w:rsidR="00911284" w:rsidRPr="00911284" w:rsidRDefault="00911284" w:rsidP="00911284">
      <w:r w:rsidRPr="00911284">
        <w:t>This proof demonstrates that if the discount rate is equal to the 5 year rate at the beginning of the regulatory period, then the RAB at time t+5 will be the same as at time t as long as the allowed rate of return in the cash flows is equal to the 5 year rate. The same property will be true if we use the 10 year rate to discount cash flows with as long as the allowed rate of return in the cash flows is equal to the discount rate used. Also the value of N is arbitrary, so the above would be true if the regulatory period is five years, or ten years, or some other period.</w:t>
      </w:r>
    </w:p>
    <w:p w:rsidR="00911284" w:rsidRPr="00911284" w:rsidRDefault="00911284" w:rsidP="00911284">
      <w:r w:rsidRPr="00911284">
        <w:t>It would matter, however, if we used the 10 year rate for discounting and the 5 year rate for the allowed rate of return in the cash flows (or vice-versa) and, because the term structure had appreciable slope, these two numbers were notably different. However, our use of a 10 year return on debt does not imply an allowed return materially above the appropriate discount rate, particularly given we do not explicitly provide allowances for certain costs as we noted in footnote 1106 of our draft decision</w:t>
      </w:r>
      <w:r w:rsidR="009C2AEA">
        <w:t xml:space="preserve"> for AusNet Transmission</w:t>
      </w:r>
      <w:r w:rsidRPr="00911284">
        <w:t>.</w:t>
      </w:r>
      <w:r w:rsidRPr="00911284">
        <w:rPr>
          <w:rStyle w:val="FootnoteReference"/>
        </w:rPr>
        <w:footnoteReference w:id="1561"/>
      </w:r>
      <w:r w:rsidRPr="00911284">
        <w:t xml:space="preserve"> Our commentary on this point was also noted by our consultants.</w:t>
      </w:r>
      <w:r w:rsidRPr="00911284">
        <w:rPr>
          <w:rStyle w:val="FootnoteReference"/>
        </w:rPr>
        <w:footnoteReference w:id="1562"/>
      </w:r>
      <w:r w:rsidRPr="00911284">
        <w:t xml:space="preserve"> </w:t>
      </w:r>
    </w:p>
    <w:p w:rsidR="00911284" w:rsidRPr="00911284" w:rsidRDefault="00911284" w:rsidP="00911284">
      <w:r w:rsidRPr="00911284">
        <w:t>Having fully considered CEG's arguments and sought and received advice on the matter, we remain of the view our mathematical proof is valid in demonstrating why a full transition is necessary to achieve the ARORO.</w:t>
      </w:r>
    </w:p>
    <w:p w:rsidR="00911284" w:rsidRPr="00911284" w:rsidRDefault="00911284" w:rsidP="00911284"/>
    <w:p w:rsidR="00911284" w:rsidRPr="00911284" w:rsidRDefault="00911284" w:rsidP="00911284">
      <w:pPr>
        <w:pStyle w:val="HeadingBoldBlue"/>
      </w:pPr>
      <w:r w:rsidRPr="00911284">
        <w:t xml:space="preserve">Proposals for a hybrid approach based on partial hedging </w:t>
      </w:r>
    </w:p>
    <w:p w:rsidR="00911284" w:rsidRPr="00911284" w:rsidRDefault="00911284" w:rsidP="00F6068B">
      <w:r w:rsidRPr="00911284">
        <w:t xml:space="preserve">Several service providers previously submitted that if we do not accept their first preference to adopt an immediate transition, we should apply a hybrid transition based on the assumption that a benchmark efficient entity would only </w:t>
      </w:r>
      <w:r w:rsidR="00F6068B">
        <w:t xml:space="preserve">have </w:t>
      </w:r>
      <w:r w:rsidRPr="00911284">
        <w:t>hedge</w:t>
      </w:r>
      <w:r w:rsidR="00F6068B">
        <w:t>d</w:t>
      </w:r>
      <w:r w:rsidRPr="00911284">
        <w:t xml:space="preserve"> one third of the base rate</w:t>
      </w:r>
      <w:r w:rsidR="00F6068B">
        <w:t xml:space="preserve"> in response to previous regulatory decisions</w:t>
      </w:r>
      <w:r w:rsidRPr="00911284">
        <w:t>.</w:t>
      </w:r>
      <w:r w:rsidRPr="00911284">
        <w:rPr>
          <w:rStyle w:val="FootnoteReference"/>
        </w:rPr>
        <w:footnoteReference w:id="1563"/>
      </w:r>
      <w:r w:rsidRPr="00911284">
        <w:t xml:space="preserve"> </w:t>
      </w:r>
      <w:r w:rsidR="00F6068B">
        <w:t>W</w:t>
      </w:r>
      <w:r w:rsidR="00534313">
        <w:t xml:space="preserve">e are not satisfied that this ultimately has a material </w:t>
      </w:r>
      <w:r w:rsidR="00A65A7E">
        <w:t>effect</w:t>
      </w:r>
      <w:r w:rsidR="00534313">
        <w:t xml:space="preserve"> on what we consider to be a key factor that we must have regard to when setting the return on debt, namely, the need to promote efficient investment under the NGO having regard to each of the Revenue and Pricing Principles. This is encapsulated in the NPV=0 consideration </w:t>
      </w:r>
      <w:r w:rsidR="009C2AEA">
        <w:t xml:space="preserve">and the need to set ex ante efficient allowances to achieve this outcome </w:t>
      </w:r>
      <w:r w:rsidR="00534313">
        <w:t>(explained</w:t>
      </w:r>
      <w:r w:rsidR="009C2AEA">
        <w:t xml:space="preserve"> in section </w:t>
      </w:r>
      <w:r w:rsidR="00086D89">
        <w:fldChar w:fldCharType="begin"/>
      </w:r>
      <w:r w:rsidR="00086D89">
        <w:instrText xml:space="preserve"> REF _Ref446603900 \r \h </w:instrText>
      </w:r>
      <w:r w:rsidR="00086D89">
        <w:fldChar w:fldCharType="separate"/>
      </w:r>
      <w:r w:rsidR="002C24D6">
        <w:t>J.2.1</w:t>
      </w:r>
      <w:r w:rsidR="00086D89">
        <w:fldChar w:fldCharType="end"/>
      </w:r>
      <w:r w:rsidR="00534313">
        <w:t>)</w:t>
      </w:r>
    </w:p>
    <w:p w:rsidR="00911284" w:rsidRPr="00911284" w:rsidRDefault="00534313" w:rsidP="00911284">
      <w:r>
        <w:t xml:space="preserve">Nevertheless, we make these observations. </w:t>
      </w:r>
      <w:r w:rsidR="00911284" w:rsidRPr="00911284">
        <w:t>First, observed practices of regulated energy network firms appear more consistent with a benchmark assumption of 100 per cent hedging than one third hedging (of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00911284" w:rsidRPr="00911284">
        <w:rPr>
          <w:rStyle w:val="FootnoteReference"/>
        </w:rPr>
        <w:footnoteReference w:id="1564"/>
      </w:r>
      <w:r w:rsidR="00911284" w:rsidRPr="00911284">
        <w:t xml:space="preserve"> More recently, we collected return on debt data from a number of regulated energy network service providers. This data corroborated our findings from the 2009 WACC review.</w:t>
      </w:r>
      <w:r w:rsidR="00911284" w:rsidRPr="00911284">
        <w:rPr>
          <w:rStyle w:val="FootnoteReference"/>
        </w:rPr>
        <w:footnoteReference w:id="1565"/>
      </w:r>
      <w:r w:rsidR="00911284" w:rsidRPr="00911284">
        <w:t xml:space="preserve"> Recent annual reports also show similar findings.</w:t>
      </w:r>
      <w:r w:rsidR="00911284" w:rsidRPr="00911284">
        <w:rPr>
          <w:rStyle w:val="FootnoteReference"/>
        </w:rPr>
        <w:footnoteReference w:id="1566"/>
      </w:r>
      <w:r w:rsidR="00911284" w:rsidRPr="00911284">
        <w:t xml:space="preserve"> </w:t>
      </w:r>
    </w:p>
    <w:p w:rsidR="00911284" w:rsidRPr="00911284" w:rsidRDefault="00911284" w:rsidP="009C2AEA">
      <w:r w:rsidRPr="00911284">
        <w:t>Second, we do not consider an on-the-day approach would require compensation for swap transaction costs. Several service providers have previously proposed to add an allowance for swap transaction costs to their return on debt each year if a hybrid transition (full or partial) is used.</w:t>
      </w:r>
      <w:r w:rsidR="003664FC">
        <w:rPr>
          <w:rStyle w:val="FootnoteReference"/>
        </w:rPr>
        <w:footnoteReference w:id="1567"/>
      </w:r>
      <w:r w:rsidRPr="00911284">
        <w:t xml:space="preserve"> This is in line with CEG's advice (or references to Chairmont).</w:t>
      </w:r>
      <w:r w:rsidR="003664FC">
        <w:rPr>
          <w:rStyle w:val="FootnoteReference"/>
        </w:rPr>
        <w:footnoteReference w:id="1568"/>
      </w:r>
      <w:r w:rsidRPr="00911284">
        <w:t xml:space="preserve"> We note that service providers in prior decisions requested this allowance if we apply a hybrid transition to a trailing average.</w:t>
      </w:r>
      <w:r w:rsidR="003664FC">
        <w:rPr>
          <w:rStyle w:val="FootnoteReference"/>
        </w:rPr>
        <w:footnoteReference w:id="1569"/>
      </w:r>
      <w:r w:rsidR="003664FC" w:rsidRPr="00911284">
        <w:t xml:space="preserve"> </w:t>
      </w:r>
      <w:r w:rsidRPr="00911284">
        <w:t>We maintain our view from our recent decisions.</w:t>
      </w:r>
      <w:r w:rsidR="003664FC">
        <w:rPr>
          <w:rStyle w:val="FootnoteReference"/>
        </w:rPr>
        <w:footnoteReference w:id="1570"/>
      </w:r>
      <w:r w:rsidRPr="00911284">
        <w:t xml:space="preserve"> That is:</w:t>
      </w:r>
    </w:p>
    <w:p w:rsidR="00911284" w:rsidRPr="00911284" w:rsidRDefault="00911284" w:rsidP="00911284">
      <w:pPr>
        <w:pStyle w:val="AERbulletlistfirststyle"/>
      </w:pPr>
      <w:r w:rsidRPr="00911284">
        <w:t>We are not satisfied that customers should pay for the service providers' reduction in interest rate risk that results from hedging</w:t>
      </w:r>
      <w:r w:rsidR="00F6068B">
        <w:t xml:space="preserve"> undertaken in the past</w:t>
      </w:r>
      <w:r w:rsidRPr="00911284">
        <w:t>. CEG in its January 2016 report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911284">
        <w:rPr>
          <w:rStyle w:val="FootnoteReference"/>
        </w:rPr>
        <w:footnoteReference w:id="1571"/>
      </w:r>
      <w:r w:rsidRPr="00911284">
        <w:t xml:space="preserve"> We disagree. We consider a rate of return that meets the ARORO must provide for ex-ante efficient compensation (see section </w:t>
      </w:r>
      <w:r w:rsidRPr="00911284">
        <w:fldChar w:fldCharType="begin"/>
      </w:r>
      <w:r w:rsidRPr="00911284">
        <w:instrText xml:space="preserve"> REF _Ref444778432 \r \h </w:instrText>
      </w:r>
      <w:r w:rsidRPr="00911284">
        <w:fldChar w:fldCharType="separate"/>
      </w:r>
      <w:r w:rsidR="002C24D6">
        <w:t>J.2</w:t>
      </w:r>
      <w:r w:rsidRPr="00911284">
        <w:fldChar w:fldCharType="end"/>
      </w:r>
      <w:r w:rsidRPr="00911284">
        <w:t>), and this view does not invalidate our reference to the NERA report.</w:t>
      </w:r>
    </w:p>
    <w:p w:rsidR="00911284" w:rsidRPr="00911284" w:rsidRDefault="00911284" w:rsidP="00911284">
      <w:pPr>
        <w:pStyle w:val="AERbulletlistfirststyle"/>
      </w:pPr>
      <w:r w:rsidRPr="00911284">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 hedge when the benefits outweigh the costs, stating that this 'suggests the costs are covered by the value enhancement that results'.</w:t>
      </w:r>
      <w:r w:rsidRPr="00911284">
        <w:rPr>
          <w:rStyle w:val="FootnoteReference"/>
        </w:rPr>
        <w:footnoteReference w:id="1572"/>
      </w:r>
    </w:p>
    <w:p w:rsidR="00911284" w:rsidRPr="00911284" w:rsidRDefault="00911284" w:rsidP="00911284">
      <w:pPr>
        <w:pStyle w:val="AERbulletlistfirststyle"/>
      </w:pPr>
      <w:r w:rsidRPr="00911284">
        <w:t>We agree with Lally's advice that hedging would have been self-funding because the saving in converting 10 year debt into five year debt would have offset the cost of the hedge. Moreover, there is wide support for the view that interest rates on longer-term debt securities are often higher than those on shorter-term debt securities.</w:t>
      </w:r>
      <w:r w:rsidRPr="00911284">
        <w:rPr>
          <w:rStyle w:val="FootnoteReference"/>
        </w:rPr>
        <w:footnoteReference w:id="1573"/>
      </w:r>
      <w:r w:rsidRPr="00911284">
        <w:t xml:space="preserve"> Therefore, even if we are incorrect in assuming hedging costs do not need compensation, we have effectively provided an allowance for these costs by using a ten year term on the base rate.</w:t>
      </w:r>
    </w:p>
    <w:p w:rsidR="00A933BB" w:rsidRDefault="00A933BB" w:rsidP="00A933BB">
      <w:pPr>
        <w:pStyle w:val="Heading7"/>
      </w:pPr>
      <w:bookmarkStart w:id="466" w:name="_Ref484514175"/>
      <w:bookmarkStart w:id="467" w:name="_Toc487037220"/>
      <w:r>
        <w:t>Return on debt implementation</w:t>
      </w:r>
      <w:bookmarkEnd w:id="401"/>
      <w:bookmarkEnd w:id="466"/>
      <w:bookmarkEnd w:id="467"/>
    </w:p>
    <w:p w:rsidR="00EB7679" w:rsidRDefault="00EB7679" w:rsidP="00EB7679">
      <w:bookmarkStart w:id="468" w:name="_Ref452629353"/>
      <w:bookmarkStart w:id="469" w:name="_Toc456686775"/>
      <w:r>
        <w:t>This section sets out our detailed analysis of the key issues raised by stakeholders relating to the implementation of the return on debt approach. The analysis is set out in the following sections:</w:t>
      </w:r>
    </w:p>
    <w:p w:rsidR="00EB7679" w:rsidRPr="00A933BB" w:rsidRDefault="00EB7679" w:rsidP="00EB7679">
      <w:pPr>
        <w:pStyle w:val="AERbulletlistfirststyle"/>
      </w:pPr>
      <w:r>
        <w:t>criticisms of our current approach</w:t>
      </w:r>
    </w:p>
    <w:p w:rsidR="00EB7679" w:rsidRDefault="00EB7679" w:rsidP="00EB7679">
      <w:pPr>
        <w:pStyle w:val="AERbulletlistsecondstyle"/>
      </w:pPr>
      <w:r>
        <w:t>CEG’s curve criteria</w:t>
      </w:r>
    </w:p>
    <w:p w:rsidR="00EB7679" w:rsidRDefault="00EB7679" w:rsidP="00EB7679">
      <w:pPr>
        <w:pStyle w:val="AERbulletlistsecondstyle"/>
      </w:pPr>
      <w:r>
        <w:t>issues with the RBA curve</w:t>
      </w:r>
    </w:p>
    <w:p w:rsidR="00EB7679" w:rsidRDefault="00EB7679" w:rsidP="00EB7679">
      <w:pPr>
        <w:pStyle w:val="AERbulletlistsecondstyle"/>
      </w:pPr>
      <w:r>
        <w:t>the issue of sample size</w:t>
      </w:r>
    </w:p>
    <w:p w:rsidR="00EB7679" w:rsidRDefault="00EB7679" w:rsidP="00EB7679">
      <w:pPr>
        <w:pStyle w:val="AERbulletlistsecondstyle"/>
      </w:pPr>
      <w:r>
        <w:t>the Asciano, Mirvac and Jemena bonds</w:t>
      </w:r>
    </w:p>
    <w:p w:rsidR="00EB7679" w:rsidRDefault="00EB7679" w:rsidP="00EB7679">
      <w:pPr>
        <w:pStyle w:val="AERbulletlistsecondstyle"/>
      </w:pPr>
      <w:r>
        <w:t>conservativeness of the current approach</w:t>
      </w:r>
    </w:p>
    <w:p w:rsidR="00EB7679" w:rsidRPr="00A933BB" w:rsidRDefault="00EB7679" w:rsidP="00EB7679">
      <w:pPr>
        <w:pStyle w:val="AERbulletlistfirststyle"/>
      </w:pPr>
      <w:r>
        <w:t>the Thomson Reuters curve</w:t>
      </w:r>
    </w:p>
    <w:p w:rsidR="00EB7679" w:rsidRPr="00A933BB" w:rsidRDefault="00EB7679" w:rsidP="00EB7679">
      <w:pPr>
        <w:pStyle w:val="AERbulletlistfirststyle"/>
      </w:pPr>
      <w:r>
        <w:t>other issues</w:t>
      </w:r>
    </w:p>
    <w:p w:rsidR="00EB7679" w:rsidRDefault="00EB7679" w:rsidP="00EB7679">
      <w:pPr>
        <w:pStyle w:val="AERbulletlistsecondstyle"/>
      </w:pPr>
      <w:r>
        <w:t>choice of extrapolation method</w:t>
      </w:r>
    </w:p>
    <w:p w:rsidR="00EB7679" w:rsidRPr="00A933BB" w:rsidRDefault="00EB7679" w:rsidP="00EB7679">
      <w:pPr>
        <w:pStyle w:val="AERbulletlistfirststyle"/>
      </w:pPr>
      <w:r>
        <w:t>credit rating</w:t>
      </w:r>
    </w:p>
    <w:p w:rsidR="00EB7679" w:rsidRDefault="00EB7679" w:rsidP="00EB7679">
      <w:r w:rsidRPr="00D729CA">
        <w:t xml:space="preserve">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 in time, it is possible that one curve or the other will better reflect the costs of the benchmark entity. However, for the reasons set out in this and previous decisions, we are not satisfied that there is a robust means to quantitatively identify which of the curves </w:t>
      </w:r>
      <w:r>
        <w:t>is the best match</w:t>
      </w:r>
      <w:r w:rsidRPr="00D729CA">
        <w:t>.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EB7679" w:rsidRPr="00D729CA" w:rsidRDefault="00EB7679" w:rsidP="00EB7679">
      <w:r>
        <w:t xml:space="preserve">We note that APTPPL seeks to adopt an approach of using the RBA curve only, which is different from our current approach. We consider it is necessary to include the analysis and reasoning for why we adopted our current approach in the appendix. We also included the material submitted by AusNet and Multinet who have proposed departures from our current approach to estimating the cost of debt. We consider it is necessary to include this material and the responses to the material given we have considered it in reaching our final decision for APTPPL.  </w:t>
      </w:r>
      <w:r w:rsidRPr="00907E8E">
        <w:t xml:space="preserve">  </w:t>
      </w:r>
    </w:p>
    <w:p w:rsidR="00EB7679" w:rsidRPr="00EB7679" w:rsidRDefault="00EB7679" w:rsidP="00EB7679">
      <w:pPr>
        <w:pStyle w:val="Heading8"/>
        <w:numPr>
          <w:ilvl w:val="1"/>
          <w:numId w:val="66"/>
        </w:numPr>
      </w:pPr>
      <w:bookmarkStart w:id="470" w:name="_Toc484089324"/>
      <w:bookmarkStart w:id="471" w:name="_Toc449624775"/>
      <w:bookmarkStart w:id="472" w:name="_Toc451947848"/>
      <w:bookmarkStart w:id="473" w:name="_Toc487037221"/>
      <w:r>
        <w:t>Criticisms of our current approach</w:t>
      </w:r>
      <w:bookmarkEnd w:id="470"/>
      <w:bookmarkEnd w:id="473"/>
    </w:p>
    <w:p w:rsidR="00EB7679" w:rsidRPr="00F95D8F" w:rsidRDefault="00EB7679" w:rsidP="00EB7679">
      <w:r>
        <w:t>The following section details our response to material presented by AusNet in its initial proposal.</w:t>
      </w:r>
    </w:p>
    <w:p w:rsidR="00EB7679" w:rsidRPr="00E1685E" w:rsidRDefault="00EB7679" w:rsidP="00272584"/>
    <w:p w:rsidR="00EB7679" w:rsidRDefault="00EB7679" w:rsidP="00EB7679">
      <w:pPr>
        <w:pStyle w:val="Heading9"/>
      </w:pPr>
      <w:bookmarkStart w:id="474" w:name="_Toc480460914"/>
      <w:bookmarkStart w:id="475" w:name="_Toc487037222"/>
      <w:r>
        <w:t>Using appropriate criteria</w:t>
      </w:r>
      <w:bookmarkEnd w:id="474"/>
      <w:bookmarkEnd w:id="475"/>
    </w:p>
    <w:p w:rsidR="00EB7679" w:rsidRPr="0080170B" w:rsidRDefault="00EB7679" w:rsidP="00EB7679">
      <w:r w:rsidRPr="0080170B">
        <w:t>We consider that decisions on the rate of return are more likely to achieve the allowed rate of return objective if they use estimation methods, financial models, market data and other evidence that are:</w:t>
      </w:r>
      <w:r>
        <w:rPr>
          <w:rStyle w:val="FootnoteReference"/>
        </w:rPr>
        <w:footnoteReference w:id="1574"/>
      </w:r>
      <w:r w:rsidRPr="0080170B">
        <w:t xml:space="preserve"> </w:t>
      </w:r>
    </w:p>
    <w:p w:rsidR="00EB7679" w:rsidRPr="0080170B" w:rsidRDefault="00EB7679" w:rsidP="00EB7679">
      <w:pPr>
        <w:pStyle w:val="AERquote"/>
      </w:pPr>
    </w:p>
    <w:p w:rsidR="00EB7679" w:rsidRPr="0080170B" w:rsidRDefault="00EB7679" w:rsidP="00EB7679">
      <w:pPr>
        <w:pStyle w:val="AERquote"/>
      </w:pPr>
      <w:r w:rsidRPr="0080170B">
        <w:t xml:space="preserve">(1) where applicable, reflective of economic and finance principles and market information </w:t>
      </w:r>
    </w:p>
    <w:p w:rsidR="00EB7679" w:rsidRPr="00A933BB" w:rsidRDefault="00EB7679" w:rsidP="00EB7679">
      <w:pPr>
        <w:pStyle w:val="AERquoteindent1"/>
      </w:pPr>
      <w:r>
        <w:tab/>
      </w:r>
      <w:r w:rsidRPr="00A933BB">
        <w:t>(a)</w:t>
      </w:r>
      <w:r w:rsidRPr="00A933BB">
        <w:tab/>
        <w:t xml:space="preserve">estimation methods and financial models are consistent with well accepted economic and finance principles and informed by sound empirical analysis and robust data </w:t>
      </w:r>
    </w:p>
    <w:p w:rsidR="00EB7679" w:rsidRPr="0080170B" w:rsidRDefault="00EB7679" w:rsidP="00EB7679">
      <w:pPr>
        <w:pStyle w:val="AERquote"/>
      </w:pPr>
      <w:r w:rsidRPr="0080170B">
        <w:t xml:space="preserve">(2) fit for purpose </w:t>
      </w:r>
    </w:p>
    <w:p w:rsidR="00EB7679" w:rsidRPr="00A933BB" w:rsidRDefault="00EB7679" w:rsidP="00EB7679">
      <w:pPr>
        <w:pStyle w:val="AERquote"/>
      </w:pPr>
      <w:r>
        <w:tab/>
      </w:r>
      <w:r w:rsidRPr="00A933BB">
        <w:t xml:space="preserve">(a) </w:t>
      </w:r>
      <w:r w:rsidRPr="00A933BB">
        <w:tab/>
        <w:t xml:space="preserve">the use of estimation methods, financial models, market data and other evidence should be consistent with the original purpose for which it was compiled and have regard to the limitations of that purpose </w:t>
      </w:r>
    </w:p>
    <w:p w:rsidR="00EB7679" w:rsidRPr="0080170B" w:rsidRDefault="00EB7679" w:rsidP="00EB7679">
      <w:pPr>
        <w:pStyle w:val="AERquote"/>
      </w:pPr>
      <w:r>
        <w:tab/>
      </w:r>
      <w:r w:rsidRPr="0080170B">
        <w:t>(b)</w:t>
      </w:r>
      <w:r>
        <w:tab/>
      </w:r>
      <w:r w:rsidRPr="0080170B">
        <w:t xml:space="preserve">promote simple over complex approaches where appropriate </w:t>
      </w:r>
    </w:p>
    <w:p w:rsidR="00EB7679" w:rsidRPr="0080170B" w:rsidRDefault="00EB7679" w:rsidP="00EB7679">
      <w:pPr>
        <w:pStyle w:val="AERquote"/>
      </w:pPr>
      <w:r w:rsidRPr="0080170B">
        <w:t xml:space="preserve">(3) implemented in accordance with good practice </w:t>
      </w:r>
    </w:p>
    <w:p w:rsidR="00EB7679" w:rsidRPr="00A933BB" w:rsidRDefault="00EB7679" w:rsidP="00EB7679">
      <w:pPr>
        <w:pStyle w:val="AERquote"/>
      </w:pPr>
      <w:r>
        <w:tab/>
      </w:r>
      <w:r w:rsidRPr="00A933BB">
        <w:t xml:space="preserve">(a) </w:t>
      </w:r>
      <w:r w:rsidRPr="00A933BB">
        <w:tab/>
        <w:t xml:space="preserve">supported by robust, transparent and replicable analysis that is derived from available credible datasets </w:t>
      </w:r>
    </w:p>
    <w:p w:rsidR="00EB7679" w:rsidRPr="0080170B" w:rsidRDefault="00EB7679" w:rsidP="00EB7679">
      <w:pPr>
        <w:pStyle w:val="AERquote"/>
      </w:pPr>
      <w:r w:rsidRPr="0080170B">
        <w:t xml:space="preserve">(4) where models of the return on equity and debt are used these are </w:t>
      </w:r>
    </w:p>
    <w:p w:rsidR="00EB7679" w:rsidRPr="00A933BB" w:rsidRDefault="00EB7679" w:rsidP="00EB7679">
      <w:pPr>
        <w:pStyle w:val="AERquote"/>
      </w:pPr>
      <w:r>
        <w:tab/>
      </w:r>
      <w:r w:rsidRPr="00A933BB">
        <w:t xml:space="preserve">(a) </w:t>
      </w:r>
      <w:r w:rsidRPr="00A933BB">
        <w:tab/>
        <w:t xml:space="preserve">based on quantitative modelling that is sufficiently robust as to not be unduly sensitive to errors in inputs estimation </w:t>
      </w:r>
    </w:p>
    <w:p w:rsidR="00EB7679" w:rsidRPr="00A933BB" w:rsidRDefault="00EB7679" w:rsidP="00EB7679">
      <w:pPr>
        <w:pStyle w:val="AERquote"/>
      </w:pPr>
      <w:r>
        <w:tab/>
      </w:r>
      <w:r w:rsidRPr="00A933BB">
        <w:t xml:space="preserve">(b) </w:t>
      </w:r>
      <w:r w:rsidRPr="00A933BB">
        <w:tab/>
        <w:t xml:space="preserve">based on quantitative modelling which avoids arbitrary filtering or adjustment of data, which does not have a sound rationale </w:t>
      </w:r>
    </w:p>
    <w:p w:rsidR="00EB7679" w:rsidRPr="0080170B" w:rsidRDefault="00EB7679" w:rsidP="00EB7679">
      <w:pPr>
        <w:pStyle w:val="AERquote"/>
      </w:pPr>
      <w:r w:rsidRPr="0080170B">
        <w:t xml:space="preserve">(5) where market data and other information is used, this information is </w:t>
      </w:r>
    </w:p>
    <w:p w:rsidR="00EB7679" w:rsidRPr="0080170B" w:rsidRDefault="00EB7679" w:rsidP="00EB7679">
      <w:pPr>
        <w:pStyle w:val="AERquote"/>
      </w:pPr>
      <w:r>
        <w:tab/>
      </w:r>
      <w:r w:rsidRPr="0080170B">
        <w:t xml:space="preserve">(a) </w:t>
      </w:r>
      <w:r>
        <w:tab/>
      </w:r>
      <w:r w:rsidRPr="0080170B">
        <w:t xml:space="preserve">credible and verifiable </w:t>
      </w:r>
    </w:p>
    <w:p w:rsidR="00EB7679" w:rsidRPr="0080170B" w:rsidRDefault="00EB7679" w:rsidP="00EB7679">
      <w:pPr>
        <w:pStyle w:val="AERquote"/>
      </w:pPr>
      <w:r>
        <w:tab/>
      </w:r>
      <w:r w:rsidRPr="0080170B">
        <w:t>(b)</w:t>
      </w:r>
      <w:r>
        <w:tab/>
      </w:r>
      <w:r w:rsidRPr="0080170B">
        <w:t xml:space="preserve">comparable and timely </w:t>
      </w:r>
    </w:p>
    <w:p w:rsidR="00EB7679" w:rsidRPr="0080170B" w:rsidRDefault="00EB7679" w:rsidP="00EB7679">
      <w:pPr>
        <w:pStyle w:val="AERquote"/>
      </w:pPr>
      <w:r>
        <w:tab/>
      </w:r>
      <w:r w:rsidRPr="0080170B">
        <w:t xml:space="preserve">(c) </w:t>
      </w:r>
      <w:r>
        <w:tab/>
      </w:r>
      <w:r w:rsidRPr="0080170B">
        <w:t xml:space="preserve">clearly sourced </w:t>
      </w:r>
    </w:p>
    <w:p w:rsidR="00EB7679" w:rsidRPr="0080170B" w:rsidRDefault="00EB7679" w:rsidP="00EB7679">
      <w:pPr>
        <w:pStyle w:val="AERquote"/>
      </w:pPr>
      <w:r w:rsidRPr="0080170B">
        <w:t xml:space="preserve">(6) sufficiently flexible as to allow changing </w:t>
      </w:r>
    </w:p>
    <w:p w:rsidR="00EB7679" w:rsidRDefault="00EB7679" w:rsidP="00EB7679">
      <w:r>
        <w:t>These criteria are in the rate of return guideline and have been through a rigorous consultation process. When making our decisions we are required to have regard to the revenue and pricing principles. We have to give consideration to the need for network service prices and charges to provide returns commensurate with both regulatory and commercial risks involved in providing the services. We must also have regard to the economic risks of under or over investment. We seek to minimise regulatory uncertainty through consistency in the application of our regulatory approaches, after having undertaken rigorous consultation and testing of those approaches.</w:t>
      </w:r>
    </w:p>
    <w:p w:rsidR="00EB7679" w:rsidRPr="00D729CA" w:rsidRDefault="00EB7679" w:rsidP="00EB7679">
      <w:r>
        <w:t>W</w:t>
      </w:r>
      <w:r w:rsidRPr="00D729CA">
        <w:t>e are not persuaded by the methodology</w:t>
      </w:r>
      <w:r>
        <w:t xml:space="preserve"> to assess curves</w:t>
      </w:r>
      <w:r w:rsidRPr="00D729CA">
        <w:t xml:space="preserve"> adopted by CEG</w:t>
      </w:r>
      <w:r>
        <w:t xml:space="preserve"> and included as part of AusNet's initial proposal</w:t>
      </w:r>
      <w:r w:rsidRPr="00D729CA">
        <w:t>.</w:t>
      </w:r>
      <w:r w:rsidRPr="00D729CA">
        <w:rPr>
          <w:rStyle w:val="FootnoteReference"/>
        </w:rPr>
        <w:footnoteReference w:id="1575"/>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576"/>
      </w:r>
      <w:r w:rsidRPr="00D729CA">
        <w:t xml:space="preserve"> As noted recently by the Tribunal in relation to the choice of data sets adopted in our guideline:</w:t>
      </w:r>
    </w:p>
    <w:p w:rsidR="00EB7679" w:rsidRPr="00D729CA" w:rsidRDefault="00EB7679" w:rsidP="00EB7679">
      <w:pPr>
        <w:pStyle w:val="AERquote"/>
      </w:pPr>
      <w:r w:rsidRPr="00D729CA">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D729CA">
        <w:rPr>
          <w:rStyle w:val="FootnoteReference"/>
        </w:rPr>
        <w:footnoteReference w:id="1577"/>
      </w:r>
    </w:p>
    <w:p w:rsidR="00EB7679" w:rsidRPr="00D729CA" w:rsidRDefault="00EB7679" w:rsidP="00EB7679">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EB7679" w:rsidRDefault="00EB7679" w:rsidP="00EB7679">
      <w:pPr>
        <w:pStyle w:val="Heading9"/>
      </w:pPr>
      <w:bookmarkStart w:id="476" w:name="_Toc480460915"/>
      <w:bookmarkStart w:id="477" w:name="_Toc487037223"/>
      <w:r>
        <w:t>Issues with the RBA curve</w:t>
      </w:r>
      <w:bookmarkEnd w:id="476"/>
      <w:bookmarkEnd w:id="477"/>
    </w:p>
    <w:p w:rsidR="00EB7679" w:rsidRDefault="00EB7679" w:rsidP="00EB7679">
      <w:r>
        <w:t xml:space="preserve">Overall, we remain unpersuaded that either the BVAL or RBA curve is clearly superior for the purposes of estimating the return on debt required to achieve the ARORO. </w:t>
      </w:r>
    </w:p>
    <w:p w:rsidR="00EB7679" w:rsidRDefault="00EB7679" w:rsidP="00EB7679">
      <w:r>
        <w:t>In making our decisions to adopt a simple average of the BVAL and RBA curves, we have consistently identified that both curves exhibit both strengths and weaknesses. The submissions made by AusNet Services have focussed primarily on alleged shortcomings in the BVAL curve. However, in our view these submissions have not fully engaged with the shortcomings of the RBA curve. Below, we discuss:</w:t>
      </w:r>
    </w:p>
    <w:p w:rsidR="00EB7679" w:rsidRPr="00A933BB" w:rsidRDefault="00EB7679" w:rsidP="00EB7679">
      <w:pPr>
        <w:pStyle w:val="AERbulletlistfirststyle"/>
      </w:pPr>
      <w:r>
        <w:t>Difficulties with relying on foreign bonds</w:t>
      </w:r>
    </w:p>
    <w:p w:rsidR="00EB7679" w:rsidRPr="00A933BB" w:rsidRDefault="00EB7679" w:rsidP="00EB7679">
      <w:pPr>
        <w:pStyle w:val="AERbulletlistsecondstyle"/>
      </w:pPr>
      <w:r>
        <w:t>Data quality of Australian bonds denominated in other currencies</w:t>
      </w:r>
    </w:p>
    <w:p w:rsidR="00EB7679" w:rsidRPr="00A933BB" w:rsidRDefault="00EB7679" w:rsidP="00EB7679">
      <w:pPr>
        <w:pStyle w:val="AERbulletlistsecondstyle"/>
      </w:pPr>
      <w:r>
        <w:t>Bloomberg and Thomson Reuters both exclude foreign denominated data</w:t>
      </w:r>
    </w:p>
    <w:p w:rsidR="00EB7679" w:rsidRPr="00A933BB" w:rsidRDefault="00EB7679" w:rsidP="00EB7679">
      <w:pPr>
        <w:pStyle w:val="AERbulletlistsecondstyle"/>
      </w:pPr>
      <w:r>
        <w:t>Failure</w:t>
      </w:r>
      <w:r w:rsidRPr="00A933BB">
        <w:t xml:space="preserve"> of covered interest parity</w:t>
      </w:r>
    </w:p>
    <w:p w:rsidR="00EB7679" w:rsidRPr="00A933BB" w:rsidRDefault="00EB7679" w:rsidP="00EB7679">
      <w:pPr>
        <w:pStyle w:val="AERbulletlistfirststyle"/>
      </w:pPr>
      <w:r>
        <w:t>Monthly publication</w:t>
      </w:r>
    </w:p>
    <w:p w:rsidR="00EB7679" w:rsidRPr="00A933BB" w:rsidRDefault="00EB7679" w:rsidP="00EB7679">
      <w:pPr>
        <w:pStyle w:val="AERbulletlistfirststyle"/>
      </w:pPr>
      <w:r>
        <w:t>Inclusion of bonds with embedded options</w:t>
      </w:r>
    </w:p>
    <w:p w:rsidR="00EB7679" w:rsidRPr="00A933BB" w:rsidRDefault="00EB7679" w:rsidP="00EB7679">
      <w:pPr>
        <w:pStyle w:val="AERbulletlistfirststyle"/>
      </w:pPr>
      <w:r>
        <w:t>Inclusion of secured bonds.</w:t>
      </w:r>
    </w:p>
    <w:p w:rsidR="00EB7679" w:rsidRDefault="00EB7679" w:rsidP="00EB7679">
      <w:r>
        <w:t xml:space="preserve">Overall, our view remains that both the Bloomberg and RBA curves have strengths and weaknesses. However, we note that in many cases the Bloomberg and Thomson Reuters curves adopt similar bond selection criteria, and that both of these providers differ materially from the RBA bond selection criteria. While neither set of criteria is clearly superior, our confidence in the BVAL criteria and the view the RBA is not superior in this regard, is reinforced by the similarities between the approaches adopted by these independent commercial providers of yield curve estimates. </w:t>
      </w:r>
    </w:p>
    <w:p w:rsidR="00EB7679" w:rsidRPr="00EB7679" w:rsidRDefault="00EB7679" w:rsidP="00EB7679">
      <w:pPr>
        <w:pStyle w:val="HeadingBoldBlue"/>
        <w:rPr>
          <w:rStyle w:val="AERtextorange"/>
        </w:rPr>
      </w:pPr>
      <w:bookmarkStart w:id="478" w:name="_Toc480460916"/>
      <w:r w:rsidRPr="00EB7679">
        <w:rPr>
          <w:rStyle w:val="AERtextorange"/>
        </w:rPr>
        <w:t>Difficulties with relying on foreign bonds</w:t>
      </w:r>
      <w:bookmarkEnd w:id="478"/>
    </w:p>
    <w:p w:rsidR="00EB7679" w:rsidRPr="00306D87" w:rsidRDefault="00EB7679" w:rsidP="00EB7679">
      <w:r>
        <w:t>AusNet Services and CEG have submitted that the RBA curve is a clearly better fit to the benchmark efficient entity due to its relatively high composition of foreign bonds matching historical patterns of issuance.</w:t>
      </w:r>
      <w:r>
        <w:rPr>
          <w:rStyle w:val="FootnoteReference"/>
        </w:rPr>
        <w:footnoteReference w:id="1578"/>
      </w:r>
      <w:r>
        <w:t xml:space="preserve"> However, we are not persuaded by this analysis. While we agree there is evidence that the benchmark efficient entity may issue some or a large proportion of its debt in foreign markets, the RBA curve is affected by the issues raised below.</w:t>
      </w:r>
    </w:p>
    <w:p w:rsidR="00EB7679" w:rsidRDefault="00EB7679" w:rsidP="00EB7679">
      <w:pPr>
        <w:pStyle w:val="HeadingItalic"/>
      </w:pPr>
      <w:bookmarkStart w:id="479" w:name="_Toc480460917"/>
      <w:r>
        <w:t>Data quality of Australian bonds denominated in other currencies</w:t>
      </w:r>
      <w:bookmarkEnd w:id="479"/>
    </w:p>
    <w:p w:rsidR="00EB7679" w:rsidRDefault="00EB7679" w:rsidP="00EB7679">
      <w:r>
        <w:t>In making our initial decision to rely on the BVAL and RBA curves we considered expert evidence from both Lally and the ACCC Regulatory Economics unit (ACCC REU).</w:t>
      </w:r>
      <w:r>
        <w:rPr>
          <w:rStyle w:val="FootnoteReference"/>
        </w:rPr>
        <w:footnoteReference w:id="1579"/>
      </w:r>
      <w:r>
        <w:t xml:space="preserve"> In particular, Lally observed that that the Queensland Treasury Corporation, who raise debt finance, have identified that secondary market activity in these bonds is low and that most of the data is only “indicative non-binding bid and offer quotes”.</w:t>
      </w:r>
      <w:r>
        <w:rPr>
          <w:rStyle w:val="FootnoteReference"/>
        </w:rPr>
        <w:footnoteReference w:id="1580"/>
      </w:r>
      <w:r>
        <w:t xml:space="preserve"> Where bonds are traded infrequently, the pricing data becomes ‘stale’ and is less likely to be reliable. </w:t>
      </w:r>
    </w:p>
    <w:p w:rsidR="00EB7679" w:rsidRDefault="00EB7679" w:rsidP="00EB7679">
      <w:r>
        <w:t>Bloomberg addresses these data-quality issues by the inclusion of a filter based on BVAL scores. The BVAL score is a proprietary measure of the amount and consistency of the market inputs used to calculate each price.</w:t>
      </w:r>
      <w:r>
        <w:rPr>
          <w:rStyle w:val="FootnoteReference"/>
        </w:rPr>
        <w:footnoteReference w:id="1581"/>
      </w:r>
      <w:r>
        <w:t xml:space="preserve"> The RBA curve sources its data from Bloomberg but does not apply a comparable filter,</w:t>
      </w:r>
      <w:r>
        <w:rPr>
          <w:rStyle w:val="FootnoteReference"/>
        </w:rPr>
        <w:footnoteReference w:id="1582"/>
      </w:r>
      <w:r>
        <w:t xml:space="preserve"> and relies on the size of the bond issuance as an indirect filter for data quality. In combination, our view is that a larger sample comprised mostly of foreign bond data is therefore not clearly an improvement in the overall data quality of the sample, and may at times worsen the overall data quality.</w:t>
      </w:r>
    </w:p>
    <w:p w:rsidR="00EB7679" w:rsidRDefault="00EB7679" w:rsidP="00EB7679">
      <w:pPr>
        <w:pStyle w:val="HeadingItalic"/>
      </w:pPr>
      <w:bookmarkStart w:id="480" w:name="_Toc480460918"/>
      <w:r>
        <w:t>Bloomberg and Thomson Reuters both exclude foreign denominated data</w:t>
      </w:r>
      <w:bookmarkEnd w:id="480"/>
    </w:p>
    <w:p w:rsidR="00EB7679" w:rsidRPr="00A933BB" w:rsidRDefault="00EB7679" w:rsidP="00EB7679">
      <w:r>
        <w:t>As noted in previous decisions,</w:t>
      </w:r>
      <w:r>
        <w:rPr>
          <w:rStyle w:val="FootnoteReference"/>
        </w:rPr>
        <w:footnoteReference w:id="1583"/>
      </w:r>
      <w:r>
        <w:t xml:space="preserve"> the RBA curve is the only curve of the three currently available (including Thomson Reuters) to include non-AUD denominated bonds in its curve. In discussing methodological choices with Thomson Reuters, they identified that the Thomson Reuters curve excludes debt issued in other markets because they rely on strong assumptions to compare with AUD bonds on a like-for-like basis.</w:t>
      </w:r>
      <w:r>
        <w:rPr>
          <w:rStyle w:val="FootnoteReference"/>
        </w:rPr>
        <w:footnoteReference w:id="1584"/>
      </w:r>
      <w:r>
        <w:t xml:space="preserve"> In our view, where credible independent experts (Bloomberg and Thomson Reuters) both exclude non-AUD debt from their bond samples despite its impact on sample size, it is reasonable to exercise caution in relying heavily on non-AUD data. </w:t>
      </w:r>
    </w:p>
    <w:p w:rsidR="00EB7679" w:rsidRPr="00306D87" w:rsidRDefault="00EB7679" w:rsidP="00EB7679">
      <w:pPr>
        <w:pStyle w:val="HeadingItalic"/>
      </w:pPr>
      <w:bookmarkStart w:id="481" w:name="_Toc480460919"/>
      <w:r>
        <w:t>Failure of covered interest parity</w:t>
      </w:r>
      <w:bookmarkEnd w:id="481"/>
    </w:p>
    <w:p w:rsidR="00EB7679" w:rsidRDefault="00EB7679" w:rsidP="00EB7679">
      <w:r>
        <w:t>At any point in time, the composition of issued bonds’ currency in the RBA curve will reflect past issuances by Australian owned (or Australian risk origin) entities in foreign markets. As noted by Lally on foreign and domestic debt:</w:t>
      </w:r>
      <w:r>
        <w:rPr>
          <w:rStyle w:val="FootnoteReference"/>
        </w:rPr>
        <w:footnoteReference w:id="1585"/>
      </w:r>
    </w:p>
    <w:p w:rsidR="00EB7679" w:rsidRDefault="00EB7679" w:rsidP="00EB7679">
      <w:pPr>
        <w:pStyle w:val="AERquote"/>
      </w:pPr>
      <w:r>
        <w:t>[A]t every point in time at which the costs of debt for these two types of debt are estimated (in the course of determining a trailing average), the weighting for these types of bonds in the index will reflect earlier issuance decisions (the average term from the issuance of ten-year bonds until a randomly selected secondary market trade on that bond would be about five years), the weights fluctuate over time (see Arsov et al, 2013, Graph 3) because the differential in the costs of debt from the two sources fluctuates over time…</w:t>
      </w:r>
    </w:p>
    <w:p w:rsidR="00EB7679" w:rsidRDefault="00EB7679" w:rsidP="00EB7679">
      <w:r>
        <w:t xml:space="preserve">That composition is appropriate if the cost of issuance (including yield and issuance fees) in different markets is almost identical due to the possibility of arbitrage or if the differences in cost do not change over time. Otherwise, a rational firm would issue into the cheapest market at that particular point in time—taking into account related benefits such as diversification of risk—and not necessarily according to the broad composition of the RBA curve. </w:t>
      </w:r>
    </w:p>
    <w:p w:rsidR="00EB7679" w:rsidRDefault="00EB7679" w:rsidP="00EB7679">
      <w:r>
        <w:t>The equivalence of interest rate and issuance costs in different markets is called Covered Interest Parity. Several papers (for example, Recent Trends in Cross-currency Basis from the Bank of Japan (2016)</w:t>
      </w:r>
      <w:r>
        <w:rPr>
          <w:rStyle w:val="FootnoteReference"/>
        </w:rPr>
        <w:footnoteReference w:id="1586"/>
      </w:r>
      <w:r>
        <w:t xml:space="preserve"> and Deviations from Covered Interest Rate Parity (2016)</w:t>
      </w:r>
      <w:r>
        <w:rPr>
          <w:rStyle w:val="FootnoteReference"/>
        </w:rPr>
        <w:footnoteReference w:id="1587"/>
      </w:r>
      <w:r>
        <w:t>) have shown that since 2014 the Covered Interest Parity may be violated for risk-free assets in several of the main currencies used for issuing bonds. Even if parity did hold for risk-free assets, it may not hold for BBB rated bonds due difficulty creating arbitrage. As such, we would expect that a rational firm would re-evaluate its issuance strategy and possibly vary from its historical domestic-foreign issuance composition.</w:t>
      </w:r>
      <w:r>
        <w:rPr>
          <w:rStyle w:val="FootnoteReference"/>
        </w:rPr>
        <w:footnoteReference w:id="1588"/>
      </w:r>
      <w:r>
        <w:t xml:space="preserve"> As such, we have some concern in relying substantially on an assumption that historical issuance patterns (as reflected in the RBA curve) would remain constant over time. In combination with the other issues discussed in this section, we are therefore not persuaded that the inclusion of foreign bonds in the RBA sample will necessarily be a better fit to the costs faced by the benchmark efficient entity over the forthcoming regulatory period.</w:t>
      </w:r>
    </w:p>
    <w:p w:rsidR="00EB7679" w:rsidRPr="00EB7679" w:rsidRDefault="00EB7679" w:rsidP="00EB7679">
      <w:pPr>
        <w:pStyle w:val="HeadingBoldBlue"/>
        <w:rPr>
          <w:rStyle w:val="AERtextorange"/>
        </w:rPr>
      </w:pPr>
      <w:bookmarkStart w:id="482" w:name="_Toc480460920"/>
      <w:r w:rsidRPr="00EB7679">
        <w:rPr>
          <w:rStyle w:val="AERtextorange"/>
        </w:rPr>
        <w:t>Monthly publication</w:t>
      </w:r>
      <w:bookmarkEnd w:id="482"/>
    </w:p>
    <w:p w:rsidR="00EB7679" w:rsidRDefault="00EB7679" w:rsidP="00EB7679">
      <w:r>
        <w:t>While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and Thomson Reuters curves are published daily, which means that we have approximately 20 times as many data points for estimating the spread-to-swap over the course of a month compared to the RBA curve.</w:t>
      </w:r>
      <w:r>
        <w:rPr>
          <w:rStyle w:val="FootnoteReference"/>
        </w:rPr>
        <w:footnoteReference w:id="1589"/>
      </w:r>
      <w:r>
        <w:t xml:space="preserve"> </w:t>
      </w:r>
    </w:p>
    <w:p w:rsidR="00EB7679" w:rsidRDefault="00EB7679" w:rsidP="00EB7679">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EB7679" w:rsidRDefault="00EB7679" w:rsidP="00EB7679">
      <w:pPr>
        <w:pStyle w:val="Caption"/>
      </w:pPr>
      <w:r>
        <w:t xml:space="preserve">Figure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2C24D6">
        <w:rPr>
          <w:noProof/>
        </w:rPr>
        <w:t>18</w:t>
      </w:r>
      <w:r w:rsidRPr="004C4A72">
        <w:fldChar w:fldCharType="end"/>
      </w:r>
      <w:r>
        <w:tab/>
        <w:t>Illustration of monthly publication on sample size and error</w:t>
      </w:r>
    </w:p>
    <w:p w:rsidR="00EB7679" w:rsidRDefault="00EB7679" w:rsidP="00EB7679">
      <w:r w:rsidRPr="00EB7679">
        <w:rPr>
          <w:noProof/>
          <w:lang w:eastAsia="en-AU"/>
        </w:rPr>
        <w:drawing>
          <wp:inline distT="0" distB="0" distL="0" distR="0" wp14:anchorId="4FD1FA84" wp14:editId="45846734">
            <wp:extent cx="5334635" cy="3243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EB7679" w:rsidRDefault="00EB7679" w:rsidP="00EB7679">
      <w:pPr>
        <w:pStyle w:val="AERtablesource"/>
      </w:pPr>
      <w:r>
        <w:t>Source: AER</w:t>
      </w:r>
    </w:p>
    <w:p w:rsidR="00EB7679" w:rsidRDefault="00EB7679" w:rsidP="00EB7679">
      <w:r>
        <w:t xml:space="preserve">In addition, the RBA's publication of data on one day a month masks any underlying daily volatility in its estimates. </w:t>
      </w:r>
    </w:p>
    <w:p w:rsidR="00EB7679" w:rsidRPr="00BD1E51" w:rsidRDefault="00EB7679" w:rsidP="00EB7679">
      <w:pPr>
        <w:pStyle w:val="HeadingBoldBlue"/>
      </w:pPr>
      <w:bookmarkStart w:id="483" w:name="_Toc480460921"/>
      <w:r w:rsidRPr="00BD1E51">
        <w:t>Inclusion of bonds with embedded options</w:t>
      </w:r>
      <w:bookmarkEnd w:id="483"/>
    </w:p>
    <w:p w:rsidR="00EB7679" w:rsidRDefault="00EB7679" w:rsidP="00EB7679">
      <w:r>
        <w:t>The RBA curve, unlike the BVAL and Thomson Reuters curves, includes bonds with embedded options. These embedded options, such as those in callable, convertible or puttable bonds, have an impact on the distribution of risk between issuer and lender and as a consequence have an impact on the bond’s yield.</w:t>
      </w:r>
      <w:r>
        <w:rPr>
          <w:rStyle w:val="FootnoteReference"/>
        </w:rPr>
        <w:footnoteReference w:id="1590"/>
      </w:r>
      <w:r>
        <w:t xml:space="preserve"> As a result, these bonds need to be adjusted to account for the change in yield due to the optionality so that they can be compared on a like-for-like basis with debt without options. This is a complex process, as the conversion requires some strong assumptions. In the RBA’s model, these calculations are outsourced to Bloomberg.</w:t>
      </w:r>
      <w:r>
        <w:rPr>
          <w:rStyle w:val="FootnoteReference"/>
        </w:rPr>
        <w:footnoteReference w:id="1591"/>
      </w:r>
      <w:r>
        <w:t xml:space="preserve"> The BVAL curve’s sample avoids this risk, because it does not include bonds with optionality (other than make-whole options) due to the need for yield conversion.</w:t>
      </w:r>
      <w:r>
        <w:rPr>
          <w:rStyle w:val="FootnoteReference"/>
        </w:rPr>
        <w:footnoteReference w:id="1592"/>
      </w:r>
      <w:r>
        <w:t xml:space="preserve"> Again, we note that Bloomberg and Thomson Reuters adopt a largely consistent approach to excluding bonds with options. </w:t>
      </w:r>
    </w:p>
    <w:p w:rsidR="00EB7679" w:rsidRPr="004C4A72" w:rsidRDefault="00EB7679" w:rsidP="00EB7679">
      <w:pPr>
        <w:pStyle w:val="Heading9"/>
        <w:rPr>
          <w:rStyle w:val="AERtextitalic"/>
        </w:rPr>
      </w:pPr>
      <w:bookmarkStart w:id="484" w:name="_Toc480460922"/>
      <w:bookmarkStart w:id="485" w:name="_Toc487037224"/>
      <w:r w:rsidRPr="004C4A72">
        <w:rPr>
          <w:rStyle w:val="AERtextitalic"/>
        </w:rPr>
        <w:t>CEG's analysis of sample size</w:t>
      </w:r>
      <w:bookmarkEnd w:id="484"/>
      <w:bookmarkEnd w:id="485"/>
    </w:p>
    <w:p w:rsidR="00EB7679" w:rsidRPr="00D729CA" w:rsidRDefault="00EB7679" w:rsidP="00EB7679">
      <w:r w:rsidRPr="00D729CA">
        <w:t>In its reports, CEG has criticised the relatively smaller sample size arising from the BVAL selection criteria compared to the RBA selection criteria.</w:t>
      </w:r>
      <w:r w:rsidRPr="00D729CA">
        <w:rPr>
          <w:rStyle w:val="FootnoteReference"/>
        </w:rPr>
        <w:footnoteReference w:id="1593"/>
      </w:r>
      <w:r w:rsidRPr="00D729CA">
        <w:t xml:space="preserve"> We agree that a large sample size is clearly preferable to a smaller sample where it is clear that </w:t>
      </w:r>
      <w:r>
        <w:t>the additional data won’t introduce bias or increase variance into the estimator</w:t>
      </w:r>
      <w:r w:rsidRPr="00D729CA">
        <w:t>. However:</w:t>
      </w:r>
    </w:p>
    <w:p w:rsidR="00EB7679" w:rsidRPr="00A933BB" w:rsidRDefault="00EB7679" w:rsidP="00EB7679">
      <w:pPr>
        <w:pStyle w:val="AERbulletlistfirststyle"/>
      </w:pPr>
      <w:r w:rsidRPr="00D729CA">
        <w:t xml:space="preserve">where </w:t>
      </w:r>
      <w:r>
        <w:t>this is not clear</w:t>
      </w:r>
      <w:r w:rsidRPr="00A933BB">
        <w:t>, it is a complex exercise to determine whether the benefits of a larger sample outweigh the disadvantages of lower quality data</w:t>
      </w:r>
    </w:p>
    <w:p w:rsidR="00EB7679" w:rsidRPr="00A933BB" w:rsidRDefault="00EB7679" w:rsidP="00EB7679">
      <w:pPr>
        <w:pStyle w:val="AERbulletlistfirststyle"/>
      </w:pPr>
      <w:r w:rsidRPr="00D729CA">
        <w:t>a smaller sample does not imply that a curve is not fit for purpose. A larger sample</w:t>
      </w:r>
      <w:r w:rsidRPr="00A933BB">
        <w:t xml:space="preserve"> (all else being equal) is an advantageous feature of a curve, however it needs to be considered in the context of all of the curve's other features and criteria. </w:t>
      </w:r>
    </w:p>
    <w:p w:rsidR="00EB7679" w:rsidRPr="00A933BB" w:rsidRDefault="00EB7679" w:rsidP="00EB7679">
      <w:r w:rsidRPr="00D729CA">
        <w:t>In its reports, CEG</w:t>
      </w:r>
      <w:r w:rsidRPr="00A933BB">
        <w:t xml:space="preserve"> ignored the impact on the required sample size caused by the inclusion of the shaper curves by Bloomberg. The shaper curves have been created with the use of many bonds outside of the BBB sample and should lower the number of bonds needed in the sample to achieve a curve with a similar MSE (in reference to the BEE’s cost of debt). The RBA method does not use shaper curves. </w:t>
      </w:r>
    </w:p>
    <w:p w:rsidR="00EB7679" w:rsidRPr="00D729CA" w:rsidRDefault="00EB7679" w:rsidP="00EB7679">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594"/>
      </w:r>
      <w:r w:rsidRPr="00D729CA">
        <w:t xml:space="preserve"> While we agree that </w:t>
      </w:r>
      <w:r>
        <w:t>the</w:t>
      </w:r>
      <w:r w:rsidRPr="00D729CA">
        <w:t xml:space="preserve"> RBA curve is based on a larger data sample, we are not persuaded that the relatively smaller BVAL sample will not contribute to an estimate which achieves the allowed rate of return objective.</w:t>
      </w:r>
    </w:p>
    <w:p w:rsidR="00EB7679" w:rsidRDefault="00EB7679" w:rsidP="00EB7679">
      <w:pPr>
        <w:pStyle w:val="Heading9"/>
      </w:pPr>
      <w:bookmarkStart w:id="486" w:name="_Toc480460923"/>
      <w:bookmarkStart w:id="487" w:name="_Toc487037225"/>
      <w:r>
        <w:t>Response of BVAL curve to Asciano, Mirvac and Jemena bonds</w:t>
      </w:r>
      <w:bookmarkEnd w:id="486"/>
      <w:bookmarkEnd w:id="487"/>
      <w:r>
        <w:t xml:space="preserve"> </w:t>
      </w:r>
    </w:p>
    <w:p w:rsidR="00EB7679" w:rsidRDefault="00EB7679" w:rsidP="00EB7679">
      <w:r>
        <w:t xml:space="preserve">A key impetus in choosing an approach that relied on credible, independent third party curves rather than an AER-developed curve was to create stability and to avoid routine and ongoing debate about the suitability of individual bonds. For this reason, we undertook detailed analysis of the bond selection criteria of both the RBA and BVAL curves prior to settling on our approach. However, while AusNet Services and CEG appear to accept that both Bloomberg and the RBA are credible, independent experts, they have submitted the BVAL curve is not fit-for-purpose in part based on the inclusion of particular bonds which pass its bond selection criteria. </w:t>
      </w:r>
    </w:p>
    <w:p w:rsidR="00EB7679" w:rsidRPr="00A95890" w:rsidRDefault="00EB7679" w:rsidP="00EB7679">
      <w:r>
        <w:t xml:space="preserve">Specifically, AusNet and CEG analyse the inclusion of the Asciano (EK907291), Mirvac (QZ330503) and Jemena (LW474837) bonds in 2016 and attempt to show weaknesses in the BVAL curve. As previously mentioned above, we agree that the BVAL curve has some weaknesses but on balance these are not larger than the RBA curve’s. In this section we respond to some of the issues raised by CEG and AusNet in relation to the inclusion of these bonds. </w:t>
      </w:r>
    </w:p>
    <w:p w:rsidR="00EB7679" w:rsidRDefault="00EB7679" w:rsidP="00EB7679">
      <w:pPr>
        <w:pStyle w:val="HeadingBoldItalic"/>
      </w:pPr>
      <w:bookmarkStart w:id="488" w:name="_Toc480460924"/>
      <w:r>
        <w:t>Asciano bond</w:t>
      </w:r>
      <w:bookmarkEnd w:id="488"/>
    </w:p>
    <w:p w:rsidR="00EB7679" w:rsidRDefault="00EB7679" w:rsidP="00EB7679">
      <w:r>
        <w:t>AusNet has argued that between May 2015 and 28 July 2016, the BVAL curve placed an inappropriately high weighting on the Asciano bond. In particular, AusNet cited a particularly high correlation between the BVAL 10 year spread and the Asciano bond.</w:t>
      </w:r>
      <w:r>
        <w:rPr>
          <w:rStyle w:val="FootnoteReference"/>
        </w:rPr>
        <w:footnoteReference w:id="1595"/>
      </w:r>
      <w:r>
        <w:t xml:space="preserve"> However, AusNet did not specify what correlation would be appropriate. If the BVAL curve was an exact estimate of the BEE’s cost of debt, we would expect that the Asciano bond and the BVAL curve would both respond to systemic factors in the market. Therefore, we would expect high correlation between the Asciano bond and the BVAL curve. </w:t>
      </w:r>
    </w:p>
    <w:p w:rsidR="00EB7679" w:rsidRDefault="00EB7679" w:rsidP="00EB7679">
      <w:r>
        <w:t>AusNet also submitted that the Asciano bond did not behave like other long maturity bonds:</w:t>
      </w:r>
      <w:r>
        <w:rPr>
          <w:rStyle w:val="FootnoteReference"/>
        </w:rPr>
        <w:footnoteReference w:id="1596"/>
      </w:r>
      <w:r>
        <w:t xml:space="preserve"> </w:t>
      </w:r>
    </w:p>
    <w:p w:rsidR="00EB7679" w:rsidRDefault="00EB7679" w:rsidP="00EB7679">
      <w:pPr>
        <w:pStyle w:val="AERquoteindent1"/>
      </w:pPr>
      <w:r w:rsidRPr="00B46A9C">
        <w:t xml:space="preserve">This was particularly problematic because Asciano was the subject of takeover activity over this period. The influence of takeover activity on the Asciano bond’s yields reflects firm-specific factors that would have no relevance to the benchmark efficient firm, and is therefore not relevant to setting the return on debt faced by debt investors in a </w:t>
      </w:r>
      <w:r>
        <w:t>BEE</w:t>
      </w:r>
      <w:r w:rsidRPr="00B46A9C">
        <w:t>.</w:t>
      </w:r>
    </w:p>
    <w:p w:rsidR="00EB7679" w:rsidRPr="00A526EA" w:rsidRDefault="00EB7679" w:rsidP="00EB7679">
      <w:pPr>
        <w:pStyle w:val="AERquoteindent1"/>
      </w:pPr>
      <w:r w:rsidRPr="00A526EA">
        <w:t>As set out in AusNet Services’ 24 March 2016 submission to the AER and supporting CEG memo (Appendix 6E – CEG, Review of AER Position on Curve Selection), over AusNet Services’ distribution businesses’ averaging period, all bonds included in the RBA’s sample with tenors between 8 and 12 years (excluding the Asciano bond) exhibited very different movements in yields than the Asciano bond. At this time, there was a high degree of financial market volatility, which is consistent with the finding that there was a general rise in DRPs across the market. The Asciano bond was an outlier over this time period as its DRP did not increase by an amount commensurate with the general market. As the BVAL curve moved in (close to) lock step with the Asciano bond’s yields, the BVAL curve did not reflect general market movements.</w:t>
      </w:r>
    </w:p>
    <w:p w:rsidR="00EB7679" w:rsidRDefault="00EB7679" w:rsidP="00EB7679">
      <w:r>
        <w:t>W</w:t>
      </w:r>
      <w:r w:rsidRPr="00D729CA">
        <w:t xml:space="preserve">e are </w:t>
      </w:r>
      <w:r>
        <w:t xml:space="preserve">still </w:t>
      </w:r>
      <w:r w:rsidRPr="00D729CA">
        <w:t xml:space="preserve">not satisfied that there is persuasive evidence in support of these arguments. The analysis submitted by CEG and AusNet </w:t>
      </w:r>
      <w:r>
        <w:t>S</w:t>
      </w:r>
      <w:r w:rsidRPr="00D729CA">
        <w:t xml:space="preserve">ervices may support a conclusion that the movements in the Asciano bond are not representative </w:t>
      </w:r>
      <w:r>
        <w:t>of</w:t>
      </w:r>
      <w:r w:rsidRPr="00D729CA">
        <w:t xml:space="preserve"> the movements of bonds issued in European and American bond markets. However, yields </w:t>
      </w:r>
      <w:r>
        <w:t xml:space="preserve">in different BBB corporate markets do not necessarily move in a one to one fashion. This can be seen in the figure below for the case where hedging does not occur and it also does not hold for when hedging takes place (we explore this further in the Failure of Covered Interest Parity section). </w:t>
      </w:r>
      <w:r w:rsidRPr="00D729CA">
        <w:t>As set out in our previous decisions, the BVAL bond criteria include only AUD denominated bonds.</w:t>
      </w:r>
      <w:r w:rsidRPr="00D729CA">
        <w:rPr>
          <w:rStyle w:val="FootnoteReference"/>
        </w:rPr>
        <w:footnoteReference w:id="1597"/>
      </w:r>
      <w:r w:rsidRPr="00D729CA">
        <w:t xml:space="preserve"> The Reuters criteria similarly allow only AUD denominated bonds.</w:t>
      </w:r>
      <w:r w:rsidRPr="00D729CA">
        <w:rPr>
          <w:rStyle w:val="FootnoteReference"/>
        </w:rPr>
        <w:footnoteReference w:id="1598"/>
      </w:r>
      <w:r w:rsidRPr="00D729CA">
        <w:t xml:space="preserve"> In contrast, the RBA curve includes AUD denominated bonds, but the majority of bonds within the RBA curve are USD or EU denominated.</w:t>
      </w:r>
      <w:r w:rsidRPr="00D729CA">
        <w:rPr>
          <w:rStyle w:val="FootnoteReference"/>
        </w:rPr>
        <w:footnoteReference w:id="1599"/>
      </w:r>
      <w:r w:rsidRPr="00D729CA">
        <w:t xml:space="preserve"> </w:t>
      </w:r>
    </w:p>
    <w:p w:rsidR="00EB7679" w:rsidRDefault="00EB7679" w:rsidP="00EB7679">
      <w:pPr>
        <w:pStyle w:val="Caption"/>
      </w:pPr>
      <w:r>
        <w:t xml:space="preserve">Figure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2C24D6">
        <w:rPr>
          <w:noProof/>
        </w:rPr>
        <w:t>19</w:t>
      </w:r>
      <w:r w:rsidRPr="004C4A72">
        <w:fldChar w:fldCharType="end"/>
      </w:r>
      <w:r>
        <w:tab/>
        <w:t xml:space="preserve">US and Australian BBB Corporate Bond yields </w:t>
      </w:r>
    </w:p>
    <w:tbl>
      <w:tblPr>
        <w:tblStyle w:val="TableGrid"/>
        <w:tblW w:w="0" w:type="auto"/>
        <w:tblLook w:val="04A0" w:firstRow="1" w:lastRow="0" w:firstColumn="1" w:lastColumn="0" w:noHBand="0" w:noVBand="1"/>
      </w:tblPr>
      <w:tblGrid>
        <w:gridCol w:w="4346"/>
        <w:gridCol w:w="4347"/>
      </w:tblGrid>
      <w:tr w:rsidR="00EB7679" w:rsidTr="005A5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EB7679" w:rsidRPr="00EB7679" w:rsidRDefault="00EB7679" w:rsidP="00EB7679">
            <w:r w:rsidRPr="00EB7679">
              <w:rPr>
                <w:noProof/>
                <w:lang w:eastAsia="en-AU"/>
              </w:rPr>
              <w:drawing>
                <wp:inline distT="0" distB="0" distL="0" distR="0" wp14:anchorId="03781A26" wp14:editId="318FD8A1">
                  <wp:extent cx="2570400" cy="2124000"/>
                  <wp:effectExtent l="0" t="0" r="1905" b="0"/>
                  <wp:docPr id="38" name="Picture 38" descr="C:\Users\SHCOLL\AppData\Local\Temp\1\Temp1_us-bond-yields-gif.zip\us-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LL\AppData\Local\Temp\1\Temp1_us-bond-yields-gif.zip\us-bond-yield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0400" cy="2124000"/>
                          </a:xfrm>
                          <a:prstGeom prst="rect">
                            <a:avLst/>
                          </a:prstGeom>
                          <a:noFill/>
                          <a:ln>
                            <a:noFill/>
                          </a:ln>
                        </pic:spPr>
                      </pic:pic>
                    </a:graphicData>
                  </a:graphic>
                </wp:inline>
              </w:drawing>
            </w:r>
          </w:p>
        </w:tc>
        <w:tc>
          <w:tcPr>
            <w:tcW w:w="4347" w:type="dxa"/>
          </w:tcPr>
          <w:p w:rsidR="00EB7679" w:rsidRPr="00EB7679" w:rsidRDefault="00EB7679" w:rsidP="00EB7679">
            <w:pPr>
              <w:cnfStyle w:val="100000000000" w:firstRow="1" w:lastRow="0" w:firstColumn="0" w:lastColumn="0" w:oddVBand="0" w:evenVBand="0" w:oddHBand="0" w:evenHBand="0" w:firstRowFirstColumn="0" w:firstRowLastColumn="0" w:lastRowFirstColumn="0" w:lastRowLastColumn="0"/>
            </w:pPr>
            <w:r w:rsidRPr="00EB7679">
              <w:rPr>
                <w:noProof/>
                <w:lang w:eastAsia="en-AU"/>
              </w:rPr>
              <w:drawing>
                <wp:inline distT="0" distB="0" distL="0" distR="0" wp14:anchorId="7676747F" wp14:editId="39602E70">
                  <wp:extent cx="2570400" cy="2271600"/>
                  <wp:effectExtent l="0" t="0" r="1905" b="0"/>
                  <wp:docPr id="39" name="Picture 39" descr="C:\Users\SHCOLL\AppData\Local\Temp\1\Temp1_australian-bond-yields-gif.zip\australian-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LL\AppData\Local\Temp\1\Temp1_australian-bond-yields-gif.zip\australian-bond-yields.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0400" cy="2271600"/>
                          </a:xfrm>
                          <a:prstGeom prst="rect">
                            <a:avLst/>
                          </a:prstGeom>
                          <a:noFill/>
                          <a:ln>
                            <a:noFill/>
                          </a:ln>
                        </pic:spPr>
                      </pic:pic>
                    </a:graphicData>
                  </a:graphic>
                </wp:inline>
              </w:drawing>
            </w:r>
          </w:p>
        </w:tc>
      </w:tr>
    </w:tbl>
    <w:p w:rsidR="00EB7679" w:rsidRDefault="00EB7679" w:rsidP="00EB7679">
      <w:r>
        <w:t>The takeover attempt did have an effect on Asciano’s credit ratings but not in the way that CEG described.</w:t>
      </w:r>
      <w:r>
        <w:rPr>
          <w:rStyle w:val="FootnoteReference"/>
        </w:rPr>
        <w:footnoteReference w:id="1600"/>
      </w:r>
      <w:r>
        <w:t xml:space="preserve"> The Asciano bond’s credit rating was downgraded in response to the takeover (which should be associated with a rise in yields). This rise was lower than those denominated in USD or EU according to AusNet. This suggests that it could be the different markets driving the result and not the takeover and would suggest that the BVAL curve responded as intended. </w:t>
      </w:r>
    </w:p>
    <w:p w:rsidR="00EB7679" w:rsidRDefault="00EB7679" w:rsidP="00EB7679">
      <w:r>
        <w:t>We do not agree with AusNet or CEG that their analysis demonstrates that the BVAL curve was ‘too reliant’ on the Asciano bond, or that this led to a BVAL estimate which did not contribute to achievement of the ARORO. In contrast, we are satisfied with Bloomberg’s indication that the 10 year estimate is dependent on the Asciano bond, the other 20 bonds and the shaper curves.</w:t>
      </w:r>
      <w:r>
        <w:rPr>
          <w:rStyle w:val="FootnoteReference"/>
        </w:rPr>
        <w:footnoteReference w:id="1601"/>
      </w:r>
      <w:r>
        <w:t xml:space="preserve"> </w:t>
      </w:r>
    </w:p>
    <w:p w:rsidR="00EB7679" w:rsidRDefault="00EB7679" w:rsidP="00EB7679">
      <w:pPr>
        <w:pStyle w:val="HeadingBoldItalic"/>
      </w:pPr>
      <w:bookmarkStart w:id="489" w:name="_Toc480460925"/>
      <w:r w:rsidRPr="00A95890">
        <w:t>Mirvac bond</w:t>
      </w:r>
      <w:bookmarkEnd w:id="489"/>
    </w:p>
    <w:p w:rsidR="00EB7679" w:rsidRDefault="00EB7679" w:rsidP="00EB7679">
      <w:r>
        <w:t>We agree that, with the benefit of hindsight, Bloomberg's inclusion of the Mirvac bond was an error due to the inclusion of ‘bad data’. The bad data, however, was quickly removed. While unfortunate that this occurred at all, the outcome was reassuring. Producing such a yield curve is a complex exercise and we gain confidence from demonstration that the 3</w:t>
      </w:r>
      <w:r w:rsidRPr="00A933BB">
        <w:t>rd</w:t>
      </w:r>
      <w:r>
        <w:t xml:space="preserve"> party providers are vigilant to the quality of our input curves. This is another reason why we choose to rely on credible independent experts for the curve estimate.</w:t>
      </w:r>
    </w:p>
    <w:p w:rsidR="00EB7679" w:rsidRDefault="00EB7679" w:rsidP="00EB7679">
      <w:r>
        <w:t>It is also not the first time our input curves have been revised to allow for improvements. A</w:t>
      </w:r>
      <w:r w:rsidRPr="001D62A1">
        <w:t>s of October 2015 the RBA made retrospective changes to its yield curve.</w:t>
      </w:r>
      <w:r w:rsidRPr="001D62A1">
        <w:rPr>
          <w:rStyle w:val="FootnoteReference"/>
        </w:rPr>
        <w:footnoteReference w:id="1602"/>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603"/>
      </w:r>
      <w:r w:rsidRPr="001D62A1">
        <w:t xml:space="preserve"> Nonetheless, we note that none of the service providers appear to have engaged in the proposals or subsequent submissions with the potential risks and implications of material retrospective changes made to the RBA curve.</w:t>
      </w:r>
    </w:p>
    <w:p w:rsidR="00EB7679" w:rsidRDefault="00EB7679" w:rsidP="00EB7679">
      <w:r>
        <w:t>CEG also used the inclusion of the Mirvac bond to test the robustness of the curve to outliers.</w:t>
      </w:r>
      <w:r>
        <w:rPr>
          <w:rStyle w:val="FootnoteReference"/>
        </w:rPr>
        <w:footnoteReference w:id="1604"/>
      </w:r>
      <w:r>
        <w:t xml:space="preserve"> The comparison used between the Reuters and Bloomberg curves, however, is not particularly informative because the Reuters curve does not include the Jemena bond which has a similar yield to the Mirvac bond. If a single bond is included (see below figure), the Bloomberg curve is also stable.</w:t>
      </w:r>
    </w:p>
    <w:p w:rsidR="00EB7679" w:rsidRDefault="00EB7679" w:rsidP="00EB7679">
      <w:pPr>
        <w:pStyle w:val="Caption"/>
      </w:pPr>
      <w:r>
        <w:t xml:space="preserve">Figure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2C24D6">
        <w:rPr>
          <w:noProof/>
        </w:rPr>
        <w:t>20</w:t>
      </w:r>
      <w:r w:rsidRPr="004C4A72">
        <w:fldChar w:fldCharType="end"/>
      </w:r>
      <w:r>
        <w:tab/>
        <w:t>BVAL curve and bond constituents, 31 August 2016</w:t>
      </w:r>
    </w:p>
    <w:p w:rsidR="00EB7679" w:rsidRPr="00A933BB" w:rsidRDefault="00EB7679" w:rsidP="00EB7679">
      <w:r w:rsidRPr="00EB7679">
        <w:rPr>
          <w:noProof/>
          <w:lang w:eastAsia="en-AU"/>
        </w:rPr>
        <w:drawing>
          <wp:inline distT="0" distB="0" distL="0" distR="0" wp14:anchorId="39E253BB" wp14:editId="3AB30CFE">
            <wp:extent cx="5731510" cy="3079230"/>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079230"/>
                    </a:xfrm>
                    <a:prstGeom prst="rect">
                      <a:avLst/>
                    </a:prstGeom>
                    <a:noFill/>
                    <a:ln>
                      <a:noFill/>
                    </a:ln>
                  </pic:spPr>
                </pic:pic>
              </a:graphicData>
            </a:graphic>
          </wp:inline>
        </w:drawing>
      </w:r>
    </w:p>
    <w:p w:rsidR="00EB7679" w:rsidRPr="00A933BB" w:rsidRDefault="00EB7679" w:rsidP="00EB7679">
      <w:pPr>
        <w:pStyle w:val="AERtablesource"/>
      </w:pPr>
      <w:r>
        <w:t>Sources: Bloomberg; CEG analysis.</w:t>
      </w:r>
    </w:p>
    <w:p w:rsidR="00EB7679" w:rsidRDefault="00EB7679" w:rsidP="00EB7679">
      <w:pPr>
        <w:pStyle w:val="HeadingBoldItalic"/>
      </w:pPr>
      <w:bookmarkStart w:id="490" w:name="_Toc480460926"/>
      <w:r>
        <w:t>Jemena bond</w:t>
      </w:r>
      <w:bookmarkEnd w:id="490"/>
    </w:p>
    <w:p w:rsidR="00EB7679" w:rsidRDefault="00EB7679" w:rsidP="00EB7679">
      <w:r>
        <w:t>CEG argues that because Bloomberg removed the Mirvac bond, which was closer to the resulting yield curve than the Jemena bond, that Bloomberg erred by not removing the Jemena bond as well. Bloomberg has stated that it does not rely only on yields as a test to omit outliers.</w:t>
      </w:r>
      <w:r>
        <w:rPr>
          <w:rStyle w:val="FootnoteReference"/>
        </w:rPr>
        <w:footnoteReference w:id="1605"/>
      </w:r>
      <w:r>
        <w:t xml:space="preserve"> For example, if the bonds had particularly stale pricing data then the bonds would be removed from Bloomberg and not the RBA curve. </w:t>
      </w:r>
    </w:p>
    <w:p w:rsidR="00EB7679" w:rsidRDefault="00EB7679" w:rsidP="00EB7679">
      <w:r>
        <w:t>The Jemena bond is issued by one of the regulated entities and should be more closely representative of the BEE than many of the other included bonds. Both Bloomberg and the RBA included the bond in the BBB band, because the S&amp;P gave the bond a credit rating in the BBB band. Since September 2016, S&amp;P has re-evaluated the bond and given it an A- credit rating and Bloomberg has moved the Jemena bond into its A credit rating yield curves. While it may have been possible for Bloomberg to predict S&amp;P’s credit rating movements we are not persuaded that it erred by not doing so in this instance. We also note that a bond can be rerated up or down and there is no prima facie reason to consider either a lag in rerating, or movement of the bond to a different curve following market rerating, is indicative of systematic bias.</w:t>
      </w:r>
    </w:p>
    <w:p w:rsidR="00EB7679" w:rsidRDefault="00EB7679" w:rsidP="00EB7679">
      <w:r>
        <w:t>If a bond being on the cusp of a credit rating changes the yield to a substantial degree, it implies that we are being markedly conservative by estimating the return on debt using curves which include BBB-, BBB and BBB+ rated firms when the BEE is a BBB+ rated firm.</w:t>
      </w:r>
    </w:p>
    <w:p w:rsidR="00EB7679" w:rsidRPr="00A933BB" w:rsidRDefault="00EB7679" w:rsidP="00EB7679">
      <w:pPr>
        <w:pStyle w:val="Heading9"/>
      </w:pPr>
      <w:bookmarkStart w:id="491" w:name="_Toc480460927"/>
      <w:bookmarkStart w:id="492" w:name="_Toc487037226"/>
      <w:r>
        <w:t>BVAL and our overall approach still likely to be conservative</w:t>
      </w:r>
      <w:bookmarkEnd w:id="491"/>
      <w:bookmarkEnd w:id="492"/>
    </w:p>
    <w:p w:rsidR="00EB7679" w:rsidRDefault="00EB7679" w:rsidP="00EB7679">
      <w:r>
        <w:t xml:space="preserve">Estimates from the BVAL curve have a number of factors that should ensure the estimate is on the conservative side of the BEE’s cost of debt. These include: </w:t>
      </w:r>
    </w:p>
    <w:p w:rsidR="00EB7679" w:rsidRPr="00A933BB" w:rsidRDefault="00EB7679" w:rsidP="00EB7679">
      <w:pPr>
        <w:pStyle w:val="ListParagraph"/>
      </w:pPr>
      <w:r>
        <w:t>the increase of benchmark maturity from the average 8.7 to 10 years</w:t>
      </w:r>
      <w:r w:rsidRPr="00A933BB">
        <w:rPr>
          <w:rStyle w:val="FootnoteReference"/>
        </w:rPr>
        <w:footnoteReference w:id="1606"/>
      </w:r>
    </w:p>
    <w:p w:rsidR="00EB7679" w:rsidRPr="00A933BB" w:rsidRDefault="00EB7679" w:rsidP="00EB7679">
      <w:pPr>
        <w:pStyle w:val="ListParagraph"/>
      </w:pPr>
      <w:r>
        <w:t>the use of the total BBB band instead of the BEE’s credit rating of BBB+</w:t>
      </w:r>
    </w:p>
    <w:p w:rsidR="00EB7679" w:rsidRPr="00A933BB" w:rsidRDefault="00EB7679" w:rsidP="00EB7679">
      <w:pPr>
        <w:pStyle w:val="ListParagraph"/>
      </w:pPr>
      <w:r>
        <w:t xml:space="preserve">The likelihood of the networks having lower loss given default than the average of Australian issuers </w:t>
      </w:r>
    </w:p>
    <w:p w:rsidR="00EB7679" w:rsidRPr="004C4A72" w:rsidRDefault="00EB7679" w:rsidP="00EB7679">
      <w:pPr>
        <w:pStyle w:val="Heading8"/>
      </w:pPr>
      <w:bookmarkStart w:id="493" w:name="_Toc484089325"/>
      <w:bookmarkStart w:id="494" w:name="_Toc487037227"/>
      <w:r w:rsidRPr="007151C3">
        <w:t>The Thomson Reuters curve</w:t>
      </w:r>
      <w:bookmarkEnd w:id="471"/>
      <w:bookmarkEnd w:id="472"/>
      <w:bookmarkEnd w:id="493"/>
      <w:bookmarkEnd w:id="494"/>
    </w:p>
    <w:p w:rsidR="00EB7679" w:rsidRDefault="00EB7679" w:rsidP="00EB7679">
      <w:r>
        <w:t xml:space="preserve">We remain satisfied that a simple average of the BVAL and RBA curves will contribute to an estimate that will achieve the ARORO. However, we have not yet formed a definitive view on the suitability of the Reuters curve, and are open to further considering this curve in the future. AusNet Services submitted in their initial proposal that if we were not persuaded to accept their proposal to use only the RBA curve in making our estimate, then we should make use of the Thomson Reuters curve in addition to the Bloomberg and RBA curves. Multinet Gas proposed to use a simple average of the RBA, Bloomberg and Thomson Reuters curves. </w:t>
      </w:r>
    </w:p>
    <w:p w:rsidR="00EB7679" w:rsidRDefault="00EB7679" w:rsidP="00EB7679">
      <w:r>
        <w:t>We have decided not to</w:t>
      </w:r>
      <w:r w:rsidRPr="00D729CA">
        <w:t xml:space="preserve"> </w:t>
      </w:r>
      <w:r>
        <w:t>adopt the Thomson Reuters c</w:t>
      </w:r>
      <w:r w:rsidRPr="00D729CA">
        <w:t>urve for the following reasons:</w:t>
      </w:r>
    </w:p>
    <w:p w:rsidR="00EB7679" w:rsidRPr="00A933BB" w:rsidRDefault="00EB7679" w:rsidP="00EB7679">
      <w:pPr>
        <w:pStyle w:val="AERbulletlistfirststyle"/>
      </w:pPr>
      <w:r>
        <w:t xml:space="preserve">we </w:t>
      </w:r>
      <w:r w:rsidRPr="00A933BB">
        <w:t xml:space="preserve">are satisfied that our current approach is fit for purpose and is likely to contribute to achievement of the ARORO. In contrast, there </w:t>
      </w:r>
      <w:r>
        <w:t>is insufficient evidence before us that</w:t>
      </w:r>
      <w:r w:rsidRPr="00A933BB">
        <w:t xml:space="preserve"> use of the Thomson Reuters curve would also do so.</w:t>
      </w:r>
    </w:p>
    <w:p w:rsidR="00EB7679" w:rsidRPr="00A933BB" w:rsidRDefault="00EB7679" w:rsidP="00EB7679">
      <w:pPr>
        <w:pStyle w:val="AERbulletlistfirststyle"/>
      </w:pPr>
      <w:r>
        <w:t xml:space="preserve">our analysis in the time available has indicated that </w:t>
      </w:r>
      <w:r w:rsidRPr="00A933BB">
        <w:t xml:space="preserve">there are a number of approach design issues (e.g. weighting, extrapolation, contingencies, domestic or blended, etc.) that should be consulted on and addressed before relying on the curve. </w:t>
      </w:r>
      <w:r>
        <w:t xml:space="preserve">Multinet and </w:t>
      </w:r>
      <w:r w:rsidRPr="00A933BB">
        <w:t>AusNet Services ha</w:t>
      </w:r>
      <w:r>
        <w:t>ve</w:t>
      </w:r>
      <w:r w:rsidRPr="00A933BB">
        <w:t xml:space="preserve"> not submitted </w:t>
      </w:r>
      <w:r>
        <w:t>evidence</w:t>
      </w:r>
      <w:r w:rsidRPr="00A933BB">
        <w:t xml:space="preserve"> to </w:t>
      </w:r>
      <w:r>
        <w:t>support their preferences</w:t>
      </w:r>
      <w:r w:rsidRPr="00A933BB">
        <w:t xml:space="preserve"> </w:t>
      </w:r>
      <w:r>
        <w:t>of</w:t>
      </w:r>
      <w:r w:rsidRPr="00A933BB">
        <w:t xml:space="preserve"> weighting, extrapolation and contingencies in a manner that would satisfy us that it is clearly superior to the approach we have adopted, or which could be used, at least, as a starting point for further consultation with stakeholders. </w:t>
      </w:r>
    </w:p>
    <w:p w:rsidR="00EB7679" w:rsidRPr="00A933BB" w:rsidRDefault="00EB7679" w:rsidP="00EB7679">
      <w:pPr>
        <w:pStyle w:val="AERbulletlistfirststyle"/>
      </w:pPr>
      <w:r>
        <w:t>for the 18 months</w:t>
      </w:r>
      <w:r w:rsidRPr="00A933BB">
        <w:t xml:space="preserve"> </w:t>
      </w:r>
      <w:r>
        <w:t xml:space="preserve">to the end of 2016, </w:t>
      </w:r>
      <w:r w:rsidRPr="00A933BB">
        <w:t>the differences between the simplest case of including the curve (equal weighted average) and the current return on debt appear immaterial when considered in the context that this alternative approach has not been through a rigorous industry wide consultation process.</w:t>
      </w:r>
    </w:p>
    <w:p w:rsidR="00EB7679" w:rsidRDefault="00EB7679" w:rsidP="00EB7679">
      <w:r>
        <w:t>We have discussed our satisfaction that the current approach will continue to achieve the ARORO in the ‘</w:t>
      </w:r>
      <w:r w:rsidRPr="00484372">
        <w:t>Choice of third party data series</w:t>
      </w:r>
      <w:r>
        <w:t xml:space="preserve">’ section. We discuss the other three points below. </w:t>
      </w:r>
    </w:p>
    <w:p w:rsidR="00EB7679" w:rsidRPr="008731D1" w:rsidRDefault="00EB7679" w:rsidP="00EB7679">
      <w:pPr>
        <w:pStyle w:val="Heading9"/>
      </w:pPr>
      <w:bookmarkStart w:id="495" w:name="_Toc480460930"/>
      <w:bookmarkStart w:id="496" w:name="_Toc487037228"/>
      <w:r>
        <w:t>Implementation concerns</w:t>
      </w:r>
      <w:bookmarkEnd w:id="495"/>
      <w:bookmarkEnd w:id="496"/>
    </w:p>
    <w:p w:rsidR="00EB7679" w:rsidRDefault="00EB7679" w:rsidP="00EB7679">
      <w:r>
        <w:t>As AusNet Services and Multinet Gas proposals do not address implementation issues in detail, we do not have evidence before us on the correct implementation of the curve (if it were to be included). Items that are required for optimal implementation include the extrapolation method, the use of the blended or domestic curve,</w:t>
      </w:r>
      <w:r>
        <w:rPr>
          <w:rStyle w:val="FootnoteReference"/>
        </w:rPr>
        <w:footnoteReference w:id="1607"/>
      </w:r>
      <w:r>
        <w:t xml:space="preserve"> the optimal weighting and the required new contingencies. </w:t>
      </w:r>
    </w:p>
    <w:p w:rsidR="00EB7679" w:rsidRDefault="00EB7679" w:rsidP="00EB7679">
      <w:r>
        <w:t>If we were to add the Thomson Reuters curve, we would have to resolve the above issues without  a proposed solution from AusNet or Multinet s. We are therefore not satisfied that using the Thomson Reuters curve in any particular manner would be likely to contribute to achievement of the ARORO, nor do we consider it would be good regulatory practice to begin using the curve in these circumstances.</w:t>
      </w:r>
    </w:p>
    <w:p w:rsidR="00EB7679" w:rsidRPr="00A933BB" w:rsidRDefault="00EB7679" w:rsidP="00EB7679">
      <w:pPr>
        <w:pStyle w:val="HeadingBoldItalic"/>
      </w:pPr>
      <w:bookmarkStart w:id="497" w:name="_Toc480460931"/>
      <w:r w:rsidRPr="00AF037F">
        <w:t>Extrapolation methodologies</w:t>
      </w:r>
      <w:bookmarkEnd w:id="497"/>
    </w:p>
    <w:p w:rsidR="00EB7679" w:rsidRDefault="00EB7679" w:rsidP="00EB7679">
      <w:r>
        <w:t>Currently, we extrapolate both the RBA curve and, where it does not publish to 10 years, the BVAL curve. We do so as follows:</w:t>
      </w:r>
    </w:p>
    <w:p w:rsidR="00EB7679" w:rsidRPr="00A933BB" w:rsidRDefault="00EB7679" w:rsidP="00EB7679">
      <w:r>
        <w:t>We extrapolate the RBA curve from its ‘published’ 10 year term (effective term is closer to 9 years) to an ‘actual’ 10 year term using linear extrapolation from the published 7 and 10 year estimates. This method is based on advice from Lally, who suggested that linear extrapolation was reasonable where the extrapolation term range was relatively small.</w:t>
      </w:r>
    </w:p>
    <w:p w:rsidR="00EB7679" w:rsidRPr="00A933BB" w:rsidRDefault="00EB7679" w:rsidP="00EB7679">
      <w:r>
        <w:t>We extrapolate the BVAL curve, where necessary, using the corresponding margin from the RBA curve. For example, if BVAL only publishes to 7 years, we extrapolate it using the 7 to 10 year margin from the RBA curve.</w:t>
      </w:r>
    </w:p>
    <w:p w:rsidR="00EB7679" w:rsidRDefault="00EB7679" w:rsidP="00EB7679">
      <w:r>
        <w:t xml:space="preserve">If we add a third curve, the choices of extrapolation become substantially more complex. For the Thomson Reuters curve we expect the protocol for extrapolation to be material in effect as Thomson Reuters does not extrapolate beyond the longest term in its bond sample and the availability of its 10 year estimate may vary. </w:t>
      </w:r>
    </w:p>
    <w:p w:rsidR="00EB7679" w:rsidRDefault="00EB7679" w:rsidP="00EB7679">
      <w:r>
        <w:t xml:space="preserve">The choice of extrapolation methodologies potentially could differ depending on the number of curves available at 10 years. For example, if only </w:t>
      </w:r>
      <w:r w:rsidRPr="00B0655F">
        <w:t>BVAL or Thomson</w:t>
      </w:r>
      <w:r>
        <w:t xml:space="preserve"> Reuters did not publish to 10 years, there is the option to rely solely on the RBA margin, which is more consistently available (albeit extrapolated). In the same circumstance, there is the possibility to rely on an average of the missing margins from the two remaining curves. For example, if Thomson Reuters only publishes to 7 years, an average of the RBA and BVAL curves’ margins between 7 and 10 years could be used. </w:t>
      </w:r>
    </w:p>
    <w:p w:rsidR="00EB7679" w:rsidRDefault="00EB7679" w:rsidP="00EB7679">
      <w:r>
        <w:t>If both BVAL and Thomson Reuters did not publish to 10 years we have the option to extrapolate both using the margin on the RBA curve or, if (for example) Thomson Reuters published to 8 years and Bloomberg published to 7, we could use an average of the RBA and Thomson Reuters margin to extrapolate Bloomberg to 8 years, then RBA only beyond 8.</w:t>
      </w:r>
    </w:p>
    <w:p w:rsidR="00EB7679" w:rsidRDefault="00EB7679" w:rsidP="00EB7679">
      <w:r>
        <w:t xml:space="preserve">Overall, our view is that the inclusion of a new curve is a substantial change of approach. As the new curve has not been consulted on substantively with either consumers or the rest of the sector, we are not satisfied that this approach would contribute to achievement of the ARORO. In contrast, our current approach has been widely consulted on and tested by the Australian Competition Tribunal and other stakeholders. We remain satisfied that it will contribute to achievement of the ARORO. </w:t>
      </w:r>
    </w:p>
    <w:p w:rsidR="00EB7679" w:rsidRDefault="00EB7679" w:rsidP="00EB7679">
      <w:pPr>
        <w:pStyle w:val="HeadingBoldItalic"/>
      </w:pPr>
      <w:bookmarkStart w:id="498" w:name="_Toc480460932"/>
      <w:r>
        <w:t>Choice of Reuters curve</w:t>
      </w:r>
      <w:bookmarkEnd w:id="498"/>
    </w:p>
    <w:p w:rsidR="00EB7679" w:rsidRDefault="00EB7679" w:rsidP="00EB7679">
      <w:r>
        <w:t xml:space="preserve">Thomson Reuters has two curves available for AUD broad-BBB rated bonds. These are the blended curve, which is a mixture of domestic firms and foreign firms issuing into the Australian market in AUD, and the domestic curve, which is limited to only domestic firms’ issuance. As the BEE is </w:t>
      </w:r>
      <w:r>
        <w:rPr>
          <w:rStyle w:val="AERbody"/>
        </w:rPr>
        <w:t>an entity, whether it is conceived as regulated or not, that has a similar degree of systematic risk as that which applies to APTPPL in the provision of its regulated services</w:t>
      </w:r>
      <w:r>
        <w:t xml:space="preserve"> it is likely that the domestic curve is more appropriate</w:t>
      </w:r>
      <w:r w:rsidRPr="00696EC1">
        <w:t>.</w:t>
      </w:r>
      <w:r>
        <w:t xml:space="preserve"> However, of the two curves the domestic curve has both a smaller bond sample and is rarely published to 10 years (see figure below), thus requiring more frequent extrapolation. </w:t>
      </w:r>
    </w:p>
    <w:p w:rsidR="00EB7679" w:rsidRDefault="00EB7679" w:rsidP="00EB7679">
      <w:r>
        <w:t>In these circumstances, there appear to be advantages and disadvantages to relying on either curve, or some combination of the curves. Neither AusNet Services nor Multinet has submitted detailed analysis on this issue.</w:t>
      </w:r>
    </w:p>
    <w:p w:rsidR="00EB7679" w:rsidRDefault="00EB7679" w:rsidP="00EB7679">
      <w:pPr>
        <w:pStyle w:val="Caption"/>
      </w:pPr>
      <w:r>
        <w:t xml:space="preserve">Figure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2C24D6">
        <w:rPr>
          <w:noProof/>
        </w:rPr>
        <w:t>21</w:t>
      </w:r>
      <w:r w:rsidRPr="004C4A72">
        <w:fldChar w:fldCharType="end"/>
      </w:r>
      <w:r>
        <w:tab/>
        <w:t>TR BBB blended and domestic credit curves</w:t>
      </w:r>
    </w:p>
    <w:p w:rsidR="00EB7679" w:rsidRDefault="00EB7679" w:rsidP="00EB7679">
      <w:pPr>
        <w:pStyle w:val="AERtablesource"/>
        <w:rPr>
          <w:rStyle w:val="AERbody"/>
        </w:rPr>
      </w:pPr>
      <w:bookmarkStart w:id="499" w:name="_Toc480460933"/>
      <w:r w:rsidRPr="00EB7679">
        <w:rPr>
          <w:rStyle w:val="AERbody"/>
          <w:noProof/>
          <w:lang w:eastAsia="en-AU"/>
        </w:rPr>
        <w:drawing>
          <wp:inline distT="0" distB="0" distL="0" distR="0" wp14:anchorId="020640DF" wp14:editId="44F36143">
            <wp:extent cx="5382895" cy="35147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895" cy="3514725"/>
                    </a:xfrm>
                    <a:prstGeom prst="rect">
                      <a:avLst/>
                    </a:prstGeom>
                    <a:noFill/>
                  </pic:spPr>
                </pic:pic>
              </a:graphicData>
            </a:graphic>
          </wp:inline>
        </w:drawing>
      </w:r>
      <w:bookmarkEnd w:id="499"/>
    </w:p>
    <w:p w:rsidR="00EB7679" w:rsidRPr="004C4A72" w:rsidRDefault="00EB7679" w:rsidP="00EB7679">
      <w:pPr>
        <w:pStyle w:val="AERtablesource"/>
        <w:rPr>
          <w:rStyle w:val="AERbody"/>
        </w:rPr>
      </w:pPr>
      <w:r w:rsidRPr="004C4A72">
        <w:rPr>
          <w:rStyle w:val="AERbody"/>
        </w:rPr>
        <w:t>Source: Thomson Reuters</w:t>
      </w:r>
    </w:p>
    <w:p w:rsidR="00EB7679" w:rsidRPr="00A933BB" w:rsidRDefault="00EB7679" w:rsidP="00EB7679">
      <w:pPr>
        <w:pStyle w:val="HeadingItalic"/>
      </w:pPr>
      <w:bookmarkStart w:id="500" w:name="_Toc480460934"/>
      <w:r>
        <w:t>Other implementation concerns</w:t>
      </w:r>
      <w:bookmarkEnd w:id="500"/>
    </w:p>
    <w:p w:rsidR="00EB7679" w:rsidRDefault="00EB7679" w:rsidP="00EB7679">
      <w:r>
        <w:t>Currently the RBA and BVAL curves are weighted equally. The weighting is based on findings from Lally. In particular, Lally derived formulae to demonstrate that, subject to some assumptions, the mean squared error of the two variable estimator would be reduced with equal weighting.</w:t>
      </w:r>
      <w:r>
        <w:rPr>
          <w:rStyle w:val="FootnoteReference"/>
        </w:rPr>
        <w:footnoteReference w:id="1608"/>
      </w:r>
      <w:r>
        <w:t xml:space="preserve"> While we could make simplifying assumptions to include the new curve at equal weight, it is unclear if these would be reasonable without further analysis.  </w:t>
      </w:r>
    </w:p>
    <w:p w:rsidR="00EB7679" w:rsidRDefault="00EB7679" w:rsidP="00EB7679">
      <w:r>
        <w:t xml:space="preserve">Further, as we have accepted AusNet Services and Multinet Gas’ proposal to update the return on debt annually, we are required to set out an approach that can be given effect by automatic application of a formula. For this reason, we would need also to alter the contingencies set out in our Final Decision to accommodate the Thomson Reuters curve. We note that the presence of a third curve would substantially increase the options and permutations to consider in determining the appropriate contingencies.  And, as changes in data availability are relatively common, these contingencies could plausibly be highly material over a five year regulatory period. We are not satisfied  that without these items being settled that adopting the Thomson Reuters curve would contribute to achievement of the ARORO. </w:t>
      </w:r>
    </w:p>
    <w:p w:rsidR="00EB7679" w:rsidRDefault="00EB7679" w:rsidP="00EB7679">
      <w:r>
        <w:t>These methodological design issues</w:t>
      </w:r>
      <w:r w:rsidRPr="009C3EB9">
        <w:t xml:space="preserve"> are not </w:t>
      </w:r>
      <w:r>
        <w:t>irresolvable</w:t>
      </w:r>
      <w:r w:rsidRPr="009C3EB9">
        <w:t xml:space="preserve">. However, </w:t>
      </w:r>
      <w:r>
        <w:t>they are complex and would ideally involve consultation with stakeholders</w:t>
      </w:r>
      <w:r w:rsidRPr="009C3EB9">
        <w:t>.</w:t>
      </w:r>
    </w:p>
    <w:p w:rsidR="00EB7679" w:rsidRDefault="00EB7679" w:rsidP="00EB7679">
      <w:pPr>
        <w:pStyle w:val="Heading9"/>
      </w:pPr>
      <w:bookmarkStart w:id="501" w:name="_Toc480460935"/>
      <w:bookmarkStart w:id="502" w:name="_Toc487037229"/>
      <w:r>
        <w:t>Immaterial in simplest case</w:t>
      </w:r>
      <w:bookmarkEnd w:id="501"/>
      <w:bookmarkEnd w:id="502"/>
    </w:p>
    <w:p w:rsidR="00EB7679" w:rsidRDefault="00EB7679" w:rsidP="00EB7679">
      <w:r>
        <w:t xml:space="preserve">Aside from the design issues above, we are not persuaded there is sufficient evidence to suggest that the inclusion of a Thomson Reuters curve would materially change revenue outcomes. To test whether the curve would make a substantial difference to the achievement of the ARORO we considered the magnitude of the change to the return on debt with its addition. To do so, we used the simplest case of a simple average (1/3 weighting to each curve) and a similar extrapolation method to that done for </w:t>
      </w:r>
      <w:r w:rsidRPr="00FB1D2C">
        <w:t>the RBA curve</w:t>
      </w:r>
      <w:r>
        <w:t xml:space="preserve">. </w:t>
      </w:r>
    </w:p>
    <w:p w:rsidR="00EB7679" w:rsidRDefault="00EB7679" w:rsidP="00EB7679">
      <w:r>
        <w:t>We found that from mid-2015 (when the Reuters curve became available for a period at 10 years in blended form),</w:t>
      </w:r>
      <w:r>
        <w:rPr>
          <w:rStyle w:val="FootnoteReference"/>
        </w:rPr>
        <w:footnoteReference w:id="1609"/>
      </w:r>
      <w:r>
        <w:t xml:space="preserve"> to the end of 2016 the differences between the two approaches were largely immaterial. On average the difference was 3 basis points. As this has been created without the optimal weightings and extrapolation methods considered, the actual implementation could be different. </w:t>
      </w:r>
    </w:p>
    <w:p w:rsidR="00EB7679" w:rsidRPr="009649CD" w:rsidRDefault="00EB7679" w:rsidP="00EB7679">
      <w:r w:rsidRPr="009649CD">
        <w:t xml:space="preserve">This does not imply these curves will continue to produce similar results. Further, we consider that analysis of the yield curve's underlying characteristics is the most informative means of evaluating the curves. To the extent that a comparison of outcomes is informative, we are not satisfied that there is sufficient evidence the addition of a third curve would, in expectation, have any more than incremental impact on the outcomes of our current approach. </w:t>
      </w:r>
    </w:p>
    <w:p w:rsidR="00EB7679" w:rsidRPr="00A933BB" w:rsidRDefault="00EB7679" w:rsidP="00EB7679">
      <w:pPr>
        <w:pStyle w:val="Caption"/>
      </w:pPr>
      <w:r>
        <w:t xml:space="preserve">Figure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2C24D6">
        <w:rPr>
          <w:noProof/>
        </w:rPr>
        <w:t>22</w:t>
      </w:r>
      <w:r w:rsidRPr="004C4A72">
        <w:fldChar w:fldCharType="end"/>
      </w:r>
      <w:r>
        <w:tab/>
        <w:t>Simple averages of RBA, BVAL and Reuters curves</w:t>
      </w:r>
    </w:p>
    <w:p w:rsidR="00EB7679" w:rsidRDefault="00EB7679" w:rsidP="00EB7679">
      <w:r w:rsidRPr="00EB7679">
        <w:rPr>
          <w:noProof/>
          <w:lang w:eastAsia="en-AU"/>
        </w:rPr>
        <w:drawing>
          <wp:inline distT="0" distB="0" distL="0" distR="0" wp14:anchorId="47E70E4D" wp14:editId="061C6AFB">
            <wp:extent cx="5090400" cy="331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0400" cy="3315600"/>
                    </a:xfrm>
                    <a:prstGeom prst="rect">
                      <a:avLst/>
                    </a:prstGeom>
                    <a:noFill/>
                  </pic:spPr>
                </pic:pic>
              </a:graphicData>
            </a:graphic>
          </wp:inline>
        </w:drawing>
      </w:r>
    </w:p>
    <w:p w:rsidR="00EB7679" w:rsidRPr="00A933BB" w:rsidRDefault="00EB7679" w:rsidP="00EB7679">
      <w:r>
        <w:t>Sources: AER; Bloomberg; RBA; Thomson Reuters</w:t>
      </w:r>
    </w:p>
    <w:p w:rsidR="00EB7679" w:rsidRPr="004C4A72" w:rsidRDefault="00EB7679" w:rsidP="00EB7679">
      <w:pPr>
        <w:pStyle w:val="Heading8"/>
      </w:pPr>
      <w:bookmarkStart w:id="503" w:name="_Toc449624779"/>
      <w:bookmarkStart w:id="504" w:name="_Toc451947852"/>
      <w:bookmarkStart w:id="505" w:name="_Toc484089326"/>
      <w:bookmarkStart w:id="506" w:name="_Toc487037230"/>
      <w:r w:rsidRPr="00D729CA">
        <w:t>Other issues</w:t>
      </w:r>
      <w:bookmarkEnd w:id="503"/>
      <w:bookmarkEnd w:id="504"/>
      <w:bookmarkEnd w:id="505"/>
      <w:bookmarkEnd w:id="506"/>
    </w:p>
    <w:p w:rsidR="00EB7679" w:rsidRPr="005027D1" w:rsidRDefault="00EB7679" w:rsidP="00EB7679">
      <w:pPr>
        <w:rPr>
          <w:rStyle w:val="AERbody"/>
        </w:rPr>
      </w:pPr>
      <w:r w:rsidRPr="005027D1">
        <w:rPr>
          <w:rStyle w:val="AERbody"/>
        </w:rPr>
        <w:t>This section sets out our analysis of other issues raised</w:t>
      </w:r>
      <w:r>
        <w:rPr>
          <w:rStyle w:val="AERbody"/>
        </w:rPr>
        <w:t xml:space="preserve"> recently</w:t>
      </w:r>
      <w:r w:rsidRPr="005027D1">
        <w:rPr>
          <w:rStyle w:val="AERbody"/>
        </w:rPr>
        <w:t xml:space="preserve"> by CEG. Specifically, we address the extrapolation of the BVAL curve.</w:t>
      </w:r>
    </w:p>
    <w:p w:rsidR="00EB7679" w:rsidRDefault="00EB7679" w:rsidP="00EB7679">
      <w:pPr>
        <w:pStyle w:val="Heading9"/>
      </w:pPr>
      <w:bookmarkStart w:id="507" w:name="_Toc480460937"/>
      <w:bookmarkStart w:id="508" w:name="_Toc487037231"/>
      <w:r>
        <w:t>Extrapolation method</w:t>
      </w:r>
      <w:bookmarkEnd w:id="507"/>
      <w:bookmarkEnd w:id="508"/>
    </w:p>
    <w:p w:rsidR="00EB7679" w:rsidRPr="00A933BB" w:rsidRDefault="00EB7679" w:rsidP="00EB7679">
      <w:r>
        <w:t xml:space="preserve">We </w:t>
      </w:r>
      <w:r w:rsidRPr="00A933BB">
        <w:t>remain satisfied that our methodology for extrapolating the return on debt series will contribute to achievement of the ARORO. In contrast, CEG recommended in a recent submission that the SAPN method should be used instead</w:t>
      </w:r>
      <w:r w:rsidRPr="00A933BB">
        <w:rPr>
          <w:rStyle w:val="FootnoteReference"/>
        </w:rPr>
        <w:footnoteReference w:id="1610"/>
      </w:r>
      <w:r w:rsidRPr="00A933BB">
        <w:t xml:space="preserve">:  </w:t>
      </w:r>
    </w:p>
    <w:p w:rsidR="00EB7679" w:rsidRPr="00471E2B" w:rsidRDefault="00EB7679" w:rsidP="00EB7679">
      <w:pPr>
        <w:pStyle w:val="AERquote"/>
      </w:pPr>
      <w:r w:rsidRPr="009211FE">
        <w:t>To the extent that extrapolation of the BVAL curve is to be applied (to give an estimate of the cost of debt that is independent from those already available from RBA/Reuters) then the methodology should, in our opinion, be independent of the RBA/Reuters curves. The SAPN extrapolation method provides this independence</w:t>
      </w:r>
      <w:r w:rsidRPr="00471E2B">
        <w:t xml:space="preserve"> and the results of applying this methodology are set out in Table 3-2 above. </w:t>
      </w:r>
    </w:p>
    <w:p w:rsidR="00EB7679" w:rsidRDefault="00EB7679" w:rsidP="00EB7679">
      <w:r>
        <w:t>We have addressed the SAPN approach in previous decisions, and remain unpersuaded that there is a compelling conceptual or practical basis to assume that yield curves should conform to a straight line along their entire length.</w:t>
      </w:r>
      <w:r>
        <w:rPr>
          <w:rStyle w:val="FootnoteReference"/>
        </w:rPr>
        <w:footnoteReference w:id="1611"/>
      </w:r>
      <w:r>
        <w:t xml:space="preserve"> In contrast, our approach relies only on the shape of the yield curve from 7 to 10 years as published by the RBA. We are satisfied that this is likely to be more informative about the appropriate shape for the yield curve from 7 to 10 years compared to a presumption that the 7 to 10 year margin should reflect a line of best fit across the entire term range. Compared to the shape of either the RBA or Bloomberg curves over their published ranges, the SAPN curve appears counterintuitive.  </w:t>
      </w:r>
    </w:p>
    <w:p w:rsidR="00EB7679" w:rsidRDefault="00EB7679" w:rsidP="00EB7679">
      <w:r>
        <w:t xml:space="preserve">Further, as a result of its straight line assumption the SAPN extrapolation method also appears to have been consistently biased upwards over the past one and a half years (for which we have published BVAL 10 year data to compare the approach). This can be seen in the figure below. </w:t>
      </w:r>
    </w:p>
    <w:p w:rsidR="00EB7679" w:rsidRDefault="00EB7679" w:rsidP="00EB7679">
      <w:pPr>
        <w:pStyle w:val="Caption"/>
      </w:pPr>
      <w:r>
        <w:t xml:space="preserve">Figure </w:t>
      </w:r>
      <w:r w:rsidRPr="004C4A72">
        <w:fldChar w:fldCharType="begin"/>
      </w:r>
      <w:r>
        <w:instrText xml:space="preserve"> STYLEREF 1 \s </w:instrText>
      </w:r>
      <w:r w:rsidRPr="004C4A72">
        <w:fldChar w:fldCharType="separate"/>
      </w:r>
      <w:r w:rsidR="002C24D6">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2C24D6">
        <w:rPr>
          <w:noProof/>
        </w:rPr>
        <w:t>23</w:t>
      </w:r>
      <w:r w:rsidRPr="004C4A72">
        <w:fldChar w:fldCharType="end"/>
      </w:r>
      <w:r>
        <w:tab/>
        <w:t>BVAL 10 Year Yield with AER and SAPN Extrapolation Approaches</w:t>
      </w:r>
    </w:p>
    <w:p w:rsidR="00EB7679" w:rsidRDefault="00EB7679" w:rsidP="00EB7679">
      <w:r w:rsidRPr="00EB7679">
        <w:rPr>
          <w:noProof/>
          <w:lang w:eastAsia="en-AU"/>
        </w:rPr>
        <w:drawing>
          <wp:inline distT="0" distB="0" distL="0" distR="0" wp14:anchorId="0B40CBD8" wp14:editId="4FD8DAD6">
            <wp:extent cx="5517515" cy="342011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7515" cy="3420110"/>
                    </a:xfrm>
                    <a:prstGeom prst="rect">
                      <a:avLst/>
                    </a:prstGeom>
                    <a:noFill/>
                  </pic:spPr>
                </pic:pic>
              </a:graphicData>
            </a:graphic>
          </wp:inline>
        </w:drawing>
      </w:r>
    </w:p>
    <w:p w:rsidR="00EB7679" w:rsidRDefault="00EB7679" w:rsidP="00EB7679">
      <w:pPr>
        <w:pStyle w:val="AERtablesource"/>
      </w:pPr>
      <w:r>
        <w:t>Sources: AER; Bloomberg; RBA.</w:t>
      </w:r>
    </w:p>
    <w:p w:rsidR="00AD2086" w:rsidRPr="00AD2086" w:rsidRDefault="00AD2086" w:rsidP="00AD2086">
      <w:pPr>
        <w:pStyle w:val="Heading8"/>
      </w:pPr>
      <w:bookmarkStart w:id="509" w:name="_Ref486947378"/>
      <w:bookmarkStart w:id="510" w:name="_Toc487037232"/>
      <w:r>
        <w:t>Credit rating</w:t>
      </w:r>
      <w:bookmarkEnd w:id="468"/>
      <w:bookmarkEnd w:id="469"/>
      <w:bookmarkEnd w:id="509"/>
      <w:bookmarkEnd w:id="510"/>
    </w:p>
    <w:p w:rsidR="00AA374F" w:rsidRPr="00ED244D" w:rsidRDefault="00AA374F" w:rsidP="00AA374F">
      <w:r>
        <w:t>In section 3.4.2</w:t>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AA374F" w:rsidRDefault="00AA374F" w:rsidP="00013867">
      <w:pPr>
        <w:pStyle w:val="AERbulletlistfirststyle"/>
      </w:pPr>
      <w:r>
        <w:t xml:space="preserve">Setting out </w:t>
      </w:r>
      <w:r w:rsidRPr="00ED244D">
        <w:t>the comparator set we use to estimate the industry median</w:t>
      </w:r>
      <w:r>
        <w:t xml:space="preserve"> </w:t>
      </w:r>
    </w:p>
    <w:p w:rsidR="00AA374F" w:rsidRPr="00AA374F" w:rsidRDefault="00AA374F" w:rsidP="00013867">
      <w:pPr>
        <w:pStyle w:val="AERbulletlistfirststyle"/>
      </w:pPr>
      <w:r>
        <w:t>Explaining why we consider market data supports an</w:t>
      </w:r>
      <w:r w:rsidRPr="00AA374F">
        <w:t xml:space="preserve"> industry median credit rating of BBB+, rather than BBB.</w:t>
      </w:r>
    </w:p>
    <w:p w:rsidR="00AA374F" w:rsidRPr="00ED244D" w:rsidRDefault="00AA374F" w:rsidP="00013867">
      <w:r>
        <w:t>In a previous decision AusNet Services proposed</w:t>
      </w:r>
      <w:r w:rsidRPr="00AA374F">
        <w:t xml:space="preserve"> to exclude itself and SGSP Australia Assets Pty Ltd (SGSP) from the comparator set.  We addressed this issue in the previous decision.  This is not a current issue.  We have included this argument in the current decision although it has not been expanded on in this decision.</w:t>
      </w:r>
    </w:p>
    <w:p w:rsidR="00AA374F" w:rsidRPr="00AD2086" w:rsidRDefault="00AA374F" w:rsidP="00AA374F">
      <w:pPr>
        <w:pStyle w:val="Heading9"/>
      </w:pPr>
      <w:bookmarkStart w:id="511" w:name="_Toc487037233"/>
      <w:r w:rsidRPr="00EC299C">
        <w:t>Comparator Set</w:t>
      </w:r>
      <w:bookmarkEnd w:id="511"/>
      <w:r w:rsidRPr="00EC299C">
        <w:t xml:space="preserve"> </w:t>
      </w:r>
    </w:p>
    <w:p w:rsidR="00AA374F" w:rsidRPr="00032247" w:rsidRDefault="00AA374F" w:rsidP="00AA374F">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612"/>
      </w:r>
      <w:r w:rsidRPr="00032247">
        <w:t xml:space="preserve"> This is made up of the following businesses:</w:t>
      </w:r>
    </w:p>
    <w:p w:rsidR="00AA374F" w:rsidRPr="00032247" w:rsidRDefault="00AA374F" w:rsidP="00AA374F">
      <w:pPr>
        <w:pStyle w:val="AERbulletlistfirststyle"/>
      </w:pPr>
      <w:r w:rsidRPr="00032247">
        <w:t>APT Pipelines Ltd</w:t>
      </w:r>
    </w:p>
    <w:p w:rsidR="00AA374F" w:rsidRPr="00032247" w:rsidRDefault="00AA374F" w:rsidP="00AA374F">
      <w:pPr>
        <w:pStyle w:val="AERbulletlistfirststyle"/>
      </w:pPr>
      <w:r w:rsidRPr="00032247">
        <w:t>ATCO Gas Australian LP</w:t>
      </w:r>
    </w:p>
    <w:p w:rsidR="00AA374F" w:rsidRPr="00032247" w:rsidRDefault="00AA374F" w:rsidP="00AA374F">
      <w:pPr>
        <w:pStyle w:val="AERbulletlistfirststyle"/>
      </w:pPr>
      <w:r w:rsidRPr="00032247">
        <w:t>DBNGP Trust</w:t>
      </w:r>
    </w:p>
    <w:p w:rsidR="00AA374F" w:rsidRPr="00032247" w:rsidRDefault="00AA374F" w:rsidP="00AA374F">
      <w:pPr>
        <w:pStyle w:val="AERbulletlistfirststyle"/>
      </w:pPr>
      <w:r w:rsidRPr="00032247">
        <w:t>DUET Group</w:t>
      </w:r>
    </w:p>
    <w:p w:rsidR="00AA374F" w:rsidRPr="00032247" w:rsidRDefault="00AA374F" w:rsidP="00AA374F">
      <w:pPr>
        <w:pStyle w:val="AERbulletlistfirststyle"/>
      </w:pPr>
      <w:r w:rsidRPr="00032247">
        <w:t>ElectraNet Pty Ltd</w:t>
      </w:r>
    </w:p>
    <w:p w:rsidR="00AA374F" w:rsidRPr="00032247" w:rsidRDefault="00AA374F" w:rsidP="00AA374F">
      <w:pPr>
        <w:pStyle w:val="AERbulletlistfirststyle"/>
      </w:pPr>
      <w:r w:rsidRPr="00032247">
        <w:t>Energy Partnership (Gas) Pty Ltd</w:t>
      </w:r>
    </w:p>
    <w:p w:rsidR="00AA374F" w:rsidRPr="00032247" w:rsidRDefault="00AA374F" w:rsidP="00AA374F">
      <w:pPr>
        <w:pStyle w:val="AERbulletlistfirststyle"/>
      </w:pPr>
      <w:r w:rsidRPr="00032247">
        <w:t xml:space="preserve">Australian Gas Networks Ltd— previously Envestra Ltd </w:t>
      </w:r>
    </w:p>
    <w:p w:rsidR="00AA374F" w:rsidRPr="00032247" w:rsidRDefault="00AA374F" w:rsidP="00AA374F">
      <w:pPr>
        <w:pStyle w:val="AERbulletlistfirststyle"/>
      </w:pPr>
      <w:r w:rsidRPr="00032247">
        <w:t>ETSA Utilities</w:t>
      </w:r>
    </w:p>
    <w:p w:rsidR="00AA374F" w:rsidRPr="00032247" w:rsidRDefault="00AA374F" w:rsidP="00AA374F">
      <w:pPr>
        <w:pStyle w:val="AERbulletlistfirststyle"/>
      </w:pPr>
      <w:r w:rsidRPr="00032247">
        <w:t>Powercor Australia LLC</w:t>
      </w:r>
      <w:r>
        <w:t xml:space="preserve"> </w:t>
      </w:r>
    </w:p>
    <w:p w:rsidR="00AA374F" w:rsidRPr="00032247" w:rsidRDefault="00AA374F" w:rsidP="00AA374F">
      <w:pPr>
        <w:pStyle w:val="AERbulletlistfirststyle"/>
      </w:pPr>
      <w:r w:rsidRPr="00032247">
        <w:t>AusNet Services — previously SP AusNet Group</w:t>
      </w:r>
    </w:p>
    <w:p w:rsidR="00AA374F" w:rsidRPr="00032247" w:rsidRDefault="00AA374F" w:rsidP="00AA374F">
      <w:pPr>
        <w:pStyle w:val="AERbulletlistfirststyle"/>
      </w:pPr>
      <w:r w:rsidRPr="00032247">
        <w:t>SGSP — previously SPI (Australia) Assets Pty Ltd</w:t>
      </w:r>
    </w:p>
    <w:p w:rsidR="00AA374F" w:rsidRPr="00032247" w:rsidRDefault="00AA374F" w:rsidP="00AA374F">
      <w:pPr>
        <w:pStyle w:val="AERbulletlistfirststyle"/>
      </w:pPr>
      <w:r w:rsidRPr="00032247">
        <w:t>The CitiPower Trust</w:t>
      </w:r>
      <w:r>
        <w:t xml:space="preserve"> </w:t>
      </w:r>
    </w:p>
    <w:p w:rsidR="00AA374F" w:rsidRDefault="00AA374F" w:rsidP="00AA374F">
      <w:pPr>
        <w:pStyle w:val="AERbulletlistfirststyle"/>
      </w:pPr>
      <w:r w:rsidRPr="00032247">
        <w:t>Uni</w:t>
      </w:r>
      <w:r>
        <w:t>ted Energy Distribution Pty Ltd</w:t>
      </w:r>
    </w:p>
    <w:p w:rsidR="00AA374F" w:rsidRDefault="00AA374F" w:rsidP="00AA374F">
      <w:pPr>
        <w:pStyle w:val="AERbulletlistfirststyle"/>
      </w:pPr>
      <w:r>
        <w:t>Victoria Power Networks Pty Ltd</w:t>
      </w:r>
      <w:r>
        <w:rPr>
          <w:rStyle w:val="FootnoteReference"/>
        </w:rPr>
        <w:footnoteReference w:id="1613"/>
      </w:r>
    </w:p>
    <w:p w:rsidR="00AA374F" w:rsidRDefault="00AA374F" w:rsidP="00AA374F">
      <w:r w:rsidRPr="002959D6">
        <w:t xml:space="preserve">AusNet Services </w:t>
      </w:r>
      <w:r>
        <w:t xml:space="preserve">electricity transmission has previously </w:t>
      </w:r>
      <w:r w:rsidRPr="002959D6">
        <w:t xml:space="preserve">submitted we should exclude it and SGSP from our comparator set. This was on the basis that the ownership by the </w:t>
      </w:r>
      <w:r w:rsidRPr="004057F3">
        <w:t xml:space="preserve">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614"/>
      </w:r>
      <w:r w:rsidRPr="004057F3">
        <w:t xml:space="preserve"> </w:t>
      </w:r>
    </w:p>
    <w:p w:rsidR="00AA374F" w:rsidRPr="00160DAC" w:rsidRDefault="00AA374F" w:rsidP="00AA374F">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615"/>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616"/>
      </w:r>
    </w:p>
    <w:p w:rsidR="00AA374F" w:rsidRPr="002F0EF0" w:rsidRDefault="00AA374F" w:rsidP="00AA374F">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Australian Gas Networks Ltd contributed to our benchmark given Australian Gas Networks Ltd.'s gearing has exceeded 80 per cent.</w:t>
      </w:r>
      <w:r>
        <w:rPr>
          <w:rStyle w:val="FootnoteReference"/>
        </w:rPr>
        <w:footnoteReference w:id="1617"/>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AA374F" w:rsidRDefault="00AA374F" w:rsidP="00AA374F">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AA374F" w:rsidRPr="00AD2086" w:rsidRDefault="00AA374F" w:rsidP="00AA374F">
      <w:pPr>
        <w:pStyle w:val="Heading9"/>
      </w:pPr>
      <w:bookmarkStart w:id="512" w:name="_Toc487037234"/>
      <w:r>
        <w:t>Current Industry Median</w:t>
      </w:r>
      <w:bookmarkEnd w:id="512"/>
    </w:p>
    <w:p w:rsidR="00AA374F" w:rsidRDefault="00AA374F" w:rsidP="00AA374F">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618"/>
      </w:r>
      <w:r w:rsidRPr="008E3CDC">
        <w:t xml:space="preserve"> </w:t>
      </w:r>
      <w:r w:rsidRPr="00411A04">
        <w:t xml:space="preserve">We </w:t>
      </w:r>
      <w:r>
        <w:t>also</w:t>
      </w:r>
      <w:r w:rsidRPr="00411A04">
        <w:t xml:space="preserve"> have regard to variability in the median credit rating throughout time</w:t>
      </w:r>
      <w:r w:rsidRPr="002959D6">
        <w:t>. This recognises that while shorter term data is more likely to reflect current expectations, longer term data may reduce the influence on the median from firm spe</w:t>
      </w:r>
      <w:r>
        <w:t>cific or idiosyncratic factors.</w:t>
      </w:r>
    </w:p>
    <w:p w:rsidR="00AA374F" w:rsidRDefault="00086D61" w:rsidP="00AA374F">
      <w:r>
        <w:fldChar w:fldCharType="begin"/>
      </w:r>
      <w:r>
        <w:instrText xml:space="preserve"> REF _Ref487025446 \h </w:instrText>
      </w:r>
      <w:r>
        <w:fldChar w:fldCharType="separate"/>
      </w:r>
      <w:r w:rsidR="002C24D6">
        <w:t xml:space="preserve">Table </w:t>
      </w:r>
      <w:r w:rsidR="002C24D6">
        <w:rPr>
          <w:noProof/>
        </w:rPr>
        <w:t>3</w:t>
      </w:r>
      <w:r w:rsidR="002C24D6">
        <w:noBreakHyphen/>
      </w:r>
      <w:r w:rsidR="002C24D6">
        <w:rPr>
          <w:noProof/>
        </w:rPr>
        <w:t>37</w:t>
      </w:r>
      <w:r>
        <w:fldChar w:fldCharType="end"/>
      </w:r>
      <w:r>
        <w:t xml:space="preserve"> </w:t>
      </w:r>
      <w:r w:rsidR="00AA374F">
        <w:t xml:space="preserve">sets out the median credit rating over historical periods of progressively longer length. While the table shows some support for a credit rating of BBB to BBB+, we consider it shows stronger support for a credit rating of BBB+. </w:t>
      </w:r>
    </w:p>
    <w:p w:rsidR="00AA374F" w:rsidRDefault="00AA374F" w:rsidP="00AA374F">
      <w:r>
        <w:t>We also note that this estimate entails taking the median from the yearly medians. We could also take the median of all credit rating observations over these time periods. This gives BBB+ for the four most recent periods and</w:t>
      </w:r>
      <w:r w:rsidRPr="00057769">
        <w:t xml:space="preserve"> B</w:t>
      </w:r>
      <w:r>
        <w:t>BB/BBB+ for the remainder of the median credit rating periods.  The Tribunal observed that the more recent years firmly point towards a BBB+ credit rating for the benchmark efficient entity</w:t>
      </w:r>
      <w:r>
        <w:rPr>
          <w:rStyle w:val="FootnoteReference"/>
        </w:rPr>
        <w:footnoteReference w:id="1619"/>
      </w:r>
      <w:r>
        <w:t xml:space="preserve"> and our latest data supports this view.</w:t>
      </w:r>
    </w:p>
    <w:p w:rsidR="00AA374F" w:rsidRPr="00E41C8B" w:rsidRDefault="00AA374F" w:rsidP="00AA374F">
      <w:pPr>
        <w:pStyle w:val="Caption"/>
      </w:pPr>
      <w:bookmarkStart w:id="513" w:name="_Ref487025446"/>
      <w:r>
        <w:t xml:space="preserve">Table </w:t>
      </w:r>
      <w:r w:rsidRPr="00AA374F">
        <w:fldChar w:fldCharType="begin"/>
      </w:r>
      <w:r>
        <w:instrText xml:space="preserve"> STYLEREF 1 \s </w:instrText>
      </w:r>
      <w:r w:rsidRPr="00AA374F">
        <w:fldChar w:fldCharType="separate"/>
      </w:r>
      <w:r w:rsidR="002C24D6">
        <w:rPr>
          <w:noProof/>
        </w:rPr>
        <w:t>3</w:t>
      </w:r>
      <w:r w:rsidRPr="00AA374F">
        <w:fldChar w:fldCharType="end"/>
      </w:r>
      <w:r>
        <w:noBreakHyphen/>
      </w:r>
      <w:r w:rsidRPr="00AA374F">
        <w:fldChar w:fldCharType="begin"/>
      </w:r>
      <w:r>
        <w:instrText xml:space="preserve"> SEQ Table \* ARABIC \s 1 </w:instrText>
      </w:r>
      <w:r w:rsidRPr="00AA374F">
        <w:fldChar w:fldCharType="separate"/>
      </w:r>
      <w:r w:rsidR="002C24D6">
        <w:rPr>
          <w:noProof/>
        </w:rPr>
        <w:t>37</w:t>
      </w:r>
      <w:r w:rsidRPr="00AA374F">
        <w:fldChar w:fldCharType="end"/>
      </w:r>
      <w:bookmarkEnd w:id="513"/>
      <w:r>
        <w:t xml:space="preserve"> </w:t>
      </w:r>
      <w:r w:rsidRPr="00E41C8B">
        <w:t>Median credit rating</w:t>
      </w:r>
      <w:r w:rsidRPr="00627B3D">
        <w:t>—</w:t>
      </w:r>
      <w:r w:rsidRPr="00E41C8B">
        <w:t xml:space="preserve">Comparator set of </w:t>
      </w:r>
      <w:r w:rsidRPr="002959D6">
        <w:t>firms</w:t>
      </w:r>
    </w:p>
    <w:tbl>
      <w:tblPr>
        <w:tblStyle w:val="AERtable-text0"/>
        <w:tblW w:w="0" w:type="auto"/>
        <w:tblLook w:val="04A0" w:firstRow="1" w:lastRow="0" w:firstColumn="1" w:lastColumn="0" w:noHBand="0" w:noVBand="1"/>
      </w:tblPr>
      <w:tblGrid>
        <w:gridCol w:w="2153"/>
        <w:gridCol w:w="2192"/>
        <w:gridCol w:w="2155"/>
        <w:gridCol w:w="2193"/>
      </w:tblGrid>
      <w:tr w:rsidR="00AA374F" w:rsidRPr="00073F41" w:rsidTr="005139FA">
        <w:trPr>
          <w:cnfStyle w:val="100000000000" w:firstRow="1" w:lastRow="0" w:firstColumn="0" w:lastColumn="0" w:oddVBand="0" w:evenVBand="0" w:oddHBand="0" w:evenHBand="0" w:firstRowFirstColumn="0" w:firstRowLastColumn="0" w:lastRowFirstColumn="0" w:lastRowLastColumn="0"/>
        </w:trPr>
        <w:tc>
          <w:tcPr>
            <w:tcW w:w="2153" w:type="dxa"/>
          </w:tcPr>
          <w:p w:rsidR="00AA374F" w:rsidRPr="00AA374F" w:rsidRDefault="00AA374F" w:rsidP="00AA374F">
            <w:r w:rsidRPr="00073F41">
              <w:t xml:space="preserve">Time </w:t>
            </w:r>
            <w:r w:rsidRPr="00AA374F">
              <w:t xml:space="preserve">period </w:t>
            </w:r>
          </w:p>
        </w:tc>
        <w:tc>
          <w:tcPr>
            <w:tcW w:w="2192" w:type="dxa"/>
          </w:tcPr>
          <w:p w:rsidR="00AA374F" w:rsidRPr="00AA374F" w:rsidRDefault="00AA374F" w:rsidP="00AA374F">
            <w:r w:rsidRPr="00073F41">
              <w:t>Median credit rating</w:t>
            </w:r>
          </w:p>
        </w:tc>
        <w:tc>
          <w:tcPr>
            <w:tcW w:w="2155" w:type="dxa"/>
          </w:tcPr>
          <w:p w:rsidR="00AA374F" w:rsidRPr="00AA374F" w:rsidRDefault="00AA374F" w:rsidP="00AA374F">
            <w:r w:rsidRPr="00073F41">
              <w:t>Time period</w:t>
            </w:r>
          </w:p>
        </w:tc>
        <w:tc>
          <w:tcPr>
            <w:tcW w:w="2193" w:type="dxa"/>
          </w:tcPr>
          <w:p w:rsidR="00AA374F" w:rsidRPr="00AA374F" w:rsidRDefault="00AA374F" w:rsidP="00AA374F">
            <w:r w:rsidRPr="00073F41">
              <w:t>Median credit rating</w:t>
            </w:r>
          </w:p>
        </w:tc>
      </w:tr>
      <w:tr w:rsidR="00AA374F" w:rsidRPr="00073F41" w:rsidTr="005139FA">
        <w:trPr>
          <w:trHeight w:val="622"/>
        </w:trPr>
        <w:tc>
          <w:tcPr>
            <w:tcW w:w="2153" w:type="dxa"/>
          </w:tcPr>
          <w:p w:rsidR="00AA374F" w:rsidRPr="00AA374F" w:rsidRDefault="00AA374F" w:rsidP="00AA374F">
            <w:r>
              <w:t>2016</w:t>
            </w:r>
            <w:r w:rsidRPr="00AA374F">
              <w:t xml:space="preserve"> (to date)</w:t>
            </w:r>
          </w:p>
        </w:tc>
        <w:tc>
          <w:tcPr>
            <w:tcW w:w="2192" w:type="dxa"/>
          </w:tcPr>
          <w:p w:rsidR="00AA374F" w:rsidRPr="00AA374F" w:rsidRDefault="00AA374F" w:rsidP="00AA374F">
            <w:r>
              <w:t>BBB+</w:t>
            </w:r>
          </w:p>
        </w:tc>
        <w:tc>
          <w:tcPr>
            <w:tcW w:w="2155" w:type="dxa"/>
          </w:tcPr>
          <w:p w:rsidR="00AA374F" w:rsidRPr="00AA374F" w:rsidRDefault="00AA374F" w:rsidP="00AA374F">
            <w:r>
              <w:t>2010</w:t>
            </w:r>
            <w:r w:rsidRPr="00AA374F">
              <w:t>–2016</w:t>
            </w:r>
          </w:p>
        </w:tc>
        <w:tc>
          <w:tcPr>
            <w:tcW w:w="2193" w:type="dxa"/>
          </w:tcPr>
          <w:p w:rsidR="00AA374F" w:rsidRPr="00AA374F" w:rsidRDefault="00AA374F" w:rsidP="00AA374F">
            <w:r w:rsidRPr="00073F41">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A374F" w:rsidRPr="00AA374F" w:rsidRDefault="00AA374F" w:rsidP="00AA374F">
            <w:r>
              <w:t xml:space="preserve">2015 </w:t>
            </w:r>
            <w:r w:rsidRPr="00AA374F">
              <w:t>-2016</w:t>
            </w:r>
          </w:p>
        </w:tc>
        <w:tc>
          <w:tcPr>
            <w:tcW w:w="2192" w:type="dxa"/>
          </w:tcPr>
          <w:p w:rsidR="00AA374F" w:rsidRPr="00AA374F" w:rsidRDefault="00AA374F" w:rsidP="00AA374F">
            <w:r w:rsidRPr="00073F41">
              <w:t>BBB+</w:t>
            </w:r>
          </w:p>
        </w:tc>
        <w:tc>
          <w:tcPr>
            <w:tcW w:w="2155" w:type="dxa"/>
          </w:tcPr>
          <w:p w:rsidR="00AA374F" w:rsidRPr="00AA374F" w:rsidRDefault="00AA374F" w:rsidP="00AA374F">
            <w:r>
              <w:t>2009–201</w:t>
            </w:r>
            <w:r w:rsidRPr="00AA374F">
              <w:t>6</w:t>
            </w:r>
          </w:p>
        </w:tc>
        <w:tc>
          <w:tcPr>
            <w:tcW w:w="2193" w:type="dxa"/>
          </w:tcPr>
          <w:p w:rsidR="00AA374F" w:rsidRPr="00AA374F" w:rsidRDefault="00AA374F" w:rsidP="00AA374F">
            <w:r>
              <w:t>BBB</w:t>
            </w:r>
          </w:p>
        </w:tc>
      </w:tr>
      <w:tr w:rsidR="00AA374F" w:rsidRPr="00073F41" w:rsidTr="005139FA">
        <w:tc>
          <w:tcPr>
            <w:tcW w:w="2153" w:type="dxa"/>
          </w:tcPr>
          <w:p w:rsidR="00AA374F" w:rsidRPr="00AA374F" w:rsidRDefault="00AA374F" w:rsidP="00AA374F">
            <w:r>
              <w:t>2014–201</w:t>
            </w:r>
            <w:r w:rsidRPr="00AA374F">
              <w:t>6</w:t>
            </w:r>
          </w:p>
        </w:tc>
        <w:tc>
          <w:tcPr>
            <w:tcW w:w="2192" w:type="dxa"/>
          </w:tcPr>
          <w:p w:rsidR="00AA374F" w:rsidRPr="00AA374F" w:rsidRDefault="00AA374F" w:rsidP="00AA374F">
            <w:r w:rsidRPr="00073F41">
              <w:t>BBB+</w:t>
            </w:r>
          </w:p>
        </w:tc>
        <w:tc>
          <w:tcPr>
            <w:tcW w:w="2155" w:type="dxa"/>
          </w:tcPr>
          <w:p w:rsidR="00AA374F" w:rsidRPr="00AA374F" w:rsidRDefault="00AA374F" w:rsidP="00AA374F">
            <w:r>
              <w:t>2008–201</w:t>
            </w:r>
            <w:r w:rsidRPr="00AA374F">
              <w:t>6</w:t>
            </w:r>
          </w:p>
        </w:tc>
        <w:tc>
          <w:tcPr>
            <w:tcW w:w="2193" w:type="dxa"/>
          </w:tcPr>
          <w:p w:rsidR="00AA374F" w:rsidRPr="00AA374F" w:rsidRDefault="00AA374F" w:rsidP="00AA374F">
            <w:r>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t>2013–201</w:t>
            </w:r>
            <w:r w:rsidRPr="00AA374F">
              <w:t>6</w:t>
            </w:r>
          </w:p>
        </w:tc>
        <w:tc>
          <w:tcPr>
            <w:tcW w:w="2192" w:type="dxa"/>
          </w:tcPr>
          <w:p w:rsidR="00AA374F" w:rsidRPr="00AA374F" w:rsidRDefault="00AA374F" w:rsidP="00AA374F">
            <w:r w:rsidRPr="00073F41">
              <w:t>BBB+</w:t>
            </w:r>
          </w:p>
        </w:tc>
        <w:tc>
          <w:tcPr>
            <w:tcW w:w="2155" w:type="dxa"/>
          </w:tcPr>
          <w:p w:rsidR="00AA374F" w:rsidRPr="00AA374F" w:rsidRDefault="00AA374F" w:rsidP="00AA374F">
            <w:r>
              <w:t>2007–201</w:t>
            </w:r>
            <w:r w:rsidRPr="00AA374F">
              <w:t>6</w:t>
            </w:r>
          </w:p>
        </w:tc>
        <w:tc>
          <w:tcPr>
            <w:tcW w:w="2193" w:type="dxa"/>
          </w:tcPr>
          <w:p w:rsidR="00AA374F" w:rsidRPr="00AA374F" w:rsidRDefault="00AA374F" w:rsidP="00AA374F">
            <w:r>
              <w:t>BBB/</w:t>
            </w:r>
            <w:r w:rsidRPr="00AA374F">
              <w:t>BBB+</w:t>
            </w:r>
          </w:p>
        </w:tc>
      </w:tr>
      <w:tr w:rsidR="00AA374F" w:rsidRPr="00073F41" w:rsidTr="005139FA">
        <w:tc>
          <w:tcPr>
            <w:tcW w:w="2153" w:type="dxa"/>
          </w:tcPr>
          <w:p w:rsidR="00AA374F" w:rsidRPr="00AA374F" w:rsidRDefault="00AA374F" w:rsidP="00AA374F">
            <w:r>
              <w:t>2012–201</w:t>
            </w:r>
            <w:r w:rsidRPr="00AA374F">
              <w:t>6</w:t>
            </w:r>
          </w:p>
        </w:tc>
        <w:tc>
          <w:tcPr>
            <w:tcW w:w="2192" w:type="dxa"/>
          </w:tcPr>
          <w:p w:rsidR="00AA374F" w:rsidRPr="00AA374F" w:rsidRDefault="00AA374F" w:rsidP="00AA374F">
            <w:r w:rsidRPr="00073F41">
              <w:t>BBB</w:t>
            </w:r>
            <w:r w:rsidRPr="00AA374F">
              <w:t>/BBB+</w:t>
            </w:r>
          </w:p>
        </w:tc>
        <w:tc>
          <w:tcPr>
            <w:tcW w:w="2155" w:type="dxa"/>
          </w:tcPr>
          <w:p w:rsidR="00AA374F" w:rsidRPr="00AA374F" w:rsidRDefault="00AA374F" w:rsidP="00AA374F">
            <w:r>
              <w:t>2006–201</w:t>
            </w:r>
            <w:r w:rsidRPr="00AA374F">
              <w:t>6</w:t>
            </w:r>
          </w:p>
        </w:tc>
        <w:tc>
          <w:tcPr>
            <w:tcW w:w="2193" w:type="dxa"/>
          </w:tcPr>
          <w:p w:rsidR="00AA374F" w:rsidRPr="00AA374F" w:rsidRDefault="00AA374F" w:rsidP="00AA374F">
            <w:r>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t>2011–201</w:t>
            </w:r>
            <w:r w:rsidRPr="00AA374F">
              <w:t>6</w:t>
            </w:r>
          </w:p>
        </w:tc>
        <w:tc>
          <w:tcPr>
            <w:tcW w:w="2192" w:type="dxa"/>
          </w:tcPr>
          <w:p w:rsidR="00AA374F" w:rsidRPr="00AA374F" w:rsidRDefault="00AA374F" w:rsidP="00AA374F">
            <w:r>
              <w:t>BBB</w:t>
            </w:r>
            <w:r w:rsidRPr="00AA374F">
              <w:t>/BBB+</w:t>
            </w:r>
          </w:p>
        </w:tc>
        <w:tc>
          <w:tcPr>
            <w:tcW w:w="2155" w:type="dxa"/>
          </w:tcPr>
          <w:p w:rsidR="00AA374F" w:rsidRPr="00E6234D" w:rsidRDefault="00AA374F" w:rsidP="00AA374F"/>
        </w:tc>
        <w:tc>
          <w:tcPr>
            <w:tcW w:w="2193" w:type="dxa"/>
          </w:tcPr>
          <w:p w:rsidR="00AA374F" w:rsidRPr="00E6234D" w:rsidRDefault="00AA374F" w:rsidP="00AA374F"/>
        </w:tc>
      </w:tr>
    </w:tbl>
    <w:p w:rsidR="00AA374F" w:rsidRDefault="00AA374F" w:rsidP="00AA374F">
      <w:pPr>
        <w:pStyle w:val="AERtablesource"/>
      </w:pPr>
      <w:r w:rsidRPr="00E41C8B">
        <w:t xml:space="preserve">Source: </w:t>
      </w:r>
      <w:r w:rsidRPr="00E41C8B">
        <w:tab/>
        <w:t>Bloomberg (S&amp;P), AER analysis.</w:t>
      </w:r>
      <w:r>
        <w:t xml:space="preserve"> </w:t>
      </w:r>
    </w:p>
    <w:p w:rsidR="00AA374F" w:rsidRDefault="00AA374F" w:rsidP="00AA374F">
      <w:r>
        <w:t xml:space="preserve">For further detail, </w:t>
      </w:r>
      <w:r>
        <w:fldChar w:fldCharType="begin"/>
      </w:r>
      <w:r>
        <w:instrText xml:space="preserve"> REF  _Ref452631952 \* Lower \h </w:instrText>
      </w:r>
      <w:r>
        <w:fldChar w:fldCharType="separate"/>
      </w:r>
      <w:r w:rsidR="002C24D6">
        <w:rPr>
          <w:b/>
          <w:bCs/>
          <w:lang w:val="en-US"/>
        </w:rPr>
        <w:t>Error! Reference source not found.</w:t>
      </w:r>
      <w:r>
        <w:fldChar w:fldCharType="end"/>
      </w:r>
      <w:r>
        <w:t xml:space="preserve"> s</w:t>
      </w:r>
      <w:r w:rsidRPr="00F11F88">
        <w:t xml:space="preserve">ets out the median credit ratings across our comparator set since the 2006 calendar year end. </w:t>
      </w:r>
    </w:p>
    <w:p w:rsidR="00AA374F" w:rsidRPr="00411A04" w:rsidRDefault="00AA374F" w:rsidP="00AA374F">
      <w:pPr>
        <w:pStyle w:val="Caption"/>
      </w:pPr>
      <w:bookmarkStart w:id="514" w:name="_Ref487025460"/>
      <w:r>
        <w:t xml:space="preserve">Table </w:t>
      </w:r>
      <w:r w:rsidRPr="00AA374F">
        <w:fldChar w:fldCharType="begin"/>
      </w:r>
      <w:r>
        <w:instrText xml:space="preserve"> STYLEREF 1 \s </w:instrText>
      </w:r>
      <w:r w:rsidRPr="00AA374F">
        <w:fldChar w:fldCharType="separate"/>
      </w:r>
      <w:r w:rsidR="002C24D6">
        <w:rPr>
          <w:noProof/>
        </w:rPr>
        <w:t>3</w:t>
      </w:r>
      <w:r w:rsidRPr="00AA374F">
        <w:fldChar w:fldCharType="end"/>
      </w:r>
      <w:r>
        <w:noBreakHyphen/>
      </w:r>
      <w:r w:rsidRPr="00AA374F">
        <w:fldChar w:fldCharType="begin"/>
      </w:r>
      <w:r>
        <w:instrText xml:space="preserve"> SEQ Table \* ARABIC \s 1 </w:instrText>
      </w:r>
      <w:r w:rsidRPr="00AA374F">
        <w:fldChar w:fldCharType="separate"/>
      </w:r>
      <w:r w:rsidR="002C24D6">
        <w:rPr>
          <w:noProof/>
        </w:rPr>
        <w:t>38</w:t>
      </w:r>
      <w:r w:rsidRPr="00AA374F">
        <w:fldChar w:fldCharType="end"/>
      </w:r>
      <w:bookmarkEnd w:id="514"/>
      <w:r>
        <w:t xml:space="preserve"> Credit ratings of network service providers over time</w:t>
      </w:r>
    </w:p>
    <w:tbl>
      <w:tblPr>
        <w:tblStyle w:val="AERtable-text0"/>
        <w:tblW w:w="5000" w:type="pct"/>
        <w:tblLook w:val="04A0" w:firstRow="1" w:lastRow="0" w:firstColumn="1" w:lastColumn="0" w:noHBand="0" w:noVBand="1"/>
      </w:tblPr>
      <w:tblGrid>
        <w:gridCol w:w="1395"/>
        <w:gridCol w:w="681"/>
        <w:gridCol w:w="678"/>
        <w:gridCol w:w="678"/>
        <w:gridCol w:w="678"/>
        <w:gridCol w:w="629"/>
        <w:gridCol w:w="629"/>
        <w:gridCol w:w="629"/>
        <w:gridCol w:w="678"/>
        <w:gridCol w:w="678"/>
        <w:gridCol w:w="671"/>
        <w:gridCol w:w="669"/>
      </w:tblGrid>
      <w:tr w:rsidR="00AA374F" w:rsidRPr="007D3E67" w:rsidTr="005139FA">
        <w:trPr>
          <w:cnfStyle w:val="100000000000" w:firstRow="1" w:lastRow="0" w:firstColumn="0" w:lastColumn="0" w:oddVBand="0" w:evenVBand="0" w:oddHBand="0" w:evenHBand="0" w:firstRowFirstColumn="0" w:firstRowLastColumn="0" w:lastRowFirstColumn="0" w:lastRowLastColumn="0"/>
        </w:trPr>
        <w:tc>
          <w:tcPr>
            <w:tcW w:w="802" w:type="pct"/>
          </w:tcPr>
          <w:p w:rsidR="00AA374F" w:rsidRPr="00AA374F" w:rsidRDefault="00AA374F" w:rsidP="00AA374F">
            <w:r w:rsidRPr="007D3E67">
              <w:t>Issuer</w:t>
            </w:r>
          </w:p>
        </w:tc>
        <w:tc>
          <w:tcPr>
            <w:tcW w:w="391" w:type="pct"/>
          </w:tcPr>
          <w:p w:rsidR="00AA374F" w:rsidRPr="00AA374F" w:rsidRDefault="00AA374F" w:rsidP="00AA374F">
            <w:r w:rsidRPr="007D3E67">
              <w:t>2006</w:t>
            </w:r>
          </w:p>
        </w:tc>
        <w:tc>
          <w:tcPr>
            <w:tcW w:w="390" w:type="pct"/>
          </w:tcPr>
          <w:p w:rsidR="00AA374F" w:rsidRPr="00AA374F" w:rsidRDefault="00AA374F" w:rsidP="00AA374F">
            <w:r w:rsidRPr="007D3E67">
              <w:t>2007</w:t>
            </w:r>
          </w:p>
        </w:tc>
        <w:tc>
          <w:tcPr>
            <w:tcW w:w="390" w:type="pct"/>
          </w:tcPr>
          <w:p w:rsidR="00AA374F" w:rsidRPr="00AA374F" w:rsidRDefault="00AA374F" w:rsidP="00AA374F">
            <w:r w:rsidRPr="007D3E67">
              <w:t>2008</w:t>
            </w:r>
          </w:p>
        </w:tc>
        <w:tc>
          <w:tcPr>
            <w:tcW w:w="390" w:type="pct"/>
          </w:tcPr>
          <w:p w:rsidR="00AA374F" w:rsidRPr="00AA374F" w:rsidRDefault="00AA374F" w:rsidP="00AA374F">
            <w:r w:rsidRPr="007D3E67">
              <w:t>2009</w:t>
            </w:r>
          </w:p>
        </w:tc>
        <w:tc>
          <w:tcPr>
            <w:tcW w:w="362" w:type="pct"/>
          </w:tcPr>
          <w:p w:rsidR="00AA374F" w:rsidRPr="00AA374F" w:rsidRDefault="00AA374F" w:rsidP="00AA374F">
            <w:r w:rsidRPr="007D3E67">
              <w:t>2010</w:t>
            </w:r>
          </w:p>
        </w:tc>
        <w:tc>
          <w:tcPr>
            <w:tcW w:w="362" w:type="pct"/>
          </w:tcPr>
          <w:p w:rsidR="00AA374F" w:rsidRPr="00AA374F" w:rsidRDefault="00AA374F" w:rsidP="00AA374F">
            <w:r w:rsidRPr="007D3E67">
              <w:t>2011</w:t>
            </w:r>
          </w:p>
        </w:tc>
        <w:tc>
          <w:tcPr>
            <w:tcW w:w="362" w:type="pct"/>
          </w:tcPr>
          <w:p w:rsidR="00AA374F" w:rsidRPr="00AA374F" w:rsidRDefault="00AA374F" w:rsidP="00AA374F">
            <w:r w:rsidRPr="007D3E67">
              <w:t>2012</w:t>
            </w:r>
          </w:p>
        </w:tc>
        <w:tc>
          <w:tcPr>
            <w:tcW w:w="390" w:type="pct"/>
          </w:tcPr>
          <w:p w:rsidR="00AA374F" w:rsidRPr="00AA374F" w:rsidRDefault="00AA374F" w:rsidP="00AA374F">
            <w:r w:rsidRPr="007D3E67">
              <w:t>2013</w:t>
            </w:r>
          </w:p>
        </w:tc>
        <w:tc>
          <w:tcPr>
            <w:tcW w:w="390" w:type="pct"/>
          </w:tcPr>
          <w:p w:rsidR="00AA374F" w:rsidRPr="00AA374F" w:rsidRDefault="00AA374F" w:rsidP="00AA374F">
            <w:r w:rsidRPr="007D3E67">
              <w:t xml:space="preserve">2014 </w:t>
            </w:r>
          </w:p>
        </w:tc>
        <w:tc>
          <w:tcPr>
            <w:tcW w:w="386" w:type="pct"/>
          </w:tcPr>
          <w:p w:rsidR="00AA374F" w:rsidRPr="00AA374F" w:rsidRDefault="00AA374F" w:rsidP="00AA374F">
            <w:r>
              <w:t>2015</w:t>
            </w:r>
          </w:p>
        </w:tc>
        <w:tc>
          <w:tcPr>
            <w:tcW w:w="386" w:type="pct"/>
          </w:tcPr>
          <w:p w:rsidR="00AA374F" w:rsidRPr="00AA374F" w:rsidRDefault="00AA374F" w:rsidP="00AA374F">
            <w:r>
              <w:t>2016</w:t>
            </w:r>
          </w:p>
        </w:tc>
      </w:tr>
      <w:tr w:rsidR="00AA374F" w:rsidRPr="007D3E67" w:rsidTr="005139FA">
        <w:tc>
          <w:tcPr>
            <w:tcW w:w="802" w:type="pct"/>
          </w:tcPr>
          <w:p w:rsidR="00AA374F" w:rsidRPr="00AA374F" w:rsidRDefault="00AA374F" w:rsidP="00AA374F">
            <w:r w:rsidRPr="007D3E67">
              <w:t xml:space="preserve">APT Pipelines Ltd </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ATCO Gas Australian LP </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62" w:type="pct"/>
          </w:tcPr>
          <w:p w:rsidR="00AA374F" w:rsidRPr="00AA374F" w:rsidRDefault="00AA374F" w:rsidP="00AA374F">
            <w:r w:rsidRPr="007D3E67">
              <w:t>NR</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rsidRPr="007D3E67">
              <w:t>DBNGP Trust</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DUET Group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86" w:type="pct"/>
          </w:tcPr>
          <w:p w:rsidR="00AA374F" w:rsidRPr="00AA374F" w:rsidRDefault="00AA374F" w:rsidP="00AA374F">
            <w:r>
              <w:t>NR</w:t>
            </w:r>
          </w:p>
        </w:tc>
        <w:tc>
          <w:tcPr>
            <w:tcW w:w="386" w:type="pct"/>
          </w:tcPr>
          <w:p w:rsidR="00AA374F" w:rsidRPr="00AA374F" w:rsidRDefault="00AA374F" w:rsidP="00AA374F">
            <w:r>
              <w:t>NR</w:t>
            </w:r>
          </w:p>
        </w:tc>
      </w:tr>
      <w:tr w:rsidR="00AA374F" w:rsidRPr="007D3E67" w:rsidTr="005139FA">
        <w:tc>
          <w:tcPr>
            <w:tcW w:w="802" w:type="pct"/>
          </w:tcPr>
          <w:p w:rsidR="00AA374F" w:rsidRPr="00AA374F" w:rsidRDefault="00AA374F" w:rsidP="00AA374F">
            <w:r w:rsidRPr="007D3E67">
              <w:t>ElectraNet</w:t>
            </w:r>
            <w:r w:rsidRPr="00AA374F">
              <w:t xml:space="preserve"> Pty Ltd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r w:rsidRPr="00AA374F">
              <w:t>+</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Energy </w:t>
            </w:r>
            <w:r w:rsidRPr="00AA374F">
              <w:t>Partnership (Gas) Pty Ltd</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c>
          <w:tcPr>
            <w:tcW w:w="802" w:type="pct"/>
          </w:tcPr>
          <w:p w:rsidR="00AA374F" w:rsidRPr="00AA374F" w:rsidRDefault="00AA374F" w:rsidP="00AA374F">
            <w:r>
              <w:t xml:space="preserve">Australian Gas </w:t>
            </w:r>
            <w:r w:rsidRPr="00AA374F">
              <w:t xml:space="preserve">Networks Ltd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ETSA Utilities</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rsidRPr="007D3E67">
              <w:t>Powercor</w:t>
            </w:r>
            <w:r w:rsidRPr="00AA374F">
              <w:t xml:space="preserve"> Australia LLC</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rsidRPr="00200BFA">
              <w:t>N</w:t>
            </w:r>
            <w:r w:rsidRPr="00AA374F">
              <w:t>R</w:t>
            </w:r>
          </w:p>
        </w:tc>
        <w:tc>
          <w:tcPr>
            <w:tcW w:w="386" w:type="pct"/>
          </w:tcPr>
          <w:p w:rsidR="00AA374F" w:rsidRPr="00AA374F" w:rsidRDefault="00AA374F" w:rsidP="00AA374F">
            <w:r>
              <w:t>NR</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t>AusNet Services</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t xml:space="preserve">SGSP </w:t>
            </w:r>
            <w:r w:rsidRPr="00AA374F">
              <w:t>Australia Assets Pty Ltd</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A-</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The CitiPower Trust </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t>BBB+</w:t>
            </w:r>
          </w:p>
        </w:tc>
        <w:tc>
          <w:tcPr>
            <w:tcW w:w="390" w:type="pct"/>
          </w:tcPr>
          <w:p w:rsidR="00AA374F" w:rsidRPr="00AA374F" w:rsidRDefault="00AA374F" w:rsidP="00AA374F">
            <w:r>
              <w:t>BBB+</w:t>
            </w:r>
          </w:p>
        </w:tc>
        <w:tc>
          <w:tcPr>
            <w:tcW w:w="386" w:type="pct"/>
          </w:tcPr>
          <w:p w:rsidR="00AA374F" w:rsidRPr="00AA374F" w:rsidRDefault="00AA374F" w:rsidP="00AA374F">
            <w:r>
              <w:t>NR</w:t>
            </w:r>
          </w:p>
        </w:tc>
        <w:tc>
          <w:tcPr>
            <w:tcW w:w="386" w:type="pct"/>
          </w:tcPr>
          <w:p w:rsidR="00AA374F" w:rsidRPr="00AA374F" w:rsidRDefault="00AA374F" w:rsidP="00AA374F">
            <w:r>
              <w:t>NR</w:t>
            </w:r>
          </w:p>
        </w:tc>
      </w:tr>
      <w:tr w:rsidR="00AA374F" w:rsidRPr="007D3E67" w:rsidTr="005139FA">
        <w:tc>
          <w:tcPr>
            <w:tcW w:w="802" w:type="pct"/>
          </w:tcPr>
          <w:p w:rsidR="00AA374F" w:rsidRPr="00AA374F" w:rsidRDefault="00AA374F" w:rsidP="00AA374F">
            <w:r w:rsidRPr="007D3E67">
              <w:t xml:space="preserve">United Energy Distribution </w:t>
            </w:r>
            <w:r w:rsidRPr="00AA374F">
              <w:t>Pty Ltd</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t>Victoria Power Networks Pty Ltd</w:t>
            </w:r>
          </w:p>
        </w:tc>
        <w:tc>
          <w:tcPr>
            <w:tcW w:w="391"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62" w:type="pct"/>
          </w:tcPr>
          <w:p w:rsidR="00AA374F" w:rsidRPr="00AA374F" w:rsidRDefault="00AA374F" w:rsidP="00AA374F">
            <w:r>
              <w:t>NR</w:t>
            </w:r>
          </w:p>
        </w:tc>
        <w:tc>
          <w:tcPr>
            <w:tcW w:w="362" w:type="pct"/>
          </w:tcPr>
          <w:p w:rsidR="00AA374F" w:rsidRPr="00AA374F" w:rsidRDefault="00AA374F" w:rsidP="00AA374F">
            <w:r>
              <w:t>NR</w:t>
            </w:r>
          </w:p>
        </w:tc>
        <w:tc>
          <w:tcPr>
            <w:tcW w:w="362"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c>
          <w:tcPr>
            <w:tcW w:w="802" w:type="pct"/>
          </w:tcPr>
          <w:p w:rsidR="00AA374F" w:rsidRPr="00AA374F" w:rsidRDefault="00AA374F" w:rsidP="00AA374F">
            <w:r w:rsidRPr="007D3E67">
              <w:t>Median</w:t>
            </w:r>
            <w:r w:rsidRPr="00AA374F">
              <w:t xml:space="preserve"> (year)</w:t>
            </w:r>
          </w:p>
        </w:tc>
        <w:tc>
          <w:tcPr>
            <w:tcW w:w="391" w:type="pct"/>
          </w:tcPr>
          <w:p w:rsidR="00AA374F" w:rsidRPr="00AA374F" w:rsidRDefault="00AA374F" w:rsidP="00AA374F">
            <w:r>
              <w:t xml:space="preserve">BBB/ </w:t>
            </w:r>
            <w:r w:rsidRPr="00AA374F">
              <w:t>BBB+</w:t>
            </w:r>
          </w:p>
        </w:tc>
        <w:tc>
          <w:tcPr>
            <w:tcW w:w="390" w:type="pct"/>
          </w:tcPr>
          <w:p w:rsidR="00AA374F" w:rsidRPr="00AA374F" w:rsidRDefault="00AA374F" w:rsidP="00AA374F">
            <w:r>
              <w:t xml:space="preserve">BBB/ </w:t>
            </w:r>
            <w:r w:rsidRPr="00AA374F">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t>BBB/ 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bl>
    <w:p w:rsidR="00AA374F" w:rsidRDefault="00AA374F" w:rsidP="00AA374F">
      <w:pPr>
        <w:pStyle w:val="AERtablesource"/>
      </w:pPr>
      <w:r w:rsidRPr="00411A04">
        <w:t>Source:</w:t>
      </w:r>
      <w:r w:rsidRPr="00411A04">
        <w:tab/>
        <w:t>Bloomberg</w:t>
      </w:r>
      <w:r>
        <w:t xml:space="preserve">, </w:t>
      </w:r>
      <w:r w:rsidRPr="00411A04">
        <w:t>Sta</w:t>
      </w:r>
      <w:r>
        <w:t>ndard and Poor's, AER analysis.</w:t>
      </w:r>
    </w:p>
    <w:p w:rsidR="00AD2086" w:rsidRDefault="00AD2086" w:rsidP="00013867">
      <w:pPr>
        <w:pStyle w:val="AERtablesource"/>
        <w:ind w:left="0" w:firstLine="0"/>
      </w:pPr>
      <w:bookmarkStart w:id="515" w:name="_Toc417049626"/>
      <w:bookmarkStart w:id="516" w:name="_Toc417991802"/>
      <w:bookmarkStart w:id="517" w:name="_Toc433367516"/>
      <w:bookmarkStart w:id="518" w:name="_Toc433446599"/>
    </w:p>
    <w:p w:rsidR="00AD2086" w:rsidRPr="00AD2086" w:rsidRDefault="00AD2086" w:rsidP="00AD2086">
      <w:pPr>
        <w:pStyle w:val="Heading9"/>
      </w:pPr>
      <w:bookmarkStart w:id="519" w:name="_Toc456686778"/>
      <w:bookmarkStart w:id="520" w:name="_Toc487037235"/>
      <w:r>
        <w:t>Equity buffer and historical credit ratings</w:t>
      </w:r>
      <w:bookmarkEnd w:id="519"/>
      <w:bookmarkEnd w:id="520"/>
    </w:p>
    <w:p w:rsidR="00AD2086" w:rsidRPr="00A933BB" w:rsidRDefault="00AD2086" w:rsidP="00A933BB">
      <w:r>
        <w:t xml:space="preserve">In its initial proposal, AusNet Services </w:t>
      </w:r>
      <w:r w:rsidR="00E775F1">
        <w:t xml:space="preserve">Electricity Transmission </w:t>
      </w:r>
      <w:r>
        <w:t>submitted that ‘historical credit ratings do not reflect the extremely low equity buffer that would result if the AER's proposed approach to the cost of equity is adopted in current circumstances</w:t>
      </w:r>
      <w:r w:rsidR="00E775F1">
        <w:t>'.</w:t>
      </w:r>
      <w:r>
        <w:rPr>
          <w:rStyle w:val="FootnoteReference"/>
        </w:rPr>
        <w:footnoteReference w:id="1620"/>
      </w:r>
      <w:r>
        <w:t xml:space="preserve"> We are not persuaded by this submission, and maintain our reasons as set out in our draft decision.</w:t>
      </w:r>
      <w:r>
        <w:rPr>
          <w:rStyle w:val="FootnoteReference"/>
        </w:rPr>
        <w:footnoteReference w:id="1621"/>
      </w:r>
      <w:r>
        <w:t xml:space="preserve"> </w:t>
      </w:r>
      <w:bookmarkEnd w:id="515"/>
      <w:bookmarkEnd w:id="516"/>
      <w:bookmarkEnd w:id="517"/>
      <w:bookmarkEnd w:id="518"/>
    </w:p>
    <w:p w:rsidR="00A933BB" w:rsidRDefault="00A933BB" w:rsidP="00A933BB">
      <w:pPr>
        <w:pStyle w:val="Heading7"/>
      </w:pPr>
      <w:bookmarkStart w:id="521" w:name="_Toc456686781"/>
      <w:bookmarkStart w:id="522" w:name="_Ref479168996"/>
      <w:bookmarkStart w:id="523" w:name="_Ref485999885"/>
      <w:bookmarkStart w:id="524" w:name="_Toc487037236"/>
      <w:r>
        <w:t>Annually updating the return on debt</w:t>
      </w:r>
      <w:bookmarkEnd w:id="521"/>
      <w:bookmarkEnd w:id="522"/>
      <w:bookmarkEnd w:id="523"/>
      <w:bookmarkEnd w:id="524"/>
    </w:p>
    <w:p w:rsidR="00A933BB" w:rsidRPr="00FB18DC" w:rsidRDefault="00A933BB" w:rsidP="00CC7A1C">
      <w:pPr>
        <w:pStyle w:val="ListParagraph"/>
        <w:numPr>
          <w:ilvl w:val="0"/>
          <w:numId w:val="24"/>
        </w:numPr>
      </w:pPr>
      <w:r w:rsidRPr="00FB18DC">
        <w:t xml:space="preserve">Our </w:t>
      </w:r>
      <w:r w:rsidR="00AD30AC">
        <w:t xml:space="preserve">draft </w:t>
      </w:r>
      <w:r w:rsidRPr="00FB18DC">
        <w:t>decision on the return on debt approach is to:</w:t>
      </w:r>
    </w:p>
    <w:p w:rsidR="00A933BB" w:rsidRPr="00FB18DC" w:rsidRDefault="00A933BB" w:rsidP="00A933BB">
      <w:pPr>
        <w:pStyle w:val="AERbulletlistfirststyle"/>
      </w:pPr>
      <w:r w:rsidRPr="00FB18DC">
        <w:t xml:space="preserve">estimate the return on debt using </w:t>
      </w:r>
      <w:r>
        <w:t>the</w:t>
      </w:r>
      <w:r w:rsidRPr="00FB18DC">
        <w:t xml:space="preserve"> on-the-day </w:t>
      </w:r>
      <w:r>
        <w:t>approach</w:t>
      </w:r>
      <w:r w:rsidRPr="00FB18DC">
        <w:t xml:space="preserve"> (that is, based on prevailing market conditions) in the first regulatory year (201</w:t>
      </w:r>
      <w:r w:rsidR="000B0705">
        <w:t>7</w:t>
      </w:r>
      <w:r w:rsidRPr="00FB18DC">
        <w:t>) of the 201</w:t>
      </w:r>
      <w:r w:rsidR="000B0705">
        <w:t>7</w:t>
      </w:r>
      <w:r w:rsidRPr="00FB18DC">
        <w:t>–2</w:t>
      </w:r>
      <w:r>
        <w:t>2 regulatory control</w:t>
      </w:r>
      <w:r w:rsidRPr="00FB18DC">
        <w:t xml:space="preserve"> period, and</w:t>
      </w:r>
    </w:p>
    <w:p w:rsidR="00A933BB" w:rsidRPr="00A42A22" w:rsidRDefault="00A933BB" w:rsidP="00A933BB">
      <w:pPr>
        <w:pStyle w:val="AERbulletlistfirststyle"/>
      </w:pPr>
      <w:r w:rsidRPr="00FB18DC">
        <w:t>gradually transition</w:t>
      </w:r>
      <w:r>
        <w:t>ing</w:t>
      </w:r>
      <w:r w:rsidRPr="00FB18DC">
        <w:t xml:space="preserve"> into a trailing average approach (that is, a moving historical average) over 10 years.</w:t>
      </w:r>
      <w:r w:rsidRPr="00A42A22">
        <w:rPr>
          <w:rStyle w:val="FootnoteReference"/>
        </w:rPr>
        <w:footnoteReference w:id="1622"/>
      </w:r>
    </w:p>
    <w:p w:rsidR="00A933BB" w:rsidRPr="00FB18DC" w:rsidRDefault="00A933BB" w:rsidP="00A933BB">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623"/>
      </w:r>
      <w:r w:rsidRPr="00FB18DC">
        <w:t xml:space="preserve"> The</w:t>
      </w:r>
      <w:r>
        <w:t xml:space="preserve"> N</w:t>
      </w:r>
      <w:r w:rsidR="00E953D7">
        <w:t>G</w:t>
      </w:r>
      <w:r>
        <w:t>R</w:t>
      </w:r>
      <w:r w:rsidRPr="00FB18DC">
        <w:t xml:space="preserve"> require that the resulting change to </w:t>
      </w:r>
      <w:r w:rsidR="00694D65">
        <w:t>APTPPL's</w:t>
      </w:r>
      <w:r w:rsidR="00694D65" w:rsidRPr="00FB18DC">
        <w:t xml:space="preserve"> </w:t>
      </w:r>
      <w:r w:rsidRPr="00FB18DC">
        <w:t xml:space="preserve">annual building block revenue requirement is to be effected through a formula specified in the </w:t>
      </w:r>
      <w:r>
        <w:t xml:space="preserve">revenue </w:t>
      </w:r>
      <w:r w:rsidRPr="00FB18DC">
        <w:t>determination.</w:t>
      </w:r>
      <w:r w:rsidRPr="00FB18DC">
        <w:rPr>
          <w:rStyle w:val="FootnoteReference"/>
        </w:rPr>
        <w:footnoteReference w:id="1624"/>
      </w:r>
      <w:r w:rsidRPr="00FB18DC">
        <w:t xml:space="preserve"> For the purposes of clause </w:t>
      </w:r>
      <w:r w:rsidR="00E953D7">
        <w:t>87(12),</w:t>
      </w:r>
      <w:r w:rsidRPr="00FB18DC">
        <w:t xml:space="preserve"> our</w:t>
      </w:r>
      <w:r w:rsidR="00A870A6">
        <w:t xml:space="preserve"> </w:t>
      </w:r>
      <w:r w:rsidR="00AD30AC">
        <w:t>draft</w:t>
      </w:r>
      <w:r w:rsidR="00AD30AC" w:rsidRPr="00FB18DC">
        <w:t xml:space="preserve"> </w:t>
      </w:r>
      <w:r w:rsidRPr="00FB18DC">
        <w:t xml:space="preserve">decision is that the resulting change to </w:t>
      </w:r>
      <w:r w:rsidR="00694D65">
        <w:t xml:space="preserve">APTPPL's </w:t>
      </w:r>
      <w:r w:rsidRPr="00FB18DC">
        <w:t>annual building block revenue requirement is to be effected through:</w:t>
      </w:r>
    </w:p>
    <w:p w:rsidR="00A933BB" w:rsidRPr="00FB18DC" w:rsidRDefault="00A933BB" w:rsidP="00A933BB">
      <w:pPr>
        <w:pStyle w:val="AERbulletlistfirststyle"/>
      </w:pPr>
      <w:r w:rsidRPr="00FB18DC">
        <w:t>the automatic application of the return on debt methodo</w:t>
      </w:r>
      <w:r>
        <w:t>logy specified in this appendix</w:t>
      </w:r>
    </w:p>
    <w:p w:rsidR="00A933BB" w:rsidRPr="00FB18DC" w:rsidRDefault="00A933BB" w:rsidP="00A933BB">
      <w:pPr>
        <w:pStyle w:val="AERbulletlistfirststyle"/>
      </w:pPr>
      <w:r w:rsidRPr="00FB18DC">
        <w:t>using the return on debt averaging periods specified in confidential appendix</w:t>
      </w:r>
      <w:r>
        <w:t xml:space="preserve"> </w:t>
      </w:r>
      <w:r w:rsidR="008D591E">
        <w:fldChar w:fldCharType="begin"/>
      </w:r>
      <w:r w:rsidR="008D591E">
        <w:instrText xml:space="preserve"> REF _Ref485735133 \r \h </w:instrText>
      </w:r>
      <w:r w:rsidR="008D591E">
        <w:fldChar w:fldCharType="separate"/>
      </w:r>
      <w:r w:rsidR="002C24D6">
        <w:t>O</w:t>
      </w:r>
      <w:r w:rsidR="008D591E">
        <w:fldChar w:fldCharType="end"/>
      </w:r>
      <w:r w:rsidRPr="00FB18DC">
        <w:t xml:space="preserve"> and</w:t>
      </w:r>
    </w:p>
    <w:p w:rsidR="00A933BB" w:rsidRPr="00A42A22" w:rsidRDefault="00A933BB" w:rsidP="00A933BB">
      <w:pPr>
        <w:pStyle w:val="AERbulletlistfirststyle"/>
      </w:pPr>
      <w:r w:rsidRPr="00FB18DC">
        <w:t xml:space="preserve">implemented using </w:t>
      </w:r>
      <w:r w:rsidR="00694D65">
        <w:t>APTPPLT's</w:t>
      </w:r>
      <w:r w:rsidR="00694D65" w:rsidRPr="00FB18DC">
        <w:t xml:space="preserve"> </w:t>
      </w:r>
      <w:r w:rsidR="00AD30AC">
        <w:t xml:space="preserve">draft </w:t>
      </w:r>
      <w:r w:rsidRPr="00FB18DC">
        <w:t xml:space="preserve">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1625"/>
      </w:r>
    </w:p>
    <w:p w:rsidR="00A933BB" w:rsidRPr="00FB18DC" w:rsidRDefault="00A933BB" w:rsidP="00A933BB">
      <w:r w:rsidRPr="00FB18DC">
        <w:t>The return on debt methodology in this appendix specifies our</w:t>
      </w:r>
      <w:r w:rsidR="00A870A6">
        <w:t xml:space="preserve"> </w:t>
      </w:r>
      <w:r w:rsidR="00AD30AC">
        <w:t>draft</w:t>
      </w:r>
      <w:r w:rsidR="00AD30AC" w:rsidRPr="00FB18DC">
        <w:t xml:space="preserve"> </w:t>
      </w:r>
      <w:r w:rsidRPr="00FB18DC">
        <w:t>decision:</w:t>
      </w:r>
    </w:p>
    <w:p w:rsidR="00A933BB" w:rsidRPr="00FB18DC" w:rsidRDefault="00A933BB" w:rsidP="00A933BB">
      <w:pPr>
        <w:pStyle w:val="AERbulletlistfirststyle"/>
      </w:pPr>
      <w:r w:rsidRPr="00FB18DC">
        <w:t>methodology on the return on debt approach, and</w:t>
      </w:r>
    </w:p>
    <w:p w:rsidR="00A933BB" w:rsidRPr="00FB18DC" w:rsidRDefault="00A933BB" w:rsidP="00A933BB">
      <w:pPr>
        <w:pStyle w:val="AERbulletlistfirststyle"/>
      </w:pPr>
      <w:r w:rsidRPr="00FB18DC">
        <w:t>methodology to implement the return on debt approach</w:t>
      </w:r>
    </w:p>
    <w:p w:rsidR="00A933BB" w:rsidRPr="00A933BB" w:rsidRDefault="00A933BB" w:rsidP="00CC7A1C">
      <w:pPr>
        <w:pStyle w:val="Heading8"/>
        <w:numPr>
          <w:ilvl w:val="1"/>
          <w:numId w:val="35"/>
        </w:numPr>
      </w:pPr>
      <w:bookmarkStart w:id="525" w:name="_Toc433457165"/>
      <w:bookmarkStart w:id="526" w:name="_Toc450916269"/>
      <w:bookmarkStart w:id="527" w:name="_Toc452629165"/>
      <w:bookmarkStart w:id="528" w:name="_Toc456686782"/>
      <w:bookmarkStart w:id="529" w:name="_Toc487037237"/>
      <w:r w:rsidRPr="00FB18DC">
        <w:t>Approach to estimating the return on debt</w:t>
      </w:r>
      <w:bookmarkEnd w:id="525"/>
      <w:bookmarkEnd w:id="526"/>
      <w:bookmarkEnd w:id="527"/>
      <w:bookmarkEnd w:id="528"/>
      <w:bookmarkEnd w:id="529"/>
    </w:p>
    <w:p w:rsidR="00A933BB" w:rsidRPr="00FB18DC" w:rsidRDefault="00A933BB" w:rsidP="00CC7A1C">
      <w:pPr>
        <w:numPr>
          <w:ilvl w:val="0"/>
          <w:numId w:val="24"/>
        </w:numPr>
      </w:pPr>
      <w:r w:rsidRPr="00FB18DC">
        <w:t xml:space="preserve">This section sets out our </w:t>
      </w:r>
      <w:r w:rsidR="00C52376">
        <w:t xml:space="preserve">draft </w:t>
      </w:r>
      <w:r w:rsidRPr="00FB18DC">
        <w:t>decision methodology on the return on debt approach. Below we specify the allowed return on debt formulae for each year of the 10 year transition path. In each formula:</w:t>
      </w:r>
    </w:p>
    <w:p w:rsidR="00A933BB" w:rsidRPr="00FB18DC" w:rsidRDefault="002C24D6" w:rsidP="00A933BB">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933BB" w:rsidRPr="00FB18DC">
        <w:t xml:space="preserve"> corresponds to the estimated return on debt that was entered into in year a and matures in year a+10–which is to be calculated using the return on debt implementation methodology in section </w:t>
      </w:r>
      <w:r w:rsidR="00A933BB">
        <w:fldChar w:fldCharType="begin"/>
      </w:r>
      <w:r w:rsidR="00A933BB">
        <w:instrText xml:space="preserve"> REF _Ref451900961 \r \h </w:instrText>
      </w:r>
      <w:r w:rsidR="00A933BB">
        <w:fldChar w:fldCharType="separate"/>
      </w:r>
      <w:r>
        <w:t>L.2</w:t>
      </w:r>
      <w:r w:rsidR="00A933BB">
        <w:fldChar w:fldCharType="end"/>
      </w:r>
      <w:r w:rsidR="00A933BB" w:rsidRPr="00FB18DC">
        <w:t xml:space="preserve"> and </w:t>
      </w:r>
      <w:r w:rsidR="00694D65">
        <w:t xml:space="preserve">APTPPL's </w:t>
      </w:r>
      <w:r w:rsidR="00A933BB" w:rsidRPr="00FB18DC">
        <w:t>return on debt averaging periods specified in confidential appendix</w:t>
      </w:r>
      <w:r w:rsidR="00A933BB">
        <w:t xml:space="preserve"> </w:t>
      </w:r>
      <w:r w:rsidR="008D591E">
        <w:fldChar w:fldCharType="begin"/>
      </w:r>
      <w:r w:rsidR="008D591E">
        <w:instrText xml:space="preserve"> REF _Ref485735133 \r \h </w:instrText>
      </w:r>
      <w:r w:rsidR="008D591E">
        <w:fldChar w:fldCharType="separate"/>
      </w:r>
      <w:r>
        <w:t>O</w:t>
      </w:r>
      <w:r w:rsidR="008D591E">
        <w:fldChar w:fldCharType="end"/>
      </w:r>
      <w:r w:rsidR="008D591E">
        <w:t>.</w:t>
      </w:r>
    </w:p>
    <w:p w:rsidR="00A933BB" w:rsidRPr="00FB18DC" w:rsidRDefault="002C24D6" w:rsidP="00A933BB">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933BB" w:rsidRPr="00FB18DC">
        <w:t xml:space="preserve"> refers to the allowed return on debt for regulatory year b+1.</w:t>
      </w:r>
    </w:p>
    <w:p w:rsidR="00A933BB" w:rsidRPr="00FB18DC" w:rsidRDefault="00A933BB" w:rsidP="00CC7A1C">
      <w:pPr>
        <w:numPr>
          <w:ilvl w:val="0"/>
          <w:numId w:val="24"/>
        </w:numPr>
      </w:pPr>
      <w:r w:rsidRPr="00FB18DC">
        <w:t xml:space="preserve">In the first regulatory year of </w:t>
      </w:r>
      <w:r>
        <w:t xml:space="preserve"> transitioning to the trailing average approach </w:t>
      </w:r>
      <w:r w:rsidRPr="00FB18DC">
        <w:t>(201</w:t>
      </w:r>
      <w:r>
        <w:t>7</w:t>
      </w:r>
      <w:r w:rsidRPr="00FB18DC">
        <w:t>), the allowed rate of return on debt will be based on the estimated prevailing rate of return on debt for that year (similar to the 'on the day' approach):</w:t>
      </w:r>
    </w:p>
    <w:p w:rsidR="00A933BB" w:rsidRPr="00FB18DC" w:rsidRDefault="002C24D6" w:rsidP="00CC7A1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933BB" w:rsidRPr="00FB18DC" w:rsidRDefault="00A933BB" w:rsidP="00CC7A1C">
      <w:pPr>
        <w:numPr>
          <w:ilvl w:val="0"/>
          <w:numId w:val="24"/>
        </w:numPr>
      </w:pPr>
      <w:r w:rsidRPr="00FB18DC">
        <w:t>In the second regulatory year, the allowed rate of return on debt will be the weighted average of the prevailing rates in the first and second regulatory years of the transitional period:</w:t>
      </w:r>
    </w:p>
    <w:p w:rsidR="00A933BB" w:rsidRPr="00FB18DC" w:rsidRDefault="002C24D6" w:rsidP="00CC7A1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933BB" w:rsidRPr="00FB18DC" w:rsidRDefault="00A933BB" w:rsidP="00CC7A1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933BB" w:rsidRPr="00FB18DC" w:rsidRDefault="002C24D6" w:rsidP="00CC7A1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933BB" w:rsidRPr="00FB18DC" w:rsidRDefault="00A933BB" w:rsidP="00CC7A1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933BB" w:rsidRPr="00FB18DC" w:rsidRDefault="002C24D6" w:rsidP="00CC7A1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933BB" w:rsidRPr="00FB18DC" w:rsidRDefault="00A933BB" w:rsidP="00CC7A1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933BB" w:rsidRPr="00FB18DC" w:rsidRDefault="002C24D6" w:rsidP="00CC7A1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933BB" w:rsidRPr="00FB18DC" w:rsidRDefault="00A933BB" w:rsidP="00CC7A1C">
      <w:pPr>
        <w:numPr>
          <w:ilvl w:val="0"/>
          <w:numId w:val="24"/>
        </w:numPr>
      </w:pPr>
      <w:r w:rsidRPr="00FB18DC">
        <w:t>The calculation for all subsequent regulatory years until the transitional period is completed is set out below:</w:t>
      </w:r>
    </w:p>
    <w:p w:rsidR="00A933BB" w:rsidRPr="00FB18DC" w:rsidRDefault="002C24D6" w:rsidP="00CC7A1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933BB" w:rsidRPr="00FB18DC" w:rsidRDefault="002C24D6" w:rsidP="00CC7A1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933BB" w:rsidRPr="00FB18DC" w:rsidRDefault="002C24D6" w:rsidP="00CC7A1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933BB" w:rsidRPr="00FB18DC" w:rsidRDefault="002C24D6" w:rsidP="00CC7A1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933BB" w:rsidRPr="00FB18DC" w:rsidRDefault="002C24D6" w:rsidP="00CC7A1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933BB" w:rsidRPr="00FB18DC" w:rsidRDefault="00A933BB" w:rsidP="00A933BB">
      <w:pPr>
        <w:pStyle w:val="Heading8"/>
      </w:pPr>
      <w:bookmarkStart w:id="530" w:name="_Toc433457166"/>
      <w:bookmarkStart w:id="531" w:name="_Toc450916270"/>
      <w:bookmarkStart w:id="532" w:name="_Ref451900961"/>
      <w:bookmarkStart w:id="533" w:name="_Toc452629166"/>
      <w:bookmarkStart w:id="534" w:name="_Toc456686783"/>
      <w:bookmarkStart w:id="535" w:name="_Toc487037238"/>
      <w:r w:rsidRPr="00FB18DC">
        <w:t>Implementing the return on debt approach</w:t>
      </w:r>
      <w:bookmarkEnd w:id="530"/>
      <w:bookmarkEnd w:id="531"/>
      <w:bookmarkEnd w:id="532"/>
      <w:bookmarkEnd w:id="533"/>
      <w:bookmarkEnd w:id="534"/>
      <w:bookmarkEnd w:id="535"/>
    </w:p>
    <w:p w:rsidR="00A933BB" w:rsidRPr="00FB18DC" w:rsidRDefault="00A870A6" w:rsidP="00CC7A1C">
      <w:pPr>
        <w:numPr>
          <w:ilvl w:val="0"/>
          <w:numId w:val="24"/>
        </w:numPr>
      </w:pPr>
      <w:r>
        <w:t xml:space="preserve">This section sets out our </w:t>
      </w:r>
      <w:r w:rsidR="006F4A26">
        <w:t xml:space="preserve">draft </w:t>
      </w:r>
      <w:r w:rsidR="00A933BB" w:rsidRPr="00FB18DC">
        <w:t>decision methodology to implement the return on debt approach. This section specifies:</w:t>
      </w:r>
    </w:p>
    <w:p w:rsidR="00A933BB" w:rsidRPr="00FB18DC" w:rsidRDefault="00A933BB" w:rsidP="00A933BB">
      <w:pPr>
        <w:pStyle w:val="AERbulletlistfirststyle"/>
      </w:pPr>
      <w:r w:rsidRPr="00FB18DC">
        <w:t>our choice of data series</w:t>
      </w:r>
    </w:p>
    <w:p w:rsidR="00A933BB" w:rsidRPr="00A42A22" w:rsidRDefault="00A933BB" w:rsidP="00A933BB">
      <w:pPr>
        <w:pStyle w:val="AERbulletlistfirststyle"/>
      </w:pPr>
      <w:r w:rsidRPr="00FB18DC">
        <w:t>extrapolation and interpo</w:t>
      </w:r>
      <w:r w:rsidRPr="00A42A22">
        <w:t>lation issues with adjusting our choice of data series</w:t>
      </w:r>
    </w:p>
    <w:p w:rsidR="00A933BB" w:rsidRPr="00FB18DC" w:rsidRDefault="00A933BB" w:rsidP="00A933BB">
      <w:pPr>
        <w:pStyle w:val="AERbulletlistfirststyle"/>
      </w:pPr>
      <w:r w:rsidRPr="00FB18DC">
        <w:t>step-by-step calculation to calculating the final RBA and BVAL estimate</w:t>
      </w:r>
    </w:p>
    <w:p w:rsidR="00A933BB" w:rsidRPr="00FB18DC" w:rsidRDefault="00A933BB" w:rsidP="00A933BB">
      <w:pPr>
        <w:pStyle w:val="AERbulletlistfirststyle"/>
      </w:pPr>
      <w:r w:rsidRPr="00FB18DC">
        <w:t>contingencies associated with implementing our choice of data series, if the data series we have chosen to estimate the return on debt are unavailable or change in future regulatory years</w:t>
      </w:r>
    </w:p>
    <w:p w:rsidR="00A933BB" w:rsidRPr="00FB18DC" w:rsidRDefault="00A933BB" w:rsidP="00A933BB">
      <w:pPr>
        <w:pStyle w:val="Heading9"/>
      </w:pPr>
      <w:bookmarkStart w:id="536" w:name="_Toc433457167"/>
      <w:bookmarkStart w:id="537" w:name="_Toc450916271"/>
      <w:bookmarkStart w:id="538" w:name="_Toc452629167"/>
      <w:bookmarkStart w:id="539" w:name="_Toc456686784"/>
      <w:bookmarkStart w:id="540" w:name="_Toc487037239"/>
      <w:r w:rsidRPr="00FB18DC">
        <w:t>Choice of data series</w:t>
      </w:r>
      <w:bookmarkEnd w:id="536"/>
      <w:bookmarkEnd w:id="537"/>
      <w:bookmarkEnd w:id="538"/>
      <w:bookmarkEnd w:id="539"/>
      <w:bookmarkEnd w:id="540"/>
    </w:p>
    <w:p w:rsidR="00A933BB" w:rsidRPr="00FB18DC" w:rsidRDefault="00A933BB" w:rsidP="00A933BB">
      <w:r w:rsidRPr="00FB18DC">
        <w:t xml:space="preserve">Our </w:t>
      </w:r>
      <w:r w:rsidR="00BA6F97">
        <w:t>draft</w:t>
      </w:r>
      <w:r>
        <w:t xml:space="preserve">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t>, we</w:t>
      </w:r>
      <w:r w:rsidRPr="00FB18DC">
        <w:t xml:space="preserve"> adopt a simple average of:</w:t>
      </w:r>
    </w:p>
    <w:p w:rsidR="00A933BB" w:rsidRPr="00FB18DC" w:rsidRDefault="00A933BB" w:rsidP="00A933BB">
      <w:pPr>
        <w:pStyle w:val="AERbulletlistfirststyle"/>
      </w:pPr>
      <w:r w:rsidRPr="00FB18DC">
        <w:t>The RBA broad-BBB rated 10 year curve, extrapolated to an effective term of 10 years (the RBA curve)</w:t>
      </w:r>
    </w:p>
    <w:p w:rsidR="00A933BB" w:rsidRPr="00FB18DC" w:rsidRDefault="00A933BB" w:rsidP="00A933BB">
      <w:pPr>
        <w:pStyle w:val="AERbulletlistfirststyle"/>
      </w:pPr>
      <w:r w:rsidRPr="00FB18DC">
        <w:t xml:space="preserve">The Bloomberg Valuation Service (BVAL) broad-BBB rated curve (the BVAL curve). Depending on the maximum term published at the time, this will be either the BVAL: </w:t>
      </w:r>
    </w:p>
    <w:p w:rsidR="00A933BB" w:rsidRPr="00FB18DC" w:rsidRDefault="00A933BB" w:rsidP="00A933BB">
      <w:pPr>
        <w:pStyle w:val="AERbulletlistsecondstyle"/>
      </w:pPr>
      <w:r w:rsidRPr="00FB18DC">
        <w:t>10 year estimate</w:t>
      </w:r>
      <w:r w:rsidRPr="00FB18DC">
        <w:rPr>
          <w:rStyle w:val="FootnoteReference"/>
        </w:rPr>
        <w:footnoteReference w:id="1626"/>
      </w:r>
      <w:r w:rsidRPr="00FB18DC">
        <w:t xml:space="preserve"> where it is available</w:t>
      </w:r>
    </w:p>
    <w:p w:rsidR="00A933BB" w:rsidRPr="00FB18DC" w:rsidRDefault="00A933BB" w:rsidP="00A933BB">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933BB" w:rsidRDefault="00A933BB" w:rsidP="00A933BB">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933BB" w:rsidRPr="00FB18DC" w:rsidRDefault="00A933BB" w:rsidP="00A933BB">
      <w:r w:rsidRPr="00D63D95">
        <w:t xml:space="preserve">We do not estimate the allowed return on debt in this </w:t>
      </w:r>
      <w:r w:rsidR="00BA6F97">
        <w:t>draft</w:t>
      </w:r>
      <w:r>
        <w:t xml:space="preserve">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rsidR="00BA6F97">
        <w:fldChar w:fldCharType="begin"/>
      </w:r>
      <w:r w:rsidR="00BA6F97">
        <w:instrText xml:space="preserve"> REF _Ref484514175 \r \h </w:instrText>
      </w:r>
      <w:r w:rsidR="00BA6F97">
        <w:fldChar w:fldCharType="separate"/>
      </w:r>
      <w:r w:rsidR="002C24D6">
        <w:t>K</w:t>
      </w:r>
      <w:r w:rsidR="00BA6F97">
        <w:fldChar w:fldCharType="end"/>
      </w:r>
      <w:r w:rsidRPr="00D63D95">
        <w:t xml:space="preserve"> for our reasoning and further details.</w:t>
      </w:r>
    </w:p>
    <w:p w:rsidR="00A933BB" w:rsidRPr="00FB18DC" w:rsidRDefault="00A933BB" w:rsidP="00A933BB">
      <w:pPr>
        <w:pStyle w:val="Heading9"/>
      </w:pPr>
      <w:bookmarkStart w:id="541" w:name="_Toc433457168"/>
      <w:bookmarkStart w:id="542" w:name="_Toc450916272"/>
      <w:bookmarkStart w:id="543" w:name="_Toc452629168"/>
      <w:bookmarkStart w:id="544" w:name="_Toc456686785"/>
      <w:bookmarkStart w:id="545" w:name="_Toc487037240"/>
      <w:r w:rsidRPr="00FB18DC">
        <w:t>Choice of data series—Extrapolation and interpolation issues</w:t>
      </w:r>
      <w:bookmarkEnd w:id="541"/>
      <w:bookmarkEnd w:id="542"/>
      <w:bookmarkEnd w:id="543"/>
      <w:bookmarkEnd w:id="544"/>
      <w:bookmarkEnd w:id="545"/>
    </w:p>
    <w:p w:rsidR="00A933BB" w:rsidRPr="00FB18DC" w:rsidRDefault="00A933BB" w:rsidP="00A933BB">
      <w:r w:rsidRPr="00FB18DC">
        <w:t>Our</w:t>
      </w:r>
      <w:r w:rsidR="00A870A6">
        <w:t xml:space="preserve"> </w:t>
      </w:r>
      <w:r w:rsidR="00BA6F97">
        <w:t>draft</w:t>
      </w:r>
      <w:r w:rsidRPr="00FB18DC">
        <w:t xml:space="preserve"> decision on extrapolation and interpolation issues is:</w:t>
      </w:r>
    </w:p>
    <w:p w:rsidR="00A933BB" w:rsidRPr="00FB18DC" w:rsidRDefault="00A933BB" w:rsidP="00A933BB">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933BB" w:rsidRPr="00FB18DC" w:rsidRDefault="00A933BB" w:rsidP="00A933BB">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933BB" w:rsidRPr="00FB18DC" w:rsidRDefault="00A933BB" w:rsidP="00A933BB">
      <w:r w:rsidRPr="00FB18DC">
        <w:t>Specifically, we will make the following adjustments as set out in</w:t>
      </w:r>
      <w:r>
        <w:t xml:space="preserve"> </w:t>
      </w:r>
      <w:r>
        <w:fldChar w:fldCharType="begin"/>
      </w:r>
      <w:r>
        <w:instrText xml:space="preserve"> REF  _Ref450563956 \* Lower \h </w:instrText>
      </w:r>
      <w:r>
        <w:fldChar w:fldCharType="separate"/>
      </w:r>
      <w:r w:rsidR="002C24D6" w:rsidRPr="00FB18DC">
        <w:t xml:space="preserve">table </w:t>
      </w:r>
      <w:r w:rsidR="002C24D6">
        <w:rPr>
          <w:noProof/>
        </w:rPr>
        <w:t>3</w:t>
      </w:r>
      <w:r w:rsidR="002C24D6">
        <w:noBreakHyphen/>
      </w:r>
      <w:r w:rsidR="002C24D6">
        <w:rPr>
          <w:noProof/>
        </w:rPr>
        <w:t>39</w:t>
      </w:r>
      <w:r>
        <w:fldChar w:fldCharType="end"/>
      </w:r>
      <w:r>
        <w:t xml:space="preserve"> and </w:t>
      </w:r>
      <w:r>
        <w:fldChar w:fldCharType="begin"/>
      </w:r>
      <w:r>
        <w:instrText xml:space="preserve"> REF  _Ref450563958 \* Lower \h </w:instrText>
      </w:r>
      <w:r>
        <w:fldChar w:fldCharType="separate"/>
      </w:r>
      <w:r w:rsidR="002C24D6" w:rsidRPr="00FB18DC">
        <w:t xml:space="preserve">table </w:t>
      </w:r>
      <w:r w:rsidR="002C24D6">
        <w:rPr>
          <w:noProof/>
        </w:rPr>
        <w:t>3</w:t>
      </w:r>
      <w:r w:rsidR="002C24D6">
        <w:noBreakHyphen/>
      </w:r>
      <w:r w:rsidR="002C24D6">
        <w:rPr>
          <w:noProof/>
        </w:rPr>
        <w:t>40</w:t>
      </w:r>
      <w:r>
        <w:fldChar w:fldCharType="end"/>
      </w:r>
      <w:r w:rsidRPr="00FB18DC">
        <w:t>.</w:t>
      </w:r>
    </w:p>
    <w:p w:rsidR="00A933BB" w:rsidRPr="00FB18DC" w:rsidRDefault="00A933BB" w:rsidP="00A933BB">
      <w:pPr>
        <w:pStyle w:val="Caption"/>
      </w:pPr>
      <w:bookmarkStart w:id="546" w:name="_Ref450563956"/>
      <w:r w:rsidRPr="00FB18DC">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39</w:t>
      </w:r>
      <w:r w:rsidR="002C24D6">
        <w:rPr>
          <w:noProof/>
        </w:rPr>
        <w:fldChar w:fldCharType="end"/>
      </w:r>
      <w:bookmarkEnd w:id="546"/>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1763" w:type="dxa"/>
          </w:tcPr>
          <w:p w:rsidR="00A933BB" w:rsidRPr="00A933BB" w:rsidRDefault="00A933BB" w:rsidP="00A933BB">
            <w:r w:rsidRPr="00FB18DC">
              <w:t xml:space="preserve">Adjustment </w:t>
            </w:r>
            <w:r w:rsidRPr="00A933BB">
              <w:t>type</w:t>
            </w:r>
          </w:p>
        </w:tc>
        <w:tc>
          <w:tcPr>
            <w:tcW w:w="1262" w:type="dxa"/>
          </w:tcPr>
          <w:p w:rsidR="00A933BB" w:rsidRPr="00A933BB" w:rsidRDefault="00A933BB" w:rsidP="00A933BB">
            <w:r w:rsidRPr="00FB18DC">
              <w:t>Amendment made?</w:t>
            </w:r>
          </w:p>
        </w:tc>
        <w:tc>
          <w:tcPr>
            <w:tcW w:w="5668" w:type="dxa"/>
          </w:tcPr>
          <w:p w:rsidR="00A933BB" w:rsidRPr="00A933BB" w:rsidRDefault="00A933BB" w:rsidP="00A933BB">
            <w:r w:rsidRPr="00FB18DC">
              <w:t>Comments</w:t>
            </w:r>
          </w:p>
        </w:tc>
      </w:tr>
      <w:tr w:rsidR="00A933BB" w:rsidRPr="00BB7AB1" w:rsidTr="00EA632F">
        <w:tc>
          <w:tcPr>
            <w:tcW w:w="1763" w:type="dxa"/>
          </w:tcPr>
          <w:p w:rsidR="00A933BB" w:rsidRPr="00A933BB" w:rsidRDefault="00A933BB" w:rsidP="00A933BB">
            <w:r w:rsidRPr="00FB18DC">
              <w:t xml:space="preserve">Interpolation </w:t>
            </w:r>
            <w:r w:rsidRPr="00A933BB">
              <w:t>to construct daily estimates</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RBA curve only provides an estimate for one business day at the end of each month. In our experience, averaging periods commonly start and/or end on dates during the month.  </w:t>
            </w:r>
          </w:p>
          <w:p w:rsidR="00A933BB" w:rsidRPr="00A933BB" w:rsidRDefault="00A933BB" w:rsidP="00A933BB">
            <w:r w:rsidRPr="00FB18DC">
              <w:t>We will address this issue by linearly interpolating between month end values where possible. While we are satisfied that interpolation over business days is also reasonable, we will interpolate over all days because:</w:t>
            </w:r>
          </w:p>
          <w:p w:rsidR="00A933BB" w:rsidRPr="00A933BB" w:rsidRDefault="00A933BB" w:rsidP="00A933BB">
            <w:pPr>
              <w:pStyle w:val="AERbulletlistfirststyle"/>
            </w:pPr>
            <w:r w:rsidRPr="00FB18DC">
              <w:t>this is consistent with our widely accepted approach to interpolate estimates of the risk free rate using CGS</w:t>
            </w:r>
          </w:p>
          <w:p w:rsidR="00A933BB" w:rsidRPr="00A933BB" w:rsidRDefault="00A933BB" w:rsidP="00A933BB">
            <w:pPr>
              <w:pStyle w:val="AERbulletlistfirststyle"/>
            </w:pPr>
            <w:r w:rsidRPr="00FB18DC">
              <w:t>interpolating over all days is simpler to implement</w:t>
            </w:r>
          </w:p>
          <w:p w:rsidR="00A933BB" w:rsidRPr="00A933BB" w:rsidRDefault="00A933BB" w:rsidP="00A933BB">
            <w:pPr>
              <w:pStyle w:val="AERbulletlistfirststyle"/>
            </w:pPr>
            <w:r w:rsidRPr="00FB18DC">
              <w:t>it is impractical to interpolate over business days for estimating the risk free rate, as this would require calculations relative to specific trading days 10 years in advance</w:t>
            </w:r>
          </w:p>
          <w:p w:rsidR="00A933BB" w:rsidRPr="00A933BB" w:rsidRDefault="00A933BB" w:rsidP="00A933BB">
            <w:pPr>
              <w:pStyle w:val="AERbulletlistfirststyle"/>
            </w:pPr>
            <w:r w:rsidRPr="00FB18DC">
              <w:t>the difference to the estimates between interpolating over business days or interpolating over all days is immaterial.</w:t>
            </w:r>
            <w:r w:rsidRPr="00A933BB">
              <w:rPr>
                <w:rStyle w:val="AERsuperscript"/>
              </w:rPr>
              <w:footnoteReference w:id="1627"/>
            </w:r>
          </w:p>
          <w:p w:rsidR="00A933BB" w:rsidRPr="00A933BB" w:rsidRDefault="00A933BB" w:rsidP="00A933BB">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B53FEC">
              <w:t>draft</w:t>
            </w:r>
            <w:r w:rsidRPr="00A933BB">
              <w:t xml:space="preserve"> decision on the annual debt update process is set out in this appendix. </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1763" w:type="dxa"/>
          </w:tcPr>
          <w:p w:rsidR="00A933BB" w:rsidRPr="00A933BB" w:rsidRDefault="00A933BB" w:rsidP="00A933BB">
            <w:r w:rsidRPr="00FB18DC">
              <w:t>Extrapolation to target term</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'effective term' of the RBA bond sample is commonly less than 10 years. For this reason, Lally </w:t>
            </w:r>
            <w:r w:rsidRPr="00A933BB">
              <w:t>recommended that the spread component of the yield should be extrapolated from its effective term at publication to the benchmark term (10 years).</w:t>
            </w:r>
            <w:r w:rsidRPr="00A933BB">
              <w:rPr>
                <w:rStyle w:val="AERsuperscript"/>
              </w:rPr>
              <w:footnoteReference w:id="1628"/>
            </w:r>
            <w:r w:rsidRPr="00A933BB">
              <w:rPr>
                <w:rStyle w:val="AERsuperscript"/>
              </w:rPr>
              <w:t xml:space="preserve"> </w:t>
            </w:r>
          </w:p>
          <w:p w:rsidR="00A933BB" w:rsidRPr="00A933BB" w:rsidRDefault="00A933BB" w:rsidP="00A933BB">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933BB">
              <w:rPr>
                <w:rStyle w:val="AERsuperscript"/>
              </w:rPr>
              <w:footnoteReference w:id="1629"/>
            </w:r>
            <w:r w:rsidRPr="00A933BB">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933BB" w:rsidRPr="00BB7AB1" w:rsidTr="00EA632F">
        <w:tc>
          <w:tcPr>
            <w:tcW w:w="1763" w:type="dxa"/>
          </w:tcPr>
          <w:p w:rsidR="00A933BB" w:rsidRPr="00A933BB" w:rsidRDefault="00A933BB" w:rsidP="00A933BB">
            <w:r w:rsidRPr="00FB18DC">
              <w:t>Conversion to effective annual rate</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933BB">
              <w:rPr>
                <w:rStyle w:val="AERsuperscript"/>
              </w:rPr>
              <w:footnoteReference w:id="1630"/>
            </w:r>
            <w:r w:rsidRPr="00A933BB">
              <w:t xml:space="preserve"> Therefore, this would require conversion into an effective annual rate, using the same approach as is applied to the BVAL yield estimate. </w:t>
            </w:r>
          </w:p>
        </w:tc>
      </w:tr>
    </w:tbl>
    <w:p w:rsidR="00A933BB" w:rsidRPr="00FB18DC" w:rsidRDefault="00A933BB" w:rsidP="00A933BB">
      <w:pPr>
        <w:pStyle w:val="AERtablesource"/>
      </w:pPr>
      <w:r w:rsidRPr="00FB18DC">
        <w:t xml:space="preserve">Source: </w:t>
      </w:r>
      <w:r>
        <w:tab/>
      </w:r>
      <w:r w:rsidRPr="00FB18DC">
        <w:t>AER analysis</w:t>
      </w:r>
      <w:r>
        <w:t>.</w:t>
      </w:r>
    </w:p>
    <w:p w:rsidR="00A933BB" w:rsidRPr="00FB18DC" w:rsidRDefault="00A933BB" w:rsidP="00A933BB">
      <w:pPr>
        <w:pStyle w:val="Caption"/>
      </w:pPr>
      <w:bookmarkStart w:id="547" w:name="_Ref450563958"/>
      <w:r w:rsidRPr="00FB18DC">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40</w:t>
      </w:r>
      <w:r w:rsidR="002C24D6">
        <w:rPr>
          <w:noProof/>
        </w:rPr>
        <w:fldChar w:fldCharType="end"/>
      </w:r>
      <w:bookmarkEnd w:id="547"/>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3080" w:type="dxa"/>
          </w:tcPr>
          <w:p w:rsidR="00A933BB" w:rsidRPr="00A933BB" w:rsidRDefault="00A933BB" w:rsidP="00A933BB">
            <w:r w:rsidRPr="00FB18DC">
              <w:t xml:space="preserve">Adjustment </w:t>
            </w:r>
            <w:r w:rsidRPr="00A933BB">
              <w:t>type</w:t>
            </w:r>
          </w:p>
        </w:tc>
        <w:tc>
          <w:tcPr>
            <w:tcW w:w="1446" w:type="dxa"/>
          </w:tcPr>
          <w:p w:rsidR="00A933BB" w:rsidRPr="00A933BB" w:rsidRDefault="00A933BB" w:rsidP="00A933BB">
            <w:r w:rsidRPr="00FB18DC">
              <w:t>Amendment made?</w:t>
            </w:r>
          </w:p>
        </w:tc>
        <w:tc>
          <w:tcPr>
            <w:tcW w:w="4716" w:type="dxa"/>
          </w:tcPr>
          <w:p w:rsidR="00A933BB" w:rsidRPr="00FB18DC" w:rsidRDefault="00A933BB" w:rsidP="00CC7A1C">
            <w:pPr>
              <w:numPr>
                <w:ilvl w:val="0"/>
                <w:numId w:val="24"/>
              </w:numPr>
            </w:pPr>
            <w:r w:rsidRPr="00FB18DC">
              <w:t>Comments</w:t>
            </w:r>
          </w:p>
        </w:tc>
      </w:tr>
      <w:tr w:rsidR="00A933BB" w:rsidRPr="00BB7AB1" w:rsidTr="00EA632F">
        <w:tc>
          <w:tcPr>
            <w:tcW w:w="3080" w:type="dxa"/>
          </w:tcPr>
          <w:p w:rsidR="00A933BB" w:rsidRPr="00A933BB" w:rsidRDefault="00A933BB" w:rsidP="00A933BB">
            <w:r w:rsidRPr="00FB18DC">
              <w:t>Interpolation to construct daily estimates</w:t>
            </w:r>
          </w:p>
        </w:tc>
        <w:tc>
          <w:tcPr>
            <w:tcW w:w="1446" w:type="dxa"/>
          </w:tcPr>
          <w:p w:rsidR="00A933BB" w:rsidRPr="00A933BB" w:rsidRDefault="00A933BB" w:rsidP="00A933BB">
            <w:r w:rsidRPr="00FB18DC">
              <w:t>No</w:t>
            </w:r>
          </w:p>
        </w:tc>
        <w:tc>
          <w:tcPr>
            <w:tcW w:w="4716" w:type="dxa"/>
          </w:tcPr>
          <w:p w:rsidR="00A933BB" w:rsidRPr="00FB18DC" w:rsidRDefault="00A933BB" w:rsidP="00CC7A1C">
            <w:pPr>
              <w:numPr>
                <w:ilvl w:val="0"/>
                <w:numId w:val="24"/>
              </w:numPr>
            </w:pPr>
            <w:r w:rsidRPr="00FB18DC">
              <w:t>Bloomberg publishes daily estimates.</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3080" w:type="dxa"/>
          </w:tcPr>
          <w:p w:rsidR="00A933BB" w:rsidRPr="00A933BB" w:rsidRDefault="00A933BB" w:rsidP="00A933BB">
            <w:r w:rsidRPr="00FB18DC">
              <w:t>Extrapolation to target term</w:t>
            </w:r>
          </w:p>
        </w:tc>
        <w:tc>
          <w:tcPr>
            <w:tcW w:w="1446" w:type="dxa"/>
          </w:tcPr>
          <w:p w:rsidR="00A933BB" w:rsidRPr="00A933BB" w:rsidRDefault="00A933BB" w:rsidP="00A933BB">
            <w:r w:rsidRPr="00FB18DC">
              <w:t>Depends on maximum term published by Bloomberg</w:t>
            </w:r>
          </w:p>
        </w:tc>
        <w:tc>
          <w:tcPr>
            <w:tcW w:w="4716" w:type="dxa"/>
          </w:tcPr>
          <w:p w:rsidR="00A933BB" w:rsidRPr="00FB18DC" w:rsidRDefault="00A933BB"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631"/>
            </w:r>
            <w:r w:rsidRPr="00FB18DC">
              <w:t xml:space="preserve"> In April 2015, Bloomberg revised its methodology for the BVAL curve (BVCSAB10) and it now publishes a 10 year estimate.</w:t>
            </w:r>
            <w:r w:rsidRPr="00FB18DC">
              <w:rPr>
                <w:rStyle w:val="FootnoteReference"/>
              </w:rPr>
              <w:footnoteReference w:id="1632"/>
            </w:r>
            <w:r w:rsidRPr="00FB18DC">
              <w:t xml:space="preserve"> </w:t>
            </w:r>
          </w:p>
          <w:p w:rsidR="00A933BB" w:rsidRPr="00FB18DC" w:rsidRDefault="00A933BB"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933BB" w:rsidRPr="00FB18DC" w:rsidRDefault="00A933BB" w:rsidP="00CC7A1C">
            <w:pPr>
              <w:numPr>
                <w:ilvl w:val="0"/>
                <w:numId w:val="24"/>
              </w:numPr>
            </w:pPr>
            <w:r w:rsidRPr="00FB18DC">
              <w:t>BVAL yield 10 years = BVAL yield 7 years + difference in CGS from 7 to 10 years + difference in RBA extrapolated spread to CGS from 7 to 10 years</w:t>
            </w:r>
          </w:p>
          <w:p w:rsidR="00A933BB" w:rsidRPr="00FB18DC" w:rsidRDefault="00A933BB" w:rsidP="00CC7A1C">
            <w:pPr>
              <w:numPr>
                <w:ilvl w:val="0"/>
                <w:numId w:val="24"/>
              </w:numPr>
            </w:pPr>
            <w:r w:rsidRPr="00FB18DC">
              <w:t>As recommended by Lally,</w:t>
            </w:r>
            <w:r w:rsidRPr="00FB18DC">
              <w:rPr>
                <w:rStyle w:val="AERsuperscript"/>
              </w:rPr>
              <w:footnoteReference w:id="1633"/>
            </w:r>
            <w:r w:rsidRPr="00FB18DC">
              <w:t xml:space="preserve"> we are satisfied this approach is comparably reliable to the more complex approaches submitted by other stakeholders,</w:t>
            </w:r>
            <w:r w:rsidRPr="00FB18DC">
              <w:rPr>
                <w:rStyle w:val="AERsuperscript"/>
              </w:rPr>
              <w:footnoteReference w:id="1634"/>
            </w:r>
            <w:r w:rsidRPr="00FB18DC">
              <w:rPr>
                <w:rStyle w:val="AERsuperscript"/>
              </w:rPr>
              <w:t xml:space="preserve"> </w:t>
            </w:r>
            <w:r w:rsidRPr="00FB18DC">
              <w:t>but is simpler to implement and based on publicly available data.</w:t>
            </w:r>
          </w:p>
          <w:p w:rsidR="00A933BB" w:rsidRPr="00FB18DC" w:rsidRDefault="00A933BB"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933BB" w:rsidRPr="00FB18DC" w:rsidRDefault="00A933BB" w:rsidP="00CC7A1C">
            <w:pPr>
              <w:numPr>
                <w:ilvl w:val="0"/>
                <w:numId w:val="24"/>
              </w:numPr>
            </w:pPr>
            <w:r w:rsidRPr="00FB18DC">
              <w:t>For the period where 10 years is the maximum term, we do not extrapolate the estimate.</w:t>
            </w:r>
          </w:p>
        </w:tc>
      </w:tr>
      <w:tr w:rsidR="00A933BB" w:rsidRPr="00BB7AB1" w:rsidTr="00EA632F">
        <w:tc>
          <w:tcPr>
            <w:tcW w:w="3080" w:type="dxa"/>
          </w:tcPr>
          <w:p w:rsidR="00A933BB" w:rsidRPr="00A933BB" w:rsidRDefault="00A933BB" w:rsidP="00A933BB">
            <w:r w:rsidRPr="00FB18DC">
              <w:t>Conversion to effective annual rate</w:t>
            </w:r>
          </w:p>
        </w:tc>
        <w:tc>
          <w:tcPr>
            <w:tcW w:w="1446" w:type="dxa"/>
          </w:tcPr>
          <w:p w:rsidR="00A933BB" w:rsidRPr="00A933BB" w:rsidRDefault="00A933BB" w:rsidP="00A933BB">
            <w:r w:rsidRPr="00FB18DC">
              <w:t>Yes</w:t>
            </w:r>
          </w:p>
        </w:tc>
        <w:tc>
          <w:tcPr>
            <w:tcW w:w="4716" w:type="dxa"/>
          </w:tcPr>
          <w:p w:rsidR="00A933BB" w:rsidRPr="00FB18DC" w:rsidRDefault="00A933BB" w:rsidP="00CC7A1C">
            <w:pPr>
              <w:numPr>
                <w:ilvl w:val="0"/>
                <w:numId w:val="24"/>
              </w:numPr>
            </w:pPr>
            <w:r w:rsidRPr="00FB18DC">
              <w:t>Bloomberg publishes its yield as annual rates with semi-annual compounding. This needs to be converted into an effective annual rate.</w:t>
            </w:r>
          </w:p>
        </w:tc>
      </w:tr>
    </w:tbl>
    <w:p w:rsidR="00A933BB" w:rsidRPr="00FB18DC" w:rsidRDefault="00A933BB" w:rsidP="00A933BB">
      <w:pPr>
        <w:pStyle w:val="Heading9"/>
      </w:pPr>
      <w:bookmarkStart w:id="548" w:name="_Toc433457169"/>
      <w:bookmarkStart w:id="549" w:name="_Toc450916273"/>
      <w:bookmarkStart w:id="550" w:name="_Toc452629169"/>
      <w:bookmarkStart w:id="551" w:name="_Toc456686786"/>
      <w:bookmarkStart w:id="552" w:name="_Toc487037241"/>
      <w:r w:rsidRPr="00FB18DC">
        <w:t>Choice of data series—Step-by-step guide to calculations</w:t>
      </w:r>
      <w:bookmarkEnd w:id="548"/>
      <w:bookmarkEnd w:id="549"/>
      <w:bookmarkEnd w:id="550"/>
      <w:bookmarkEnd w:id="551"/>
      <w:bookmarkEnd w:id="552"/>
    </w:p>
    <w:p w:rsidR="00A933BB" w:rsidRPr="00FB18DC" w:rsidRDefault="00A933BB" w:rsidP="00CC7A1C">
      <w:pPr>
        <w:numPr>
          <w:ilvl w:val="0"/>
          <w:numId w:val="24"/>
        </w:numPr>
      </w:pPr>
      <w:r w:rsidRPr="00FB18DC">
        <w:t>Below we describe the step-by-step processes of calculating:</w:t>
      </w:r>
    </w:p>
    <w:p w:rsidR="00A933BB" w:rsidRPr="00FB18DC" w:rsidRDefault="00A933BB" w:rsidP="00A933BB">
      <w:pPr>
        <w:pStyle w:val="AERbulletlistfirststyle"/>
      </w:pPr>
      <w:r w:rsidRPr="00FB18DC">
        <w:t xml:space="preserve">the adjusted RBA estimate </w:t>
      </w:r>
    </w:p>
    <w:p w:rsidR="00A933BB" w:rsidRPr="00FB18DC" w:rsidRDefault="00A933BB" w:rsidP="00A933BB">
      <w:pPr>
        <w:pStyle w:val="AERbulletlistfirststyle"/>
      </w:pPr>
      <w:r w:rsidRPr="00FB18DC">
        <w:t xml:space="preserve">the adjusted BVAL estimate </w:t>
      </w:r>
    </w:p>
    <w:p w:rsidR="00A933BB" w:rsidRPr="00FB18DC" w:rsidRDefault="00A933BB" w:rsidP="00A933BB">
      <w:pPr>
        <w:pStyle w:val="AERbulletlistfirststyle"/>
      </w:pPr>
      <w:r w:rsidRPr="00FB18DC">
        <w:t>the final estimate—where we combine our implementations of the RBA estimate and the BVAL estimate.</w:t>
      </w:r>
    </w:p>
    <w:p w:rsidR="00A933BB" w:rsidRDefault="00A933BB" w:rsidP="00CC7A1C">
      <w:pPr>
        <w:numPr>
          <w:ilvl w:val="0"/>
          <w:numId w:val="24"/>
        </w:numPr>
      </w:pPr>
      <w:r w:rsidRPr="00FB18DC">
        <w:t xml:space="preserve">These formula steps relate to the approach specified in this </w:t>
      </w:r>
      <w:r w:rsidR="00BA6F97">
        <w:t>draft</w:t>
      </w:r>
      <w:r w:rsidRPr="00FB18DC">
        <w:t xml:space="preserve"> 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2C24D6">
        <w:t>L.2.4</w:t>
      </w:r>
      <w:r>
        <w:fldChar w:fldCharType="end"/>
      </w:r>
      <w:r w:rsidRPr="00FB18DC">
        <w:t>.</w:t>
      </w:r>
    </w:p>
    <w:p w:rsidR="00A933BB" w:rsidRPr="00FB18DC" w:rsidRDefault="00A933BB" w:rsidP="00CC7A1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933BB" w:rsidRPr="00FB18DC" w:rsidRDefault="00A933BB" w:rsidP="00CC7A1C">
      <w:pPr>
        <w:numPr>
          <w:ilvl w:val="0"/>
          <w:numId w:val="24"/>
        </w:numPr>
        <w:rPr>
          <w:rStyle w:val="AERtextitalic"/>
        </w:rPr>
      </w:pPr>
      <w:r w:rsidRPr="00FB18DC">
        <w:rPr>
          <w:rStyle w:val="AERtextitalic"/>
        </w:rPr>
        <w:t>Calculation of the adjusted RBA estimate</w:t>
      </w:r>
    </w:p>
    <w:p w:rsidR="00A933BB" w:rsidRPr="00FB18DC" w:rsidRDefault="00A933BB" w:rsidP="00CC7A1C">
      <w:pPr>
        <w:numPr>
          <w:ilvl w:val="1"/>
          <w:numId w:val="24"/>
        </w:numPr>
      </w:pPr>
      <w:r w:rsidRPr="00FB18DC">
        <w:t>Download RBA table F3—'Aggregate measures of Australian corporate bond yields' from the RBA website.</w:t>
      </w:r>
    </w:p>
    <w:p w:rsidR="00A933BB" w:rsidRPr="00FB18DC" w:rsidRDefault="00A933BB" w:rsidP="00CC7A1C">
      <w:pPr>
        <w:numPr>
          <w:ilvl w:val="1"/>
          <w:numId w:val="24"/>
        </w:numPr>
      </w:pPr>
      <w:r w:rsidRPr="00FB18DC">
        <w:t>From this file, download the 7 and 10 year 'Non-financial corporate BBB-rated bonds—Yield' entries for dates:</w:t>
      </w:r>
    </w:p>
    <w:p w:rsidR="00A933BB" w:rsidRPr="00FB18DC" w:rsidRDefault="00A933BB" w:rsidP="00CC7A1C">
      <w:pPr>
        <w:numPr>
          <w:ilvl w:val="2"/>
          <w:numId w:val="24"/>
        </w:numPr>
      </w:pPr>
      <w:r w:rsidRPr="00FB18DC">
        <w:t>from the most recent published RBA date prior to the commencement of the nominated averaging period for debt</w:t>
      </w:r>
    </w:p>
    <w:p w:rsidR="00A933BB" w:rsidRPr="00FB18DC" w:rsidRDefault="00A933BB" w:rsidP="00CC7A1C">
      <w:pPr>
        <w:numPr>
          <w:ilvl w:val="2"/>
          <w:numId w:val="24"/>
        </w:numPr>
      </w:pPr>
      <w:r w:rsidRPr="00FB18DC">
        <w:t>to the first published RBA date following the conclusion of the nominated averaging period for debt</w:t>
      </w:r>
    </w:p>
    <w:p w:rsidR="00A933BB" w:rsidRPr="00FB18DC" w:rsidRDefault="00A933BB" w:rsidP="00CC7A1C">
      <w:pPr>
        <w:numPr>
          <w:ilvl w:val="2"/>
          <w:numId w:val="24"/>
        </w:numPr>
      </w:pPr>
      <w:r w:rsidRPr="00FB18DC">
        <w:t>all published dates between a. and b.</w:t>
      </w:r>
    </w:p>
    <w:p w:rsidR="00A933BB" w:rsidRPr="00FB18DC" w:rsidRDefault="00A933BB" w:rsidP="00CC7A1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933BB" w:rsidRPr="00FB18DC" w:rsidRDefault="00A933BB" w:rsidP="00CC7A1C">
      <w:pPr>
        <w:numPr>
          <w:ilvl w:val="1"/>
          <w:numId w:val="24"/>
        </w:numPr>
      </w:pPr>
      <w:r w:rsidRPr="00FB18DC">
        <w:t>Linearly interpolate between the two nearest bonds straddling 7 years remaining term to maturity,</w:t>
      </w:r>
      <w:r w:rsidRPr="00FB18DC">
        <w:rPr>
          <w:rStyle w:val="AERsuperscript"/>
        </w:rPr>
        <w:footnoteReference w:id="1635"/>
      </w:r>
      <w:r w:rsidRPr="00FB18DC">
        <w:t xml:space="preserve"> and the two nearest CGS bonds straddling 10 years remaining term to maturity. This should be done using the following formula: </w:t>
      </w:r>
      <w:r w:rsidRPr="00FB18DC">
        <w:rPr>
          <w:rStyle w:val="AERsuperscript"/>
        </w:rPr>
        <w:footnoteReference w:id="1636"/>
      </w:r>
    </w:p>
    <w:p w:rsidR="00A933BB" w:rsidRPr="00FB18DC" w:rsidRDefault="00A933BB" w:rsidP="00A933BB">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933BB" w:rsidRPr="00FB18DC" w:rsidRDefault="00A933BB" w:rsidP="00CC7A1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637"/>
      </w:r>
    </w:p>
    <w:p w:rsidR="00A933BB" w:rsidRPr="00FB18DC" w:rsidRDefault="00A933BB" w:rsidP="00A933BB">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933BB" w:rsidRPr="00FB18DC" w:rsidRDefault="00A933BB" w:rsidP="00CC7A1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638"/>
      </w:r>
    </w:p>
    <w:p w:rsidR="00A933BB" w:rsidRPr="00FB18DC" w:rsidRDefault="00A933BB" w:rsidP="00A933BB">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933BB" w:rsidRPr="00FB18DC" w:rsidRDefault="00A933BB" w:rsidP="00CC7A1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639"/>
      </w:r>
    </w:p>
    <w:p w:rsidR="00A933BB" w:rsidRPr="00FB18DC" w:rsidRDefault="00A933BB" w:rsidP="00CC7A1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933BB" w:rsidRPr="00FB18DC" w:rsidRDefault="00A933BB" w:rsidP="00A933BB">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933BB" w:rsidRPr="00FB18DC" w:rsidRDefault="00A933BB" w:rsidP="00A933BB">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933BB" w:rsidRPr="00FB18DC" w:rsidRDefault="00A933BB" w:rsidP="00CC7A1C">
      <w:pPr>
        <w:numPr>
          <w:ilvl w:val="1"/>
          <w:numId w:val="24"/>
        </w:numPr>
      </w:pPr>
      <w:r w:rsidRPr="00FB18DC">
        <w:t>Add to these daily spreads (from step 8), daily interpolated estimates of the CGS (from step 4) for all business days in the service providers averaging period. Specifically:</w:t>
      </w:r>
    </w:p>
    <w:p w:rsidR="00A933BB" w:rsidRPr="00FB18DC" w:rsidRDefault="00A933BB" w:rsidP="00CC7A1C">
      <w:pPr>
        <w:numPr>
          <w:ilvl w:val="2"/>
          <w:numId w:val="24"/>
        </w:numPr>
      </w:pPr>
      <w:r w:rsidRPr="00FB18DC">
        <w:t xml:space="preserve"> add the 7 year interpolated CGS estimates to the 7 year interpolated RBA spreads. These are the interpolated RBA daily 7-year yield estimates.</w:t>
      </w:r>
    </w:p>
    <w:p w:rsidR="00A933BB" w:rsidRPr="00FB18DC" w:rsidRDefault="00A933BB" w:rsidP="00CC7A1C">
      <w:pPr>
        <w:numPr>
          <w:ilvl w:val="2"/>
          <w:numId w:val="24"/>
        </w:numPr>
      </w:pPr>
      <w:r w:rsidRPr="00FB18DC">
        <w:t xml:space="preserve"> add the 10 year interpolated CGS estimate to the 10 year interpolated RBA spread. These are the interpolated RBA daily 10-year yield estimates.</w:t>
      </w:r>
    </w:p>
    <w:p w:rsidR="00A933BB" w:rsidRPr="00FB18DC" w:rsidRDefault="00A933BB" w:rsidP="00CC7A1C">
      <w:pPr>
        <w:numPr>
          <w:ilvl w:val="1"/>
          <w:numId w:val="24"/>
        </w:numPr>
      </w:pPr>
      <w:r w:rsidRPr="00FB18DC">
        <w:t>Convert the interpolated daily yield estimates (from step 9) to effective annual rates, using the formula:</w:t>
      </w:r>
      <w:r w:rsidRPr="004842DA">
        <w:rPr>
          <w:rStyle w:val="AERsuperscript"/>
        </w:rPr>
        <w:footnoteReference w:id="1640"/>
      </w:r>
    </w:p>
    <w:p w:rsidR="00A933BB" w:rsidRPr="00FB18DC" w:rsidRDefault="00A933BB" w:rsidP="00A933BB">
      <w:pPr>
        <w:pStyle w:val="AERquote"/>
      </w:pPr>
      <w:r w:rsidRPr="00FB18DC">
        <w:t>effective annual rate = ((1 + yield / 200)</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yield estimate for the 10 year RBA yield estimate over all business days in </w:t>
      </w:r>
      <w:r w:rsidR="00AD1ECA">
        <w:t>APTPPL's</w:t>
      </w:r>
      <w:r w:rsidRPr="00FB18DC">
        <w:t xml:space="preserve"> averaging period. This is our adjusted RBA estimate.</w:t>
      </w:r>
    </w:p>
    <w:p w:rsidR="00A933BB" w:rsidRPr="00FB18DC" w:rsidRDefault="00A933BB" w:rsidP="00CC7A1C">
      <w:pPr>
        <w:numPr>
          <w:ilvl w:val="0"/>
          <w:numId w:val="24"/>
        </w:numPr>
        <w:rPr>
          <w:rStyle w:val="AERtextitalic"/>
        </w:rPr>
      </w:pPr>
      <w:r w:rsidRPr="00FB18DC">
        <w:rPr>
          <w:rStyle w:val="AERtextitalic"/>
        </w:rPr>
        <w:t>Calculation of the adjusted BVAL estimate</w:t>
      </w:r>
    </w:p>
    <w:p w:rsidR="00A933BB" w:rsidRPr="00FB18DC" w:rsidRDefault="00A933BB" w:rsidP="00CC7A1C">
      <w:pPr>
        <w:numPr>
          <w:ilvl w:val="1"/>
          <w:numId w:val="24"/>
        </w:numPr>
      </w:pPr>
      <w:r w:rsidRPr="00FB18DC">
        <w:t>For dates after 14 April 2015, download the 10 year Corporate BBB rated Australian BVAL curve (BVC</w:t>
      </w:r>
      <w:r>
        <w:t>S</w:t>
      </w:r>
      <w:r w:rsidRPr="00FB18DC">
        <w:t>AB10).</w:t>
      </w:r>
      <w:r>
        <w:rPr>
          <w:rStyle w:val="FootnoteReference"/>
        </w:rPr>
        <w:footnoteReference w:id="1641"/>
      </w:r>
      <w:r w:rsidRPr="00FB18DC">
        <w:t xml:space="preserve"> </w:t>
      </w:r>
    </w:p>
    <w:p w:rsidR="00A933BB" w:rsidRPr="00FB18DC" w:rsidRDefault="00A933BB" w:rsidP="00CC7A1C">
      <w:pPr>
        <w:numPr>
          <w:ilvl w:val="1"/>
          <w:numId w:val="24"/>
        </w:numPr>
      </w:pPr>
      <w:r>
        <w:t>C</w:t>
      </w:r>
      <w:r w:rsidRPr="00FB18DC">
        <w:t xml:space="preserve">onvert the 10 year yields into effective annual rates, using the formula: </w:t>
      </w:r>
    </w:p>
    <w:p w:rsidR="00A933BB" w:rsidRPr="00FB18DC" w:rsidRDefault="00A933BB" w:rsidP="00A933BB">
      <w:pPr>
        <w:pStyle w:val="AERquote"/>
      </w:pPr>
      <w:r w:rsidRPr="00FB18DC">
        <w:t>effective annual rate = ((1 + yield / 200 )</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extrapolated daily estimates of the BVAL 10 year yield over all business days in </w:t>
      </w:r>
      <w:r w:rsidR="00694D65">
        <w:t>APTPPL's</w:t>
      </w:r>
      <w:r w:rsidRPr="00FB18DC">
        <w:t xml:space="preserve"> averaging period. This is our adjusted BVAL estimate.</w:t>
      </w:r>
    </w:p>
    <w:p w:rsidR="00A933BB" w:rsidRPr="00FB18DC" w:rsidRDefault="00A933BB" w:rsidP="00CC7A1C">
      <w:pPr>
        <w:numPr>
          <w:ilvl w:val="0"/>
          <w:numId w:val="24"/>
        </w:numPr>
        <w:rPr>
          <w:rStyle w:val="AERtextitalic"/>
        </w:rPr>
      </w:pPr>
      <w:r w:rsidRPr="00FB18DC">
        <w:rPr>
          <w:rStyle w:val="AERtextitalic"/>
        </w:rPr>
        <w:t>Final estimate</w:t>
      </w:r>
    </w:p>
    <w:p w:rsidR="00A933BB" w:rsidRPr="00FB18DC" w:rsidRDefault="00A933BB" w:rsidP="00CC7A1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933BB" w:rsidRPr="00FB18DC" w:rsidRDefault="00A933BB" w:rsidP="00A933BB">
      <w:pPr>
        <w:pStyle w:val="Heading9"/>
      </w:pPr>
      <w:bookmarkStart w:id="553" w:name="_Toc433457170"/>
      <w:bookmarkStart w:id="554" w:name="_Toc450916274"/>
      <w:bookmarkStart w:id="555" w:name="_Ref451901059"/>
      <w:bookmarkStart w:id="556" w:name="_Toc452629170"/>
      <w:bookmarkStart w:id="557" w:name="_Toc456686787"/>
      <w:bookmarkStart w:id="558" w:name="_Toc487037242"/>
      <w:r w:rsidRPr="00FB18DC">
        <w:t>Choice of data series—Contingencies</w:t>
      </w:r>
      <w:bookmarkEnd w:id="553"/>
      <w:bookmarkEnd w:id="554"/>
      <w:bookmarkEnd w:id="555"/>
      <w:bookmarkEnd w:id="556"/>
      <w:bookmarkEnd w:id="557"/>
      <w:bookmarkEnd w:id="558"/>
    </w:p>
    <w:p w:rsidR="00A870A6" w:rsidRPr="00A870A6" w:rsidRDefault="00A870A6" w:rsidP="00A870A6">
      <w:r w:rsidRPr="00A870A6">
        <w:t>Our decision is to largely maintain the set of contingencies as set out in our recent decisions.</w:t>
      </w:r>
      <w:r w:rsidRPr="00A870A6">
        <w:rPr>
          <w:rStyle w:val="FootnoteReference"/>
        </w:rPr>
        <w:footnoteReference w:id="1642"/>
      </w:r>
      <w:r w:rsidRPr="00A870A6">
        <w:t xml:space="preserve"> We have made our </w:t>
      </w:r>
      <w:r w:rsidR="00E60745">
        <w:t>draft</w:t>
      </w:r>
      <w:r w:rsidRPr="00A870A6">
        <w:t xml:space="preserve"> decision based on the information and third party data that is currently available.</w:t>
      </w:r>
      <w:r w:rsidRPr="00A870A6">
        <w:rPr>
          <w:rStyle w:val="FootnoteReference"/>
        </w:rPr>
        <w:footnoteReference w:id="1643"/>
      </w:r>
      <w:r w:rsidRPr="00A870A6">
        <w:t xml:space="preserve"> Nonetheless, in our experience it is common that the availability of third party data changes. </w:t>
      </w:r>
    </w:p>
    <w:p w:rsidR="00A870A6" w:rsidRPr="00A870A6" w:rsidRDefault="00E953D7" w:rsidP="00A870A6">
      <w:r>
        <w:t>Specifically, o</w:t>
      </w:r>
      <w:r w:rsidR="00A870A6" w:rsidRPr="00A870A6">
        <w:t>ur decision is to annually update the trailing average portfolio return on debt. Under the N</w:t>
      </w:r>
      <w:r w:rsidR="00F175B6">
        <w:t>G</w:t>
      </w:r>
      <w:r w:rsidR="00A870A6" w:rsidRPr="00A870A6">
        <w:t>R, the change in revenue resulting from the annual update must occur by automatic application of a formula that is specified in the decision.</w:t>
      </w:r>
      <w:r w:rsidR="00A870A6" w:rsidRPr="00A870A6">
        <w:rPr>
          <w:rStyle w:val="AERsuperscript"/>
        </w:rPr>
        <w:t xml:space="preserve"> </w:t>
      </w:r>
      <w:r w:rsidR="00A870A6" w:rsidRPr="00A870A6">
        <w:rPr>
          <w:rStyle w:val="AERsuperscript"/>
        </w:rPr>
        <w:footnoteReference w:id="1644"/>
      </w:r>
      <w:r w:rsidR="00A870A6" w:rsidRPr="00A870A6">
        <w:t xml:space="preserve"> This means our decision on how to apply these third party data sources must be fully specified upfront in the determination, and must be capable of application over the regulatory control period without the use of subsequent judgement or discretion. </w:t>
      </w:r>
    </w:p>
    <w:p w:rsidR="00A870A6" w:rsidRPr="00A870A6" w:rsidRDefault="00A870A6" w:rsidP="00A870A6">
      <w:r w:rsidRPr="00A870A6">
        <w:t xml:space="preserve">For this reason, we have set out a series of contingencies in </w:t>
      </w:r>
      <w:r w:rsidRPr="00A870A6">
        <w:fldChar w:fldCharType="begin"/>
      </w:r>
      <w:r w:rsidRPr="00A870A6">
        <w:instrText xml:space="preserve"> REF  _Ref415565798 \* Lower \h </w:instrText>
      </w:r>
      <w:r w:rsidRPr="00A870A6">
        <w:fldChar w:fldCharType="separate"/>
      </w:r>
      <w:r w:rsidR="002C24D6" w:rsidRPr="00A870A6">
        <w:t xml:space="preserve">table </w:t>
      </w:r>
      <w:r w:rsidR="002C24D6">
        <w:rPr>
          <w:noProof/>
        </w:rPr>
        <w:t>3</w:t>
      </w:r>
      <w:r w:rsidR="002C24D6">
        <w:noBreakHyphen/>
      </w:r>
      <w:r w:rsidR="002C24D6">
        <w:rPr>
          <w:noProof/>
        </w:rPr>
        <w:t>41</w:t>
      </w:r>
      <w:r w:rsidRPr="00A870A6">
        <w:fldChar w:fldCharType="end"/>
      </w:r>
      <w:r w:rsidRPr="00A870A6">
        <w:t>, below. These describe how we propose to estimate the annual return on debt in the event of revisions in the RBA's or Bloomberg's methodologies or other changes to data availability.</w:t>
      </w:r>
    </w:p>
    <w:p w:rsidR="00A870A6" w:rsidRPr="00A870A6" w:rsidRDefault="00A870A6" w:rsidP="00A870A6">
      <w:pPr>
        <w:pStyle w:val="Caption"/>
      </w:pPr>
      <w:bookmarkStart w:id="559" w:name="_Ref415565798"/>
      <w:r w:rsidRPr="00A870A6">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00882F3D">
        <w:noBreakHyphen/>
      </w:r>
      <w:r w:rsidR="002C24D6">
        <w:fldChar w:fldCharType="begin"/>
      </w:r>
      <w:r w:rsidR="002C24D6">
        <w:instrText xml:space="preserve"> SEQ Table \* ARABIC \s 1 </w:instrText>
      </w:r>
      <w:r w:rsidR="002C24D6">
        <w:fldChar w:fldCharType="separate"/>
      </w:r>
      <w:r w:rsidR="002C24D6">
        <w:rPr>
          <w:noProof/>
        </w:rPr>
        <w:t>41</w:t>
      </w:r>
      <w:r w:rsidR="002C24D6">
        <w:rPr>
          <w:noProof/>
        </w:rPr>
        <w:fldChar w:fldCharType="end"/>
      </w:r>
      <w:bookmarkEnd w:id="559"/>
      <w:r w:rsidRPr="00A870A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870A6" w:rsidRPr="00BB7AB1" w:rsidTr="0016738D">
        <w:trPr>
          <w:cnfStyle w:val="100000000000" w:firstRow="1" w:lastRow="0" w:firstColumn="0" w:lastColumn="0" w:oddVBand="0" w:evenVBand="0" w:oddHBand="0" w:evenHBand="0" w:firstRowFirstColumn="0" w:firstRowLastColumn="0" w:lastRowFirstColumn="0" w:lastRowLastColumn="0"/>
          <w:tblHeader/>
        </w:trPr>
        <w:tc>
          <w:tcPr>
            <w:tcW w:w="1461" w:type="pct"/>
          </w:tcPr>
          <w:p w:rsidR="00A870A6" w:rsidRPr="00A870A6" w:rsidRDefault="00A870A6" w:rsidP="00CC7A1C">
            <w:pPr>
              <w:numPr>
                <w:ilvl w:val="0"/>
                <w:numId w:val="24"/>
              </w:numPr>
            </w:pPr>
            <w:r w:rsidRPr="00A870A6">
              <w:t>Event</w:t>
            </w:r>
          </w:p>
        </w:tc>
        <w:tc>
          <w:tcPr>
            <w:tcW w:w="3539" w:type="pct"/>
          </w:tcPr>
          <w:p w:rsidR="00A870A6" w:rsidRPr="00A870A6" w:rsidRDefault="00A870A6" w:rsidP="00CC7A1C">
            <w:pPr>
              <w:numPr>
                <w:ilvl w:val="0"/>
                <w:numId w:val="24"/>
              </w:numPr>
            </w:pPr>
            <w:r w:rsidRPr="00A870A6">
              <w:t>Changes to approach</w:t>
            </w:r>
          </w:p>
        </w:tc>
      </w:tr>
      <w:tr w:rsidR="00A870A6" w:rsidRPr="00BB7AB1" w:rsidTr="0016738D">
        <w:tc>
          <w:tcPr>
            <w:tcW w:w="1461" w:type="pct"/>
          </w:tcPr>
          <w:p w:rsidR="00A870A6" w:rsidRPr="00A870A6" w:rsidRDefault="00A870A6" w:rsidP="00CC7A1C">
            <w:pPr>
              <w:numPr>
                <w:ilvl w:val="0"/>
                <w:numId w:val="24"/>
              </w:numPr>
            </w:pPr>
            <w:r w:rsidRPr="00A870A6">
              <w:t>Either the RBA or Bloomberg ceases publication, temporarily or permanently, of Australian yield curves that reflect a broad BBB rating.</w:t>
            </w:r>
          </w:p>
        </w:tc>
        <w:tc>
          <w:tcPr>
            <w:tcW w:w="3539" w:type="pct"/>
          </w:tcPr>
          <w:p w:rsidR="00A870A6" w:rsidRPr="00A870A6" w:rsidRDefault="00A870A6" w:rsidP="00CC7A1C">
            <w:pPr>
              <w:numPr>
                <w:ilvl w:val="0"/>
                <w:numId w:val="24"/>
              </w:numPr>
            </w:pPr>
            <w:r w:rsidRPr="00A870A6">
              <w:t>We will estimate the annual return on debt using the remaining curve.</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A different third party commences publication of a 10 year yield estimate (or we are made aware of a different third party publishing a 10 year yield estimate)</w:t>
            </w:r>
            <w:r w:rsidRPr="00A870A6">
              <w:rPr>
                <w:rStyle w:val="AERsuperscript"/>
              </w:rPr>
              <w:footnoteReference w:id="1645"/>
            </w:r>
            <w:r w:rsidRPr="00A870A6">
              <w:t>.</w:t>
            </w:r>
          </w:p>
        </w:tc>
        <w:tc>
          <w:tcPr>
            <w:tcW w:w="3539" w:type="pct"/>
          </w:tcPr>
          <w:p w:rsidR="00A870A6" w:rsidRPr="00A870A6" w:rsidRDefault="00A870A6" w:rsidP="00CC7A1C">
            <w:pPr>
              <w:numPr>
                <w:ilvl w:val="0"/>
                <w:numId w:val="24"/>
              </w:numPr>
            </w:pPr>
            <w:r w:rsidRPr="00A870A6">
              <w:t xml:space="preserve">We will not apply estimates from a third party data provider that we have not evaluated and included in our final decision approach. We will consider any new data sources in future determinations. </w:t>
            </w:r>
          </w:p>
        </w:tc>
      </w:tr>
      <w:tr w:rsidR="00A870A6" w:rsidRPr="00BB7AB1" w:rsidTr="0016738D">
        <w:tc>
          <w:tcPr>
            <w:tcW w:w="1461" w:type="pct"/>
          </w:tcPr>
          <w:p w:rsidR="00A870A6" w:rsidRPr="00A870A6" w:rsidRDefault="00A870A6" w:rsidP="00CC7A1C">
            <w:pPr>
              <w:numPr>
                <w:ilvl w:val="0"/>
                <w:numId w:val="24"/>
              </w:numPr>
            </w:pPr>
            <w:r w:rsidRPr="00A870A6">
              <w:t>Either Bloomberg or RBA substitutes its current methodology for a revised or updated methodology.</w:t>
            </w:r>
          </w:p>
        </w:tc>
        <w:tc>
          <w:tcPr>
            <w:tcW w:w="3539" w:type="pct"/>
          </w:tcPr>
          <w:p w:rsidR="00A870A6" w:rsidRPr="00A870A6" w:rsidRDefault="00A870A6" w:rsidP="00CC7A1C">
            <w:pPr>
              <w:numPr>
                <w:ilvl w:val="0"/>
                <w:numId w:val="24"/>
              </w:numPr>
            </w:pPr>
            <w:r w:rsidRPr="00A870A6">
              <w:t>We will adopt the revised or updated methodology. Then, at the next regulatory determination, we will review this updated methodology. As noted above, we would also review any new data sources.</w:t>
            </w:r>
          </w:p>
          <w:p w:rsidR="00A870A6" w:rsidRPr="00A870A6" w:rsidRDefault="00A870A6" w:rsidP="00CC7A1C">
            <w:pPr>
              <w:numPr>
                <w:ilvl w:val="0"/>
                <w:numId w:val="24"/>
              </w:numPr>
            </w:pPr>
            <w:r w:rsidRPr="00A870A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A870A6">
              <w:rPr>
                <w:rStyle w:val="FootnoteReference"/>
              </w:rPr>
              <w:footnoteReference w:id="1646"/>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Bloomberg reduces the maximum published BVAL term from 10 years</w:t>
            </w:r>
          </w:p>
        </w:tc>
        <w:tc>
          <w:tcPr>
            <w:tcW w:w="3539" w:type="pct"/>
          </w:tcPr>
          <w:p w:rsidR="00A870A6" w:rsidRPr="00A870A6" w:rsidRDefault="00A870A6" w:rsidP="00CC7A1C">
            <w:pPr>
              <w:numPr>
                <w:ilvl w:val="0"/>
                <w:numId w:val="24"/>
              </w:numPr>
            </w:pPr>
            <w:r w:rsidRPr="00A870A6">
              <w:t xml:space="preserve">If Bloomberg still publishes the BVAL curve to 5 or more years, we will extrapolate the BVAL curve from the longest published term to 10 years using the corresponding yield margin from the RBA curve. </w:t>
            </w:r>
            <w:r w:rsidRPr="00A870A6">
              <w:rPr>
                <w:rStyle w:val="FootnoteReference"/>
              </w:rPr>
              <w:footnoteReference w:id="1647"/>
            </w:r>
          </w:p>
          <w:p w:rsidR="00A870A6" w:rsidRPr="00A870A6" w:rsidRDefault="00A870A6" w:rsidP="00CC7A1C">
            <w:pPr>
              <w:numPr>
                <w:ilvl w:val="0"/>
                <w:numId w:val="24"/>
              </w:numPr>
            </w:pPr>
            <w:r w:rsidRPr="00A870A6">
              <w:t>If Bloomberg no longer publishes the BVAL curve to 5 years, we will rely entirely on the RBA curve.</w:t>
            </w:r>
          </w:p>
        </w:tc>
      </w:tr>
      <w:tr w:rsidR="00A870A6" w:rsidRPr="00BB7AB1" w:rsidTr="0016738D">
        <w:tc>
          <w:tcPr>
            <w:tcW w:w="1461" w:type="pct"/>
          </w:tcPr>
          <w:p w:rsidR="00A870A6" w:rsidRPr="00A870A6" w:rsidRDefault="00A870A6" w:rsidP="00CC7A1C">
            <w:pPr>
              <w:numPr>
                <w:ilvl w:val="0"/>
                <w:numId w:val="24"/>
              </w:numPr>
            </w:pPr>
            <w:r w:rsidRPr="00A870A6">
              <w:t>The RBA ceases publication of a 10 year yield estimate.</w:t>
            </w:r>
            <w:r w:rsidRPr="00A870A6">
              <w:tab/>
            </w:r>
          </w:p>
        </w:tc>
        <w:tc>
          <w:tcPr>
            <w:tcW w:w="3539" w:type="pct"/>
          </w:tcPr>
          <w:p w:rsidR="00A870A6" w:rsidRPr="00A870A6" w:rsidRDefault="00A870A6" w:rsidP="00CC7A1C">
            <w:pPr>
              <w:numPr>
                <w:ilvl w:val="0"/>
                <w:numId w:val="24"/>
              </w:numPr>
            </w:pPr>
            <w:r w:rsidRPr="00A870A6">
              <w:t>If the RBA ceases publication of a 10 year yield estimate, we will extrapolate the RBA estimate to 10 years using:</w:t>
            </w:r>
          </w:p>
          <w:p w:rsidR="00A870A6" w:rsidRPr="00A870A6" w:rsidRDefault="00A870A6" w:rsidP="00A870A6">
            <w:pPr>
              <w:pStyle w:val="AERbulletlistfirststyle"/>
            </w:pPr>
            <w:r w:rsidRPr="00A870A6">
              <w:t>if available, the margin between spreads in the Bloomberg curve,</w:t>
            </w:r>
            <w:r w:rsidRPr="00A870A6">
              <w:rPr>
                <w:rStyle w:val="FootnoteReference"/>
              </w:rPr>
              <w:footnoteReference w:id="1648"/>
            </w:r>
            <w:r w:rsidRPr="00A870A6">
              <w:t xml:space="preserve"> from the RBA's longest published target term to 10 years</w:t>
            </w:r>
          </w:p>
          <w:p w:rsidR="00A870A6" w:rsidRPr="00A870A6" w:rsidRDefault="00A870A6" w:rsidP="00A870A6">
            <w:pPr>
              <w:pStyle w:val="AERbulletlistfirststyle"/>
            </w:pPr>
            <w:r w:rsidRPr="00A870A6">
              <w:t>otherwise, the actual CGS margin from the RBA's longest published estimate to 10 years, plus the average DRP spread for the same term margin over the last month prior to the end of its publication.</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The RBA commences publication of daily estimates.</w:t>
            </w:r>
          </w:p>
        </w:tc>
        <w:tc>
          <w:tcPr>
            <w:tcW w:w="3539" w:type="pct"/>
          </w:tcPr>
          <w:p w:rsidR="00A870A6" w:rsidRPr="00A870A6" w:rsidRDefault="00A870A6" w:rsidP="00CC7A1C">
            <w:pPr>
              <w:numPr>
                <w:ilvl w:val="0"/>
                <w:numId w:val="24"/>
              </w:numPr>
            </w:pPr>
            <w:r w:rsidRPr="00A870A6">
              <w:t>We will cease interpolating the RBA monthly yields. Instead, we will estimate both the RBA yield and the RBA year extrapolation margin (used with the BVAL curve) using these daily estimates.</w:t>
            </w:r>
          </w:p>
        </w:tc>
      </w:tr>
      <w:tr w:rsidR="00A870A6" w:rsidRPr="00BB7AB1" w:rsidTr="0016738D">
        <w:tc>
          <w:tcPr>
            <w:tcW w:w="1461" w:type="pct"/>
          </w:tcPr>
          <w:p w:rsidR="00A870A6" w:rsidRPr="00A870A6" w:rsidRDefault="00A870A6" w:rsidP="00CC7A1C">
            <w:pPr>
              <w:numPr>
                <w:ilvl w:val="0"/>
                <w:numId w:val="24"/>
              </w:numPr>
            </w:pPr>
            <w:r w:rsidRPr="00A870A6">
              <w:t>Either Bloomberg or the RBA publishes a BBB+ or utilities specific yield curve.</w:t>
            </w:r>
          </w:p>
        </w:tc>
        <w:tc>
          <w:tcPr>
            <w:tcW w:w="3539" w:type="pct"/>
          </w:tcPr>
          <w:p w:rsidR="00A870A6" w:rsidRPr="00A870A6" w:rsidRDefault="00A870A6" w:rsidP="00F6068B">
            <w:pPr>
              <w:numPr>
                <w:ilvl w:val="0"/>
                <w:numId w:val="24"/>
              </w:numPr>
            </w:pPr>
            <w:r w:rsidRPr="00A870A6">
              <w:t xml:space="preserve">We will adopt the BBB+ or utilities curve in place of the provider's existing curve, on the basis that it is a closer fit to </w:t>
            </w:r>
            <w:r w:rsidR="00F6068B">
              <w:t>a</w:t>
            </w:r>
            <w:r w:rsidR="00F6068B" w:rsidRPr="00A870A6">
              <w:t xml:space="preserve"> </w:t>
            </w:r>
            <w:r w:rsidRPr="00A870A6">
              <w:t>benchmark efficient entity</w:t>
            </w:r>
            <w:r w:rsidR="00F6068B">
              <w:t xml:space="preserve"> for the service provider</w:t>
            </w:r>
            <w:r w:rsidRPr="00A870A6">
              <w:t>.</w:t>
            </w:r>
          </w:p>
        </w:tc>
      </w:tr>
    </w:tbl>
    <w:p w:rsidR="00A870A6" w:rsidRPr="00A870A6" w:rsidRDefault="00A870A6" w:rsidP="00A870A6">
      <w:pPr>
        <w:pStyle w:val="AERtablesource"/>
      </w:pPr>
      <w:r w:rsidRPr="00A870A6">
        <w:t>Source:</w:t>
      </w:r>
      <w:r w:rsidRPr="00A870A6">
        <w:tab/>
        <w:t>AER analysis.</w:t>
      </w:r>
    </w:p>
    <w:p w:rsidR="00A870A6" w:rsidRPr="00A870A6" w:rsidRDefault="00E953D7" w:rsidP="00A870A6">
      <w:r>
        <w:t>As in recent</w:t>
      </w:r>
      <w:r w:rsidR="00A870A6" w:rsidRPr="00A870A6">
        <w:t xml:space="preserve"> decision</w:t>
      </w:r>
      <w:r>
        <w:t>s</w:t>
      </w:r>
      <w:r w:rsidR="00A870A6" w:rsidRPr="00A870A6">
        <w:t>, we have re-worded the contingency for the scenario where either the RBA or Bloomberg ceases publication of Australian yield curves that reflect a broad BBB rating. Specifically, we have clarified that this contingency will apply whether the cessation of publication is temporary (</w:t>
      </w:r>
      <w:r w:rsidR="00A65A7E" w:rsidRPr="00A870A6">
        <w:t>i.e.</w:t>
      </w:r>
      <w:r w:rsidR="00A870A6" w:rsidRPr="00A870A6">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870A6" w:rsidRPr="00A870A6" w:rsidRDefault="00A870A6" w:rsidP="00A870A6">
      <w:r w:rsidRPr="00A870A6">
        <w:t>In general, we have decided on these contingencies based on a series of guiding principles. These are that the contingency must:</w:t>
      </w:r>
    </w:p>
    <w:p w:rsidR="00A870A6" w:rsidRPr="00A870A6" w:rsidRDefault="00A870A6" w:rsidP="00A870A6">
      <w:pPr>
        <w:pStyle w:val="AERbulletlistfirststyle"/>
      </w:pPr>
      <w:r w:rsidRPr="00A870A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A870A6" w:rsidRPr="00A870A6" w:rsidRDefault="00A870A6" w:rsidP="00A870A6">
      <w:pPr>
        <w:pStyle w:val="AERbulletlistfirststyle"/>
      </w:pPr>
      <w:r w:rsidRPr="00A870A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870A6" w:rsidRPr="00A870A6" w:rsidRDefault="00A870A6" w:rsidP="00A870A6">
      <w:pPr>
        <w:pStyle w:val="AERbulletlistfirststyle"/>
      </w:pPr>
      <w:r w:rsidRPr="00A870A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870A6">
        <w:rPr>
          <w:rStyle w:val="FootnoteReference"/>
        </w:rPr>
        <w:footnoteReference w:id="1649"/>
      </w:r>
      <w:r w:rsidRPr="00A870A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870A6" w:rsidRPr="00A870A6" w:rsidRDefault="00A870A6" w:rsidP="00A870A6">
      <w:pPr>
        <w:pStyle w:val="HeadingBoldItalic"/>
      </w:pPr>
      <w:r w:rsidRPr="00A870A6">
        <w:t xml:space="preserve">Averaging periods </w:t>
      </w:r>
    </w:p>
    <w:p w:rsidR="000E14D2" w:rsidRDefault="000E14D2" w:rsidP="000E14D2">
      <w:r>
        <w:t>O</w:t>
      </w:r>
      <w:r w:rsidRPr="00F62E1D">
        <w:t xml:space="preserve">ur </w:t>
      </w:r>
      <w:r w:rsidR="00E60745">
        <w:t>draft</w:t>
      </w:r>
      <w:r>
        <w:t xml:space="preserve"> decision</w:t>
      </w:r>
      <w:r w:rsidRPr="00F62E1D">
        <w:t xml:space="preserve"> is to accept</w:t>
      </w:r>
      <w:r>
        <w:t xml:space="preserve"> </w:t>
      </w:r>
      <w:r w:rsidR="00694D65">
        <w:t xml:space="preserve">APTPPL's </w:t>
      </w:r>
      <w:r w:rsidRPr="00F62E1D">
        <w:t xml:space="preserve">proposed debt </w:t>
      </w:r>
      <w:r>
        <w:t>averaging periods for 201</w:t>
      </w:r>
      <w:r w:rsidR="00E60745">
        <w:t>7</w:t>
      </w:r>
      <w:r>
        <w:t xml:space="preserve"> to 20</w:t>
      </w:r>
      <w:r w:rsidR="00E953D7">
        <w:t>22</w:t>
      </w:r>
      <w:r>
        <w:t>.</w:t>
      </w:r>
      <w:r>
        <w:rPr>
          <w:rStyle w:val="FootnoteReference"/>
        </w:rPr>
        <w:footnoteReference w:id="1650"/>
      </w:r>
      <w:r>
        <w:t xml:space="preserve"> </w:t>
      </w:r>
    </w:p>
    <w:p w:rsidR="000E14D2" w:rsidRPr="00E761F9" w:rsidRDefault="000E14D2" w:rsidP="000E14D2">
      <w:r w:rsidRPr="00E761F9">
        <w:t>We specify these averaging periods for the 201</w:t>
      </w:r>
      <w:r w:rsidR="00E60745">
        <w:t>7</w:t>
      </w:r>
      <w:r w:rsidRPr="00E761F9">
        <w:t xml:space="preserve"> to 20</w:t>
      </w:r>
      <w:r w:rsidR="00BF42CA">
        <w:t>2</w:t>
      </w:r>
      <w:r w:rsidR="00E953D7">
        <w:t>2</w:t>
      </w:r>
      <w:r w:rsidRPr="00E761F9">
        <w:t xml:space="preserve"> regulatory years in c</w:t>
      </w:r>
      <w:r>
        <w:t xml:space="preserve">onfidential Appendix </w:t>
      </w:r>
      <w:r w:rsidR="00481D2C">
        <w:fldChar w:fldCharType="begin"/>
      </w:r>
      <w:r w:rsidR="00481D2C">
        <w:instrText xml:space="preserve"> REF _Ref485735133 \r \h </w:instrText>
      </w:r>
      <w:r w:rsidR="00481D2C">
        <w:fldChar w:fldCharType="separate"/>
      </w:r>
      <w:r w:rsidR="002C24D6">
        <w:t>O</w:t>
      </w:r>
      <w:r w:rsidR="00481D2C">
        <w:fldChar w:fldCharType="end"/>
      </w:r>
      <w:r w:rsidRPr="00E761F9">
        <w:t>. This is because our practice is to keep the dates of averaging periods confidential until they have expired.</w:t>
      </w:r>
    </w:p>
    <w:p w:rsidR="000E14D2" w:rsidRPr="00E761F9" w:rsidRDefault="000E14D2" w:rsidP="000E14D2">
      <w:r w:rsidRPr="00E761F9">
        <w:t>In the Guideline, we proposed that service providers could nominate averaging periods of 10 or more consecutive business days up to a maximum of 12 months.</w:t>
      </w:r>
      <w:r w:rsidRPr="00E761F9">
        <w:rPr>
          <w:rStyle w:val="FootnoteReference"/>
        </w:rPr>
        <w:footnoteReference w:id="1651"/>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1652"/>
      </w:r>
    </w:p>
    <w:p w:rsidR="000E14D2" w:rsidRPr="00E761F9" w:rsidRDefault="000E14D2" w:rsidP="000E14D2">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0E14D2" w:rsidRPr="00E761F9" w:rsidRDefault="002C0B62" w:rsidP="00694D65">
      <w:pPr>
        <w:numPr>
          <w:ilvl w:val="0"/>
          <w:numId w:val="24"/>
        </w:numPr>
      </w:pPr>
      <w:r>
        <w:fldChar w:fldCharType="begin"/>
      </w:r>
      <w:r>
        <w:instrText xml:space="preserve"> REF _Ref481055424 \h </w:instrText>
      </w:r>
      <w:r>
        <w:fldChar w:fldCharType="separate"/>
      </w:r>
      <w:r w:rsidR="002C24D6" w:rsidRPr="00E761F9">
        <w:t xml:space="preserve">Table </w:t>
      </w:r>
      <w:r w:rsidR="002C24D6">
        <w:rPr>
          <w:noProof/>
        </w:rPr>
        <w:t>3</w:t>
      </w:r>
      <w:r w:rsidR="002C24D6">
        <w:noBreakHyphen/>
      </w:r>
      <w:r w:rsidR="002C24D6">
        <w:rPr>
          <w:noProof/>
        </w:rPr>
        <w:t>42</w:t>
      </w:r>
      <w:r>
        <w:fldChar w:fldCharType="end"/>
      </w:r>
      <w:r>
        <w:t xml:space="preserve"> </w:t>
      </w:r>
      <w:r w:rsidR="000E14D2" w:rsidRPr="00E761F9">
        <w:t xml:space="preserve">sets out why we consider an averaging period that meets the remaining conditions in the Guideline contributes to the achievement of the </w:t>
      </w:r>
      <w:r w:rsidR="000E14D2">
        <w:t>ARORO</w:t>
      </w:r>
      <w:r w:rsidR="000E14D2" w:rsidRPr="00E761F9">
        <w:t xml:space="preserve">. It also summarises our assessment of </w:t>
      </w:r>
      <w:r w:rsidR="00694D65">
        <w:t>APTPPL's</w:t>
      </w:r>
      <w:r w:rsidR="00694D65" w:rsidRPr="00E761F9">
        <w:t xml:space="preserve"> </w:t>
      </w:r>
      <w:r w:rsidR="000E14D2" w:rsidRPr="00E761F9">
        <w:t>proposed debt averaging periods</w:t>
      </w:r>
      <w:r w:rsidR="000E14D2">
        <w:t xml:space="preserve"> against these conditions</w:t>
      </w:r>
      <w:r w:rsidR="000E14D2" w:rsidRPr="00E761F9">
        <w:t xml:space="preserve">. </w:t>
      </w:r>
    </w:p>
    <w:p w:rsidR="000E14D2" w:rsidRPr="00E761F9" w:rsidRDefault="000E14D2" w:rsidP="000E14D2">
      <w:pPr>
        <w:pStyle w:val="Caption"/>
      </w:pPr>
      <w:bookmarkStart w:id="560" w:name="_Ref481055424"/>
      <w:r w:rsidRPr="00E761F9">
        <w:t xml:space="preserve">Table </w:t>
      </w:r>
      <w:r w:rsidRPr="000E14D2">
        <w:fldChar w:fldCharType="begin"/>
      </w:r>
      <w:r>
        <w:instrText xml:space="preserve"> STYLEREF 1 \s </w:instrText>
      </w:r>
      <w:r w:rsidRPr="000E14D2">
        <w:fldChar w:fldCharType="separate"/>
      </w:r>
      <w:r w:rsidR="002C24D6">
        <w:rPr>
          <w:noProof/>
        </w:rPr>
        <w:t>3</w:t>
      </w:r>
      <w:r w:rsidRPr="000E14D2">
        <w:fldChar w:fldCharType="end"/>
      </w:r>
      <w:r>
        <w:noBreakHyphen/>
      </w:r>
      <w:r w:rsidRPr="000E14D2">
        <w:fldChar w:fldCharType="begin"/>
      </w:r>
      <w:r>
        <w:instrText xml:space="preserve"> SEQ Table \* ARABIC \s 1 </w:instrText>
      </w:r>
      <w:r w:rsidRPr="000E14D2">
        <w:fldChar w:fldCharType="separate"/>
      </w:r>
      <w:r w:rsidR="002C24D6">
        <w:rPr>
          <w:noProof/>
        </w:rPr>
        <w:t>42</w:t>
      </w:r>
      <w:r w:rsidRPr="000E14D2">
        <w:fldChar w:fldCharType="end"/>
      </w:r>
      <w:bookmarkEnd w:id="560"/>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0E14D2" w:rsidTr="00E3755A">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0E14D2" w:rsidRPr="000E14D2" w:rsidRDefault="000E14D2" w:rsidP="000E14D2">
            <w:r w:rsidRPr="00E761F9">
              <w:t>Condition</w:t>
            </w:r>
          </w:p>
        </w:tc>
        <w:tc>
          <w:tcPr>
            <w:tcW w:w="4647" w:type="dxa"/>
          </w:tcPr>
          <w:p w:rsidR="000E14D2" w:rsidRPr="000E14D2" w:rsidRDefault="000E14D2" w:rsidP="000E14D2">
            <w:r w:rsidRPr="00E761F9">
              <w:t>Reasons for condition</w:t>
            </w:r>
          </w:p>
        </w:tc>
        <w:tc>
          <w:tcPr>
            <w:tcW w:w="1425" w:type="dxa"/>
          </w:tcPr>
          <w:p w:rsidR="000E14D2" w:rsidRPr="000E14D2" w:rsidRDefault="000E14D2" w:rsidP="000E14D2">
            <w:r w:rsidRPr="00E761F9">
              <w:t>Condition met?</w:t>
            </w:r>
          </w:p>
        </w:tc>
      </w:tr>
      <w:tr w:rsidR="000E14D2" w:rsidTr="00E3755A">
        <w:trPr>
          <w:trHeight w:val="143"/>
        </w:trPr>
        <w:tc>
          <w:tcPr>
            <w:tcW w:w="2591" w:type="dxa"/>
          </w:tcPr>
          <w:p w:rsidR="000E14D2" w:rsidRPr="000E14D2" w:rsidRDefault="000E14D2" w:rsidP="000E14D2">
            <w:r w:rsidRPr="00E761F9">
              <w:t xml:space="preserve">Observed over a period of 10 or more consecutive business days up to a maximum of </w:t>
            </w:r>
            <w:r w:rsidRPr="000E14D2">
              <w:t>12 months</w:t>
            </w:r>
          </w:p>
        </w:tc>
        <w:tc>
          <w:tcPr>
            <w:tcW w:w="4647" w:type="dxa"/>
          </w:tcPr>
          <w:p w:rsidR="000E14D2" w:rsidRPr="000E14D2" w:rsidRDefault="000E14D2" w:rsidP="000E14D2">
            <w:r w:rsidRPr="00E761F9">
              <w:t>Averaging daily estimates</w:t>
            </w:r>
            <w:r w:rsidRPr="000E14D2">
              <w:t xml:space="preserve"> over a number of days smooths out short term volatility in the annually updated return on debt allowance.</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It </w:t>
            </w:r>
            <w:r w:rsidRPr="000E14D2">
              <w:t>should be specified prior to the commencement of the regulatory control period.</w:t>
            </w:r>
          </w:p>
        </w:tc>
        <w:tc>
          <w:tcPr>
            <w:tcW w:w="4647" w:type="dxa"/>
          </w:tcPr>
          <w:p w:rsidR="000E14D2" w:rsidRPr="000E14D2" w:rsidRDefault="000E14D2" w:rsidP="000E14D2">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At the time it is nominated, all dates in the averaging period must take place in the future.</w:t>
            </w:r>
          </w:p>
        </w:tc>
        <w:tc>
          <w:tcPr>
            <w:tcW w:w="4647" w:type="dxa"/>
          </w:tcPr>
          <w:p w:rsidR="000E14D2" w:rsidRPr="000E14D2" w:rsidRDefault="000E14D2" w:rsidP="000E14D2">
            <w:r w:rsidRPr="00E761F9">
              <w:t>If a regulated service provider can select an averaging period by looking at historical yields, it may introduce an upward bias.</w:t>
            </w:r>
            <w:r w:rsidRPr="000E14D2">
              <w:rPr>
                <w:rStyle w:val="FootnoteReference"/>
              </w:rPr>
              <w:footnoteReference w:id="1653"/>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An averaging period needs to be specified for each regulatory year within a regulatory control period.</w:t>
            </w:r>
          </w:p>
        </w:tc>
        <w:tc>
          <w:tcPr>
            <w:tcW w:w="4647" w:type="dxa"/>
          </w:tcPr>
          <w:p w:rsidR="000E14D2" w:rsidRPr="000E14D2" w:rsidRDefault="000E14D2" w:rsidP="00F6068B">
            <w:r w:rsidRPr="00E761F9">
              <w:t xml:space="preserve">This allows for the annual debt update. The annual debt update reduces the potential for a mismatch between the allowed and actual return on debt for </w:t>
            </w:r>
            <w:r w:rsidR="00F6068B">
              <w:t>a</w:t>
            </w:r>
            <w:r w:rsidR="00F6068B" w:rsidRPr="00E761F9">
              <w:t xml:space="preserve"> </w:t>
            </w:r>
            <w:r w:rsidRPr="00E761F9">
              <w:t>benchmark efficient entity</w:t>
            </w:r>
            <w:r w:rsidR="00F6068B">
              <w:t xml:space="preserve"> for the service provider</w:t>
            </w:r>
            <w:r w:rsidRPr="00E761F9">
              <w:t>.</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The proposed averaging periods for different regulatory years are not required to be identical but should not overlap.</w:t>
            </w:r>
          </w:p>
        </w:tc>
        <w:tc>
          <w:tcPr>
            <w:tcW w:w="4647" w:type="dxa"/>
          </w:tcPr>
          <w:p w:rsidR="000E14D2" w:rsidRPr="000E14D2" w:rsidRDefault="000E14D2" w:rsidP="000E14D2">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The nominal return on debt is to be updated annually using the </w:t>
            </w:r>
            <w:r w:rsidRPr="000E14D2">
              <w:t>agreed averaging period for the relevant regulatory year.</w:t>
            </w:r>
          </w:p>
        </w:tc>
        <w:tc>
          <w:tcPr>
            <w:tcW w:w="4647" w:type="dxa"/>
          </w:tcPr>
          <w:p w:rsidR="000E14D2" w:rsidRPr="000E14D2" w:rsidRDefault="000E14D2" w:rsidP="000E14D2">
            <w:r w:rsidRPr="00E761F9">
              <w:t>This prevents a service provider from introducing bias by only updating annually using the agreed averaging period when it is advantageous for it to do so.</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Each agreed averaging period is to be confidential.</w:t>
            </w:r>
          </w:p>
        </w:tc>
        <w:tc>
          <w:tcPr>
            <w:tcW w:w="4647" w:type="dxa"/>
          </w:tcPr>
          <w:p w:rsidR="000E14D2" w:rsidRPr="000E14D2" w:rsidRDefault="000E14D2" w:rsidP="000E14D2">
            <w:r w:rsidRPr="00E761F9">
              <w:t xml:space="preserve">This facilitates service providers organising their financing arrangements without market participants </w:t>
            </w:r>
            <w:r w:rsidRPr="000E14D2">
              <w:t>being aware of the averaging periods. Accordingly, in practice we keep averaging periods confidential until they expire.</w:t>
            </w:r>
          </w:p>
        </w:tc>
        <w:tc>
          <w:tcPr>
            <w:tcW w:w="1425" w:type="dxa"/>
          </w:tcPr>
          <w:p w:rsidR="000E14D2" w:rsidRPr="000E14D2" w:rsidRDefault="000E14D2" w:rsidP="000E14D2">
            <w:r w:rsidRPr="00E761F9">
              <w:t>Yes</w:t>
            </w:r>
          </w:p>
        </w:tc>
      </w:tr>
    </w:tbl>
    <w:p w:rsidR="000E14D2" w:rsidRPr="00E761F9" w:rsidRDefault="000E14D2" w:rsidP="000E14D2">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0E14D2" w:rsidRPr="00E761F9" w:rsidRDefault="000E14D2" w:rsidP="000E14D2">
      <w:r w:rsidRPr="00E761F9">
        <w:t xml:space="preserve">In assessing </w:t>
      </w:r>
      <w:r w:rsidR="00694D65">
        <w:t>APTPPL's</w:t>
      </w:r>
      <w:r w:rsidR="00694D65" w:rsidRPr="00E761F9">
        <w:t xml:space="preserve"> </w:t>
      </w:r>
      <w:r>
        <w:t xml:space="preserve">proposed </w:t>
      </w:r>
      <w:r w:rsidRPr="00E761F9">
        <w:t>debt averaging period</w:t>
      </w:r>
      <w:r>
        <w:t>s</w:t>
      </w:r>
      <w:r w:rsidRPr="00E761F9">
        <w:t xml:space="preserve">, we considered the timeframe within which each period should occur. In the Guideline, we proposed that service providers could nominate averaging periods of 10 or more consecutive business days up to a maximum of 12 months. </w:t>
      </w:r>
      <w:r>
        <w:t xml:space="preserve">However, </w:t>
      </w:r>
      <w:r w:rsidRPr="00AC6390">
        <w:t>the timing of the annual price/tariff variation process</w:t>
      </w:r>
      <w:r w:rsidRPr="004057C7">
        <w:t xml:space="preserve"> </w:t>
      </w:r>
      <w:r>
        <w:t>affects</w:t>
      </w:r>
      <w:r w:rsidRPr="004057C7">
        <w:t xml:space="preserve"> how late an averaging period can end and still be implemented in practice.</w:t>
      </w:r>
      <w:r>
        <w:t xml:space="preserve"> Accordingly, u</w:t>
      </w:r>
      <w:r w:rsidRPr="00BB4A87">
        <w:t xml:space="preserve">nder </w:t>
      </w:r>
      <w:r>
        <w:t xml:space="preserve">the </w:t>
      </w:r>
      <w:r w:rsidRPr="00E761F9">
        <w:t>'Annual debt update process' section</w:t>
      </w:r>
      <w:r w:rsidRPr="00BB4A87">
        <w:t xml:space="preserve">, we consider </w:t>
      </w:r>
      <w:r w:rsidRPr="00E761F9">
        <w:t xml:space="preserve">an averaging period for estimating </w:t>
      </w:r>
      <w:r w:rsidR="00694D65">
        <w:t xml:space="preserve">APTPPL's </w:t>
      </w:r>
      <w:r>
        <w:t>allowed</w:t>
      </w:r>
      <w:r w:rsidRPr="00E761F9">
        <w:t xml:space="preserve"> return on debt for regulatory year t should fall within the following timeframe:</w:t>
      </w:r>
    </w:p>
    <w:p w:rsidR="000E14D2" w:rsidRPr="00AC6390" w:rsidRDefault="000E14D2" w:rsidP="000E14D2">
      <w:pPr>
        <w:pStyle w:val="AERbulletlistfirststyle"/>
      </w:pPr>
      <w:r w:rsidRPr="00AC6390">
        <w:t>end no later than 25 business days before a service provider submits its annual pricing proposal or reference tariff variation proposal for year t to the AER</w:t>
      </w:r>
      <w:r w:rsidRPr="00013867">
        <w:rPr>
          <w:rStyle w:val="AERsuperscript"/>
        </w:rPr>
        <w:footnoteReference w:id="1654"/>
      </w:r>
    </w:p>
    <w:p w:rsidR="000E14D2" w:rsidRPr="00AC6390" w:rsidRDefault="000E14D2" w:rsidP="000E14D2">
      <w:pPr>
        <w:pStyle w:val="AERbulletlistfirststyle"/>
      </w:pPr>
      <w:r w:rsidRPr="00AC6390">
        <w:t>commence no earlier than 12 months plus 25 business days before a service provider submits its annual pricing proposal or reference tariff variation proposal for year t to the AER.</w:t>
      </w:r>
    </w:p>
    <w:p w:rsidR="000E14D2" w:rsidRPr="00E761F9" w:rsidRDefault="000E14D2" w:rsidP="000E14D2">
      <w:r>
        <w:t xml:space="preserve">We consider </w:t>
      </w:r>
      <w:r w:rsidR="00694D65">
        <w:t xml:space="preserve">APTPPL's </w:t>
      </w:r>
      <w:r>
        <w:t>proposed averaging periods for 201</w:t>
      </w:r>
      <w:r w:rsidR="00E60745">
        <w:t>7</w:t>
      </w:r>
      <w:r>
        <w:t xml:space="preserve"> to 20</w:t>
      </w:r>
      <w:r w:rsidR="00E953D7">
        <w:t>22</w:t>
      </w:r>
      <w:r>
        <w:t xml:space="preserve"> can be practically applied because they fall within this timeframe. </w:t>
      </w:r>
      <w:r w:rsidRPr="00E761F9">
        <w:t xml:space="preserve">We discuss this in </w:t>
      </w:r>
      <w:r>
        <w:t xml:space="preserve">more </w:t>
      </w:r>
      <w:r w:rsidRPr="00E761F9">
        <w:t>detail in the 'Annual debt update process' section.</w:t>
      </w:r>
    </w:p>
    <w:p w:rsidR="000E14D2" w:rsidRPr="00E761F9" w:rsidRDefault="000E14D2" w:rsidP="000E14D2">
      <w:pPr>
        <w:pStyle w:val="HeadingBoldItalic"/>
      </w:pPr>
      <w:r w:rsidRPr="00E761F9">
        <w:t xml:space="preserve">Annual debt update process </w:t>
      </w:r>
    </w:p>
    <w:p w:rsidR="000E14D2" w:rsidRDefault="000E14D2" w:rsidP="00272584">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694D65">
        <w:t>APTPPL</w:t>
      </w:r>
      <w:r w:rsidR="00AD1ECA">
        <w:t xml:space="preserve"> </w:t>
      </w:r>
      <w:r>
        <w:t xml:space="preserve">is set out in </w:t>
      </w:r>
      <w:r>
        <w:fldChar w:fldCharType="begin"/>
      </w:r>
      <w:r>
        <w:instrText xml:space="preserve"> REF  _Ref480465550 \* Lower \h </w:instrText>
      </w:r>
      <w:r>
        <w:fldChar w:fldCharType="separate"/>
      </w:r>
      <w:r w:rsidR="002C24D6">
        <w:t xml:space="preserve">table </w:t>
      </w:r>
      <w:r w:rsidR="002C24D6">
        <w:rPr>
          <w:noProof/>
        </w:rPr>
        <w:t>3</w:t>
      </w:r>
      <w:r w:rsidR="002C24D6">
        <w:noBreakHyphen/>
      </w:r>
      <w:r w:rsidR="002C24D6">
        <w:rPr>
          <w:noProof/>
        </w:rPr>
        <w:t>43</w:t>
      </w:r>
      <w:r>
        <w:fldChar w:fldCharType="end"/>
      </w:r>
      <w:r>
        <w:t xml:space="preserve">. </w:t>
      </w:r>
    </w:p>
    <w:p w:rsidR="000E14D2" w:rsidRPr="004057C7" w:rsidRDefault="000E14D2" w:rsidP="000E14D2">
      <w:pPr>
        <w:pStyle w:val="Caption"/>
      </w:pPr>
      <w:bookmarkStart w:id="561" w:name="_Ref480465550"/>
      <w:r>
        <w:t xml:space="preserve">Table </w:t>
      </w:r>
      <w:r w:rsidRPr="000E14D2">
        <w:fldChar w:fldCharType="begin"/>
      </w:r>
      <w:r>
        <w:instrText xml:space="preserve"> STYLEREF 1 \s </w:instrText>
      </w:r>
      <w:r w:rsidRPr="000E14D2">
        <w:fldChar w:fldCharType="separate"/>
      </w:r>
      <w:r w:rsidR="002C24D6">
        <w:rPr>
          <w:noProof/>
        </w:rPr>
        <w:t>3</w:t>
      </w:r>
      <w:r w:rsidRPr="000E14D2">
        <w:fldChar w:fldCharType="end"/>
      </w:r>
      <w:r>
        <w:noBreakHyphen/>
      </w:r>
      <w:r w:rsidRPr="000E14D2">
        <w:fldChar w:fldCharType="begin"/>
      </w:r>
      <w:r>
        <w:instrText xml:space="preserve"> SEQ Table \* ARABIC \s 1 </w:instrText>
      </w:r>
      <w:r w:rsidRPr="000E14D2">
        <w:fldChar w:fldCharType="separate"/>
      </w:r>
      <w:r w:rsidR="002C24D6">
        <w:rPr>
          <w:noProof/>
        </w:rPr>
        <w:t>43</w:t>
      </w:r>
      <w:r w:rsidRPr="000E14D2">
        <w:fldChar w:fldCharType="end"/>
      </w:r>
      <w:bookmarkEnd w:id="561"/>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0E14D2" w:rsidRPr="00616FA2" w:rsidTr="00E3755A">
        <w:trPr>
          <w:cnfStyle w:val="100000000000" w:firstRow="1" w:lastRow="0" w:firstColumn="0" w:lastColumn="0" w:oddVBand="0" w:evenVBand="0" w:oddHBand="0" w:evenHBand="0" w:firstRowFirstColumn="0" w:firstRowLastColumn="0" w:lastRowFirstColumn="0" w:lastRowLastColumn="0"/>
        </w:trPr>
        <w:tc>
          <w:tcPr>
            <w:tcW w:w="374" w:type="pct"/>
          </w:tcPr>
          <w:p w:rsidR="000E14D2" w:rsidRPr="000E14D2" w:rsidRDefault="000E14D2" w:rsidP="000E14D2">
            <w:pPr>
              <w:pStyle w:val="AERtabletextleft"/>
            </w:pPr>
            <w:r w:rsidRPr="00616FA2">
              <w:t>Step</w:t>
            </w:r>
          </w:p>
        </w:tc>
        <w:tc>
          <w:tcPr>
            <w:tcW w:w="1233" w:type="pct"/>
          </w:tcPr>
          <w:p w:rsidR="000E14D2" w:rsidRPr="000E14D2" w:rsidRDefault="000E14D2" w:rsidP="000E14D2">
            <w:pPr>
              <w:pStyle w:val="AERtabletextleft"/>
            </w:pPr>
            <w:r w:rsidRPr="00616FA2">
              <w:t>Timing</w:t>
            </w:r>
          </w:p>
        </w:tc>
        <w:tc>
          <w:tcPr>
            <w:tcW w:w="1527" w:type="pct"/>
          </w:tcPr>
          <w:p w:rsidR="000E14D2" w:rsidRPr="000E14D2" w:rsidRDefault="000E14D2" w:rsidP="000E14D2">
            <w:pPr>
              <w:pStyle w:val="AERtabletextleft"/>
            </w:pPr>
            <w:r w:rsidRPr="00616FA2">
              <w:t>Description of step</w:t>
            </w:r>
          </w:p>
        </w:tc>
        <w:tc>
          <w:tcPr>
            <w:tcW w:w="1866" w:type="pct"/>
          </w:tcPr>
          <w:p w:rsidR="000E14D2" w:rsidRPr="000E14D2" w:rsidRDefault="000E14D2" w:rsidP="000E14D2">
            <w:pPr>
              <w:pStyle w:val="AERtabletextleft"/>
            </w:pPr>
            <w:r w:rsidRPr="00616FA2">
              <w:t>Reasons for timing</w:t>
            </w:r>
          </w:p>
        </w:tc>
      </w:tr>
      <w:tr w:rsidR="000E14D2" w:rsidRPr="00616FA2" w:rsidTr="00E3755A">
        <w:tc>
          <w:tcPr>
            <w:tcW w:w="374" w:type="pct"/>
          </w:tcPr>
          <w:p w:rsidR="000E14D2" w:rsidRPr="00AC6390" w:rsidRDefault="000E14D2" w:rsidP="000E14D2">
            <w:pPr>
              <w:pStyle w:val="AERtabletextleft"/>
            </w:pPr>
            <w:r w:rsidRPr="00AC6390">
              <w:t>1</w:t>
            </w:r>
          </w:p>
        </w:tc>
        <w:tc>
          <w:tcPr>
            <w:tcW w:w="1233" w:type="pct"/>
            <w:vAlign w:val="top"/>
          </w:tcPr>
          <w:p w:rsidR="000E14D2" w:rsidRPr="000E14D2" w:rsidRDefault="000E14D2" w:rsidP="00E953D7">
            <w:pPr>
              <w:pStyle w:val="AERtabletextleft"/>
            </w:pPr>
            <w:r w:rsidRPr="00AC6390">
              <w:t xml:space="preserve">25 business days before a </w:t>
            </w:r>
            <w:r w:rsidR="00E953D7">
              <w:t>service provider</w:t>
            </w:r>
            <w:r w:rsidR="00E953D7" w:rsidRPr="00AC6390">
              <w:t xml:space="preserve"> </w:t>
            </w:r>
            <w:r w:rsidRPr="00AC6390">
              <w:t xml:space="preserve">submits its </w:t>
            </w:r>
            <w:r w:rsidR="00E953D7">
              <w:t>reference tariff variation proposal</w:t>
            </w:r>
            <w:r w:rsidRPr="00AC6390">
              <w:t xml:space="preserve"> to us.</w:t>
            </w:r>
          </w:p>
        </w:tc>
        <w:tc>
          <w:tcPr>
            <w:tcW w:w="1527" w:type="pct"/>
            <w:vAlign w:val="top"/>
          </w:tcPr>
          <w:p w:rsidR="000E14D2" w:rsidRPr="000E14D2" w:rsidRDefault="000E14D2" w:rsidP="000E14D2">
            <w:pPr>
              <w:pStyle w:val="AERtabletextleft"/>
            </w:pPr>
            <w:r w:rsidRPr="00AC6390">
              <w:t>Averaging period ends on or before this date.</w:t>
            </w:r>
          </w:p>
        </w:tc>
        <w:tc>
          <w:tcPr>
            <w:tcW w:w="1866" w:type="pct"/>
            <w:vAlign w:val="top"/>
          </w:tcPr>
          <w:p w:rsidR="000E14D2" w:rsidRPr="000E14D2" w:rsidRDefault="000E14D2" w:rsidP="000E14D2">
            <w:pPr>
              <w:pStyle w:val="AERtabletextleft"/>
            </w:pPr>
            <w:r w:rsidRPr="00AC6390">
              <w:t>We determine the maximum practical end date of the averaging period from the timing of steps 2 and 3.</w:t>
            </w:r>
          </w:p>
        </w:tc>
      </w:tr>
      <w:tr w:rsidR="000E14D2" w:rsidRPr="00616FA2" w:rsidTr="00E3755A">
        <w:trPr>
          <w:cnfStyle w:val="000000010000" w:firstRow="0" w:lastRow="0" w:firstColumn="0" w:lastColumn="0" w:oddVBand="0" w:evenVBand="0" w:oddHBand="0" w:evenHBand="1" w:firstRowFirstColumn="0" w:firstRowLastColumn="0" w:lastRowFirstColumn="0" w:lastRowLastColumn="0"/>
        </w:trPr>
        <w:tc>
          <w:tcPr>
            <w:tcW w:w="374" w:type="pct"/>
          </w:tcPr>
          <w:p w:rsidR="000E14D2" w:rsidRPr="00AC6390" w:rsidRDefault="000E14D2" w:rsidP="000E14D2">
            <w:pPr>
              <w:pStyle w:val="AERtabletextleft"/>
            </w:pPr>
            <w:r w:rsidRPr="00AC6390">
              <w:t>2</w:t>
            </w:r>
          </w:p>
        </w:tc>
        <w:tc>
          <w:tcPr>
            <w:tcW w:w="1233" w:type="pct"/>
            <w:vAlign w:val="top"/>
          </w:tcPr>
          <w:p w:rsidR="000E14D2" w:rsidRPr="000E14D2" w:rsidRDefault="000E14D2" w:rsidP="00E953D7">
            <w:pPr>
              <w:pStyle w:val="AERtabletextleft"/>
            </w:pPr>
            <w:r w:rsidRPr="00AC6390">
              <w:t xml:space="preserve">10 business days before a </w:t>
            </w:r>
            <w:r w:rsidR="00E953D7">
              <w:t>service provider</w:t>
            </w:r>
            <w:r w:rsidR="00E953D7" w:rsidRPr="00AC6390">
              <w:t xml:space="preserve"> </w:t>
            </w:r>
            <w:r w:rsidRPr="00AC6390">
              <w:t xml:space="preserve">submits its </w:t>
            </w:r>
            <w:r w:rsidR="00E953D7">
              <w:t>reference tariff variation proposal</w:t>
            </w:r>
            <w:r w:rsidRPr="00AC6390">
              <w:t xml:space="preserve"> to us.</w:t>
            </w:r>
          </w:p>
        </w:tc>
        <w:tc>
          <w:tcPr>
            <w:tcW w:w="1527" w:type="pct"/>
            <w:vAlign w:val="top"/>
          </w:tcPr>
          <w:p w:rsidR="000E14D2" w:rsidRPr="000E14D2" w:rsidRDefault="000E14D2" w:rsidP="00E953D7">
            <w:pPr>
              <w:pStyle w:val="AERtabletextleft"/>
            </w:pPr>
            <w:r w:rsidRPr="00AC6390">
              <w:t xml:space="preserve">So the </w:t>
            </w:r>
            <w:r w:rsidR="00E953D7">
              <w:t>service provider</w:t>
            </w:r>
            <w:r w:rsidR="00E953D7" w:rsidRPr="00AC6390">
              <w:t xml:space="preserve"> </w:t>
            </w:r>
            <w:r w:rsidRPr="00AC6390">
              <w:t>can factor this into its annual pricing proposal, we inform it of updates on the return on debt, annual building block revenue requirement and X factor that incorporates the updated return on debt.</w:t>
            </w:r>
          </w:p>
        </w:tc>
        <w:tc>
          <w:tcPr>
            <w:tcW w:w="1866" w:type="pct"/>
            <w:vAlign w:val="top"/>
          </w:tcPr>
          <w:p w:rsidR="000E14D2" w:rsidRPr="000E14D2" w:rsidRDefault="000E14D2" w:rsidP="000E14D2">
            <w:pPr>
              <w:pStyle w:val="AERtabletextleft"/>
            </w:pPr>
            <w:r w:rsidRPr="00AC6390">
              <w:t>15 business days between steps 1 and 2 provides sufficient time for us to calculate (and provide quality assurance checks on the updated return on debt, revenue and X factor.</w:t>
            </w:r>
          </w:p>
        </w:tc>
      </w:tr>
      <w:tr w:rsidR="000E14D2" w:rsidRPr="00616FA2" w:rsidTr="00E3755A">
        <w:tc>
          <w:tcPr>
            <w:tcW w:w="374" w:type="pct"/>
          </w:tcPr>
          <w:p w:rsidR="000E14D2" w:rsidRPr="00AC6390" w:rsidRDefault="000E14D2" w:rsidP="000E14D2">
            <w:pPr>
              <w:pStyle w:val="AERtabletextleft"/>
            </w:pPr>
          </w:p>
        </w:tc>
        <w:tc>
          <w:tcPr>
            <w:tcW w:w="1233" w:type="pct"/>
            <w:vAlign w:val="top"/>
          </w:tcPr>
          <w:p w:rsidR="000E14D2" w:rsidRPr="00AC6390" w:rsidRDefault="000E14D2" w:rsidP="00E953D7">
            <w:pPr>
              <w:pStyle w:val="AERtabletextleft"/>
            </w:pPr>
            <w:r w:rsidRPr="00AC6390">
              <w:t xml:space="preserve">A </w:t>
            </w:r>
            <w:r w:rsidR="00E953D7">
              <w:t>service provider</w:t>
            </w:r>
            <w:r w:rsidR="00E953D7" w:rsidRPr="00AC6390">
              <w:t xml:space="preserve"> </w:t>
            </w:r>
            <w:r w:rsidRPr="00AC6390">
              <w:t>submits its pricing proposal to us on the date determined by the rules.</w:t>
            </w:r>
          </w:p>
        </w:tc>
        <w:tc>
          <w:tcPr>
            <w:tcW w:w="1527" w:type="pct"/>
            <w:vAlign w:val="top"/>
          </w:tcPr>
          <w:p w:rsidR="000E14D2" w:rsidRPr="00AC6390" w:rsidRDefault="000E14D2" w:rsidP="00E953D7">
            <w:pPr>
              <w:pStyle w:val="AERtabletextleft"/>
            </w:pPr>
            <w:r w:rsidRPr="00AC6390">
              <w:t xml:space="preserve">The </w:t>
            </w:r>
            <w:r w:rsidR="00E953D7">
              <w:t>service provider</w:t>
            </w:r>
            <w:r w:rsidR="00E953D7" w:rsidRPr="00AC6390">
              <w:t xml:space="preserve"> </w:t>
            </w:r>
            <w:r w:rsidRPr="00AC6390">
              <w:t>submits its pricing proposal to us for the relevant year.</w:t>
            </w:r>
          </w:p>
        </w:tc>
        <w:tc>
          <w:tcPr>
            <w:tcW w:w="1866" w:type="pct"/>
            <w:vAlign w:val="top"/>
          </w:tcPr>
          <w:p w:rsidR="000E14D2" w:rsidRPr="00AC6390" w:rsidRDefault="000E14D2" w:rsidP="000E14D2">
            <w:pPr>
              <w:pStyle w:val="AERtabletextleft"/>
            </w:pPr>
            <w:r w:rsidRPr="00AC6390">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p>
        </w:tc>
      </w:tr>
    </w:tbl>
    <w:p w:rsidR="000E14D2" w:rsidRDefault="000E14D2" w:rsidP="000E14D2">
      <w:pPr>
        <w:pStyle w:val="AERtablesource"/>
      </w:pPr>
      <w:r>
        <w:t xml:space="preserve">Source: </w:t>
      </w:r>
      <w:r>
        <w:tab/>
        <w:t>AER analysis.</w:t>
      </w:r>
    </w:p>
    <w:p w:rsidR="000E14D2" w:rsidRPr="00E761F9" w:rsidRDefault="000E14D2" w:rsidP="000E14D2">
      <w:r w:rsidRPr="00E761F9">
        <w:t xml:space="preserve">On the basis of the process outlined in </w:t>
      </w:r>
      <w:r>
        <w:fldChar w:fldCharType="begin"/>
      </w:r>
      <w:r>
        <w:instrText xml:space="preserve"> REF  _Ref480465550 \* Lower \h </w:instrText>
      </w:r>
      <w:r>
        <w:fldChar w:fldCharType="separate"/>
      </w:r>
      <w:r w:rsidR="002C24D6">
        <w:t xml:space="preserve">table </w:t>
      </w:r>
      <w:r w:rsidR="002C24D6">
        <w:rPr>
          <w:noProof/>
        </w:rPr>
        <w:t>3</w:t>
      </w:r>
      <w:r w:rsidR="002C24D6">
        <w:noBreakHyphen/>
      </w:r>
      <w:r w:rsidR="002C24D6">
        <w:rPr>
          <w:noProof/>
        </w:rPr>
        <w:t>43</w:t>
      </w:r>
      <w:r>
        <w:fldChar w:fldCharType="end"/>
      </w:r>
      <w:r w:rsidRPr="00E761F9">
        <w:t>, we consider an averaging period for estimating the return on debt for regulatory year t should fall within the following timeframe:</w:t>
      </w:r>
    </w:p>
    <w:p w:rsidR="000E14D2" w:rsidRPr="00E761F9" w:rsidRDefault="000E14D2" w:rsidP="000E14D2">
      <w:pPr>
        <w:pStyle w:val="AERbulletlistfirststyle"/>
      </w:pPr>
      <w:r w:rsidRPr="00E761F9">
        <w:t xml:space="preserve">end no later than 25 business days before a </w:t>
      </w:r>
      <w:r w:rsidR="00E953D7">
        <w:t>service provider</w:t>
      </w:r>
      <w:r w:rsidR="00E953D7" w:rsidRPr="00E761F9">
        <w:t xml:space="preserve"> </w:t>
      </w:r>
      <w:r w:rsidRPr="00E761F9">
        <w:t xml:space="preserve">submits its </w:t>
      </w:r>
      <w:r w:rsidR="00E953D7">
        <w:t>reference tariff variation proposal</w:t>
      </w:r>
      <w:r w:rsidRPr="00E761F9">
        <w:t xml:space="preserve"> for year t to the AER</w:t>
      </w:r>
    </w:p>
    <w:p w:rsidR="000E14D2" w:rsidRPr="00E761F9" w:rsidRDefault="000E14D2" w:rsidP="000E14D2">
      <w:pPr>
        <w:pStyle w:val="AERbulletlistfirststyle"/>
      </w:pPr>
      <w:r w:rsidRPr="00E761F9">
        <w:t xml:space="preserve">commence no earlier than 12 months plus 25 business days before a </w:t>
      </w:r>
      <w:r w:rsidR="00E953D7">
        <w:t>service provider</w:t>
      </w:r>
      <w:r w:rsidR="00E953D7" w:rsidRPr="00E761F9">
        <w:t xml:space="preserve"> </w:t>
      </w:r>
      <w:r w:rsidRPr="00E761F9">
        <w:t xml:space="preserve">submits its </w:t>
      </w:r>
      <w:r w:rsidR="00E953D7">
        <w:t>reference tariff variation proposal</w:t>
      </w:r>
      <w:r w:rsidRPr="00E761F9">
        <w:t xml:space="preserve"> for year t to the AER.</w:t>
      </w:r>
      <w:r w:rsidRPr="00E761F9">
        <w:rPr>
          <w:rStyle w:val="FootnoteReference"/>
        </w:rPr>
        <w:footnoteReference w:id="1655"/>
      </w:r>
    </w:p>
    <w:p w:rsidR="000E14D2" w:rsidRPr="00E761F9" w:rsidRDefault="000E14D2" w:rsidP="000E14D2">
      <w:pPr>
        <w:numPr>
          <w:ilvl w:val="0"/>
          <w:numId w:val="24"/>
        </w:numPr>
      </w:pPr>
      <w:r w:rsidRPr="00E761F9">
        <w:t>However, as set out in</w:t>
      </w:r>
      <w:r>
        <w:t xml:space="preserve"> </w:t>
      </w:r>
      <w:r>
        <w:fldChar w:fldCharType="begin"/>
      </w:r>
      <w:r>
        <w:instrText xml:space="preserve"> REF  _Ref480465550 \* Lower \h </w:instrText>
      </w:r>
      <w:r>
        <w:fldChar w:fldCharType="separate"/>
      </w:r>
      <w:r w:rsidR="002C24D6">
        <w:t xml:space="preserve">table </w:t>
      </w:r>
      <w:r w:rsidR="002C24D6">
        <w:rPr>
          <w:noProof/>
        </w:rPr>
        <w:t>3</w:t>
      </w:r>
      <w:r w:rsidR="002C24D6">
        <w:noBreakHyphen/>
      </w:r>
      <w:r w:rsidR="002C24D6">
        <w:rPr>
          <w:noProof/>
        </w:rPr>
        <w:t>43</w:t>
      </w:r>
      <w:r>
        <w:fldChar w:fldCharType="end"/>
      </w:r>
      <w:r w:rsidRPr="00E761F9">
        <w:t xml:space="preserve">, we are open to individual </w:t>
      </w:r>
      <w:r w:rsidR="00F175B6">
        <w:t>service providers</w:t>
      </w:r>
      <w:r w:rsidR="00F175B6" w:rsidRPr="00E761F9">
        <w:t xml:space="preserve"> </w:t>
      </w:r>
      <w:r w:rsidRPr="00E761F9">
        <w:t xml:space="preserve">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F175B6">
        <w:t>service provider</w:t>
      </w:r>
      <w:r w:rsidR="00F175B6" w:rsidRPr="00E761F9">
        <w:t xml:space="preserve"> </w:t>
      </w:r>
      <w:r w:rsidRPr="00E761F9">
        <w:t xml:space="preserve">must submit its </w:t>
      </w:r>
      <w:r w:rsidR="00F175B6">
        <w:t>reference tariff variation</w:t>
      </w:r>
      <w:r w:rsidRPr="00E761F9">
        <w:t xml:space="preserve"> proposal to us.</w:t>
      </w:r>
    </w:p>
    <w:p w:rsidR="000E14D2" w:rsidRPr="00E761F9" w:rsidRDefault="000E14D2" w:rsidP="000E14D2">
      <w:pPr>
        <w:numPr>
          <w:ilvl w:val="0"/>
          <w:numId w:val="24"/>
        </w:numPr>
      </w:pPr>
      <w:r w:rsidRPr="00E761F9">
        <w:t xml:space="preserve">The process outlined in </w:t>
      </w:r>
      <w:r>
        <w:fldChar w:fldCharType="begin"/>
      </w:r>
      <w:r>
        <w:instrText xml:space="preserve"> REF  _Ref479863638 \* Lower \h </w:instrText>
      </w:r>
      <w:r>
        <w:fldChar w:fldCharType="separate"/>
      </w:r>
      <w:r w:rsidR="002C24D6">
        <w:t xml:space="preserve">table </w:t>
      </w:r>
      <w:r w:rsidR="002C24D6">
        <w:rPr>
          <w:noProof/>
        </w:rPr>
        <w:t>3</w:t>
      </w:r>
      <w:r w:rsidR="002C24D6">
        <w:noBreakHyphen/>
      </w:r>
      <w:r w:rsidR="002C24D6">
        <w:rPr>
          <w:noProof/>
        </w:rPr>
        <w:t>16</w:t>
      </w:r>
      <w:r>
        <w:fldChar w:fldCharType="end"/>
      </w:r>
      <w:r w:rsidRPr="00E761F9">
        <w:t xml:space="preserve"> does not apply to the first regulatory year in the regulatory control period. This is because the </w:t>
      </w:r>
      <w:r w:rsidR="00F175B6">
        <w:t>access arrangement decision</w:t>
      </w:r>
      <w:r w:rsidRPr="00E761F9">
        <w:t xml:space="preserve"> will include the X factor for the first year, which will already incorporate the first year return on debt. Therefore, this process will generally apply to the subsequent years of a </w:t>
      </w:r>
      <w:r w:rsidR="00F175B6">
        <w:t>access arrangement period</w:t>
      </w:r>
      <w:r w:rsidRPr="00E761F9">
        <w:t>.</w:t>
      </w:r>
    </w:p>
    <w:p w:rsidR="000E14D2" w:rsidRPr="00E761F9" w:rsidRDefault="000E14D2" w:rsidP="000E14D2">
      <w:pPr>
        <w:numPr>
          <w:ilvl w:val="0"/>
          <w:numId w:val="24"/>
        </w:numPr>
      </w:pPr>
      <w:r w:rsidRPr="00E761F9">
        <w:t xml:space="preserve">In </w:t>
      </w:r>
      <w:r>
        <w:fldChar w:fldCharType="begin"/>
      </w:r>
      <w:r>
        <w:instrText xml:space="preserve"> REF  _Ref480465550 \* Lower \h </w:instrText>
      </w:r>
      <w:r>
        <w:fldChar w:fldCharType="separate"/>
      </w:r>
      <w:r w:rsidR="002C24D6">
        <w:t xml:space="preserve">table </w:t>
      </w:r>
      <w:r w:rsidR="002C24D6">
        <w:rPr>
          <w:noProof/>
        </w:rPr>
        <w:t>3</w:t>
      </w:r>
      <w:r w:rsidR="002C24D6">
        <w:noBreakHyphen/>
      </w:r>
      <w:r w:rsidR="002C24D6">
        <w:rPr>
          <w:noProof/>
        </w:rPr>
        <w:t>43</w:t>
      </w:r>
      <w:r>
        <w:fldChar w:fldCharType="end"/>
      </w:r>
      <w:r w:rsidRPr="00E761F9">
        <w:t xml:space="preserve">, we propose calculating the return on debt, annual building block revenue requirement, and X factor in accordance with the formula in the distribution determination. And we propose informing the </w:t>
      </w:r>
      <w:r w:rsidR="00F175B6">
        <w:t>service provider</w:t>
      </w:r>
      <w:r w:rsidR="00F175B6" w:rsidRPr="00E761F9">
        <w:t xml:space="preserve"> </w:t>
      </w:r>
      <w:r w:rsidRPr="00E761F9">
        <w:t xml:space="preserve">of our calculations before it submits its annual </w:t>
      </w:r>
      <w:r w:rsidR="00F175B6">
        <w:t>reference tariff variation proposal</w:t>
      </w:r>
      <w:r w:rsidRPr="00E761F9">
        <w:t xml:space="preserve">. We consider this preferable to the alternative approach, where we would assess updates the </w:t>
      </w:r>
      <w:r w:rsidR="00F175B6">
        <w:t>service provider</w:t>
      </w:r>
      <w:r w:rsidR="00F175B6" w:rsidRPr="00E761F9">
        <w:t xml:space="preserve"> </w:t>
      </w:r>
      <w:r w:rsidRPr="00E761F9">
        <w:t xml:space="preserve">calculated itself and submitted with its </w:t>
      </w:r>
      <w:r w:rsidR="00F175B6">
        <w:t>reference tariff variation proposal</w:t>
      </w:r>
      <w:r w:rsidRPr="00E761F9">
        <w:t xml:space="preserve">. This alternative approach could significantly complicate the annual </w:t>
      </w:r>
      <w:r w:rsidR="00F175B6">
        <w:t>tariff</w:t>
      </w:r>
      <w:r w:rsidR="00F175B6" w:rsidRPr="00E761F9">
        <w:t xml:space="preserve"> </w:t>
      </w:r>
      <w:r w:rsidRPr="00E761F9">
        <w:t xml:space="preserve">approval process if we identify calculation errors and require the </w:t>
      </w:r>
      <w:r w:rsidR="00F175B6">
        <w:t>service provider</w:t>
      </w:r>
      <w:r w:rsidR="00F175B6" w:rsidRPr="00E761F9">
        <w:t xml:space="preserve"> </w:t>
      </w:r>
      <w:r w:rsidRPr="00E761F9">
        <w:t>to revise all its proposed prices. On the other hand, our approach focusses the annual pricing approval process on how the distributor has incorporated the revised X factor into its prices, rather than also assessing the revised X factor itself.</w:t>
      </w:r>
    </w:p>
    <w:p w:rsidR="00762CF4" w:rsidRPr="00762CF4" w:rsidRDefault="00762CF4" w:rsidP="00762CF4">
      <w:pPr>
        <w:pStyle w:val="Heading7"/>
      </w:pPr>
      <w:bookmarkStart w:id="562" w:name="_Ref486970073"/>
      <w:bookmarkStart w:id="563" w:name="_Toc487037243"/>
      <w:r>
        <w:t>Expected inflation</w:t>
      </w:r>
      <w:bookmarkEnd w:id="562"/>
      <w:bookmarkEnd w:id="563"/>
    </w:p>
    <w:p w:rsidR="00E46946" w:rsidRDefault="00E46946" w:rsidP="00E46946">
      <w:r>
        <w:t xml:space="preserve">We set out the reasons for our inflation decision in section </w:t>
      </w:r>
      <w:r>
        <w:fldChar w:fldCharType="begin"/>
      </w:r>
      <w:r>
        <w:instrText xml:space="preserve"> REF _Ref482256986 \r \h </w:instrText>
      </w:r>
      <w:r>
        <w:fldChar w:fldCharType="separate"/>
      </w:r>
      <w:r w:rsidR="002C24D6">
        <w:t>3.4.4</w:t>
      </w:r>
      <w:r>
        <w:fldChar w:fldCharType="end"/>
      </w:r>
      <w:r>
        <w:t>. This section details our response to issues raised in regulatory proposals and submissions recently submitted to us.</w:t>
      </w:r>
      <w:r>
        <w:rPr>
          <w:rStyle w:val="FootnoteReference"/>
        </w:rPr>
        <w:footnoteReference w:id="1656"/>
      </w:r>
    </w:p>
    <w:p w:rsidR="00E46946" w:rsidRDefault="00E46946" w:rsidP="00E46946">
      <w:r>
        <w:t xml:space="preserve">It is important to note that we are currently conducting a broader review of methods for estimating expected inflation and the treatment of inflation in our revenue models. That review is yet to be finalised and so findings from the review cannot therefore be included in this decision. </w:t>
      </w:r>
    </w:p>
    <w:p w:rsidR="00E46946" w:rsidRDefault="00E46946" w:rsidP="00E46946">
      <w:r>
        <w:t>The discussion set out here is necessarily limited to the information available to us at the time of making this determination. It is also necessarily limited having regard to both the time available (within the determination making process), and the fact that there has not been industry wide consideration of the issue. Our conclusions set out here therefore do not indicate the result of the review we are currently undertaking.  In the context of that wider industry review, we expect we will have additional submissions and more complete analyses available to us.</w:t>
      </w:r>
    </w:p>
    <w:p w:rsidR="00E46946" w:rsidRDefault="00E46946" w:rsidP="00E46946">
      <w:r>
        <w:t>That said, for the purposes of this determination, on the basis of the information currently available to us, we consider the RBA forecasts and target band approach:</w:t>
      </w:r>
    </w:p>
    <w:p w:rsidR="00E46946" w:rsidRDefault="00E46946" w:rsidP="00E46946">
      <w:pPr>
        <w:pStyle w:val="AERbulletlistfirststyle"/>
      </w:pPr>
      <w:r>
        <w:t xml:space="preserve">reflects our best estimate of expected inflation possible in the circumstances, </w:t>
      </w:r>
    </w:p>
    <w:p w:rsidR="00E46946" w:rsidRDefault="00E46946" w:rsidP="00E46946">
      <w:pPr>
        <w:pStyle w:val="AERbulletlistfirststyle"/>
      </w:pPr>
      <w:r>
        <w:t>is a recognised method that arrives at estimates of expected inflation on a reasonable basis,</w:t>
      </w:r>
    </w:p>
    <w:p w:rsidR="00E46946" w:rsidRDefault="00E46946" w:rsidP="00E46946">
      <w:pPr>
        <w:pStyle w:val="AERbulletlistfirststyle"/>
      </w:pPr>
      <w:r>
        <w:t>is commensurate with the efficient financing costs of a benchmark efficient service provider,</w:t>
      </w:r>
      <w:r>
        <w:rPr>
          <w:rStyle w:val="FootnoteReference"/>
        </w:rPr>
        <w:footnoteReference w:id="1657"/>
      </w:r>
    </w:p>
    <w:p w:rsidR="00E46946" w:rsidRDefault="00E46946" w:rsidP="00E46946">
      <w:pPr>
        <w:pStyle w:val="AERbulletlistfirststyle"/>
      </w:pPr>
      <w:r>
        <w:t>contributes to the achievement of the National Gas Objective.</w:t>
      </w:r>
    </w:p>
    <w:p w:rsidR="00E46946" w:rsidRPr="00E46946" w:rsidRDefault="00E46946" w:rsidP="00985825">
      <w:pPr>
        <w:pStyle w:val="Heading8"/>
        <w:numPr>
          <w:ilvl w:val="1"/>
          <w:numId w:val="67"/>
        </w:numPr>
      </w:pPr>
      <w:bookmarkStart w:id="564" w:name="_Ref486941074"/>
      <w:bookmarkStart w:id="565" w:name="_Toc487037244"/>
      <w:r>
        <w:t>Issues with the RBA approach</w:t>
      </w:r>
      <w:bookmarkEnd w:id="564"/>
      <w:bookmarkEnd w:id="565"/>
    </w:p>
    <w:p w:rsidR="00E46946" w:rsidRDefault="00E46946" w:rsidP="00E46946">
      <w:r>
        <w:t>Under the RBA forecasts and target band approach, 10 year inflation expectations are estimated as the geometric mean of 10 annual inflation rates, comprising:</w:t>
      </w:r>
    </w:p>
    <w:p w:rsidR="00E46946" w:rsidRDefault="00E46946" w:rsidP="00E46946">
      <w:pPr>
        <w:pStyle w:val="AERbulletlistfirststyle"/>
      </w:pPr>
      <w:r>
        <w:t>The RBA's short term inflation forecasts for years 1 and 2.</w:t>
      </w:r>
    </w:p>
    <w:p w:rsidR="00E46946" w:rsidRDefault="00E46946" w:rsidP="00E46946">
      <w:pPr>
        <w:pStyle w:val="AERbulletlistfirststyle"/>
      </w:pPr>
      <w:r>
        <w:t>The mid-point of the RBA's target band for each year from years 3 to 10.</w:t>
      </w:r>
    </w:p>
    <w:p w:rsidR="00E46946" w:rsidRPr="00C93468" w:rsidRDefault="00E46946" w:rsidP="00E46946">
      <w:pPr>
        <w:pStyle w:val="Heading9"/>
      </w:pPr>
      <w:bookmarkStart w:id="566" w:name="_Toc487037245"/>
      <w:r>
        <w:t>The</w:t>
      </w:r>
      <w:r w:rsidRPr="00C93468">
        <w:t xml:space="preserve"> RBA's short-term forecasts used in years 1 and 2</w:t>
      </w:r>
      <w:bookmarkEnd w:id="566"/>
    </w:p>
    <w:p w:rsidR="00E46946" w:rsidRDefault="00E46946" w:rsidP="00E46946">
      <w:r>
        <w:t>In our draft decision on AusNet Services' 2017–22 electricity transmission determination we noted that</w:t>
      </w:r>
      <w:r w:rsidRPr="007E2BD9">
        <w:t xml:space="preserve"> Tulip and Wallace </w:t>
      </w:r>
      <w:r>
        <w:t>(2012)</w:t>
      </w:r>
      <w:r w:rsidRPr="007E2BD9">
        <w:t xml:space="preserve"> </w:t>
      </w:r>
      <w:r>
        <w:t xml:space="preserve">find that the RBA’s </w:t>
      </w:r>
      <w:r w:rsidRPr="007E2BD9">
        <w:t>1 year forecasts of inflation have substantial explanatory power and in the past RBA forecasts have been marginally more accurate than private sector forecasts.</w:t>
      </w:r>
      <w:r>
        <w:rPr>
          <w:rStyle w:val="FootnoteReference"/>
        </w:rPr>
        <w:footnoteReference w:id="1658"/>
      </w:r>
      <w:r>
        <w:t xml:space="preserve"> </w:t>
      </w:r>
    </w:p>
    <w:p w:rsidR="00E46946" w:rsidRDefault="00E46946" w:rsidP="00E46946">
      <w:r>
        <w:t>CEG submitted that</w:t>
      </w:r>
      <w:r w:rsidRPr="008E5C2B">
        <w:t xml:space="preserve"> Tulip and Wallace (2012) report wide confidence intervals for the RBA</w:t>
      </w:r>
      <w:r>
        <w:t>'s short-term</w:t>
      </w:r>
      <w:r w:rsidRPr="008E5C2B">
        <w:t xml:space="preserve"> forecasts. </w:t>
      </w:r>
      <w:r>
        <w:t>CEG noted that for the</w:t>
      </w:r>
      <w:r w:rsidRPr="008E5C2B">
        <w:t xml:space="preserve"> underlying inflation</w:t>
      </w:r>
      <w:r>
        <w:t xml:space="preserve"> measure</w:t>
      </w:r>
      <w:r w:rsidRPr="008E5C2B">
        <w:t>, actual inflation lies outside a 100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 For </w:t>
      </w:r>
      <w:r>
        <w:t xml:space="preserve">the </w:t>
      </w:r>
      <w:r w:rsidRPr="008E5C2B">
        <w:t>CPI</w:t>
      </w:r>
      <w:r>
        <w:t xml:space="preserve"> inflation measure,</w:t>
      </w:r>
      <w:r w:rsidRPr="008E5C2B">
        <w:t xml:space="preserve"> the actual inflation will lie outside a 200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w:t>
      </w:r>
      <w:r>
        <w:t xml:space="preserve"> </w:t>
      </w:r>
    </w:p>
    <w:p w:rsidR="00E46946" w:rsidRDefault="00E46946" w:rsidP="00E46946">
      <w:r>
        <w:t>However, CEG also noted that, on</w:t>
      </w:r>
      <w:r w:rsidRPr="008E5C2B">
        <w:t xml:space="preserve"> the </w:t>
      </w:r>
      <w:r>
        <w:t xml:space="preserve">relative </w:t>
      </w:r>
      <w:r w:rsidRPr="008E5C2B">
        <w:t xml:space="preserve">accuracy of RBA forecasts relative to forecasts by the private sector, Tulip and Wallace (2012) states “the differences are small and </w:t>
      </w:r>
      <w:r>
        <w:t>not statistically significant”.</w:t>
      </w:r>
      <w:r>
        <w:rPr>
          <w:rStyle w:val="FootnoteReference"/>
        </w:rPr>
        <w:footnoteReference w:id="1659"/>
      </w:r>
    </w:p>
    <w:p w:rsidR="00E46946" w:rsidRDefault="00E46946" w:rsidP="00E46946">
      <w:r>
        <w:t xml:space="preserve">Tulip &amp; Wallace (2012) find that, regardless of the size of the confidence intervals, short term inflation forecasts by other entities do not materially outperform the RBA's forecasts. We note that in addition to Tulip and Wallace (2012), </w:t>
      </w:r>
      <w:r w:rsidRPr="00844BA4">
        <w:t xml:space="preserve">Tawadros </w:t>
      </w:r>
      <w:r>
        <w:t xml:space="preserve">(2013) </w:t>
      </w:r>
      <w:r w:rsidRPr="00844BA4">
        <w:t>found that the RBA forecasts produce much lower forecasting errors than the forecasts made by three other private sources</w:t>
      </w:r>
      <w:r>
        <w:t xml:space="preserve"> (</w:t>
      </w:r>
      <w:r w:rsidRPr="00844BA4">
        <w:t>non-academic market economists, those made by union officials and the forecasts made by consumers or business people</w:t>
      </w:r>
      <w:r>
        <w:t>). T</w:t>
      </w:r>
      <w:r w:rsidRPr="00844BA4">
        <w:t xml:space="preserve">he empirical results </w:t>
      </w:r>
      <w:r>
        <w:t xml:space="preserve">in Tawadros (2013) </w:t>
      </w:r>
      <w:r w:rsidRPr="00844BA4">
        <w:t>show</w:t>
      </w:r>
      <w:r>
        <w:t>ed</w:t>
      </w:r>
      <w:r w:rsidRPr="00844BA4">
        <w:t xml:space="preserve"> that the RBA had superior predictive information about inflation over the period of June 1993 to December 2010</w:t>
      </w:r>
      <w:r>
        <w:t>.</w:t>
      </w:r>
      <w:r>
        <w:rPr>
          <w:rStyle w:val="FootnoteReference"/>
        </w:rPr>
        <w:footnoteReference w:id="1660"/>
      </w:r>
    </w:p>
    <w:p w:rsidR="00E46946" w:rsidRDefault="00E46946" w:rsidP="00E46946">
      <w:r>
        <w:t xml:space="preserve">CEG also submitted that </w:t>
      </w:r>
      <w:r w:rsidRPr="007E2BD9">
        <w:t xml:space="preserve">the relative accuracy of break-even inflation estimates versus </w:t>
      </w:r>
      <w:r>
        <w:t>the RBA's short-term forecasts</w:t>
      </w:r>
      <w:r w:rsidRPr="007E2BD9">
        <w:t xml:space="preserve"> </w:t>
      </w:r>
      <w:r>
        <w:t>is</w:t>
      </w:r>
      <w:r w:rsidRPr="007E2BD9">
        <w:t xml:space="preserve"> not addressed</w:t>
      </w:r>
      <w:r>
        <w:rPr>
          <w:rStyle w:val="FootnoteReference"/>
        </w:rPr>
        <w:footnoteReference w:id="1661"/>
      </w:r>
      <w:r w:rsidRPr="007E2BD9">
        <w:t xml:space="preserve"> by Tulip and Wallace </w:t>
      </w:r>
      <w:r>
        <w:t>(2012).</w:t>
      </w:r>
      <w:r w:rsidRPr="007E2BD9">
        <w:t xml:space="preserve"> </w:t>
      </w:r>
      <w:r>
        <w:t>CEG submits that</w:t>
      </w:r>
      <w:r w:rsidRPr="007E2BD9">
        <w:t xml:space="preserve"> </w:t>
      </w:r>
      <w:r>
        <w:t xml:space="preserve">short-term </w:t>
      </w:r>
      <w:r w:rsidRPr="007E2BD9">
        <w:t>inflation</w:t>
      </w:r>
      <w:r>
        <w:t xml:space="preserve"> estimates from the </w:t>
      </w:r>
      <w:r w:rsidRPr="007E2BD9">
        <w:t>break-even</w:t>
      </w:r>
      <w:r>
        <w:t xml:space="preserve"> approach are</w:t>
      </w:r>
      <w:r w:rsidRPr="007E2BD9">
        <w:t xml:space="preserve"> superior</w:t>
      </w:r>
      <w:r>
        <w:t xml:space="preserve"> to the RBA's short-term forecasts</w:t>
      </w:r>
      <w:r w:rsidRPr="007E2BD9">
        <w:t>.</w:t>
      </w:r>
      <w:r>
        <w:rPr>
          <w:rStyle w:val="FootnoteReference"/>
        </w:rPr>
        <w:footnoteReference w:id="1662"/>
      </w:r>
    </w:p>
    <w:p w:rsidR="00E46946" w:rsidRDefault="00E46946" w:rsidP="00E46946">
      <w:r>
        <w:t xml:space="preserve">As stated in section </w:t>
      </w:r>
      <w:r>
        <w:fldChar w:fldCharType="begin"/>
      </w:r>
      <w:r>
        <w:instrText xml:space="preserve"> REF _Ref482256986 \r \h </w:instrText>
      </w:r>
      <w:r>
        <w:fldChar w:fldCharType="separate"/>
      </w:r>
      <w:r w:rsidR="002C24D6">
        <w:t>3.4.4</w:t>
      </w:r>
      <w:r>
        <w:fldChar w:fldCharType="end"/>
      </w:r>
      <w:r>
        <w:t>, we consider that bond break-even estimates are likely to be distorted by biases and risk premia such that they may not be sufficiently reliable.</w:t>
      </w:r>
    </w:p>
    <w:p w:rsidR="00E46946" w:rsidRDefault="00E46946" w:rsidP="00E46946">
      <w:r>
        <w:t xml:space="preserve">In any case, we note that our objective is to estimate inflation expectations over a ten year term, rather than short term forecasts. The RBA's short-term forecasts are merely an input into an approach for estimating long-term expectations. The role of the short-term (1 to 2 year) forecasts in the RBA forecasts and target band approach is to allow for short-term inflation expectations to have some influence on the overall 10-year estimate being above or below the RBA's inflation target. We consider that the currently available evidence suggests that RBA forecasts </w:t>
      </w:r>
      <w:r w:rsidRPr="00C65194">
        <w:t xml:space="preserve">may be considered credible by the market such that short term inflation </w:t>
      </w:r>
      <w:r>
        <w:t xml:space="preserve">expectations </w:t>
      </w:r>
      <w:r w:rsidRPr="00C65194">
        <w:t>may be informed by and closely correspond to the RBA’s forecast</w:t>
      </w:r>
      <w:r>
        <w:t>. In this case, we consider that the RBA's short-term forecasts are the best forecasts to use in the RBA forecasts and target band approach.</w:t>
      </w:r>
    </w:p>
    <w:p w:rsidR="00E46946" w:rsidRDefault="00E46946" w:rsidP="00E46946">
      <w:r>
        <w:t>AusNet Services submitted that</w:t>
      </w:r>
      <w:r w:rsidRPr="00AA656C">
        <w:t xml:space="preserve"> the </w:t>
      </w:r>
      <w:r>
        <w:t>RBA forecasts and target band</w:t>
      </w:r>
      <w:r w:rsidRPr="00AA656C">
        <w:t xml:space="preserve"> approach only uses </w:t>
      </w:r>
      <w:r>
        <w:t>RBA short-term forecasts</w:t>
      </w:r>
      <w:r w:rsidRPr="00AA656C">
        <w:t xml:space="preserve"> for the first two years of its 10 year term</w:t>
      </w:r>
      <w:r>
        <w:t>,</w:t>
      </w:r>
      <w:r w:rsidRPr="00AA656C">
        <w:t xml:space="preserve"> </w:t>
      </w:r>
      <w:r>
        <w:t>ensuring that these forecasts</w:t>
      </w:r>
      <w:r w:rsidRPr="00AA656C">
        <w:t xml:space="preserve"> do not have a significant influence</w:t>
      </w:r>
      <w:r>
        <w:t xml:space="preserve"> on the overall estimate</w:t>
      </w:r>
      <w:r w:rsidRPr="00AA656C">
        <w:t>.</w:t>
      </w:r>
      <w:r>
        <w:rPr>
          <w:rStyle w:val="FootnoteReference"/>
        </w:rPr>
        <w:footnoteReference w:id="1663"/>
      </w:r>
    </w:p>
    <w:p w:rsidR="00E46946" w:rsidRDefault="00E46946" w:rsidP="00E46946">
      <w:r>
        <w:t xml:space="preserve">We reiterate that the available evidence supports the view that long-term inflation expectations are relatively stable over time and anchored to the RBA's target band. Further, if short term forecasts/expectations are volatile and </w:t>
      </w:r>
      <w:r w:rsidRPr="009E1E8A">
        <w:t>deviate</w:t>
      </w:r>
      <w:r>
        <w:t xml:space="preserve"> from long term inflation expectations – as found by Finlay and Wende (2011) for Australia</w:t>
      </w:r>
      <w:r>
        <w:rPr>
          <w:rStyle w:val="FootnoteReference"/>
        </w:rPr>
        <w:footnoteReference w:id="1664"/>
      </w:r>
      <w:r>
        <w:t xml:space="preserve"> – the weighting toward the midpoint of the target inflation band in the RBA forecasts and target band approach mitigates the distortionary effects of this volatility on long term estimates. </w:t>
      </w:r>
    </w:p>
    <w:p w:rsidR="00E46946" w:rsidRDefault="00E46946" w:rsidP="00E46946">
      <w:r>
        <w:t xml:space="preserve">We consider that the influence of short-term forecasts on the overall 10-year inflation estimate from the RBA forecasts and target band approach appropriately reflects this evidence. </w:t>
      </w:r>
    </w:p>
    <w:p w:rsidR="00E46946" w:rsidRPr="00C93468" w:rsidRDefault="00E46946" w:rsidP="00E46946">
      <w:pPr>
        <w:pStyle w:val="Heading9"/>
      </w:pPr>
      <w:bookmarkStart w:id="567" w:name="_Toc487037246"/>
      <w:r>
        <w:t>Probability weighted forecasts</w:t>
      </w:r>
      <w:bookmarkEnd w:id="567"/>
    </w:p>
    <w:p w:rsidR="00E46946" w:rsidRDefault="00E46946" w:rsidP="00E46946">
      <w:r>
        <w:t xml:space="preserve">AusNet Services and CEG submitted that the </w:t>
      </w:r>
      <w:r w:rsidRPr="00ED7C40">
        <w:t>RBA</w:t>
      </w:r>
      <w:r>
        <w:t>'s</w:t>
      </w:r>
      <w:r w:rsidRPr="00ED7C40">
        <w:t xml:space="preserve"> short term forecasts are “central forecasts” and, therefore, likely to underestimate “expected inflation” where the downside risks exceed the upside risk</w:t>
      </w:r>
      <w:r>
        <w:t>.</w:t>
      </w:r>
      <w:r>
        <w:rPr>
          <w:rStyle w:val="FootnoteReference"/>
        </w:rPr>
        <w:footnoteReference w:id="1665"/>
      </w:r>
    </w:p>
    <w:p w:rsidR="00E46946" w:rsidRDefault="00E46946" w:rsidP="00E46946">
      <w:r>
        <w:t xml:space="preserve">CEG submitted that bond </w:t>
      </w:r>
      <w:r w:rsidRPr="008E5C2B">
        <w:t xml:space="preserve">break-even inflation </w:t>
      </w:r>
      <w:r>
        <w:t xml:space="preserve">estimates </w:t>
      </w:r>
      <w:r w:rsidRPr="008E5C2B">
        <w:t>already reflect a probability</w:t>
      </w:r>
      <w:r>
        <w:t>-</w:t>
      </w:r>
      <w:r w:rsidRPr="008E5C2B">
        <w:t>weighted average of all possible inflation outcomes as perceived by bond investors.</w:t>
      </w:r>
      <w:r>
        <w:t xml:space="preserve"> CEG submitted that the bond b</w:t>
      </w:r>
      <w:r w:rsidRPr="00ED7C40">
        <w:t xml:space="preserve">reak-even </w:t>
      </w:r>
      <w:r>
        <w:t>approach</w:t>
      </w:r>
      <w:r w:rsidRPr="00ED7C40">
        <w:t xml:space="preserve"> </w:t>
      </w:r>
      <w:r>
        <w:t>is</w:t>
      </w:r>
      <w:r w:rsidRPr="00ED7C40">
        <w:t xml:space="preserve"> the only plausible way in which the uncertainty about the multiple different paths inflation could take can be weighted in a manner consistent with the probabilities that bond investors attach to these outcomes</w:t>
      </w:r>
      <w:r>
        <w:t xml:space="preserve">, and that such probability-weighting </w:t>
      </w:r>
      <w:r w:rsidRPr="00ED7C40">
        <w:t xml:space="preserve">is critical in the current </w:t>
      </w:r>
      <w:r>
        <w:t xml:space="preserve">low-inflation </w:t>
      </w:r>
      <w:r w:rsidRPr="00ED7C40">
        <w:t>environment</w:t>
      </w:r>
      <w:r>
        <w:t>.</w:t>
      </w:r>
      <w:r>
        <w:rPr>
          <w:rStyle w:val="FootnoteReference"/>
        </w:rPr>
        <w:footnoteReference w:id="1666"/>
      </w:r>
      <w:r>
        <w:t xml:space="preserve"> AusNet Services submitted that i</w:t>
      </w:r>
      <w:r w:rsidRPr="001E5086">
        <w:t xml:space="preserve">n the current monetary policy environment, where policy rates are close to the zero lower bound, the greatest risks to inflation are to the downside. </w:t>
      </w:r>
      <w:r>
        <w:t xml:space="preserve">AusNet Services noted that </w:t>
      </w:r>
      <w:r w:rsidRPr="001E5086">
        <w:t>Western developed countries currently have monetary policy settings with policy rates close to zero and are currently undershooting inflation targets</w:t>
      </w:r>
      <w:r>
        <w:t>.</w:t>
      </w:r>
      <w:r>
        <w:rPr>
          <w:rStyle w:val="FootnoteReference"/>
        </w:rPr>
        <w:footnoteReference w:id="1667"/>
      </w:r>
    </w:p>
    <w:p w:rsidR="00E46946" w:rsidRDefault="00E46946" w:rsidP="00E46946">
      <w:r>
        <w:t xml:space="preserve">CEG also submitted that RBA's role in controlling inflation may affect the presentation of its forecasts and the </w:t>
      </w:r>
      <w:r w:rsidRPr="00A94528">
        <w:t>RBA forecasts are a</w:t>
      </w:r>
      <w:r>
        <w:t xml:space="preserve"> </w:t>
      </w:r>
      <w:r w:rsidRPr="00A94528">
        <w:t>policy tool for anchoring inflation expectations as well as an expression of the RBA’s</w:t>
      </w:r>
      <w:r>
        <w:t xml:space="preserve"> view. In this case, the RBA may choose to publish only central forecasts and not lower-bound forecasts to avoid these lower bounds resulting in lower market expectations.</w:t>
      </w:r>
      <w:r>
        <w:rPr>
          <w:rStyle w:val="FootnoteReference"/>
        </w:rPr>
        <w:footnoteReference w:id="1668"/>
      </w:r>
    </w:p>
    <w:p w:rsidR="00E46946" w:rsidRPr="00DB16EC" w:rsidRDefault="00E46946" w:rsidP="00E46946">
      <w:r>
        <w:t>Short-term RBA forecasts are sourced from the RBA's quarterly statements on monetary policy. CEG assumes that the RBA's forecasts are central forecasts, but the RBA does not state whether these forecasts are central forecasts or probability-weighted forecasts.</w:t>
      </w:r>
      <w:r>
        <w:rPr>
          <w:rStyle w:val="FootnoteReference"/>
        </w:rPr>
        <w:footnoteReference w:id="1669"/>
      </w:r>
      <w:r>
        <w:t xml:space="preserve"> Further, CEG assumes an asymmetric distribution of market-anticipated inflation outcomes. We consider that this assumption is unsupported, noting that:</w:t>
      </w:r>
    </w:p>
    <w:p w:rsidR="00E46946" w:rsidRPr="00DB16EC" w:rsidRDefault="00E46946" w:rsidP="00E46946">
      <w:pPr>
        <w:pStyle w:val="AERbulletlistfirststyle"/>
      </w:pPr>
      <w:r>
        <w:t>The distribution of market-anticipated inflation outcomes is unobservable;</w:t>
      </w:r>
    </w:p>
    <w:p w:rsidR="00E46946" w:rsidRPr="00DB16EC" w:rsidRDefault="00E46946" w:rsidP="00E46946">
      <w:pPr>
        <w:pStyle w:val="AERbulletlistfirststyle"/>
      </w:pPr>
      <w:r>
        <w:t>The statements cited by CEG make no reference to the asymmetric distribution of anticipated-inflation outcomes for Australia;</w:t>
      </w:r>
      <w:r>
        <w:rPr>
          <w:rStyle w:val="FootnoteReference"/>
        </w:rPr>
        <w:footnoteReference w:id="1670"/>
      </w:r>
      <w:r>
        <w:t xml:space="preserve"> </w:t>
      </w:r>
    </w:p>
    <w:p w:rsidR="00E46946" w:rsidRPr="00DB16EC" w:rsidRDefault="00E46946" w:rsidP="00E46946">
      <w:pPr>
        <w:pStyle w:val="AERbulletlistfirststyle"/>
      </w:pPr>
      <w:r>
        <w:t>CEG has not relied on any studies on the distribution of market-anticipated inflation outcomes for Australia or provided any proxy-based estimates for this distribution.</w:t>
      </w:r>
    </w:p>
    <w:p w:rsidR="00E46946" w:rsidRDefault="00E46946" w:rsidP="00E46946">
      <w:r>
        <w:t>CEG notes that the distribution of bond investors' inflation expectations may differ from the distribution of expectations of other parties, such as the RBA and participants in the inflation swaps market.</w:t>
      </w:r>
      <w:r>
        <w:rPr>
          <w:rStyle w:val="FootnoteReference"/>
        </w:rPr>
        <w:footnoteReference w:id="1671"/>
      </w:r>
      <w:r>
        <w:t xml:space="preserve"> We note that </w:t>
      </w:r>
      <w:r w:rsidRPr="00DB16EC">
        <w:t xml:space="preserve">Fleckenstein et al (2014) </w:t>
      </w:r>
      <w:r>
        <w:t xml:space="preserve">has found that </w:t>
      </w:r>
      <w:r w:rsidRPr="00DB16EC">
        <w:t xml:space="preserve">traders profit from </w:t>
      </w:r>
      <w:r>
        <w:t>such situations where</w:t>
      </w:r>
      <w:r w:rsidRPr="00DB16EC">
        <w:t xml:space="preserve"> breakeven inflation differs from other market measures such as inflation swaps</w:t>
      </w:r>
      <w:r>
        <w:t>.</w:t>
      </w:r>
      <w:r>
        <w:rPr>
          <w:rStyle w:val="FootnoteReference"/>
        </w:rPr>
        <w:footnoteReference w:id="1672"/>
      </w:r>
      <w:r>
        <w:t xml:space="preserve"> Therefore, it may be unclear which distribution of inflation expectations (that from bond investors, swaps participants, the RBA, or others) better reflects that of the market-expected inflation rate.</w:t>
      </w:r>
    </w:p>
    <w:p w:rsidR="00E46946" w:rsidRPr="00C93468" w:rsidRDefault="00E46946" w:rsidP="00E46946">
      <w:r>
        <w:t xml:space="preserve">As noted in section </w:t>
      </w:r>
      <w:r>
        <w:fldChar w:fldCharType="begin"/>
      </w:r>
      <w:r>
        <w:instrText xml:space="preserve"> REF _Ref486940727 \r \h </w:instrText>
      </w:r>
      <w:r>
        <w:fldChar w:fldCharType="separate"/>
      </w:r>
      <w:r w:rsidR="002C24D6">
        <w:t>M.1.4</w:t>
      </w:r>
      <w:r>
        <w:fldChar w:fldCharType="end"/>
      </w:r>
      <w:r>
        <w:t xml:space="preserve">, we consider that the RBA's monetary policy remains effective and is perceived as such by investors. </w:t>
      </w:r>
    </w:p>
    <w:p w:rsidR="00E46946" w:rsidRPr="00C93468" w:rsidRDefault="00E46946" w:rsidP="00E46946">
      <w:pPr>
        <w:pStyle w:val="Heading9"/>
      </w:pPr>
      <w:bookmarkStart w:id="568" w:name="_Toc487037247"/>
      <w:r>
        <w:t>The RBA's target band used in years 3 to 10</w:t>
      </w:r>
      <w:bookmarkEnd w:id="568"/>
    </w:p>
    <w:p w:rsidR="00E46946" w:rsidRDefault="00E46946" w:rsidP="00E46946">
      <w:r>
        <w:t>AusNet Services submitted that the RBA forecasts and target band approach includes an</w:t>
      </w:r>
      <w:r w:rsidRPr="001E5086">
        <w:t xml:space="preserve"> assumption that investors expect inflation to average 2.5</w:t>
      </w:r>
      <w:r>
        <w:t xml:space="preserve"> per cent</w:t>
      </w:r>
      <w:r w:rsidRPr="001E5086">
        <w:t xml:space="preserve"> beyond two years</w:t>
      </w:r>
      <w:r>
        <w:t>.</w:t>
      </w:r>
      <w:r>
        <w:rPr>
          <w:rStyle w:val="FootnoteReference"/>
        </w:rPr>
        <w:footnoteReference w:id="1673"/>
      </w:r>
      <w:r>
        <w:t xml:space="preserve"> CEG submitted that a</w:t>
      </w:r>
      <w:r w:rsidRPr="009A29D1">
        <w:t>n expectation that Australian inflation will jump to 2.5</w:t>
      </w:r>
      <w:r>
        <w:t xml:space="preserve"> per cent</w:t>
      </w:r>
      <w:r w:rsidRPr="009A29D1">
        <w:t xml:space="preserve"> at the end </w:t>
      </w:r>
      <w:r>
        <w:t>of the second year (of the 10 year inflation forecast)</w:t>
      </w:r>
      <w:r w:rsidRPr="009A29D1">
        <w:t xml:space="preserve"> is inconsistent with the fact that Australian (and global) inflation rates have been persistently below target for many years, with instances of deflation in Australia (March quarter CPI), US, Japan, the UK and the Eurozone</w:t>
      </w:r>
      <w:r>
        <w:t>.</w:t>
      </w:r>
      <w:r>
        <w:rPr>
          <w:rStyle w:val="FootnoteReference"/>
        </w:rPr>
        <w:footnoteReference w:id="1674"/>
      </w:r>
      <w:r>
        <w:t xml:space="preserve"> </w:t>
      </w:r>
    </w:p>
    <w:p w:rsidR="00E46946" w:rsidRDefault="00E46946" w:rsidP="00E46946">
      <w:r>
        <w:t>To clarify, while we estimate inflation expectations</w:t>
      </w:r>
      <w:r w:rsidRPr="00962531">
        <w:t xml:space="preserve"> </w:t>
      </w:r>
      <w:r>
        <w:t>over a 10-year term, we do not separately estimate or have to take a view on investors' inflation expectations for each year of the 10-year term. Neither do we need to have a view on the expected path of inflation over the 10-year term. Therefore, we do not assume that inflation expectations 'jump' to 2.5 per cent at the end of the second year. Annual inflation rates in the RBA forecasts and target band approach are merely inputs into deriving the best estimate of 10-year expected inflation.</w:t>
      </w:r>
    </w:p>
    <w:p w:rsidR="00E46946" w:rsidRPr="00D91B80" w:rsidRDefault="00E46946" w:rsidP="00E46946">
      <w:r>
        <w:t>CEG submitted that inflation estimates from the RBA forecasts and target band approach beyond year 2 is impervious to market developments, while the corresponding break-even inflation rate has declined dramatically.</w:t>
      </w:r>
      <w:r>
        <w:rPr>
          <w:rStyle w:val="FootnoteReference"/>
        </w:rPr>
        <w:footnoteReference w:id="1675"/>
      </w:r>
    </w:p>
    <w:p w:rsidR="00E46946" w:rsidRDefault="00E46946" w:rsidP="00E46946">
      <w:r>
        <w:t>As inputs into an overall 10-year estimate, we do not consider it relevant that individual annual inflation rates for years 8 through 10 do not vary with market developments. Rather, we consider it more relevant whether or not the overall 10-year estimate responds to market developments in a manner that is likely to reflect investors' inflation expectations. As stated above, the available evidence supports the view that long-term inflation expectations are relatively stable over time and anchored to the RBA's target band.</w:t>
      </w:r>
    </w:p>
    <w:p w:rsidR="00E46946" w:rsidRPr="00C93468" w:rsidRDefault="00E46946" w:rsidP="00E46946">
      <w:pPr>
        <w:pStyle w:val="Heading9"/>
      </w:pPr>
      <w:bookmarkStart w:id="569" w:name="_Ref486940727"/>
      <w:bookmarkStart w:id="570" w:name="_Toc487037248"/>
      <w:r>
        <w:t>Anchoring of investor expectations to the RBA target band</w:t>
      </w:r>
      <w:bookmarkEnd w:id="569"/>
      <w:bookmarkEnd w:id="570"/>
    </w:p>
    <w:p w:rsidR="00E46946" w:rsidRDefault="00E46946" w:rsidP="00E46946">
      <w:r>
        <w:t xml:space="preserve">In section </w:t>
      </w:r>
      <w:r>
        <w:fldChar w:fldCharType="begin"/>
      </w:r>
      <w:r>
        <w:instrText xml:space="preserve"> REF _Ref482256986 \r \h </w:instrText>
      </w:r>
      <w:r>
        <w:fldChar w:fldCharType="separate"/>
      </w:r>
      <w:r w:rsidR="002C24D6">
        <w:t>3.4.4</w:t>
      </w:r>
      <w:r>
        <w:fldChar w:fldCharType="end"/>
      </w:r>
      <w:r>
        <w:t>, we noted that we consider that long-term inflation expectations are relatively stable over time and anchored to the RBA's target band. However, inflation expectations may de-anchor from the RBA's target if the RBA is perceived to be ineffective at using monetary policy to control inflation.</w:t>
      </w:r>
    </w:p>
    <w:p w:rsidR="00E46946" w:rsidRDefault="00E46946" w:rsidP="00E46946">
      <w:r>
        <w:t>Multinet, AusNet Services and CEG submitted that t</w:t>
      </w:r>
      <w:r w:rsidRPr="000438D3">
        <w:t xml:space="preserve">he potential for </w:t>
      </w:r>
      <w:r>
        <w:t xml:space="preserve">the RBA's </w:t>
      </w:r>
      <w:r w:rsidRPr="000438D3">
        <w:t xml:space="preserve">monetary policy to stimulate economic activity </w:t>
      </w:r>
      <w:r>
        <w:t xml:space="preserve">has </w:t>
      </w:r>
      <w:r w:rsidRPr="000438D3">
        <w:t>diminishe</w:t>
      </w:r>
      <w:r>
        <w:t>d</w:t>
      </w:r>
      <w:r w:rsidRPr="000438D3">
        <w:t xml:space="preserve"> as policy interest rates</w:t>
      </w:r>
      <w:r>
        <w:t xml:space="preserve"> have</w:t>
      </w:r>
      <w:r w:rsidRPr="000438D3">
        <w:t xml:space="preserve"> approach</w:t>
      </w:r>
      <w:r>
        <w:t>ed</w:t>
      </w:r>
      <w:r w:rsidRPr="000438D3">
        <w:t xml:space="preserve"> zero, thereby creating the pot</w:t>
      </w:r>
      <w:r>
        <w:t>ential for a low inflation trap: a situation in</w:t>
      </w:r>
      <w:r w:rsidRPr="000438D3">
        <w:t xml:space="preserve"> which monet</w:t>
      </w:r>
      <w:r>
        <w:t>ary policy may be ineffective</w:t>
      </w:r>
      <w:r w:rsidRPr="000438D3">
        <w:t>.</w:t>
      </w:r>
      <w:r>
        <w:rPr>
          <w:rStyle w:val="FootnoteReference"/>
        </w:rPr>
        <w:footnoteReference w:id="1676"/>
      </w:r>
      <w:r>
        <w:t xml:space="preserve"> </w:t>
      </w:r>
    </w:p>
    <w:p w:rsidR="00E46946" w:rsidRDefault="00E46946" w:rsidP="00E46946">
      <w:r>
        <w:t>We acknowledge that the RBA's cash rate (policy rate) is currently at historically low levels.</w:t>
      </w:r>
      <w:r>
        <w:rPr>
          <w:rStyle w:val="FootnoteReference"/>
        </w:rPr>
        <w:footnoteReference w:id="1677"/>
      </w:r>
      <w:r>
        <w:t xml:space="preserve"> However, we do not agree that that the RBA's implementation of monetary policy is currently ineffective, or likely to be ineffective in the foreseeable future, as a result of the current level of the RBA's policy rate.</w:t>
      </w:r>
    </w:p>
    <w:p w:rsidR="00E46946" w:rsidRPr="00EC128C" w:rsidRDefault="00E46946" w:rsidP="00E46946">
      <w:r w:rsidRPr="00EC128C">
        <w:t>Central banks have several options if policy rates approach zero. One such example is the ability to lower interest rates below zero, which is due to a non-zero cost of holding cash (costs of safes, insurance, etc.). Interest rates below zero have been seen in several advanced economies such as the ECB, Bank of Japan and other small</w:t>
      </w:r>
      <w:r>
        <w:t>er</w:t>
      </w:r>
      <w:r w:rsidRPr="00EC128C">
        <w:t xml:space="preserve"> European authorities.</w:t>
      </w:r>
      <w:r>
        <w:rPr>
          <w:rStyle w:val="FootnoteReference"/>
        </w:rPr>
        <w:footnoteReference w:id="1678"/>
      </w:r>
      <w:r w:rsidRPr="00EC128C">
        <w:t xml:space="preserve"> Central banks also have the option to use ‘unconventional’ monetary policy, such as quantitative easing </w:t>
      </w:r>
      <w:r>
        <w:t xml:space="preserve">(bond buying) </w:t>
      </w:r>
      <w:r w:rsidRPr="00EC128C">
        <w:t>combined with macroprudential policy.</w:t>
      </w:r>
      <w:r>
        <w:rPr>
          <w:rStyle w:val="FootnoteReference"/>
        </w:rPr>
        <w:footnoteReference w:id="1679"/>
      </w:r>
      <w:r w:rsidRPr="00EC128C">
        <w:t xml:space="preserve"> </w:t>
      </w:r>
    </w:p>
    <w:p w:rsidR="00E46946" w:rsidRPr="00EC128C" w:rsidRDefault="00E46946" w:rsidP="00E46946">
      <w:pPr>
        <w:rPr>
          <w:rStyle w:val="Hyperlink"/>
        </w:rPr>
      </w:pPr>
      <w:r>
        <w:t>Further, i</w:t>
      </w:r>
      <w:r w:rsidRPr="00EC128C">
        <w:t xml:space="preserve">f the public did not believe that the RBA had control of inflation due to </w:t>
      </w:r>
      <w:r>
        <w:t xml:space="preserve">the policy rate </w:t>
      </w:r>
      <w:r w:rsidRPr="00EC128C">
        <w:t xml:space="preserve">being close to </w:t>
      </w:r>
      <w:r>
        <w:t>zero</w:t>
      </w:r>
      <w:r w:rsidRPr="00EC128C">
        <w:t xml:space="preserve">, </w:t>
      </w:r>
      <w:r>
        <w:t xml:space="preserve">we would expect </w:t>
      </w:r>
      <w:r w:rsidRPr="00EC128C">
        <w:t xml:space="preserve">there would be evidence of an unanchoring of inflation expectations. There is no evidence of this in the survey measures </w:t>
      </w:r>
      <w:r>
        <w:t>(</w:t>
      </w:r>
      <w:r w:rsidRPr="00EC128C">
        <w:t>which are less likely to be affected by the bias exhibited in the breakeven approach</w:t>
      </w:r>
      <w:r>
        <w:t>)</w:t>
      </w:r>
      <w:r w:rsidRPr="00EC128C">
        <w:t xml:space="preserve">. Long-term inflation expectations </w:t>
      </w:r>
      <w:r>
        <w:t xml:space="preserve">from Consensus Economics' survey measures and from 5-year to 10-year inflation swaps </w:t>
      </w:r>
      <w:r w:rsidRPr="00EC128C">
        <w:t>appear consistent with the RBA's medium-term inflation target.</w:t>
      </w:r>
      <w:r w:rsidRPr="00EC128C">
        <w:rPr>
          <w:rStyle w:val="FootnoteReference"/>
        </w:rPr>
        <w:footnoteReference w:id="1680"/>
      </w:r>
    </w:p>
    <w:p w:rsidR="00E46946" w:rsidRPr="00EC128C" w:rsidRDefault="00E46946" w:rsidP="00E46946">
      <w:r w:rsidRPr="00EC128C">
        <w:t xml:space="preserve">CEG, in its recent report, claimed that all western developed countries are currently undershooting inflation targets. </w:t>
      </w:r>
      <w:r>
        <w:t>We consider that this mischaracterises the nature of central bank inflation targeting</w:t>
      </w:r>
      <w:r w:rsidRPr="00EC128C">
        <w:t>. Australia’s inflation target is to</w:t>
      </w:r>
      <w:r>
        <w:t xml:space="preserve"> achieve an inflation rate of 2 to </w:t>
      </w:r>
      <w:r w:rsidRPr="00EC128C">
        <w:t>3 per cent, on average, over the</w:t>
      </w:r>
      <w:r>
        <w:t xml:space="preserve"> business</w:t>
      </w:r>
      <w:r w:rsidRPr="00EC128C">
        <w:t xml:space="preserve"> cycle. The inflation target is defined as a medium-term average rather than as a rate (or band of rates) that must be held at all times. For instance, since June 1993,</w:t>
      </w:r>
      <w:r>
        <w:rPr>
          <w:rStyle w:val="FootnoteReference"/>
        </w:rPr>
        <w:footnoteReference w:id="1681"/>
      </w:r>
      <w:r w:rsidRPr="00EC128C">
        <w:t xml:space="preserve"> CPI inflation has been below 2 per cent for 24 per cent of the time, and coincidentally above 3 per cent for 23 per cent of the time. On average though, inflation was around 2.5 per cent.</w:t>
      </w:r>
      <w:r w:rsidRPr="00EC128C">
        <w:rPr>
          <w:rStyle w:val="FootnoteReference"/>
        </w:rPr>
        <w:footnoteReference w:id="1682"/>
      </w:r>
      <w:r w:rsidRPr="00EC128C">
        <w:t xml:space="preserve"> With such a mandate it cannot be said that Australia is currently undershooting the target.</w:t>
      </w:r>
    </w:p>
    <w:p w:rsidR="00E46946" w:rsidRDefault="00E46946" w:rsidP="00E46946">
      <w:r w:rsidRPr="00EC128C">
        <w:t>There are other western developed countries facing short term inflation above their targets. Norway is currently overshooting its target</w:t>
      </w:r>
      <w:r>
        <w:t>, achieving inflation of</w:t>
      </w:r>
      <w:r w:rsidRPr="00EC128C">
        <w:t xml:space="preserve"> 3.4 per cent, </w:t>
      </w:r>
      <w:r>
        <w:t>which is above its</w:t>
      </w:r>
      <w:r w:rsidRPr="00EC128C">
        <w:t xml:space="preserve"> target of 2.5 per cent.</w:t>
      </w:r>
      <w:r w:rsidRPr="00EC128C">
        <w:rPr>
          <w:rStyle w:val="FootnoteReference"/>
        </w:rPr>
        <w:footnoteReference w:id="1683"/>
      </w:r>
      <w:r>
        <w:t xml:space="preserve"> </w:t>
      </w:r>
      <w:r w:rsidRPr="00EC128C">
        <w:t>The US CPI result for December 2016 was 2.1 per cent year on year</w:t>
      </w:r>
      <w:r>
        <w:t>, which is</w:t>
      </w:r>
      <w:r w:rsidRPr="00EC128C">
        <w:t xml:space="preserve"> higher than the Federal Reserve’s target of 2 per cent.</w:t>
      </w:r>
      <w:r>
        <w:rPr>
          <w:rStyle w:val="FootnoteReference"/>
        </w:rPr>
        <w:footnoteReference w:id="1684"/>
      </w:r>
      <w:r>
        <w:t xml:space="preserve"> The UK CPI result for February 2017 was 2.3 per cent year on year, which is higher than the Bank of England's 2 per cent inflation target.</w:t>
      </w:r>
      <w:r>
        <w:rPr>
          <w:rStyle w:val="FootnoteReference"/>
        </w:rPr>
        <w:footnoteReference w:id="1685"/>
      </w:r>
      <w:r>
        <w:t xml:space="preserve"> Finally, we note that western developed countries in general, and Australia in particular, continue to implement inflation targeting and have not rolled-back inflation targeting regimes in the presence of a 'low-inflation trap'.</w:t>
      </w:r>
    </w:p>
    <w:p w:rsidR="00E46946" w:rsidRPr="00C93468" w:rsidRDefault="00E46946" w:rsidP="00E46946">
      <w:pPr>
        <w:pStyle w:val="Heading9"/>
      </w:pPr>
      <w:bookmarkStart w:id="571" w:name="_Ref486940867"/>
      <w:bookmarkStart w:id="572" w:name="_Toc487037249"/>
      <w:r>
        <w:t>Potential negative real risk free rate</w:t>
      </w:r>
      <w:bookmarkEnd w:id="571"/>
      <w:bookmarkEnd w:id="572"/>
    </w:p>
    <w:p w:rsidR="00E46946" w:rsidRPr="00A51CD5" w:rsidRDefault="00E46946" w:rsidP="00E46946">
      <w:r>
        <w:t>CEG, AGN, Multinet, and AusNet Services submitted that</w:t>
      </w:r>
      <w:r w:rsidRPr="00A51CD5">
        <w:t xml:space="preserve"> </w:t>
      </w:r>
      <w:r>
        <w:t>by applying</w:t>
      </w:r>
      <w:r w:rsidRPr="00A51CD5">
        <w:t xml:space="preserve"> the RBA forecasts and target band approach</w:t>
      </w:r>
      <w:r>
        <w:t xml:space="preserve"> to historical data, </w:t>
      </w:r>
      <w:r w:rsidRPr="00A51CD5">
        <w:t>inflation estimate</w:t>
      </w:r>
      <w:r w:rsidRPr="0003076B">
        <w:t xml:space="preserve">s </w:t>
      </w:r>
      <w:r>
        <w:t xml:space="preserve">have at various times in the past resulted in negative estimates of the real risk free rate. CEG, AGN, Multinet, and AusNet Services submitted that this result is </w:t>
      </w:r>
      <w:r w:rsidRPr="00A51CD5">
        <w:t>implausibl</w:t>
      </w:r>
      <w:r>
        <w:t>e, as</w:t>
      </w:r>
      <w:r w:rsidRPr="00A51CD5">
        <w:t xml:space="preserve"> </w:t>
      </w:r>
      <w:r>
        <w:t xml:space="preserve">it </w:t>
      </w:r>
      <w:r w:rsidRPr="00A51CD5">
        <w:t>suggest</w:t>
      </w:r>
      <w:r>
        <w:t>s</w:t>
      </w:r>
      <w:r w:rsidRPr="00A51CD5">
        <w:t xml:space="preserve"> </w:t>
      </w:r>
      <w:r w:rsidRPr="007D2E8E">
        <w:t>that investors expect a negative real return on nominal CGS at the same time that they can achieve a positive guaranteed real risk free return simply by buying inflation indexed CGS</w:t>
      </w:r>
      <w:r w:rsidRPr="00A51CD5">
        <w:t>.</w:t>
      </w:r>
      <w:r>
        <w:rPr>
          <w:rStyle w:val="FootnoteReference"/>
        </w:rPr>
        <w:footnoteReference w:id="1686"/>
      </w:r>
      <w:r>
        <w:t xml:space="preserve"> AusNet Services submitted that</w:t>
      </w:r>
      <w:r w:rsidRPr="004E26A9">
        <w:t xml:space="preserve"> investors can achieve positive real risk free returns through investing in index-linked </w:t>
      </w:r>
      <w:r>
        <w:t>CGS, and that th</w:t>
      </w:r>
      <w:r w:rsidRPr="004E26A9">
        <w:t>is test should be applied as a sense check as to whether regulatory decisions reflect market realities.</w:t>
      </w:r>
      <w:r>
        <w:rPr>
          <w:rStyle w:val="FootnoteReference"/>
        </w:rPr>
        <w:footnoteReference w:id="1687"/>
      </w:r>
    </w:p>
    <w:p w:rsidR="00E46946" w:rsidRPr="00A51CD5" w:rsidRDefault="00E46946" w:rsidP="00E46946">
      <w:r>
        <w:t>C</w:t>
      </w:r>
      <w:r w:rsidRPr="00A51CD5">
        <w:t xml:space="preserve">EG submitted that </w:t>
      </w:r>
      <w:r>
        <w:t xml:space="preserve">a </w:t>
      </w:r>
      <w:r w:rsidRPr="00A51CD5">
        <w:t>negative</w:t>
      </w:r>
      <w:r>
        <w:t xml:space="preserve"> </w:t>
      </w:r>
      <w:r w:rsidRPr="00A51CD5">
        <w:t xml:space="preserve">estimated </w:t>
      </w:r>
      <w:r>
        <w:t>real risk free rate</w:t>
      </w:r>
      <w:r w:rsidRPr="00A51CD5">
        <w:t xml:space="preserve"> </w:t>
      </w:r>
      <w:r>
        <w:t>is an</w:t>
      </w:r>
      <w:r w:rsidRPr="00A51CD5">
        <w:t xml:space="preserve"> anomaly </w:t>
      </w:r>
      <w:r>
        <w:t xml:space="preserve">and </w:t>
      </w:r>
      <w:r w:rsidRPr="00A51CD5">
        <w:t>is a result of estimate</w:t>
      </w:r>
      <w:r>
        <w:t>s</w:t>
      </w:r>
      <w:r w:rsidRPr="00A51CD5">
        <w:t xml:space="preserve"> of expected inflation </w:t>
      </w:r>
      <w:r>
        <w:t>from the RBA forecasts and target band approach</w:t>
      </w:r>
      <w:r w:rsidRPr="00A51CD5">
        <w:t xml:space="preserve"> being inappropriate for the current economic environment rather than a true anomaly in investor required returns.</w:t>
      </w:r>
      <w:r>
        <w:rPr>
          <w:rStyle w:val="FootnoteReference"/>
        </w:rPr>
        <w:footnoteReference w:id="1688"/>
      </w:r>
      <w:r>
        <w:t xml:space="preserve"> CEG submitted that </w:t>
      </w:r>
      <w:r w:rsidRPr="00D7574F">
        <w:t xml:space="preserve">indexed CGS are a more direct proxy for the real risk free rate than </w:t>
      </w:r>
      <w:r>
        <w:t xml:space="preserve">a measure that is based on </w:t>
      </w:r>
      <w:r w:rsidRPr="00D7574F">
        <w:t xml:space="preserve">nominal CGS </w:t>
      </w:r>
      <w:r>
        <w:t>and</w:t>
      </w:r>
      <w:r w:rsidRPr="00D7574F">
        <w:t xml:space="preserve"> </w:t>
      </w:r>
      <w:r>
        <w:t xml:space="preserve">then adjusted for </w:t>
      </w:r>
      <w:r w:rsidRPr="00D7574F">
        <w:t>an estimate of expected inflation (even if that estimate of expected inflation is accurate)</w:t>
      </w:r>
      <w:r>
        <w:t>. CEG submitted that</w:t>
      </w:r>
      <w:r w:rsidRPr="00ED7C40">
        <w:t xml:space="preserve"> adopting the yield on indexed CGS as the real risk free rate will substantially improve the accuracy of the PTRM in setting real returns</w:t>
      </w:r>
      <w:r w:rsidRPr="00D7574F">
        <w:t>.</w:t>
      </w:r>
      <w:r>
        <w:rPr>
          <w:rStyle w:val="FootnoteReference"/>
        </w:rPr>
        <w:footnoteReference w:id="1689"/>
      </w:r>
    </w:p>
    <w:p w:rsidR="00E46946" w:rsidRDefault="00E46946" w:rsidP="00E46946">
      <w:r>
        <w:t xml:space="preserve">We do not consider it implausible or anomalous for yields on indexed CGS to fall below zero. As shown in </w:t>
      </w:r>
      <w:r>
        <w:fldChar w:fldCharType="begin"/>
      </w:r>
      <w:r>
        <w:instrText xml:space="preserve"> REF _Ref486940783 \h </w:instrText>
      </w:r>
      <w:r>
        <w:fldChar w:fldCharType="separate"/>
      </w:r>
      <w:r w:rsidR="002C24D6">
        <w:t xml:space="preserve">Figure </w:t>
      </w:r>
      <w:r w:rsidR="002C24D6">
        <w:rPr>
          <w:noProof/>
        </w:rPr>
        <w:t>3</w:t>
      </w:r>
      <w:r w:rsidR="002C24D6">
        <w:noBreakHyphen/>
      </w:r>
      <w:r w:rsidR="002C24D6">
        <w:rPr>
          <w:noProof/>
        </w:rPr>
        <w:t>24</w:t>
      </w:r>
      <w:r>
        <w:fldChar w:fldCharType="end"/>
      </w:r>
      <w:r>
        <w:t xml:space="preserve"> below, the yield to maturity on 10-year indexed CGS approached zero in mid-2012 and early 2015. Given the movement in observed yields on indexed CGS since 2010, we consider it plausible (though we have no views on likelihood) that yields could again approach or fall below zero.</w:t>
      </w:r>
    </w:p>
    <w:p w:rsidR="00E46946" w:rsidRDefault="00E46946" w:rsidP="00E46946">
      <w:pPr>
        <w:pStyle w:val="Caption"/>
      </w:pPr>
      <w:bookmarkStart w:id="573" w:name="_Ref486940783"/>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noBreakHyphen/>
      </w:r>
      <w:r w:rsidR="002C24D6">
        <w:fldChar w:fldCharType="begin"/>
      </w:r>
      <w:r w:rsidR="002C24D6">
        <w:instrText xml:space="preserve"> SEQ Figure \* ARABIC \s 1 </w:instrText>
      </w:r>
      <w:r w:rsidR="002C24D6">
        <w:fldChar w:fldCharType="separate"/>
      </w:r>
      <w:r w:rsidR="002C24D6">
        <w:rPr>
          <w:noProof/>
        </w:rPr>
        <w:t>24</w:t>
      </w:r>
      <w:r w:rsidR="002C24D6">
        <w:rPr>
          <w:noProof/>
        </w:rPr>
        <w:fldChar w:fldCharType="end"/>
      </w:r>
      <w:bookmarkEnd w:id="573"/>
      <w:r>
        <w:t xml:space="preserve"> Yields on 10-year nominal and indexed CGS (AGS)</w:t>
      </w:r>
    </w:p>
    <w:p w:rsidR="00E46946" w:rsidRDefault="00E46946" w:rsidP="00E46946">
      <w:r w:rsidRPr="00E46946">
        <w:rPr>
          <w:noProof/>
          <w:lang w:eastAsia="en-AU"/>
        </w:rPr>
        <w:drawing>
          <wp:inline distT="0" distB="0" distL="0" distR="0" wp14:anchorId="4D501484" wp14:editId="142FDE74">
            <wp:extent cx="5382895" cy="3494947"/>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895" cy="3494947"/>
                    </a:xfrm>
                    <a:prstGeom prst="rect">
                      <a:avLst/>
                    </a:prstGeom>
                    <a:noFill/>
                    <a:ln>
                      <a:noFill/>
                    </a:ln>
                  </pic:spPr>
                </pic:pic>
              </a:graphicData>
            </a:graphic>
          </wp:inline>
        </w:drawing>
      </w:r>
    </w:p>
    <w:p w:rsidR="00E46946" w:rsidRDefault="00E46946" w:rsidP="00E46946">
      <w:pPr>
        <w:pStyle w:val="AERtablesource"/>
      </w:pPr>
      <w:r>
        <w:t>Source: AER analysis, RBA interest rate statistics F16 Indicative Mid-Rates of Australian Government Securities</w:t>
      </w:r>
    </w:p>
    <w:p w:rsidR="00E46946" w:rsidRDefault="00E46946" w:rsidP="00E46946">
      <w:r>
        <w:t xml:space="preserve">We also consider it plausible for yields on indexed CGS to be positive while the real risk free rate is negative. As outlined in section </w:t>
      </w:r>
      <w:r>
        <w:fldChar w:fldCharType="begin"/>
      </w:r>
      <w:r>
        <w:instrText xml:space="preserve"> REF _Ref482256986 \r \h </w:instrText>
      </w:r>
      <w:r>
        <w:fldChar w:fldCharType="separate"/>
      </w:r>
      <w:r w:rsidR="002C24D6">
        <w:t>3.4.4</w:t>
      </w:r>
      <w:r>
        <w:fldChar w:fldCharType="end"/>
      </w:r>
      <w:r>
        <w:t>, there are a number of biases and risk premia that may affect yields on indexed CGS, specifically potential liquidity premia driven by the relative liquidity of nominal and indexed CGS. If investors in indexed CGS consider liquidity to be a significant risk, then yields on indexed CGS will be higher to compensate investors for this risk. In this case, the yields on indexed CGS do not represent a true real risk free rate, but the real risk free rate plus the liquidity premium. Academic researchers have found that liquidity premium on indexed CGS could range from -30 to 300 basis points.</w:t>
      </w:r>
      <w:r>
        <w:rPr>
          <w:rStyle w:val="FootnoteReference"/>
        </w:rPr>
        <w:footnoteReference w:id="1690"/>
      </w:r>
      <w:r>
        <w:t xml:space="preserve"> Currently, a liquidity premium of 64 basis points</w:t>
      </w:r>
      <w:r>
        <w:rPr>
          <w:rStyle w:val="FootnoteReference"/>
        </w:rPr>
        <w:footnoteReference w:id="1691"/>
      </w:r>
      <w:r>
        <w:t xml:space="preserve"> or higher would result in a negative risk-adjusted return on indexed CGS.</w:t>
      </w:r>
    </w:p>
    <w:p w:rsidR="00E46946" w:rsidRDefault="00E46946" w:rsidP="00E46946">
      <w:r>
        <w:t>Further, we do not consider that negative interest rates are implausible in general. There may be a cost to storing and insuring cash reserves, such that investing in bonds and other assets can remain attractive even at negative interest rates.</w:t>
      </w:r>
      <w:r>
        <w:rPr>
          <w:rStyle w:val="FootnoteReference"/>
        </w:rPr>
        <w:footnoteReference w:id="1692"/>
      </w:r>
      <w:r>
        <w:t xml:space="preserve"> The CCP supported this view, stating:</w:t>
      </w:r>
      <w:r>
        <w:rPr>
          <w:rStyle w:val="FootnoteReference"/>
        </w:rPr>
        <w:footnoteReference w:id="1693"/>
      </w:r>
    </w:p>
    <w:p w:rsidR="00E46946" w:rsidRDefault="00E46946" w:rsidP="00E46946">
      <w:pPr>
        <w:pStyle w:val="AERquoteindent1"/>
      </w:pPr>
      <w:r>
        <w:t>…very low rates are a fact, and negative rates are not outside the realms of possibility</w:t>
      </w:r>
    </w:p>
    <w:p w:rsidR="00E46946" w:rsidRDefault="00E46946" w:rsidP="00E46946">
      <w:r>
        <w:t>In any case, our final decision implies a positive real risk free rate. In this light, the submissions from CEG</w:t>
      </w:r>
      <w:r w:rsidR="00E5321E">
        <w:t>, AGN, Multinet,</w:t>
      </w:r>
      <w:r>
        <w:t xml:space="preserve"> and AusNet Services can be reduced to the contention that the RBA forecasts and target band method does not result in best estimates of expected inflation because it would result in an implied real risk free rate that is materially different from yields on indexed CGS (regardless of whether the risk free rate is negative or positive). This contention presumes that the yields on indexed CGS provide an accurate and unbiased estimate of the real risk free rate. We do not consider that this presumption is supported by the evidence currently available to us. Specifically, we consider that there are a number of biases and risk premia (see section </w:t>
      </w:r>
      <w:r>
        <w:fldChar w:fldCharType="begin"/>
      </w:r>
      <w:r>
        <w:instrText xml:space="preserve"> REF _Ref482256986 \r \h </w:instrText>
      </w:r>
      <w:r>
        <w:fldChar w:fldCharType="separate"/>
      </w:r>
      <w:r w:rsidR="002C24D6">
        <w:t>3.4.4</w:t>
      </w:r>
      <w:r>
        <w:fldChar w:fldCharType="end"/>
      </w:r>
      <w:r>
        <w:t>) likely to affect the yield on indexed CGS such that it does not equal the real risk free rate.</w:t>
      </w:r>
    </w:p>
    <w:p w:rsidR="00E46946" w:rsidRDefault="00E46946" w:rsidP="00E46946">
      <w:r>
        <w:t>We also consider the evidence from the Australian market for zero-coupon inflation swaps. CEG</w:t>
      </w:r>
      <w:r w:rsidR="00E5321E">
        <w:t>, AGN, Multinet,</w:t>
      </w:r>
      <w:r>
        <w:t xml:space="preserve"> and AusNet Services submitted that an investor could invest in indexed CGS and earn a real risk free return. However, to earn a real risk free return, an investor could alternatively invest in nominal CGS and enter into an inflation swap to hedge inflation risk on its investment in nominal CGS. </w:t>
      </w:r>
      <w:r>
        <w:fldChar w:fldCharType="begin"/>
      </w:r>
      <w:r>
        <w:instrText xml:space="preserve"> REF _Ref486940830 \h </w:instrText>
      </w:r>
      <w:r>
        <w:fldChar w:fldCharType="separate"/>
      </w:r>
      <w:r w:rsidR="002C24D6">
        <w:t xml:space="preserve">Figure </w:t>
      </w:r>
      <w:r w:rsidR="002C24D6">
        <w:rPr>
          <w:noProof/>
        </w:rPr>
        <w:t>3</w:t>
      </w:r>
      <w:r w:rsidR="002C24D6">
        <w:noBreakHyphen/>
      </w:r>
      <w:r w:rsidR="002C24D6">
        <w:rPr>
          <w:noProof/>
        </w:rPr>
        <w:t>25</w:t>
      </w:r>
      <w:r>
        <w:fldChar w:fldCharType="end"/>
      </w:r>
      <w:r>
        <w:t xml:space="preserve"> below outlines the structure of a zero-coupon inflation swap. In this case, the investor would be the fixed rate payer in the inflation swap agreement and would pay a fixed, market-determined rate to the counterparty in exchange for a floating rate payment (based on outturn CPI) from the counterparty. </w:t>
      </w:r>
    </w:p>
    <w:p w:rsidR="00E46946" w:rsidRPr="00FF7954" w:rsidRDefault="00E46946" w:rsidP="00E46946">
      <w:pPr>
        <w:pStyle w:val="Caption"/>
      </w:pPr>
      <w:bookmarkStart w:id="574" w:name="_Ref486940830"/>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noBreakHyphen/>
      </w:r>
      <w:r w:rsidR="002C24D6">
        <w:fldChar w:fldCharType="begin"/>
      </w:r>
      <w:r w:rsidR="002C24D6">
        <w:instrText xml:space="preserve"> SEQ Figure \* ARABIC \s 1 </w:instrText>
      </w:r>
      <w:r w:rsidR="002C24D6">
        <w:fldChar w:fldCharType="separate"/>
      </w:r>
      <w:r w:rsidR="002C24D6">
        <w:rPr>
          <w:noProof/>
        </w:rPr>
        <w:t>25</w:t>
      </w:r>
      <w:r w:rsidR="002C24D6">
        <w:rPr>
          <w:noProof/>
        </w:rPr>
        <w:fldChar w:fldCharType="end"/>
      </w:r>
      <w:bookmarkEnd w:id="574"/>
      <w:r>
        <w:tab/>
        <w:t>Structure of a zero-coupon inflation swap</w:t>
      </w:r>
    </w:p>
    <w:p w:rsidR="00E46946" w:rsidRPr="00FF7954" w:rsidRDefault="00E46946" w:rsidP="00E46946">
      <w:r w:rsidRPr="00FF7954">
        <w:tab/>
      </w:r>
      <w:r w:rsidRPr="00FF7954">
        <w:tab/>
      </w:r>
      <w:r w:rsidRPr="00FF7954">
        <w:tab/>
      </w:r>
      <w:r w:rsidRPr="00FF7954">
        <w:tab/>
      </w:r>
      <w:r w:rsidRPr="00FF7954">
        <w:tab/>
      </w:r>
      <w:r w:rsidRPr="00FF7954">
        <w:tab/>
      </w:r>
      <w:r w:rsidRPr="00FF7954">
        <w:tab/>
        <w:t>Notional value*((1 + fixed rate)tenor –1)</w:t>
      </w:r>
    </w:p>
    <w:p w:rsidR="00E46946" w:rsidRPr="00FF7954" w:rsidRDefault="00E46946" w:rsidP="00E46946">
      <w:r w:rsidRPr="00E46946">
        <w:rPr>
          <w:noProof/>
          <w:lang w:eastAsia="en-AU"/>
        </w:rPr>
        <mc:AlternateContent>
          <mc:Choice Requires="wps">
            <w:drawing>
              <wp:anchor distT="0" distB="0" distL="114300" distR="114300" simplePos="0" relativeHeight="251669504" behindDoc="0" locked="0" layoutInCell="1" allowOverlap="1" wp14:anchorId="0B75BB18" wp14:editId="3E974EFA">
                <wp:simplePos x="0" y="0"/>
                <wp:positionH relativeFrom="column">
                  <wp:posOffset>4053840</wp:posOffset>
                </wp:positionH>
                <wp:positionV relativeFrom="paragraph">
                  <wp:posOffset>52705</wp:posOffset>
                </wp:positionV>
                <wp:extent cx="1181735" cy="580390"/>
                <wp:effectExtent l="0" t="0" r="18415" b="10160"/>
                <wp:wrapNone/>
                <wp:docPr id="2" name="Text Box 2"/>
                <wp:cNvGraphicFramePr/>
                <a:graphic xmlns:a="http://schemas.openxmlformats.org/drawingml/2006/main">
                  <a:graphicData uri="http://schemas.microsoft.com/office/word/2010/wordprocessingShape">
                    <wps:wsp>
                      <wps:cNvSpPr txBox="1"/>
                      <wps:spPr>
                        <a:xfrm>
                          <a:off x="0" y="0"/>
                          <a:ext cx="1181735" cy="580390"/>
                        </a:xfrm>
                        <a:prstGeom prst="rect">
                          <a:avLst/>
                        </a:prstGeom>
                        <a:solidFill>
                          <a:sysClr val="window" lastClr="FFFFFF"/>
                        </a:solidFill>
                        <a:ln w="6350">
                          <a:solidFill>
                            <a:prstClr val="black"/>
                          </a:solidFill>
                        </a:ln>
                        <a:effectLst/>
                      </wps:spPr>
                      <wps:txbx>
                        <w:txbxContent>
                          <w:p w:rsidR="00484671" w:rsidRDefault="00484671" w:rsidP="00E46946">
                            <w:r>
                              <w:t>Counterparty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9" type="#_x0000_t202" style="position:absolute;margin-left:319.2pt;margin-top:4.15pt;width:93.05pt;height:45.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" fillcolor="window" strokeweight=".5pt">
                <v:textbox>
                  <w:txbxContent>
                    <w:p w:rsidR="00484671" w:rsidRDefault="00484671" w:rsidP="00E46946">
                      <w:r>
                        <w:t>Counterparty B</w:t>
                      </w:r>
                    </w:p>
                  </w:txbxContent>
                </v:textbox>
              </v:shape>
            </w:pict>
          </mc:Fallback>
        </mc:AlternateContent>
      </w:r>
      <w:r w:rsidRPr="00E46946">
        <w:rPr>
          <w:noProof/>
          <w:lang w:eastAsia="en-AU"/>
        </w:rPr>
        <mc:AlternateContent>
          <mc:Choice Requires="wps">
            <w:drawing>
              <wp:anchor distT="0" distB="0" distL="114300" distR="114300" simplePos="0" relativeHeight="251671552" behindDoc="0" locked="0" layoutInCell="1" allowOverlap="1" wp14:anchorId="4DBD9CB2" wp14:editId="7E312443">
                <wp:simplePos x="0" y="0"/>
                <wp:positionH relativeFrom="column">
                  <wp:posOffset>1134745</wp:posOffset>
                </wp:positionH>
                <wp:positionV relativeFrom="paragraph">
                  <wp:posOffset>130810</wp:posOffset>
                </wp:positionV>
                <wp:extent cx="2917190" cy="15240"/>
                <wp:effectExtent l="0" t="76200" r="16510" b="80010"/>
                <wp:wrapNone/>
                <wp:docPr id="22" name="Straight Arrow Connector 22"/>
                <wp:cNvGraphicFramePr/>
                <a:graphic xmlns:a="http://schemas.openxmlformats.org/drawingml/2006/main">
                  <a:graphicData uri="http://schemas.microsoft.com/office/word/2010/wordprocessingShape">
                    <wps:wsp>
                      <wps:cNvCnPr/>
                      <wps:spPr>
                        <a:xfrm flipV="1">
                          <a:off x="0" y="0"/>
                          <a:ext cx="291719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22" o:spid="_x0000_s1026" type="#_x0000_t32" style="position:absolute;margin-left:89.35pt;margin-top:10.3pt;width:229.7pt;height:1.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" strokecolor="#37454f">
                <v:stroke endarrow="block"/>
              </v:shape>
            </w:pict>
          </mc:Fallback>
        </mc:AlternateContent>
      </w:r>
      <w:r w:rsidRPr="00E46946">
        <w:rPr>
          <w:noProof/>
          <w:lang w:eastAsia="en-AU"/>
        </w:rPr>
        <mc:AlternateContent>
          <mc:Choice Requires="wps">
            <w:drawing>
              <wp:anchor distT="0" distB="0" distL="114300" distR="114300" simplePos="0" relativeHeight="251668480" behindDoc="0" locked="0" layoutInCell="1" allowOverlap="1" wp14:anchorId="3E49291C" wp14:editId="17BAD9F0">
                <wp:simplePos x="0" y="0"/>
                <wp:positionH relativeFrom="column">
                  <wp:posOffset>-32385</wp:posOffset>
                </wp:positionH>
                <wp:positionV relativeFrom="paragraph">
                  <wp:posOffset>81280</wp:posOffset>
                </wp:positionV>
                <wp:extent cx="1166495" cy="580390"/>
                <wp:effectExtent l="0" t="0" r="14605" b="10160"/>
                <wp:wrapNone/>
                <wp:docPr id="24" name="Text Box 24"/>
                <wp:cNvGraphicFramePr/>
                <a:graphic xmlns:a="http://schemas.openxmlformats.org/drawingml/2006/main">
                  <a:graphicData uri="http://schemas.microsoft.com/office/word/2010/wordprocessingShape">
                    <wps:wsp>
                      <wps:cNvSpPr txBox="1"/>
                      <wps:spPr>
                        <a:xfrm>
                          <a:off x="0" y="0"/>
                          <a:ext cx="1166495" cy="580390"/>
                        </a:xfrm>
                        <a:prstGeom prst="rect">
                          <a:avLst/>
                        </a:prstGeom>
                        <a:solidFill>
                          <a:sysClr val="window" lastClr="FFFFFF"/>
                        </a:solidFill>
                        <a:ln w="6350">
                          <a:solidFill>
                            <a:prstClr val="black"/>
                          </a:solidFill>
                        </a:ln>
                        <a:effectLst/>
                      </wps:spPr>
                      <wps:txbx>
                        <w:txbxContent>
                          <w:p w:rsidR="00484671" w:rsidRDefault="00484671" w:rsidP="00E46946">
                            <w:r>
                              <w:t>Counterparty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0" type="#_x0000_t202" style="position:absolute;margin-left:-2.55pt;margin-top:6.4pt;width:91.85pt;height:45.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" fillcolor="window" strokeweight=".5pt">
                <v:textbox>
                  <w:txbxContent>
                    <w:p w:rsidR="00484671" w:rsidRDefault="00484671" w:rsidP="00E46946">
                      <w:r>
                        <w:t>Counterparty A</w:t>
                      </w:r>
                    </w:p>
                  </w:txbxContent>
                </v:textbox>
              </v:shape>
            </w:pict>
          </mc:Fallback>
        </mc:AlternateContent>
      </w:r>
    </w:p>
    <w:p w:rsidR="00E46946" w:rsidRPr="00FE48A7" w:rsidRDefault="00E46946" w:rsidP="00E46946">
      <w:r w:rsidRPr="00E46946">
        <w:rPr>
          <w:noProof/>
          <w:lang w:eastAsia="en-AU"/>
        </w:rPr>
        <mc:AlternateContent>
          <mc:Choice Requires="wps">
            <w:drawing>
              <wp:anchor distT="0" distB="0" distL="114300" distR="114300" simplePos="0" relativeHeight="251670528" behindDoc="0" locked="0" layoutInCell="1" allowOverlap="1" wp14:anchorId="76477997" wp14:editId="2F1098E8">
                <wp:simplePos x="0" y="0"/>
                <wp:positionH relativeFrom="column">
                  <wp:posOffset>1142365</wp:posOffset>
                </wp:positionH>
                <wp:positionV relativeFrom="paragraph">
                  <wp:posOffset>209550</wp:posOffset>
                </wp:positionV>
                <wp:extent cx="2912110" cy="15240"/>
                <wp:effectExtent l="38100" t="57150" r="0" b="99060"/>
                <wp:wrapNone/>
                <wp:docPr id="25" name="Straight Arrow Connector 25"/>
                <wp:cNvGraphicFramePr/>
                <a:graphic xmlns:a="http://schemas.openxmlformats.org/drawingml/2006/main">
                  <a:graphicData uri="http://schemas.microsoft.com/office/word/2010/wordprocessingShape">
                    <wps:wsp>
                      <wps:cNvCnPr/>
                      <wps:spPr>
                        <a:xfrm flipH="1">
                          <a:off x="0" y="0"/>
                          <a:ext cx="291211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25" o:spid="_x0000_s1026" type="#_x0000_t32" style="position:absolute;margin-left:89.95pt;margin-top:16.5pt;width:229.3pt;height:1.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" strokecolor="#37454f">
                <v:stroke endarrow="block"/>
              </v:shape>
            </w:pict>
          </mc:Fallback>
        </mc:AlternateContent>
      </w:r>
    </w:p>
    <w:p w:rsidR="00E46946" w:rsidRPr="00FF7954" w:rsidRDefault="00E46946" w:rsidP="00E46946">
      <w:r>
        <w:tab/>
      </w:r>
      <w:r>
        <w:tab/>
      </w:r>
      <w:r>
        <w:tab/>
      </w:r>
      <w:r>
        <w:tab/>
      </w:r>
      <w:r>
        <w:tab/>
      </w:r>
      <w:r>
        <w:tab/>
      </w:r>
      <w:r>
        <w:tab/>
      </w:r>
      <w:r w:rsidRPr="00FF7954">
        <w:t>Notional value*(</w:t>
      </w:r>
      <m:oMath>
        <m:f>
          <m:fPr>
            <m:ctrlPr>
              <w:rPr>
                <w:rFonts w:ascii="Cambria Math" w:hAnsi="Cambria Math"/>
              </w:rPr>
            </m:ctrlPr>
          </m:fPr>
          <m:num>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t+tenor</m:t>
                </m:r>
              </m:sub>
            </m:sSub>
          </m:num>
          <m:den>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m:t>
                </m:r>
              </m:sub>
            </m:sSub>
          </m:den>
        </m:f>
        <m:r>
          <m:rPr>
            <m:sty m:val="bi"/>
          </m:rPr>
          <w:rPr>
            <w:rFonts w:ascii="Cambria Math" w:hAnsi="Cambria Math"/>
          </w:rPr>
          <m:t>-1</m:t>
        </m:r>
      </m:oMath>
      <w:r w:rsidRPr="00FF7954">
        <w:t>)</w:t>
      </w:r>
    </w:p>
    <w:p w:rsidR="00E46946" w:rsidRPr="00FF7954" w:rsidRDefault="00E46946" w:rsidP="00E46946">
      <w:pPr>
        <w:pStyle w:val="AERtablesource"/>
      </w:pPr>
      <w:r w:rsidRPr="00FF7954">
        <w:t xml:space="preserve">Source: </w:t>
      </w:r>
      <w:r>
        <w:tab/>
      </w:r>
      <w:r w:rsidRPr="00FF7954">
        <w:t>Michael Oman, ‘Inflation swap structures: The benchmark – Zero coupon inflation swaps’, Inflation Derivatives: A Users Guide, Barclays Capital, January</w:t>
      </w:r>
      <w:r>
        <w:t xml:space="preserve"> 2005</w:t>
      </w:r>
      <w:r w:rsidRPr="00FF7954">
        <w:t xml:space="preserve">, p. 5. </w:t>
      </w:r>
    </w:p>
    <w:p w:rsidR="00E46946" w:rsidRDefault="00E46946" w:rsidP="00E46946">
      <w:r>
        <w:t>The floating rate payments that the inflation-hedged nominal CGS investor receives from their inflation swap should equal the value of the nominal CGS yield that is eroded by inflation,</w:t>
      </w:r>
      <w:r>
        <w:rPr>
          <w:rStyle w:val="FootnoteReference"/>
        </w:rPr>
        <w:footnoteReference w:id="1694"/>
      </w:r>
      <w:r>
        <w:t xml:space="preserve"> preserving the nominal yield as the real return. The real return that the investor receives is then the yield on nominal CGS less the fixed swap rate, which is market-determined rate. Over </w:t>
      </w:r>
      <w:r w:rsidR="00E5321E">
        <w:t>our draft decision risk free rate</w:t>
      </w:r>
      <w:r>
        <w:t xml:space="preserve"> averaging period, the market-determined zero-coupon swap rate was 2.34 per cent.</w:t>
      </w:r>
      <w:r>
        <w:rPr>
          <w:rStyle w:val="FootnoteReference"/>
        </w:rPr>
        <w:footnoteReference w:id="1695"/>
      </w:r>
      <w:r>
        <w:t xml:space="preserve"> Combined with our nominal risk free rate (estimated from yields on nominal CGS), this implies a real risk free rate of 0.</w:t>
      </w:r>
      <w:r w:rsidR="00E5321E">
        <w:t>25</w:t>
      </w:r>
      <w:r>
        <w:t xml:space="preserve"> per cent, </w:t>
      </w:r>
      <w:r w:rsidR="00E5321E">
        <w:t xml:space="preserve">about </w:t>
      </w:r>
      <w:r>
        <w:t>4</w:t>
      </w:r>
      <w:r w:rsidR="00E5321E">
        <w:t>0</w:t>
      </w:r>
      <w:r>
        <w:t xml:space="preserve"> basis points less than the yield on indexed CGS.</w:t>
      </w:r>
    </w:p>
    <w:p w:rsidR="00E46946" w:rsidRDefault="00E46946" w:rsidP="00E46946">
      <w:r>
        <w:t>Although investors cannot (directly) invest in RBA forecasts or the RBA target band, this fact alone does not invalidate our real risk free rate estimate. Investors can invest in indexed CGS or in inflation swaps. Both swap and bond rates are market-determined, however swap-implied real risk free rates can differ materially from yields on indexed CGS. The difference between these two real risk free rate estimates is likely to be the presence of biases and premia in either the swap rates, the indexed CGS yields,</w:t>
      </w:r>
      <w:r w:rsidRPr="00C3226B">
        <w:t xml:space="preserve"> </w:t>
      </w:r>
      <w:r>
        <w:t xml:space="preserve">or both. </w:t>
      </w:r>
    </w:p>
    <w:p w:rsidR="00E46946" w:rsidRDefault="00E46946" w:rsidP="00E46946">
      <w:r>
        <w:t xml:space="preserve">We consider, based on the currently available evidence, that the swap rate is likely to be less influenced by biases and premia than the yields on indexed CGS. However, we also consider that the swap rate may be influenced by bias and premia, such that it too may not reflect the true real risk free rate. </w:t>
      </w:r>
    </w:p>
    <w:p w:rsidR="00E46946" w:rsidRDefault="00E46946" w:rsidP="00E46946">
      <w:r>
        <w:t>Academic evidence that long term inflation expectations are relatively stable and anchored to the RBA target band, may suggest that the RBA forecasts and target band approach  provides the best estimates of expected inflation. We also consider that the yields on nominal CGS provide the best estimate of the nominal risk free rate. Therefore, we are satisfied that the best estimates of the nominal risk free rate and expected inflation will result in the best estimate of the real risk free rate.</w:t>
      </w:r>
    </w:p>
    <w:p w:rsidR="00E46946" w:rsidRPr="00C93468" w:rsidRDefault="00E46946" w:rsidP="00E46946">
      <w:pPr>
        <w:pStyle w:val="Heading9"/>
      </w:pPr>
      <w:bookmarkStart w:id="575" w:name="_Toc487037250"/>
      <w:r>
        <w:t>Calculating a nominal risk free rate from our inflation estimate and indexed CGS yields</w:t>
      </w:r>
      <w:bookmarkEnd w:id="575"/>
    </w:p>
    <w:p w:rsidR="00E46946" w:rsidRDefault="00E46946" w:rsidP="00E46946">
      <w:r>
        <w:t>AusNet Services proposed that, if the break-even approach is not adopted for estimating expected inflation, then we should change the way we estimate the nominal risk free rate. In this case AusNet Services proposes that the nominal risk free rate should be estimated by starting with the yield on indexed CGS as an estimate of the real risk free rate, and then transform this real rate into a nominal rate using the Fisher equation and our estimate of expected inflation.</w:t>
      </w:r>
      <w:r>
        <w:rPr>
          <w:rStyle w:val="FootnoteReference"/>
        </w:rPr>
        <w:footnoteReference w:id="1696"/>
      </w:r>
      <w:r>
        <w:t xml:space="preserve"> </w:t>
      </w:r>
    </w:p>
    <w:p w:rsidR="00E46946" w:rsidRDefault="00E46946" w:rsidP="00E46946">
      <w:r>
        <w:t xml:space="preserve">AusNet Services' proposal is premised on the yields on indexed CGS reflecting the real risk free rate. For the reasons set out in section </w:t>
      </w:r>
      <w:r>
        <w:fldChar w:fldCharType="begin"/>
      </w:r>
      <w:r>
        <w:instrText xml:space="preserve"> REF _Ref486940867 \r \h </w:instrText>
      </w:r>
      <w:r>
        <w:fldChar w:fldCharType="separate"/>
      </w:r>
      <w:r w:rsidR="002C24D6">
        <w:t>M.1.5</w:t>
      </w:r>
      <w:r>
        <w:fldChar w:fldCharType="end"/>
      </w:r>
      <w:r>
        <w:t>, we consider that the yield on indexed CGS is not the best estimate of the real risk free rate. For this reason, we consider that AusNet Services' alternative proposal for estimating the nominal risk free rate will not result in a reliable and unbiased estimate, and therefore would not contribute to the achievement of the allowed rate of return objective.</w:t>
      </w:r>
    </w:p>
    <w:p w:rsidR="00E46946" w:rsidRPr="00E46946" w:rsidRDefault="00E46946" w:rsidP="00E46946">
      <w:pPr>
        <w:pStyle w:val="Heading8"/>
      </w:pPr>
      <w:bookmarkStart w:id="576" w:name="_Ref486970161"/>
      <w:bookmarkStart w:id="577" w:name="_Toc487037251"/>
      <w:r>
        <w:t>Break-even estimates a</w:t>
      </w:r>
      <w:r w:rsidRPr="00E46946">
        <w:t>s a direct market measure</w:t>
      </w:r>
      <w:bookmarkEnd w:id="576"/>
      <w:bookmarkEnd w:id="577"/>
    </w:p>
    <w:p w:rsidR="00E46946" w:rsidRDefault="00E46946" w:rsidP="00E46946">
      <w:r>
        <w:t xml:space="preserve">AGN, AusNet Services and CEG submitted that bond </w:t>
      </w:r>
      <w:r w:rsidRPr="00ED7C40">
        <w:t xml:space="preserve">break-even inflation </w:t>
      </w:r>
      <w:r>
        <w:t>estimates are</w:t>
      </w:r>
      <w:r w:rsidRPr="00ED7C40">
        <w:t xml:space="preserve"> a direct measure of inflation expectations in the same bond market that the AER uses to set the nominal rate of return on equity (i.e., the CGS market).</w:t>
      </w:r>
      <w:r>
        <w:t xml:space="preserve"> CEG also submitted that </w:t>
      </w:r>
      <w:r w:rsidRPr="00D7574F">
        <w:t xml:space="preserve">indexed CGS are a more direct proxy for the real risk free rate than </w:t>
      </w:r>
      <w:r>
        <w:t xml:space="preserve">a measure equal to </w:t>
      </w:r>
      <w:r w:rsidRPr="00D7574F">
        <w:t>nominal CGS less an estimate of expected inflation (even if that estimate of expected inflation is accurate).</w:t>
      </w:r>
      <w:r>
        <w:rPr>
          <w:rStyle w:val="FootnoteReference"/>
        </w:rPr>
        <w:footnoteReference w:id="1697"/>
      </w:r>
    </w:p>
    <w:p w:rsidR="00E46946" w:rsidRPr="002270C0" w:rsidRDefault="00E46946" w:rsidP="00E46946">
      <w:r w:rsidRPr="002270C0">
        <w:t xml:space="preserve">CEG contends that breakeven inflation, as calculated by the difference between nominal and indexed CGS bond yields, is a direct measure of market inflation expectations. This contention would only hold true if the </w:t>
      </w:r>
      <w:r>
        <w:t>following assumptions were true</w:t>
      </w:r>
      <w:r w:rsidRPr="002270C0">
        <w:t>:</w:t>
      </w:r>
    </w:p>
    <w:p w:rsidR="00E46946" w:rsidRPr="002270C0" w:rsidRDefault="00E46946" w:rsidP="00E46946">
      <w:pPr>
        <w:pStyle w:val="AERbulletlistfirststyle"/>
      </w:pPr>
      <w:r w:rsidRPr="002270C0">
        <w:t xml:space="preserve">breakeven inflation can be accurately </w:t>
      </w:r>
      <w:r>
        <w:t xml:space="preserve">and reliably </w:t>
      </w:r>
      <w:r w:rsidRPr="002270C0">
        <w:t>calculated from nominal and indexed CGS; and</w:t>
      </w:r>
    </w:p>
    <w:p w:rsidR="00E46946" w:rsidRPr="002270C0" w:rsidRDefault="00E46946" w:rsidP="00E46946">
      <w:pPr>
        <w:pStyle w:val="AERbulletlistfirststyle"/>
      </w:pPr>
      <w:r w:rsidRPr="002270C0">
        <w:t>yields for nominal and indexed CGS were not influenced by premia or biases held by bond investors</w:t>
      </w:r>
      <w:r>
        <w:t xml:space="preserve"> (or </w:t>
      </w:r>
      <w:r w:rsidRPr="002270C0">
        <w:t>if the various premia and biases influencing bond investors could be identified and decomposed within bond yields</w:t>
      </w:r>
      <w:r>
        <w:t>)</w:t>
      </w:r>
      <w:r w:rsidRPr="002270C0">
        <w:t>.</w:t>
      </w:r>
    </w:p>
    <w:p w:rsidR="00E46946" w:rsidRPr="002270C0" w:rsidRDefault="00E46946" w:rsidP="00E46946">
      <w:r>
        <w:t>In regards to</w:t>
      </w:r>
      <w:r w:rsidRPr="002270C0">
        <w:t xml:space="preserve"> the first assumption, a lack of outstanding tenors in indexed C</w:t>
      </w:r>
      <w:r>
        <w:t>GS relative to nominal CGS can lead</w:t>
      </w:r>
      <w:r w:rsidRPr="002270C0">
        <w:t xml:space="preserve"> to problems in matching the maturities of nominal and indexed CGS.</w:t>
      </w:r>
      <w:r w:rsidRPr="002270C0">
        <w:rPr>
          <w:rStyle w:val="FootnoteReference"/>
        </w:rPr>
        <w:footnoteReference w:id="1698"/>
      </w:r>
      <w:r w:rsidRPr="002270C0">
        <w:t xml:space="preserve"> The approximate matching of 10 year maturities of nominal and indexed CGS is necessary for the calculation of 10 year </w:t>
      </w:r>
      <w:r>
        <w:t>bond break-even estimates</w:t>
      </w:r>
      <w:r w:rsidRPr="002270C0">
        <w:t>. Thus, if there are too few tenors of indexed CGS, or the tenors of indexed and nominal CGS don’t match, the calculation of breakeven inflation may rely on estimates of yields to maturity rather than on observed yields to maturity.</w:t>
      </w:r>
      <w:r w:rsidRPr="002270C0">
        <w:rPr>
          <w:rStyle w:val="FootnoteReference"/>
        </w:rPr>
        <w:footnoteReference w:id="1699"/>
      </w:r>
      <w:r w:rsidRPr="002270C0">
        <w:t xml:space="preserve"> This leads to two implications:</w:t>
      </w:r>
    </w:p>
    <w:p w:rsidR="00E46946" w:rsidRPr="002270C0" w:rsidRDefault="00E46946" w:rsidP="00E46946">
      <w:pPr>
        <w:pStyle w:val="AERbulletlistfirststyle"/>
      </w:pPr>
      <w:r w:rsidRPr="002270C0">
        <w:t xml:space="preserve">the </w:t>
      </w:r>
      <w:r>
        <w:t>break-even</w:t>
      </w:r>
      <w:r w:rsidRPr="002270C0">
        <w:t>-implied forward inflation rates are unlikely to correspond to market expectations of future short term inflation rates; and</w:t>
      </w:r>
    </w:p>
    <w:p w:rsidR="00E46946" w:rsidRPr="002270C0" w:rsidRDefault="00E46946" w:rsidP="00E46946">
      <w:pPr>
        <w:pStyle w:val="AERbulletlistfirststyle"/>
      </w:pPr>
      <w:r w:rsidRPr="002270C0">
        <w:t xml:space="preserve">the </w:t>
      </w:r>
      <w:r>
        <w:t>break-even estimate</w:t>
      </w:r>
      <w:r w:rsidRPr="002270C0">
        <w:t xml:space="preserve"> is unlikely to reflect mark-to-market expectations of inflation over any yearly horizon up to 10 years ahead.</w:t>
      </w:r>
    </w:p>
    <w:p w:rsidR="002C24D6" w:rsidRPr="00254472" w:rsidRDefault="00E46946" w:rsidP="00254472">
      <w:r w:rsidRPr="002270C0">
        <w:t xml:space="preserve">Relying on interpolated yield curves may result in overly sensitive breakeven </w:t>
      </w:r>
      <w:r>
        <w:t>estimates</w:t>
      </w:r>
      <w:r w:rsidRPr="002270C0">
        <w:t xml:space="preserve">. Deacon and Derry (1994) and Deacon et al. (2004) argue that the choice of term structure model can have a significant effect on the resulting </w:t>
      </w:r>
      <w:r>
        <w:t>bond break-even</w:t>
      </w:r>
      <w:r w:rsidRPr="002270C0">
        <w:t>-implied inflation term structure. As a result break</w:t>
      </w:r>
      <w:r>
        <w:t>-</w:t>
      </w:r>
      <w:r w:rsidRPr="002270C0">
        <w:t>even inflation estimates may vary considerably depending on the yield curve models employed. In this respect, break</w:t>
      </w:r>
      <w:r>
        <w:t>-</w:t>
      </w:r>
      <w:r w:rsidRPr="002270C0">
        <w:t>even inflation may not produce robust estimates of expected inflation. Furthermore, this source of variability and lack of robustness of break</w:t>
      </w:r>
      <w:r>
        <w:t>-</w:t>
      </w:r>
      <w:r w:rsidRPr="002270C0">
        <w:t>even inflation estimates may occur because there is no consensus on which yield curve models are the most appropriate.</w:t>
      </w:r>
      <w:r w:rsidRPr="002270C0">
        <w:rPr>
          <w:rStyle w:val="FootnoteReference"/>
        </w:rPr>
        <w:footnoteReference w:id="1700"/>
      </w:r>
      <w:r>
        <w:t xml:space="preserve"> </w:t>
      </w:r>
      <w:r w:rsidRPr="002270C0">
        <w:t>Another issue stems from differences in the sizes of coupon payments across maturities, which may alter break</w:t>
      </w:r>
      <w:r>
        <w:t>-</w:t>
      </w:r>
      <w:r w:rsidRPr="002270C0">
        <w:t>even-implied forward inflation rates</w:t>
      </w:r>
      <w:r>
        <w:t xml:space="preserve"> (see </w:t>
      </w:r>
      <w:r>
        <w:fldChar w:fldCharType="begin"/>
      </w:r>
      <w:r>
        <w:instrText xml:space="preserve"> REF _Ref474182633 \h </w:instrText>
      </w:r>
      <w:r>
        <w:fldChar w:fldCharType="separate"/>
      </w:r>
      <w:r w:rsidR="002C24D6">
        <w:br w:type="page"/>
      </w:r>
    </w:p>
    <w:p w:rsidR="00E46946" w:rsidRPr="002270C0" w:rsidRDefault="002C24D6" w:rsidP="00E46946">
      <w:r>
        <w:t xml:space="preserve">Table </w:t>
      </w:r>
      <w:r>
        <w:rPr>
          <w:noProof/>
        </w:rPr>
        <w:t>3</w:t>
      </w:r>
      <w:r>
        <w:noBreakHyphen/>
      </w:r>
      <w:r>
        <w:rPr>
          <w:noProof/>
        </w:rPr>
        <w:t>18</w:t>
      </w:r>
      <w:r w:rsidR="00E46946">
        <w:fldChar w:fldCharType="end"/>
      </w:r>
      <w:r w:rsidR="00E46946">
        <w:t>)</w:t>
      </w:r>
      <w:r w:rsidR="00E46946" w:rsidRPr="002270C0">
        <w:t>.</w:t>
      </w:r>
      <w:r w:rsidR="00E46946" w:rsidRPr="002270C0">
        <w:rPr>
          <w:rStyle w:val="FootnoteReference"/>
        </w:rPr>
        <w:footnoteReference w:id="1701"/>
      </w:r>
      <w:r w:rsidR="00E46946" w:rsidRPr="002270C0">
        <w:t xml:space="preserve"> These issues cast doubt on the accuracy of break</w:t>
      </w:r>
      <w:r w:rsidR="00E46946">
        <w:t>-</w:t>
      </w:r>
      <w:r w:rsidR="00E46946" w:rsidRPr="002270C0">
        <w:t xml:space="preserve">even inflation estimates derived from indexed and nominal CGS yield curves. </w:t>
      </w:r>
    </w:p>
    <w:p w:rsidR="00E46946" w:rsidRDefault="00E46946" w:rsidP="00E46946">
      <w:r>
        <w:t>On</w:t>
      </w:r>
      <w:r w:rsidRPr="002270C0">
        <w:t xml:space="preserve"> the </w:t>
      </w:r>
      <w:r>
        <w:t>second</w:t>
      </w:r>
      <w:r w:rsidRPr="002270C0">
        <w:t xml:space="preserve"> assumption mentioned above, a number of significant premia and biases are evident in </w:t>
      </w:r>
      <w:r>
        <w:t>break-even inflation estimates</w:t>
      </w:r>
      <w:r w:rsidRPr="002270C0">
        <w:t xml:space="preserve">, leading to </w:t>
      </w:r>
      <w:r>
        <w:t xml:space="preserve">these estimates </w:t>
      </w:r>
      <w:r w:rsidRPr="002270C0">
        <w:t>not reflecting market expectations of inflation.</w:t>
      </w:r>
      <w:r w:rsidRPr="002270C0">
        <w:rPr>
          <w:rStyle w:val="FootnoteReference"/>
        </w:rPr>
        <w:footnoteReference w:id="1702"/>
      </w:r>
      <w:r w:rsidRPr="002270C0">
        <w:t xml:space="preserve"> Liquidity premia, inflation risk premia, convexity bias, inflation indexation lag, sensitivity to short term inflation trends,</w:t>
      </w:r>
      <w:r>
        <w:t xml:space="preserve"> among others. A</w:t>
      </w:r>
      <w:r w:rsidRPr="002270C0">
        <w:t xml:space="preserve">ll </w:t>
      </w:r>
      <w:r>
        <w:t xml:space="preserve">these </w:t>
      </w:r>
      <w:r w:rsidRPr="002270C0">
        <w:t>act to influence break</w:t>
      </w:r>
      <w:r>
        <w:t>-</w:t>
      </w:r>
      <w:r w:rsidRPr="002270C0">
        <w:t>even inflation estimates such that they do not directly reflect market</w:t>
      </w:r>
      <w:r>
        <w:t>-expected</w:t>
      </w:r>
      <w:r w:rsidRPr="002270C0">
        <w:t xml:space="preserve"> inflation. </w:t>
      </w:r>
    </w:p>
    <w:p w:rsidR="00E46946" w:rsidRPr="002270C0" w:rsidRDefault="00E46946" w:rsidP="00E46946">
      <w:r>
        <w:t>Further,</w:t>
      </w:r>
      <w:r w:rsidRPr="002270C0">
        <w:t xml:space="preserve"> there is a lack of studies decomposing Australian break</w:t>
      </w:r>
      <w:r>
        <w:t>-</w:t>
      </w:r>
      <w:r w:rsidRPr="002270C0">
        <w:t>even inflation estimates</w:t>
      </w:r>
      <w:r>
        <w:t xml:space="preserve"> to quantify biases and premia</w:t>
      </w:r>
      <w:r w:rsidRPr="002270C0">
        <w:t>.</w:t>
      </w:r>
      <w:r w:rsidRPr="002270C0">
        <w:rPr>
          <w:rStyle w:val="FootnoteReference"/>
        </w:rPr>
        <w:footnoteReference w:id="1703"/>
      </w:r>
      <w:r w:rsidRPr="002270C0">
        <w:t xml:space="preserve"> Moreover, the studies decomposing US and UK government bonds reveal varying levels of liquidity premia, suggesting that even if an attempt was made to decompose bond yields in Australia, estimates of inflation expectations may not be robust.</w:t>
      </w:r>
      <w:r w:rsidRPr="002270C0" w:rsidDel="00A73AD9">
        <w:rPr>
          <w:rStyle w:val="FootnoteReference"/>
        </w:rPr>
        <w:t xml:space="preserve"> </w:t>
      </w:r>
    </w:p>
    <w:p w:rsidR="00E46946" w:rsidRDefault="00E46946" w:rsidP="00E46946">
      <w:r>
        <w:t>We consider that zero coupon inflation swaps may result in better estimates of expected inflation than the bond break-even approach, and note that inflation swaps are also (like bonds) market-traded instruments. We consider that inflation swaps may be subject to a number of biases and risk premia, however many of these are likely to be immaterial (see section</w:t>
      </w:r>
      <w:r w:rsidR="00A936B7">
        <w:t xml:space="preserve"> </w:t>
      </w:r>
      <w:r w:rsidR="00A936B7">
        <w:fldChar w:fldCharType="begin"/>
      </w:r>
      <w:r w:rsidR="00A936B7">
        <w:instrText xml:space="preserve"> REF _Ref482256986 \r \h </w:instrText>
      </w:r>
      <w:r w:rsidR="00A936B7">
        <w:fldChar w:fldCharType="separate"/>
      </w:r>
      <w:r w:rsidR="002C24D6">
        <w:t>3.4.4</w:t>
      </w:r>
      <w:r w:rsidR="00A936B7">
        <w:fldChar w:fldCharType="end"/>
      </w:r>
      <w:r>
        <w:t>). In addition,</w:t>
      </w:r>
      <w:r w:rsidRPr="00C312C9">
        <w:t xml:space="preserve"> the published </w:t>
      </w:r>
      <w:r>
        <w:t xml:space="preserve">Australian </w:t>
      </w:r>
      <w:r w:rsidRPr="00C312C9">
        <w:t xml:space="preserve">zero coupon inflation swap rates are available for many more tenors than tenors for indexed CGS. </w:t>
      </w:r>
      <w:r>
        <w:t>On this basis, inflation swaps may provide a better decomposition of market-implied forward inflation rates than the breakeven method.</w:t>
      </w:r>
    </w:p>
    <w:p w:rsidR="00E46946" w:rsidRPr="00E46946" w:rsidRDefault="00E46946" w:rsidP="00E46946">
      <w:pPr>
        <w:pStyle w:val="Heading8"/>
      </w:pPr>
      <w:bookmarkStart w:id="578" w:name="_Ref486970193"/>
      <w:bookmarkStart w:id="579" w:name="_Toc487037252"/>
      <w:r>
        <w:t>Biases and premia in the break</w:t>
      </w:r>
      <w:r w:rsidRPr="00E46946">
        <w:t>-even and swaps estimates</w:t>
      </w:r>
      <w:bookmarkEnd w:id="578"/>
      <w:bookmarkEnd w:id="579"/>
    </w:p>
    <w:p w:rsidR="00E46946" w:rsidRDefault="00E46946" w:rsidP="00E46946">
      <w:r>
        <w:t xml:space="preserve">AusNet Services and </w:t>
      </w:r>
      <w:r w:rsidRPr="0062367B">
        <w:t>CEG</w:t>
      </w:r>
      <w:r>
        <w:t xml:space="preserve"> submitted that the</w:t>
      </w:r>
      <w:r w:rsidRPr="0062367B">
        <w:t xml:space="preserve"> overwhelming conclusion</w:t>
      </w:r>
      <w:r>
        <w:t xml:space="preserve"> of the academic literature is </w:t>
      </w:r>
      <w:r w:rsidRPr="0062367B">
        <w:t>that the potential sources of bias</w:t>
      </w:r>
      <w:r>
        <w:t xml:space="preserve"> in break-even inflation estimates</w:t>
      </w:r>
      <w:r w:rsidRPr="0062367B">
        <w:t xml:space="preserve"> are small and just as likely to result in an over-estimate of expected inflation as an under estimate.</w:t>
      </w:r>
      <w:r>
        <w:t xml:space="preserve"> </w:t>
      </w:r>
    </w:p>
    <w:p w:rsidR="00E46946" w:rsidRDefault="00E46946" w:rsidP="00E46946">
      <w:r>
        <w:t>CEG submitted that:</w:t>
      </w:r>
      <w:r>
        <w:rPr>
          <w:rStyle w:val="FootnoteReference"/>
        </w:rPr>
        <w:footnoteReference w:id="1704"/>
      </w:r>
    </w:p>
    <w:p w:rsidR="00E46946" w:rsidRDefault="00E46946" w:rsidP="00E46946">
      <w:pPr>
        <w:pStyle w:val="AERquote"/>
      </w:pPr>
      <w:r w:rsidRPr="002403B9">
        <w:t>An important confirmation of the existence of a positive bias is the very existence of</w:t>
      </w:r>
      <w:r>
        <w:t xml:space="preserve"> </w:t>
      </w:r>
      <w:r w:rsidRPr="002403B9">
        <w:t>CPI indexed bonds. If the bias was negative then this is just another way of saying that</w:t>
      </w:r>
      <w:r>
        <w:t xml:space="preserve"> </w:t>
      </w:r>
      <w:r w:rsidRPr="002403B9">
        <w:t>CPI indexed bonds are expected to be a more costly form of borrowing by the</w:t>
      </w:r>
      <w:r>
        <w:t xml:space="preserve"> </w:t>
      </w:r>
      <w:r w:rsidRPr="002403B9">
        <w:t>government in question</w:t>
      </w:r>
      <w:r>
        <w:t xml:space="preserve"> … </w:t>
      </w:r>
      <w:r w:rsidRPr="002403B9">
        <w:t>as soon as budgetary circumstances allowed, following the GFC, the</w:t>
      </w:r>
      <w:r>
        <w:t xml:space="preserve"> </w:t>
      </w:r>
      <w:r w:rsidRPr="002403B9">
        <w:t>Government recommenced issuance of indexed CGS. The fact that the Government</w:t>
      </w:r>
      <w:r>
        <w:t xml:space="preserve"> </w:t>
      </w:r>
      <w:r w:rsidRPr="002403B9">
        <w:t>did so is evidence that it believed that the expected cost of issuing indexed CGS was, at</w:t>
      </w:r>
      <w:r>
        <w:t xml:space="preserve"> </w:t>
      </w:r>
      <w:r w:rsidRPr="002403B9">
        <w:t>a minimum, not higher than the cost of issuing nominal CGS. By definition, this can</w:t>
      </w:r>
      <w:r>
        <w:t xml:space="preserve"> </w:t>
      </w:r>
      <w:r w:rsidRPr="002403B9">
        <w:t>only be the case if break even inflation exceeds (or is not less than) actuarially expected</w:t>
      </w:r>
      <w:r>
        <w:t xml:space="preserve"> inflation outcomes.</w:t>
      </w:r>
    </w:p>
    <w:p w:rsidR="00E46946" w:rsidRDefault="00E46946" w:rsidP="00E46946">
      <w:r>
        <w:t>In support of this argument CEG refer to Campbell, Shiller, and Viceira (2009).</w:t>
      </w:r>
      <w:r>
        <w:rPr>
          <w:rStyle w:val="FootnoteReference"/>
        </w:rPr>
        <w:footnoteReference w:id="1705"/>
      </w:r>
      <w:r>
        <w:t xml:space="preserve"> However, Campbell, Shiller, and Viceira (2009) note that Governments are likely to issue indexed bonds for other reasons, stating:</w:t>
      </w:r>
      <w:r w:rsidRPr="00A53CF0">
        <w:rPr>
          <w:rStyle w:val="FootnoteReference"/>
        </w:rPr>
        <w:t xml:space="preserve"> </w:t>
      </w:r>
      <w:r>
        <w:rPr>
          <w:rStyle w:val="FootnoteReference"/>
        </w:rPr>
        <w:footnoteReference w:id="1706"/>
      </w:r>
    </w:p>
    <w:p w:rsidR="00E46946" w:rsidRPr="00A53CF0" w:rsidRDefault="00E46946" w:rsidP="00E46946">
      <w:pPr>
        <w:pStyle w:val="AERquote"/>
      </w:pPr>
      <w:r w:rsidRPr="00A53CF0">
        <w:t>Several other considerations also suggest that inflation-indexed bonds</w:t>
      </w:r>
      <w:r>
        <w:t xml:space="preserve"> </w:t>
      </w:r>
      <w:r w:rsidRPr="00A53CF0">
        <w:t>are a valuable form of public debt. First, to the extent that particular forms</w:t>
      </w:r>
      <w:r>
        <w:t xml:space="preserve"> </w:t>
      </w:r>
      <w:r w:rsidRPr="00A53CF0">
        <w:t>of debt have different investment clienteles, all with downward-sloping</w:t>
      </w:r>
      <w:r>
        <w:t xml:space="preserve"> </w:t>
      </w:r>
      <w:r w:rsidRPr="00A53CF0">
        <w:t>demand curves for bonds, it is desirable to diversify across different forms</w:t>
      </w:r>
      <w:r>
        <w:t xml:space="preserve"> </w:t>
      </w:r>
      <w:r w:rsidRPr="00A53CF0">
        <w:t>so as to tap the largest possible market for government debt (Greenwood</w:t>
      </w:r>
      <w:r>
        <w:t xml:space="preserve"> </w:t>
      </w:r>
      <w:r w:rsidRPr="00A53CF0">
        <w:t>and Vayanos 2008; Vayanos and Vila 2007).</w:t>
      </w:r>
    </w:p>
    <w:p w:rsidR="00E46946" w:rsidRDefault="00E46946" w:rsidP="00E46946">
      <w:pPr>
        <w:pStyle w:val="AERquote"/>
      </w:pPr>
      <w:r w:rsidRPr="00A53CF0">
        <w:t>Second, inflation-indexed bonds can be used to draw inferences about</w:t>
      </w:r>
      <w:r>
        <w:t xml:space="preserve"> </w:t>
      </w:r>
      <w:r w:rsidRPr="00A53CF0">
        <w:t>bond investors’ inflation expectations, and such information is extremely</w:t>
      </w:r>
      <w:r>
        <w:t xml:space="preserve"> </w:t>
      </w:r>
      <w:r w:rsidRPr="00A53CF0">
        <w:t>valuable for monetary policymakers.</w:t>
      </w:r>
    </w:p>
    <w:p w:rsidR="00E46946" w:rsidRPr="0062367B" w:rsidRDefault="00E46946" w:rsidP="00E46946">
      <w:r>
        <w:t>AusNet Services and CEG submitted that o</w:t>
      </w:r>
      <w:r w:rsidRPr="0062367B">
        <w:t xml:space="preserve">nly the convexity and liquidity premium issues are </w:t>
      </w:r>
      <w:r>
        <w:t>likely</w:t>
      </w:r>
      <w:r w:rsidRPr="0062367B">
        <w:t xml:space="preserve"> to result in a potential downward bias of expected inflation forecasts and that if any bias exists, it is small and does not necessarily result in an under estimate of inflation.</w:t>
      </w:r>
      <w:r w:rsidRPr="00E76C80">
        <w:rPr>
          <w:rStyle w:val="FootnoteReference"/>
        </w:rPr>
        <w:footnoteReference w:id="1707"/>
      </w:r>
      <w:r w:rsidRPr="0062367B">
        <w:t xml:space="preserve"> </w:t>
      </w:r>
    </w:p>
    <w:p w:rsidR="00E46946" w:rsidRDefault="00E46946" w:rsidP="00E46946">
      <w:r w:rsidRPr="00A440C0">
        <w:t>CEG submits</w:t>
      </w:r>
      <w:r>
        <w:rPr>
          <w:rStyle w:val="FootnoteReference"/>
        </w:rPr>
        <w:footnoteReference w:id="1708"/>
      </w:r>
      <w:r w:rsidRPr="00A440C0">
        <w:t xml:space="preserve"> that the results of D’Amico, Kim and Wei (2010),</w:t>
      </w:r>
      <w:r>
        <w:rPr>
          <w:rStyle w:val="FootnoteReference"/>
        </w:rPr>
        <w:footnoteReference w:id="1709"/>
      </w:r>
      <w:r w:rsidRPr="00A440C0">
        <w:t xml:space="preserve"> </w:t>
      </w:r>
      <w:r>
        <w:t>Gurkaynak, Sack, and Wright (2010),</w:t>
      </w:r>
      <w:r>
        <w:rPr>
          <w:rStyle w:val="FootnoteReference"/>
        </w:rPr>
        <w:footnoteReference w:id="1710"/>
      </w:r>
      <w:r>
        <w:t xml:space="preserve"> Finlay and Wende (2011),</w:t>
      </w:r>
      <w:r>
        <w:rPr>
          <w:rStyle w:val="FootnoteReference"/>
        </w:rPr>
        <w:footnoteReference w:id="1711"/>
      </w:r>
      <w:r>
        <w:t xml:space="preserve"> </w:t>
      </w:r>
      <w:r w:rsidRPr="00A440C0">
        <w:t>and Grishchenko and Huang (2012)</w:t>
      </w:r>
      <w:r w:rsidRPr="00A440C0">
        <w:rPr>
          <w:rStyle w:val="FootnoteReference"/>
        </w:rPr>
        <w:footnoteReference w:id="1712"/>
      </w:r>
      <w:r w:rsidRPr="00A440C0">
        <w:t xml:space="preserve"> indicate that the breakeven method actually overstates expected inflation. Ang, Bekaert and Wei (2008)</w:t>
      </w:r>
      <w:r w:rsidRPr="00A440C0">
        <w:rPr>
          <w:rStyle w:val="FootnoteReference"/>
        </w:rPr>
        <w:footnoteReference w:id="1713"/>
      </w:r>
      <w:r w:rsidRPr="00A440C0">
        <w:t xml:space="preserve"> are also ci</w:t>
      </w:r>
      <w:r>
        <w:t>ted to support this contention.</w:t>
      </w:r>
      <w:r w:rsidRPr="00857548">
        <w:rPr>
          <w:rStyle w:val="FootnoteReference"/>
        </w:rPr>
        <w:t xml:space="preserve"> </w:t>
      </w:r>
      <w:r>
        <w:rPr>
          <w:rStyle w:val="FootnoteReference"/>
        </w:rPr>
        <w:footnoteReference w:id="1714"/>
      </w:r>
    </w:p>
    <w:p w:rsidR="00E46946" w:rsidRDefault="00E46946" w:rsidP="00E46946">
      <w:r>
        <w:t xml:space="preserve">We note that Gurkaynak, Sack, and Wright (2010) and </w:t>
      </w:r>
      <w:r w:rsidRPr="0048324D">
        <w:t>Finlay an</w:t>
      </w:r>
      <w:r>
        <w:t xml:space="preserve">d Wende (2011) use survey estimates as proxies for inflation </w:t>
      </w:r>
      <w:r w:rsidRPr="0048324D">
        <w:t xml:space="preserve">expectations </w:t>
      </w:r>
      <w:r>
        <w:t>against which to estimate biases and risk premia in break-even inflation rates</w:t>
      </w:r>
      <w:r w:rsidRPr="0048324D">
        <w:t>.</w:t>
      </w:r>
      <w:r>
        <w:rPr>
          <w:rStyle w:val="FootnoteReference"/>
        </w:rPr>
        <w:footnoteReference w:id="1715"/>
      </w:r>
      <w:r>
        <w:t xml:space="preserve"> D'Amico, Kim &amp; Wei (2016) </w:t>
      </w:r>
      <w:r w:rsidRPr="0048324D">
        <w:t>use the spread between the in</w:t>
      </w:r>
      <w:r>
        <w:t xml:space="preserve">flation swap rates and the bond break-even inflation rates </w:t>
      </w:r>
      <w:r w:rsidRPr="0048324D">
        <w:t xml:space="preserve">as a proxy </w:t>
      </w:r>
      <w:r>
        <w:t>for biases and risk</w:t>
      </w:r>
      <w:r w:rsidRPr="0048324D">
        <w:t xml:space="preserve"> premia in </w:t>
      </w:r>
      <w:r>
        <w:t>break-even rates.</w:t>
      </w:r>
      <w:r>
        <w:rPr>
          <w:rStyle w:val="FootnoteReference"/>
        </w:rPr>
        <w:footnoteReference w:id="1716"/>
      </w:r>
      <w:r>
        <w:t xml:space="preserve"> The use of inflation </w:t>
      </w:r>
      <w:r w:rsidRPr="000F20F0">
        <w:t>swaps</w:t>
      </w:r>
      <w:r>
        <w:t xml:space="preserve"> or surveys</w:t>
      </w:r>
      <w:r w:rsidRPr="000F20F0">
        <w:t xml:space="preserve"> as benchmarks suggest that </w:t>
      </w:r>
      <w:r>
        <w:t>these</w:t>
      </w:r>
      <w:r w:rsidRPr="000F20F0">
        <w:t xml:space="preserve"> expected inflation rates are</w:t>
      </w:r>
      <w:r>
        <w:t xml:space="preserve"> </w:t>
      </w:r>
      <w:r w:rsidRPr="000F20F0">
        <w:t>considered to be less distorted by</w:t>
      </w:r>
      <w:r>
        <w:t xml:space="preserve"> biases and risk</w:t>
      </w:r>
      <w:r w:rsidRPr="000F20F0">
        <w:t xml:space="preserve"> premia compared to </w:t>
      </w:r>
      <w:r>
        <w:t>bond break-even rates.</w:t>
      </w:r>
    </w:p>
    <w:p w:rsidR="00E46946" w:rsidRDefault="00E46946" w:rsidP="00E46946">
      <w:r>
        <w:t xml:space="preserve">On liquidity premium in break-even inflation estimates, CEG submitted that academic studies have estimated this premium to be around zero, around 1 basis point or less, 10 basis points or less, or less than zero. In support, CEG referred to studies by D’Amico, Kim and Wei (2010), </w:t>
      </w:r>
      <w:r w:rsidRPr="0006563F">
        <w:t>D’Amico, Kim and Wei (2016)</w:t>
      </w:r>
      <w:r>
        <w:t xml:space="preserve">, </w:t>
      </w:r>
      <w:r w:rsidRPr="00B648CC">
        <w:t>Grishchenko and Huang (2012)</w:t>
      </w:r>
      <w:r>
        <w:t xml:space="preserve">, </w:t>
      </w:r>
      <w:r w:rsidRPr="008D63D6">
        <w:t>Lehman Brothers (2006)</w:t>
      </w:r>
      <w:r>
        <w:t>,</w:t>
      </w:r>
      <w:r w:rsidRPr="008D63D6">
        <w:t xml:space="preserve"> Banco Central do Brasil (2014)</w:t>
      </w:r>
      <w:r>
        <w:t>.</w:t>
      </w:r>
      <w:r>
        <w:rPr>
          <w:rStyle w:val="FootnoteReference"/>
        </w:rPr>
        <w:footnoteReference w:id="1717"/>
      </w:r>
      <w:r>
        <w:t xml:space="preserve"> </w:t>
      </w:r>
    </w:p>
    <w:p w:rsidR="00E46946" w:rsidRPr="0055723E" w:rsidRDefault="00E46946" w:rsidP="00E46946">
      <w:r>
        <w:t>However, c</w:t>
      </w:r>
      <w:r w:rsidRPr="0055723E">
        <w:t xml:space="preserve">aution is required in the drawing </w:t>
      </w:r>
      <w:r>
        <w:t xml:space="preserve">of </w:t>
      </w:r>
      <w:r w:rsidRPr="0055723E">
        <w:t xml:space="preserve">any inferences from any single study </w:t>
      </w:r>
      <w:r>
        <w:t>of</w:t>
      </w:r>
      <w:r w:rsidRPr="0055723E">
        <w:t xml:space="preserve"> Australian </w:t>
      </w:r>
      <w:r>
        <w:t>bond break-even inflation estimates</w:t>
      </w:r>
      <w:r w:rsidRPr="0055723E">
        <w:t xml:space="preserve">. </w:t>
      </w:r>
      <w:r>
        <w:t>To gain a better indication of the potential biases, premia and distortions, all bond break-even inflation rate studies should be considered. Most studies find significant biases</w:t>
      </w:r>
      <w:r w:rsidRPr="0055723E">
        <w:t xml:space="preserve"> in the </w:t>
      </w:r>
      <w:r>
        <w:t>break-even inflation estimates, many of which are time-</w:t>
      </w:r>
      <w:r w:rsidRPr="0055723E">
        <w:t xml:space="preserve">varying. </w:t>
      </w:r>
    </w:p>
    <w:p w:rsidR="00E46946" w:rsidRDefault="00E46946" w:rsidP="00E46946">
      <w:r>
        <w:t>In addition, we consider that no single decomposition study cited may be considered as the most relevant or most appropriate because, as Zarazaga (2010) points out, our current understanding of bond prices is too limited to determine with any confidence the fraction attributed to bias and the fraction attributed to expected inflation.</w:t>
      </w:r>
      <w:r>
        <w:rPr>
          <w:rStyle w:val="FootnoteReference"/>
        </w:rPr>
        <w:footnoteReference w:id="1718"/>
      </w:r>
    </w:p>
    <w:p w:rsidR="00E46946" w:rsidRPr="007C4FFA" w:rsidRDefault="00E46946" w:rsidP="00E46946">
      <w:r>
        <w:t xml:space="preserve">Further, CEG's submission on ‘net bias’, referring to multiple studies which find various biases in break-even inflation estimates, presumes that: </w:t>
      </w:r>
    </w:p>
    <w:p w:rsidR="00E46946" w:rsidRPr="007C4FFA" w:rsidRDefault="00E46946" w:rsidP="00E46946">
      <w:pPr>
        <w:pStyle w:val="ListParagraph"/>
      </w:pPr>
      <w:r>
        <w:t xml:space="preserve">these biases are constant and can be simply ‘added’ and ‘subtracted’ to obtain a ‘net bias’; and </w:t>
      </w:r>
    </w:p>
    <w:p w:rsidR="00E46946" w:rsidRPr="007C4FFA" w:rsidRDefault="00E46946" w:rsidP="00E46946">
      <w:pPr>
        <w:pStyle w:val="ListParagraph"/>
      </w:pPr>
      <w:r>
        <w:t>the ‘net bias’ is assumed to be the same 10 years ahead.</w:t>
      </w:r>
      <w:r>
        <w:rPr>
          <w:rStyle w:val="FootnoteReference"/>
        </w:rPr>
        <w:footnoteReference w:id="1719"/>
      </w:r>
      <w:r>
        <w:t xml:space="preserve"> </w:t>
      </w:r>
    </w:p>
    <w:p w:rsidR="00E46946" w:rsidRDefault="00E46946" w:rsidP="00E46946">
      <w:r>
        <w:t xml:space="preserve">There is no </w:t>
      </w:r>
      <w:r w:rsidRPr="007C4FFA">
        <w:t>a</w:t>
      </w:r>
      <w:r>
        <w:t>-</w:t>
      </w:r>
      <w:r w:rsidRPr="007C4FFA">
        <w:t>prior</w:t>
      </w:r>
      <w:r>
        <w:t>i reason to consider that at any point in time the biases, distortions and premia in break-even inflation estimates would wholly or largely offset one another. ACCC Working Paper #11 finds that the biases and risk premia affecting bond break-even inflation estimates are likely to be time-varying,</w:t>
      </w:r>
      <w:r>
        <w:rPr>
          <w:rStyle w:val="FootnoteReference"/>
        </w:rPr>
        <w:footnoteReference w:id="1720"/>
      </w:r>
      <w:r>
        <w:t xml:space="preserve"> and estimates from academic research sensitive to the methodological choices and sample periods adopted.</w:t>
      </w:r>
      <w:r>
        <w:rPr>
          <w:rStyle w:val="FootnoteReference"/>
        </w:rPr>
        <w:footnoteReference w:id="1721"/>
      </w:r>
      <w:r>
        <w:t xml:space="preserve"> The results of different studies cannot be easily 'added' to one another.</w:t>
      </w:r>
    </w:p>
    <w:p w:rsidR="00E46946" w:rsidRDefault="00E46946" w:rsidP="00E46946">
      <w:r>
        <w:t xml:space="preserve">Nonetheless, for completeness, we respond in sections </w:t>
      </w:r>
      <w:r w:rsidR="00A936B7">
        <w:fldChar w:fldCharType="begin"/>
      </w:r>
      <w:r w:rsidR="00A936B7">
        <w:instrText xml:space="preserve"> REF _Ref486940921 \r \h </w:instrText>
      </w:r>
      <w:r w:rsidR="00A936B7">
        <w:fldChar w:fldCharType="separate"/>
      </w:r>
      <w:r w:rsidR="002C24D6">
        <w:t>M.3.1</w:t>
      </w:r>
      <w:r w:rsidR="00A936B7">
        <w:fldChar w:fldCharType="end"/>
      </w:r>
      <w:r>
        <w:t xml:space="preserve">to </w:t>
      </w:r>
      <w:r w:rsidR="00A936B7">
        <w:fldChar w:fldCharType="begin"/>
      </w:r>
      <w:r w:rsidR="00A936B7">
        <w:instrText xml:space="preserve"> REF _Ref486940935 \r \h </w:instrText>
      </w:r>
      <w:r w:rsidR="00A936B7">
        <w:fldChar w:fldCharType="separate"/>
      </w:r>
      <w:r w:rsidR="002C24D6">
        <w:t>M.3.4</w:t>
      </w:r>
      <w:r w:rsidR="00A936B7">
        <w:fldChar w:fldCharType="end"/>
      </w:r>
      <w:r w:rsidR="00A936B7">
        <w:t xml:space="preserve"> </w:t>
      </w:r>
      <w:r w:rsidRPr="008F304E">
        <w:t>below to submissions made</w:t>
      </w:r>
      <w:r>
        <w:t xml:space="preserve"> about specific studies.</w:t>
      </w:r>
    </w:p>
    <w:p w:rsidR="00E46946" w:rsidRPr="008F2A7C" w:rsidRDefault="00E46946" w:rsidP="00E46946">
      <w:r w:rsidRPr="008F2A7C">
        <w:t>CEG</w:t>
      </w:r>
      <w:r>
        <w:t xml:space="preserve"> also</w:t>
      </w:r>
      <w:r w:rsidRPr="008F2A7C">
        <w:t xml:space="preserve"> submitted that:</w:t>
      </w:r>
      <w:r>
        <w:rPr>
          <w:rStyle w:val="FootnoteReference"/>
        </w:rPr>
        <w:footnoteReference w:id="1722"/>
      </w:r>
    </w:p>
    <w:p w:rsidR="00E46946" w:rsidRPr="008F2A7C" w:rsidRDefault="00E46946" w:rsidP="00E46946">
      <w:pPr>
        <w:pStyle w:val="AERquote"/>
      </w:pPr>
      <w:r w:rsidRPr="008F2A7C">
        <w:t>when using breakeven inflation to determine expected inflation prior to late 2008, the AER and its forerunner the ACCC, did not make any adjustments for inflation risk or any of the other potential sources of bias, for which it now argues adjustments must be made</w:t>
      </w:r>
    </w:p>
    <w:p w:rsidR="00E46946" w:rsidRPr="008F304E" w:rsidRDefault="00E46946" w:rsidP="00E46946">
      <w:r w:rsidRPr="008F2A7C">
        <w:t>ACCC Working Paper #11 was published on 18 April 2017 and includes a detailed survey of the academic literature. The Working Paper finds that there are a number of potential biases and risk premia that may affect inflation estimates from the bond break-even approach. This working paper, and most of the academic literature that it cites, was not available before 2008.</w:t>
      </w:r>
    </w:p>
    <w:p w:rsidR="00E46946" w:rsidRPr="00C93468" w:rsidRDefault="00E46946" w:rsidP="00E46946">
      <w:pPr>
        <w:pStyle w:val="Heading9"/>
      </w:pPr>
      <w:bookmarkStart w:id="580" w:name="_Ref486940921"/>
      <w:bookmarkStart w:id="581" w:name="_Toc487037253"/>
      <w:r>
        <w:t>Liquidity premium</w:t>
      </w:r>
      <w:bookmarkEnd w:id="580"/>
      <w:bookmarkEnd w:id="581"/>
    </w:p>
    <w:p w:rsidR="00E46946" w:rsidRDefault="00E46946" w:rsidP="00E46946">
      <w:r>
        <w:t>AusNet Services and CEG submitted a number of arguments about the current liquidity of the CGS market, the materiality of liquidity measures, and the findings of individual studies of bond break-even estimates. Our consideration of these issues is in the subsections below.</w:t>
      </w:r>
    </w:p>
    <w:p w:rsidR="00E46946" w:rsidRPr="002656D9" w:rsidRDefault="00E46946" w:rsidP="00E46946">
      <w:pPr>
        <w:pStyle w:val="HeadingBoldItalic"/>
      </w:pPr>
      <w:r w:rsidRPr="002656D9">
        <w:t>Changes to the liquidity of the nominal and indexed CGS markets</w:t>
      </w:r>
    </w:p>
    <w:p w:rsidR="00E46946" w:rsidRDefault="00E46946" w:rsidP="00E46946">
      <w:r>
        <w:t xml:space="preserve">Multinet, AGN, AusNet Services and CEG submitted that </w:t>
      </w:r>
      <w:r w:rsidRPr="000438D3">
        <w:t xml:space="preserve">the smaller size (short supply) of the indexed CGS market was previously attributed </w:t>
      </w:r>
      <w:r>
        <w:t xml:space="preserve">by us </w:t>
      </w:r>
      <w:r w:rsidRPr="000438D3">
        <w:t>as a reason for break-even inflation overstating expected in</w:t>
      </w:r>
      <w:r>
        <w:t>flation (not understating it). AusNet Services submitted that i</w:t>
      </w:r>
      <w:r w:rsidRPr="000438D3">
        <w:t>f these ‘distortions’ still exist then they imply that the actual expected inflation is even lower than the break-even rate</w:t>
      </w:r>
      <w:r>
        <w:t>.</w:t>
      </w:r>
      <w:r>
        <w:rPr>
          <w:rStyle w:val="FootnoteReference"/>
        </w:rPr>
        <w:footnoteReference w:id="1723"/>
      </w:r>
    </w:p>
    <w:p w:rsidR="00E46946" w:rsidRDefault="00E46946" w:rsidP="00E46946">
      <w:r>
        <w:t>In contrast, the CCP submitted:</w:t>
      </w:r>
      <w:r>
        <w:rPr>
          <w:rStyle w:val="FootnoteReference"/>
        </w:rPr>
        <w:footnoteReference w:id="1724"/>
      </w:r>
    </w:p>
    <w:p w:rsidR="00E46946" w:rsidRDefault="00E46946" w:rsidP="00E46946">
      <w:pPr>
        <w:pStyle w:val="AERquote"/>
      </w:pPr>
      <w:r>
        <w:t>…at this point we are not persuaded by the information provided in it [the September 2016 CEG report titled 'Best estimates of expected inflation'] that the market is now liquid…</w:t>
      </w:r>
    </w:p>
    <w:p w:rsidR="00E46946" w:rsidRDefault="00E46946" w:rsidP="00E46946">
      <w:pPr>
        <w:pStyle w:val="AERquote"/>
      </w:pPr>
      <w:r>
        <w:t>Expert advice from those who administer the market and are most closely involved with it is the most useful input into whether it is a liquid and well-functioning market, so we suggest the AER should consult with the RBA and Australian Treasury, as it did in 2007</w:t>
      </w:r>
    </w:p>
    <w:p w:rsidR="00E46946" w:rsidRDefault="00E46946" w:rsidP="00E46946">
      <w:r>
        <w:t xml:space="preserve">While </w:t>
      </w:r>
      <w:r w:rsidRPr="006E3A7B">
        <w:t xml:space="preserve">the distortions in the </w:t>
      </w:r>
      <w:r>
        <w:t>bond break-even inflation rate</w:t>
      </w:r>
      <w:r w:rsidRPr="006E3A7B">
        <w:t xml:space="preserve"> observed in 2007 may still exist, </w:t>
      </w:r>
      <w:r>
        <w:t>we consider that</w:t>
      </w:r>
      <w:r w:rsidRPr="006E3A7B">
        <w:t xml:space="preserve"> given the significant number of distortions, premia and biases </w:t>
      </w:r>
      <w:r>
        <w:t xml:space="preserve">potentially present in break-even estimates, </w:t>
      </w:r>
      <w:r w:rsidRPr="006E3A7B">
        <w:t>it would be:</w:t>
      </w:r>
    </w:p>
    <w:p w:rsidR="00E46946" w:rsidRPr="006E3A7B" w:rsidRDefault="00E46946" w:rsidP="00E46946">
      <w:pPr>
        <w:pStyle w:val="AERbulletlistfirststyle"/>
      </w:pPr>
      <w:r>
        <w:t>d</w:t>
      </w:r>
      <w:r w:rsidRPr="006E3A7B">
        <w:t>ifficult to isolate these distortions, premia and biases and discuss these issues without consideration that at different times other biases, premia and distortions may dominate the distortions arising from the lack of supply;</w:t>
      </w:r>
    </w:p>
    <w:p w:rsidR="00E46946" w:rsidRPr="006E3A7B" w:rsidRDefault="00E46946" w:rsidP="00E46946">
      <w:pPr>
        <w:pStyle w:val="AERbulletlistfirststyle"/>
      </w:pPr>
      <w:r>
        <w:t>impractical</w:t>
      </w:r>
      <w:r w:rsidRPr="006E3A7B">
        <w:t xml:space="preserve"> to hold all other biases, premia and distortions constant; and</w:t>
      </w:r>
    </w:p>
    <w:p w:rsidR="00E46946" w:rsidRDefault="00E46946" w:rsidP="00E46946">
      <w:pPr>
        <w:pStyle w:val="AERbulletlistfirststyle"/>
      </w:pPr>
      <w:r w:rsidRPr="006E3A7B">
        <w:t xml:space="preserve">difficult to consider how supply and its related distortions will influence the quantum of the net effects of all these biases, premia and distortions since the estimation method, model and sample period all influence the size of the estimated distortions. </w:t>
      </w:r>
    </w:p>
    <w:p w:rsidR="00E46946" w:rsidRPr="006E3A7B" w:rsidRDefault="00E46946" w:rsidP="00E46946">
      <w:r>
        <w:t>This difficulty in decomposing bond break-even estimates into various potential biases and risk premia reduces the transparency and replicability of the estimates and impinges the ability of stakeholders to contribute to the regulatory process. These factors affect the ability of the bond break-even approach to provide best estimates of expected inflation, regardless of whether a particular bias may be considered to result in an over-estimate or under-estimate at a particular point in time.</w:t>
      </w:r>
    </w:p>
    <w:p w:rsidR="00E46946" w:rsidRPr="00E46946" w:rsidRDefault="00E46946" w:rsidP="00E46946">
      <w:pPr>
        <w:pStyle w:val="HeadingItalic"/>
        <w:rPr>
          <w:rStyle w:val="Strong"/>
        </w:rPr>
      </w:pPr>
      <w:r w:rsidRPr="00E46946">
        <w:rPr>
          <w:rStyle w:val="Strong"/>
        </w:rPr>
        <w:t>Estimates of liquidity premium may be distorted by an immature indexed bond market</w:t>
      </w:r>
    </w:p>
    <w:p w:rsidR="00E46946" w:rsidRDefault="00E46946" w:rsidP="00E46946">
      <w:r>
        <w:t>Multinet, AGN, AusNet Services</w:t>
      </w:r>
      <w:r w:rsidR="009C6C9B">
        <w:t>, PwC,</w:t>
      </w:r>
      <w:r>
        <w:t xml:space="preserve"> and CEG submitted that </w:t>
      </w:r>
      <w:r w:rsidRPr="0062367B">
        <w:t>since 2012 there has been significant new issues of indexed bonds</w:t>
      </w:r>
      <w:r>
        <w:t>, and academic research prior to this time may not be reliable due to the US TIPS market being in its infancy.</w:t>
      </w:r>
      <w:r>
        <w:rPr>
          <w:rStyle w:val="FootnoteReference"/>
        </w:rPr>
        <w:footnoteReference w:id="1725"/>
      </w:r>
    </w:p>
    <w:p w:rsidR="00E46946" w:rsidRDefault="00E46946" w:rsidP="00E46946">
      <w:r w:rsidRPr="00A876B0">
        <w:t xml:space="preserve">We </w:t>
      </w:r>
      <w:r>
        <w:t>acknowledge</w:t>
      </w:r>
      <w:r w:rsidRPr="00A876B0">
        <w:t xml:space="preserve"> that in an indexed bond market’s infancy the yields may not behave in the same manner as when the bond market is more mature. However, it is not the case that the liquidity risk premium and inflation risk premium only existed</w:t>
      </w:r>
      <w:r>
        <w:t xml:space="preserve"> in the bond market’s infancy. Academic r</w:t>
      </w:r>
      <w:r w:rsidRPr="00A876B0">
        <w:t xml:space="preserve">esearch </w:t>
      </w:r>
      <w:r>
        <w:t>has</w:t>
      </w:r>
      <w:r w:rsidRPr="00A876B0">
        <w:t xml:space="preserve"> been completed</w:t>
      </w:r>
      <w:r>
        <w:t xml:space="preserve"> using only mature market data.</w:t>
      </w:r>
      <w:r w:rsidRPr="00293DF6">
        <w:t xml:space="preserve"> </w:t>
      </w:r>
      <w:r>
        <w:t>ACCC Working Paper #11 notes that:</w:t>
      </w:r>
    </w:p>
    <w:p w:rsidR="00E46946" w:rsidRDefault="00E46946" w:rsidP="00E46946">
      <w:pPr>
        <w:pStyle w:val="AERquote"/>
      </w:pPr>
      <w:r w:rsidRPr="00B22FAC">
        <w:t xml:space="preserve">With the exception of the late 1990s and early 2000s, the cited US BBIR </w:t>
      </w:r>
      <w:r>
        <w:t xml:space="preserve">[bond break-even inflation rate] </w:t>
      </w:r>
      <w:r w:rsidRPr="00B22FAC">
        <w:t>studies do not consider the supply of outstanding US TIPS to be a problem. In the cited studies of the UK indexed bond markets, issues relating to supply are not considered.</w:t>
      </w:r>
    </w:p>
    <w:p w:rsidR="00E46946" w:rsidRDefault="00E46946" w:rsidP="00E46946">
      <w:r>
        <w:t>ACCC Working Paper #11</w:t>
      </w:r>
      <w:r>
        <w:rPr>
          <w:rStyle w:val="FootnoteReference"/>
        </w:rPr>
        <w:footnoteReference w:id="1726"/>
      </w:r>
      <w:r>
        <w:t>outlines a number of studies that find potential liquidity premia in indexed government bond markets that are unlikely to be distorted by being in their infancy.</w:t>
      </w:r>
    </w:p>
    <w:p w:rsidR="00E46946" w:rsidRPr="00DA04CC" w:rsidRDefault="00E46946" w:rsidP="00E46946">
      <w:pPr>
        <w:pStyle w:val="HeadingItalic"/>
        <w:rPr>
          <w:rStyle w:val="Strong"/>
        </w:rPr>
      </w:pPr>
      <w:r>
        <w:rPr>
          <w:rStyle w:val="Strong"/>
        </w:rPr>
        <w:t>Investors' value of additional liquidity falls to zero once they cannot move the market against themselves</w:t>
      </w:r>
    </w:p>
    <w:p w:rsidR="00E46946" w:rsidRDefault="00E46946" w:rsidP="00E46946">
      <w:r>
        <w:t xml:space="preserve">CEG submitted that </w:t>
      </w:r>
      <w:r w:rsidRPr="0062367B">
        <w:t>investors</w:t>
      </w:r>
      <w:r>
        <w:t>'</w:t>
      </w:r>
      <w:r w:rsidRPr="0062367B">
        <w:t xml:space="preserve"> valuation of additional liquidity falls to zero as soon as they are confident that their own trading will not move the market against themselves</w:t>
      </w:r>
      <w:r>
        <w:t>. CEG submitted that the Australian nominal and indexed CGS markets are currently relatively large, such that there is no reason to believe that a material liquidity premium exists when moving from indexed to nominal CGS (under normal market circumstances).</w:t>
      </w:r>
      <w:r>
        <w:rPr>
          <w:rStyle w:val="FootnoteReference"/>
        </w:rPr>
        <w:footnoteReference w:id="1727"/>
      </w:r>
      <w:r w:rsidR="001C3BEA" w:rsidRPr="001C3BEA">
        <w:t xml:space="preserve"> </w:t>
      </w:r>
      <w:r w:rsidR="001C3BEA">
        <w:t>PwC submitted that relative liquidity should not affect the bond break-even inflation estimates due to the non-substitutability of nominal and indexed CGS given the diametrically opposed future inflation view of nominal and indexed CGS.</w:t>
      </w:r>
      <w:r w:rsidR="001C3BEA">
        <w:rPr>
          <w:rStyle w:val="FootnoteReference"/>
        </w:rPr>
        <w:footnoteReference w:id="1728"/>
      </w:r>
    </w:p>
    <w:p w:rsidR="00E46946" w:rsidRDefault="00E46946" w:rsidP="00E46946">
      <w:r>
        <w:t xml:space="preserve">We consider that that the relative liquidity of the Australian nominal and indexed CGS markets, and the presence of a liquidity premium, is an empirical question. </w:t>
      </w:r>
      <w:r w:rsidR="001C3BEA">
        <w:t>While PwC asserted the non-substitutability of nominal and indexed CGS as an a priori reason why relative liquidity bias may not be material, it did not cite any empricial or other supporting evidence to support this view. In contrast, ACCC Working Paper #11 noted</w:t>
      </w:r>
      <w:r w:rsidR="001C3BEA">
        <w:rPr>
          <w:rStyle w:val="FootnoteReference"/>
        </w:rPr>
        <w:footnoteReference w:id="1729"/>
      </w:r>
      <w:r w:rsidR="001C3BEA">
        <w:t xml:space="preserve"> that </w:t>
      </w:r>
      <w:r w:rsidR="001C3BEA" w:rsidRPr="00470E08">
        <w:t>Fleckenstein et al. cite a number of</w:t>
      </w:r>
      <w:r w:rsidR="001C3BEA">
        <w:t xml:space="preserve"> studies which discuss how </w:t>
      </w:r>
      <w:r w:rsidR="001C3BEA" w:rsidRPr="00470E08">
        <w:t>slow-moving capital or capital availability may explain the persistence of arbitrage</w:t>
      </w:r>
      <w:r w:rsidR="001C3BEA">
        <w:t xml:space="preserve"> </w:t>
      </w:r>
      <w:r w:rsidR="001C3BEA" w:rsidRPr="00470E08">
        <w:t>opportunities</w:t>
      </w:r>
      <w:r w:rsidR="001C3BEA">
        <w:t xml:space="preserve"> in mispricing of TIPS and Treasury bonds.</w:t>
      </w:r>
      <w:r w:rsidR="001C3BEA">
        <w:rPr>
          <w:rStyle w:val="FootnoteReference"/>
        </w:rPr>
        <w:footnoteReference w:id="1730"/>
      </w:r>
      <w:r w:rsidR="001C3BEA">
        <w:t xml:space="preserve"> </w:t>
      </w:r>
      <w:r>
        <w:t xml:space="preserve">We </w:t>
      </w:r>
      <w:r w:rsidR="001C3BEA">
        <w:t xml:space="preserve">also </w:t>
      </w:r>
      <w:r>
        <w:t>note that the Australian government securities markets are typically less liquid than similar foreign markets (such as the US and UK), and that ACCC Working Paper #11's survey of the academic literature finds evidence of a potentially material and time-varying liquidity premium, including in the much more liquid US and UK markets.</w:t>
      </w:r>
      <w:r>
        <w:rPr>
          <w:rStyle w:val="FootnoteReference"/>
        </w:rPr>
        <w:footnoteReference w:id="1731"/>
      </w:r>
      <w:r>
        <w:t xml:space="preserve"> ACCC Working Paper #11 also finds it unlikely that relative liquidity in the Australian CGS market has improved since 2007-08, based on a consideration of relative turnover and bid-ask spreads as proxy measures of relative liquidity.</w:t>
      </w:r>
      <w:r>
        <w:rPr>
          <w:rStyle w:val="FootnoteReference"/>
        </w:rPr>
        <w:footnoteReference w:id="1732"/>
      </w:r>
    </w:p>
    <w:p w:rsidR="00E46946" w:rsidRDefault="00E46946" w:rsidP="00E46946">
      <w:r>
        <w:t>Further, we note that a recent RBA study of the Australian market finds that relative liquidity may be causing break-even inflation estimates to be</w:t>
      </w:r>
      <w:r w:rsidR="00BE4070">
        <w:t xml:space="preserve"> increasingly downwardly biased:</w:t>
      </w:r>
      <w:r w:rsidR="00BE4070" w:rsidRPr="00BE4070">
        <w:rPr>
          <w:rStyle w:val="FootnoteReference"/>
        </w:rPr>
        <w:t xml:space="preserve"> </w:t>
      </w:r>
      <w:r w:rsidR="00BE4070">
        <w:rPr>
          <w:rStyle w:val="FootnoteReference"/>
        </w:rPr>
        <w:footnoteReference w:id="1733"/>
      </w:r>
    </w:p>
    <w:p w:rsidR="00E46946" w:rsidRPr="00CF3376" w:rsidRDefault="00E46946" w:rsidP="00E46946">
      <w:pPr>
        <w:pStyle w:val="AERquote"/>
      </w:pPr>
      <w:r w:rsidRPr="00CF3376">
        <w:t xml:space="preserve">The financial markets that are used to calculate some measures of inflation expectations are not particularly liquid in Australia, and the financial measures also include an inflation risk premium; these issues can affect the interpretation of movements in the series. </w:t>
      </w:r>
    </w:p>
    <w:p w:rsidR="00E46946" w:rsidRPr="00CF3376" w:rsidRDefault="00E46946" w:rsidP="00E46946">
      <w:pPr>
        <w:pStyle w:val="AERquote"/>
      </w:pPr>
      <w:r>
        <w:t>…</w:t>
      </w:r>
    </w:p>
    <w:p w:rsidR="00E46946" w:rsidRPr="00CF3376" w:rsidRDefault="00E46946" w:rsidP="00E46946">
      <w:pPr>
        <w:pStyle w:val="AERquote"/>
      </w:pPr>
      <w:r w:rsidRPr="00CF3376">
        <w:t>The first is that, in Australia, markets for these instruments are not particularly active or liquid. For inflation-linked bonds, liquidity is low relative to nominal AGS and so investors who wish to hold highly liquid assets will have a preference for nominal AGS. As a result, investors may demand a higher yield on inflation-linked AGS, known as a ‘liquidity premium’, to compensate for the risk of market prices moving against the investor in a substantial way if they try to sell their position. This liquidity premium may downwardly bias the bond-based measure of inflation expectations.</w:t>
      </w:r>
    </w:p>
    <w:p w:rsidR="00E46946" w:rsidRPr="00CF3376" w:rsidRDefault="00E46946" w:rsidP="00E46946">
      <w:pPr>
        <w:pStyle w:val="AERquote"/>
      </w:pPr>
      <w:r>
        <w:t>…</w:t>
      </w:r>
    </w:p>
    <w:p w:rsidR="00E46946" w:rsidRPr="00CF3376" w:rsidRDefault="00E46946" w:rsidP="00E46946">
      <w:pPr>
        <w:pStyle w:val="AERquote"/>
      </w:pPr>
      <w:r w:rsidRPr="00CF3376">
        <w:t xml:space="preserve">Various metrics suggest that liquidity is substantially lower for inflation-linked AGS than for nominal AGS (Graph 6). It is for this reason that the yields on inflation-linked AGS are believed to embed a liquidity premium over nominal AGS. If the liquidity premium were constant over time, it would affect only the level of the estimated bond break-even inflation rate. However, there is a steadily increasing wedge between the 10-year inflation swaps rate and 10-year bond break-even rates since about 2011 (Graph 7). </w:t>
      </w:r>
    </w:p>
    <w:p w:rsidR="00E46946" w:rsidRPr="00CF3376" w:rsidRDefault="00E46946" w:rsidP="00E46946">
      <w:pPr>
        <w:pStyle w:val="AERquote"/>
      </w:pPr>
      <w:r w:rsidRPr="00CF3376">
        <w:t>Graph 6</w:t>
      </w:r>
    </w:p>
    <w:p w:rsidR="00E46946" w:rsidRPr="00CF3376" w:rsidRDefault="00E46946" w:rsidP="00E46946">
      <w:pPr>
        <w:pStyle w:val="AERquote"/>
      </w:pPr>
      <w:r w:rsidRPr="00E46946">
        <w:rPr>
          <w:noProof/>
          <w:lang w:eastAsia="en-AU"/>
        </w:rPr>
        <w:drawing>
          <wp:inline distT="0" distB="0" distL="0" distR="0" wp14:anchorId="2AC6CA49" wp14:editId="274B095E">
            <wp:extent cx="2001600" cy="1764000"/>
            <wp:effectExtent l="0" t="0" r="0" b="8255"/>
            <wp:docPr id="28" name="Picture 28" descr="Graph 6 Australian Government Secu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6 Australian Government Securiti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1600" cy="1764000"/>
                    </a:xfrm>
                    <a:prstGeom prst="rect">
                      <a:avLst/>
                    </a:prstGeom>
                    <a:noFill/>
                    <a:ln>
                      <a:noFill/>
                    </a:ln>
                  </pic:spPr>
                </pic:pic>
              </a:graphicData>
            </a:graphic>
          </wp:inline>
        </w:drawing>
      </w:r>
    </w:p>
    <w:p w:rsidR="00E46946" w:rsidRPr="00CF3376" w:rsidRDefault="00E46946" w:rsidP="00E46946">
      <w:pPr>
        <w:pStyle w:val="AERquote"/>
      </w:pPr>
      <w:r w:rsidRPr="00CF3376">
        <w:t>Graph 7</w:t>
      </w:r>
    </w:p>
    <w:p w:rsidR="00E46946" w:rsidRPr="00CF3376" w:rsidRDefault="00E46946" w:rsidP="00E46946">
      <w:pPr>
        <w:pStyle w:val="AERquote"/>
      </w:pPr>
      <w:r w:rsidRPr="00E46946">
        <w:rPr>
          <w:noProof/>
          <w:lang w:eastAsia="en-AU"/>
        </w:rPr>
        <w:drawing>
          <wp:inline distT="0" distB="0" distL="0" distR="0" wp14:anchorId="04B3337E" wp14:editId="69CB222B">
            <wp:extent cx="2001600" cy="1677600"/>
            <wp:effectExtent l="0" t="0" r="0" b="0"/>
            <wp:docPr id="32" name="Picture 32" descr="Graph 7 Ten-year Break-even Infl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7 Ten-year Break-even Inflation Rat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1600" cy="1677600"/>
                    </a:xfrm>
                    <a:prstGeom prst="rect">
                      <a:avLst/>
                    </a:prstGeom>
                    <a:noFill/>
                    <a:ln>
                      <a:noFill/>
                    </a:ln>
                  </pic:spPr>
                </pic:pic>
              </a:graphicData>
            </a:graphic>
          </wp:inline>
        </w:drawing>
      </w:r>
    </w:p>
    <w:p w:rsidR="00E46946" w:rsidRPr="00CF3376" w:rsidRDefault="00E46946" w:rsidP="00E46946">
      <w:pPr>
        <w:pStyle w:val="AERquote"/>
      </w:pPr>
      <w:r w:rsidRPr="00CF3376">
        <w:t xml:space="preserve">The widening in the spread between the two rates might be the result of changes to either market. One possibility is that the liquidity premium in inflation-linked AGS has risen, exacerbating the downward bias in the bond-based measure of inflation expectations. This would be consistent with the widespread view that liquidity in global bond markets has declined noticeably since 2008 (e.g. Levine 2015; Debelle 2015; CGFS 2016). In Australia, the decline in fixed income market liquidity has been less pronounced than globally; nonetheless, there is some evidence that bond markets are less liquid than in the past, but that an increase in interest rate derivatives market liquidity has more than offset this (Cheshire 2016). This change reflects, at least in part, a correction in the pricing of liquidity, which had been ‘underpriced in the years prior to the global financial crisis’ (Debelle 2016). These developments may have raised the liquidity premium inherent in inflation-indexed AGS by more than in nominal AGS because of the lower initial liquidity in inflation-linked AGS. If this is the case, the bond-based measure of inflation expectations may have become more downwardly biased than in the past. </w:t>
      </w:r>
    </w:p>
    <w:p w:rsidR="00E46946" w:rsidRDefault="00E46946" w:rsidP="00E46946">
      <w:r w:rsidRPr="00CF3376">
        <w:t xml:space="preserve">As mentioned in the excerpt above, the liquidity of indexed CGS is unlikely to be equivalent to nominal CGS. This implies that the liquidity premium for </w:t>
      </w:r>
      <w:r>
        <w:t>indexed</w:t>
      </w:r>
      <w:r w:rsidRPr="00CF3376">
        <w:t xml:space="preserve"> CGS is not zero and is not insignificant.</w:t>
      </w:r>
    </w:p>
    <w:p w:rsidR="00E46946" w:rsidRPr="00757EBE" w:rsidRDefault="00E46946" w:rsidP="00E46946">
      <w:pPr>
        <w:pStyle w:val="HeadingBoldItalic"/>
      </w:pPr>
      <w:r w:rsidRPr="00757EBE">
        <w:t>Consideration of individual studies into bond break-even inflation</w:t>
      </w:r>
    </w:p>
    <w:p w:rsidR="00E46946" w:rsidRPr="00E46946" w:rsidRDefault="00E46946" w:rsidP="00E46946">
      <w:pPr>
        <w:pStyle w:val="HeadingItalic"/>
        <w:rPr>
          <w:rStyle w:val="Strong"/>
        </w:rPr>
      </w:pPr>
      <w:r w:rsidRPr="00E46946">
        <w:rPr>
          <w:rStyle w:val="Strong"/>
        </w:rPr>
        <w:t>Ang, Bekaert, and Wei (2016)</w:t>
      </w:r>
    </w:p>
    <w:p w:rsidR="00E46946" w:rsidRPr="00A440C0" w:rsidRDefault="00E46946" w:rsidP="00E46946">
      <w:r w:rsidRPr="00A440C0">
        <w:t xml:space="preserve">CEG references </w:t>
      </w:r>
      <w:r>
        <w:t xml:space="preserve">the finding in </w:t>
      </w:r>
      <w:r w:rsidRPr="00A440C0">
        <w:t>Ang, Bekaert and Wei (2008)</w:t>
      </w:r>
      <w:r>
        <w:t xml:space="preserve"> of</w:t>
      </w:r>
      <w:r w:rsidRPr="00A440C0">
        <w:t xml:space="preserve"> a relatively large average inflation risk premium in the US market (approximately 114 basis points over the full sample, and 50 basis points since the 1980s) and suggests that it is unlikely that any other biases would offset such an inflation risk premium.</w:t>
      </w:r>
      <w:r>
        <w:rPr>
          <w:rStyle w:val="FootnoteReference"/>
        </w:rPr>
        <w:footnoteReference w:id="1734"/>
      </w:r>
      <w:r w:rsidRPr="00A440C0">
        <w:t xml:space="preserve"> </w:t>
      </w:r>
      <w:r>
        <w:t>ACCC Working P</w:t>
      </w:r>
      <w:r w:rsidRPr="00A440C0">
        <w:t>aper</w:t>
      </w:r>
      <w:r>
        <w:t xml:space="preserve"> #11</w:t>
      </w:r>
      <w:r w:rsidRPr="00A440C0">
        <w:rPr>
          <w:rStyle w:val="FootnoteReference"/>
        </w:rPr>
        <w:footnoteReference w:id="1735"/>
      </w:r>
      <w:r w:rsidRPr="00A440C0">
        <w:t xml:space="preserve"> raises the following issue with the paper’s methodology, which brings into question </w:t>
      </w:r>
      <w:r>
        <w:t>the</w:t>
      </w:r>
      <w:r w:rsidRPr="00A440C0">
        <w:t xml:space="preserve"> conclusions CEG has drawn from</w:t>
      </w:r>
      <w:r>
        <w:t xml:space="preserve"> its results:</w:t>
      </w:r>
      <w:r>
        <w:rPr>
          <w:rStyle w:val="FootnoteReference"/>
        </w:rPr>
        <w:footnoteReference w:id="1736"/>
      </w:r>
      <w:r w:rsidRPr="00A440C0">
        <w:rPr>
          <w:rStyle w:val="FootnoteReference"/>
        </w:rPr>
        <w:t xml:space="preserve"> </w:t>
      </w:r>
    </w:p>
    <w:p w:rsidR="00E46946" w:rsidRPr="00A440C0" w:rsidRDefault="00E46946" w:rsidP="00E46946">
      <w:pPr>
        <w:pStyle w:val="AERquote"/>
      </w:pPr>
      <w:r w:rsidRPr="00E46946">
        <w:rPr>
          <w:rFonts w:eastAsiaTheme="minorEastAsia"/>
        </w:rPr>
        <w:t>However, Ang et al.’s decomposition estimates are not estimates based on the observations of the yields of nominal and indexed bonds. Ang et al. do not observe real rates from TIPS for most of their sample (from the 2nd quarter 1952 to the 4th quarter 2004) since these securities were not introduced until 1997. Real rates and inflation risk premia are estimated by using a no-arbitrage term structure model of nominal yields that relied on historical data of short and long term nominal yields and inflation.</w:t>
      </w:r>
    </w:p>
    <w:p w:rsidR="00E46946" w:rsidRPr="00E46946" w:rsidRDefault="00E46946" w:rsidP="00E46946">
      <w:pPr>
        <w:pStyle w:val="HeadingItalic"/>
        <w:rPr>
          <w:rStyle w:val="Strong"/>
        </w:rPr>
      </w:pPr>
      <w:r w:rsidRPr="00E46946">
        <w:rPr>
          <w:rStyle w:val="Strong"/>
        </w:rPr>
        <w:t>Coroneo (2016)</w:t>
      </w:r>
    </w:p>
    <w:p w:rsidR="00E46946" w:rsidRDefault="00E46946" w:rsidP="00E46946">
      <w:r w:rsidRPr="00A54AED">
        <w:t>The findings of Coroneo (2016)</w:t>
      </w:r>
      <w:r w:rsidRPr="00A54AED">
        <w:rPr>
          <w:rStyle w:val="FootnoteReference"/>
        </w:rPr>
        <w:footnoteReference w:id="1737"/>
      </w:r>
      <w:r w:rsidRPr="00A54AED">
        <w:t xml:space="preserve"> are </w:t>
      </w:r>
      <w:r>
        <w:t>submitted</w:t>
      </w:r>
      <w:r w:rsidRPr="00A54AED">
        <w:t xml:space="preserve"> by CEG as evidence of a liquidity factor that</w:t>
      </w:r>
      <w:r>
        <w:t>:</w:t>
      </w:r>
      <w:r w:rsidRPr="00A54AED">
        <w:rPr>
          <w:rStyle w:val="FootnoteReference"/>
        </w:rPr>
        <w:footnoteReference w:id="1738"/>
      </w:r>
    </w:p>
    <w:p w:rsidR="00E46946" w:rsidRDefault="00E46946" w:rsidP="00E46946">
      <w:pPr>
        <w:pStyle w:val="AERquote"/>
      </w:pPr>
      <w:r>
        <w:t>…</w:t>
      </w:r>
      <w:r w:rsidRPr="00A54AED">
        <w:t>hovers around zero since 2005 (other than the period duri</w:t>
      </w:r>
      <w:r>
        <w:t>ng the global financial crisis)</w:t>
      </w:r>
    </w:p>
    <w:p w:rsidR="00E46946" w:rsidRPr="00A54AED" w:rsidRDefault="00E46946" w:rsidP="00E46946">
      <w:r w:rsidRPr="00A54AED">
        <w:t>However the TIPS liquidity factor constructed by this pape</w:t>
      </w:r>
      <w:r>
        <w:t xml:space="preserve">r is found to explain up to 23 per cent </w:t>
      </w:r>
      <w:r w:rsidRPr="00A54AED">
        <w:t>of the variance of TIPS yields</w:t>
      </w:r>
      <w:r w:rsidRPr="00A54AED">
        <w:rPr>
          <w:rStyle w:val="FootnoteReference"/>
        </w:rPr>
        <w:footnoteReference w:id="1739"/>
      </w:r>
      <w:r w:rsidRPr="00A54AED">
        <w:t xml:space="preserve">, and as </w:t>
      </w:r>
      <w:r>
        <w:t>Coroneo (2016)</w:t>
      </w:r>
      <w:r w:rsidRPr="00A54AED">
        <w:t xml:space="preserve"> states</w:t>
      </w:r>
      <w:r>
        <w:t>:</w:t>
      </w:r>
      <w:r w:rsidRPr="00A54AED">
        <w:rPr>
          <w:rStyle w:val="FootnoteReference"/>
        </w:rPr>
        <w:footnoteReference w:id="1740"/>
      </w:r>
    </w:p>
    <w:p w:rsidR="00E46946" w:rsidRPr="00A54AED" w:rsidRDefault="00E46946" w:rsidP="00E46946">
      <w:pPr>
        <w:pStyle w:val="AERquote"/>
      </w:pPr>
      <w:r w:rsidRPr="00A54AED">
        <w:t>Our estimation results confirm that the liquidity premium is an important component of TIPS yields</w:t>
      </w:r>
      <w:r>
        <w:t>.</w:t>
      </w:r>
    </w:p>
    <w:p w:rsidR="00E46946" w:rsidRPr="00E46946" w:rsidRDefault="00E46946" w:rsidP="00E46946">
      <w:pPr>
        <w:pStyle w:val="HeadingItalic"/>
        <w:rPr>
          <w:rStyle w:val="Strong"/>
        </w:rPr>
      </w:pPr>
      <w:r w:rsidRPr="00E46946">
        <w:rPr>
          <w:rStyle w:val="Strong"/>
        </w:rPr>
        <w:t>D'Amico, Kim, and Wei (2010) and D'Amico, Kim, and Wei (2016)</w:t>
      </w:r>
    </w:p>
    <w:p w:rsidR="00E46946" w:rsidRPr="00A440C0" w:rsidRDefault="00E46946" w:rsidP="00E46946">
      <w:r w:rsidRPr="00A440C0">
        <w:t>CEG submits</w:t>
      </w:r>
      <w:r>
        <w:rPr>
          <w:rStyle w:val="FootnoteReference"/>
        </w:rPr>
        <w:footnoteReference w:id="1741"/>
      </w:r>
      <w:r w:rsidRPr="00A440C0">
        <w:t xml:space="preserve"> that the results of D’Amico, Kim and Wei (2010)</w:t>
      </w:r>
      <w:r>
        <w:rPr>
          <w:rStyle w:val="FootnoteReference"/>
        </w:rPr>
        <w:footnoteReference w:id="1742"/>
      </w:r>
      <w:r w:rsidRPr="00A440C0">
        <w:t xml:space="preserve"> and </w:t>
      </w:r>
      <w:r>
        <w:t>D'Amico, Kim, and Wei (2016)</w:t>
      </w:r>
      <w:r w:rsidRPr="006246DC">
        <w:rPr>
          <w:rStyle w:val="FootnoteReference"/>
        </w:rPr>
        <w:t xml:space="preserve"> </w:t>
      </w:r>
      <w:r w:rsidRPr="00A440C0">
        <w:rPr>
          <w:rStyle w:val="FootnoteReference"/>
        </w:rPr>
        <w:footnoteReference w:id="1743"/>
      </w:r>
      <w:r w:rsidRPr="00A440C0">
        <w:t xml:space="preserve"> indicate that the breakeven method actually overstates expected inflation.</w:t>
      </w:r>
    </w:p>
    <w:p w:rsidR="00E46946" w:rsidRPr="00A440C0" w:rsidRDefault="00E46946" w:rsidP="00E46946">
      <w:r>
        <w:t xml:space="preserve">However, </w:t>
      </w:r>
      <w:r w:rsidRPr="00A440C0">
        <w:t>D’</w:t>
      </w:r>
      <w:r>
        <w:t>Amico, Kim, and Wei (2016), which updates</w:t>
      </w:r>
      <w:r w:rsidRPr="00A440C0">
        <w:t xml:space="preserve"> </w:t>
      </w:r>
      <w:r>
        <w:t xml:space="preserve">D'Amico, Kim and Wei (2010), </w:t>
      </w:r>
      <w:r w:rsidRPr="00A440C0">
        <w:t>states the following in regard to the breakeven method of estimating expected inflation</w:t>
      </w:r>
      <w:r>
        <w:t>:</w:t>
      </w:r>
      <w:r w:rsidRPr="00A440C0">
        <w:rPr>
          <w:rStyle w:val="FootnoteReference"/>
        </w:rPr>
        <w:footnoteReference w:id="1744"/>
      </w:r>
      <w:r w:rsidRPr="00A440C0">
        <w:t xml:space="preserve"> </w:t>
      </w:r>
    </w:p>
    <w:p w:rsidR="00E46946" w:rsidRPr="00A440C0" w:rsidRDefault="00E46946" w:rsidP="00E46946">
      <w:pPr>
        <w:pStyle w:val="AERquote"/>
      </w:pPr>
      <w:r w:rsidRPr="00A440C0">
        <w:t>Treating the TIPS BEI [breakeven inflation] as a clean proxy for inflation expectation can be especially problematic, since a combination of economically significant TIPS liquidity premiums and inflation risk premiums could potentially drive a notable wedge between the TIPS BEI a</w:t>
      </w:r>
      <w:r>
        <w:t>nd true inflation expectations.</w:t>
      </w:r>
    </w:p>
    <w:p w:rsidR="00E46946" w:rsidRPr="00A440C0" w:rsidRDefault="00A936B7" w:rsidP="00E46946">
      <w:r>
        <w:fldChar w:fldCharType="begin"/>
      </w:r>
      <w:r>
        <w:instrText xml:space="preserve"> REF _Ref486940952 \h </w:instrText>
      </w:r>
      <w:r>
        <w:fldChar w:fldCharType="separate"/>
      </w:r>
      <w:r w:rsidR="002C24D6">
        <w:t xml:space="preserve">Figure </w:t>
      </w:r>
      <w:r w:rsidR="002C24D6">
        <w:rPr>
          <w:noProof/>
        </w:rPr>
        <w:t>3</w:t>
      </w:r>
      <w:r w:rsidR="002C24D6">
        <w:noBreakHyphen/>
      </w:r>
      <w:r w:rsidR="002C24D6">
        <w:rPr>
          <w:noProof/>
        </w:rPr>
        <w:t>26</w:t>
      </w:r>
      <w:r>
        <w:fldChar w:fldCharType="end"/>
      </w:r>
      <w:r>
        <w:t xml:space="preserve"> </w:t>
      </w:r>
      <w:r w:rsidR="00E46946" w:rsidRPr="00A440C0">
        <w:t>below, which is sourced from D’</w:t>
      </w:r>
      <w:r w:rsidR="00E46946">
        <w:t xml:space="preserve">Amico, Kim, and Wei (2016) </w:t>
      </w:r>
      <w:r w:rsidR="00E46946" w:rsidRPr="00A440C0">
        <w:t xml:space="preserve">and referred to by CEG, shows large differences between </w:t>
      </w:r>
      <w:r w:rsidR="00E46946">
        <w:t>break-even inflation estimates</w:t>
      </w:r>
      <w:r w:rsidR="00E46946" w:rsidRPr="00F6001D">
        <w:t xml:space="preserve"> </w:t>
      </w:r>
      <w:r w:rsidR="00E46946" w:rsidRPr="00A440C0">
        <w:t xml:space="preserve">and the </w:t>
      </w:r>
      <w:r w:rsidR="00E46946">
        <w:t xml:space="preserve">estimated true </w:t>
      </w:r>
      <w:r w:rsidR="00E46946" w:rsidRPr="00A440C0">
        <w:t xml:space="preserve">expected inflation rate </w:t>
      </w:r>
      <w:r w:rsidR="00E46946">
        <w:t xml:space="preserve">estimated by </w:t>
      </w:r>
      <w:r w:rsidR="00E46946" w:rsidRPr="00A440C0">
        <w:t>D’</w:t>
      </w:r>
      <w:r w:rsidR="00E46946">
        <w:t>Amico, Kim, and Wei (2016).</w:t>
      </w:r>
      <w:r w:rsidR="00E46946">
        <w:rPr>
          <w:rStyle w:val="FootnoteReference"/>
        </w:rPr>
        <w:footnoteReference w:id="1745"/>
      </w:r>
      <w:r w:rsidR="00E46946">
        <w:t xml:space="preserve"> </w:t>
      </w:r>
      <w:r w:rsidR="00E46946" w:rsidRPr="00A440C0">
        <w:t xml:space="preserve"> </w:t>
      </w:r>
      <w:r w:rsidR="00E46946">
        <w:t xml:space="preserve">This result holds </w:t>
      </w:r>
      <w:r w:rsidR="00E46946" w:rsidRPr="00A440C0">
        <w:t xml:space="preserve">even with the exclusion of the period during the global financial crisis. Most recently, the difference is around </w:t>
      </w:r>
      <w:r w:rsidR="00E46946">
        <w:t>75 basis points</w:t>
      </w:r>
      <w:r w:rsidR="00E46946" w:rsidRPr="00A440C0">
        <w:t xml:space="preserve">. Notably the expected inflation </w:t>
      </w:r>
      <w:r w:rsidR="00E46946">
        <w:t xml:space="preserve">estimate </w:t>
      </w:r>
      <w:r w:rsidR="00E46946" w:rsidRPr="00A440C0">
        <w:t xml:space="preserve">is much more stable than the breakeven method would imply. </w:t>
      </w:r>
      <w:r w:rsidR="00E46946">
        <w:t>ACCC Working P</w:t>
      </w:r>
      <w:r w:rsidR="00E46946" w:rsidRPr="00A440C0">
        <w:t>aper</w:t>
      </w:r>
      <w:r w:rsidR="00E46946">
        <w:t xml:space="preserve"> #11 </w:t>
      </w:r>
      <w:r w:rsidR="00E46946" w:rsidRPr="00A440C0">
        <w:t xml:space="preserve">highlights the stability of the </w:t>
      </w:r>
      <w:r w:rsidR="00E46946">
        <w:t xml:space="preserve">RBA forecasts and target band approach and cites </w:t>
      </w:r>
      <w:r w:rsidR="00E46946" w:rsidRPr="00A440C0">
        <w:t>further literature which finds that inflation expectations are relatively stable</w:t>
      </w:r>
      <w:r w:rsidR="00E46946">
        <w:t>.</w:t>
      </w:r>
      <w:r w:rsidR="00E46946" w:rsidRPr="00A440C0">
        <w:rPr>
          <w:rStyle w:val="FootnoteReference"/>
        </w:rPr>
        <w:footnoteReference w:id="1746"/>
      </w:r>
      <w:r w:rsidR="00E46946" w:rsidRPr="00A440C0">
        <w:t xml:space="preserve"> </w:t>
      </w:r>
      <w:r w:rsidR="00E46946">
        <w:t>The finding in D’Amico, Kim and Wei (2016)</w:t>
      </w:r>
      <w:r w:rsidR="00E46946" w:rsidRPr="00A440C0">
        <w:t xml:space="preserve"> of a negative liquidity risk premium in recent times highlights the potentially unstable nature of the biases associated with the breakeven method</w:t>
      </w:r>
      <w:r w:rsidR="00E46946">
        <w:t xml:space="preserve"> in contrast to the findings of ACCC Working Paper #11 that inflation expectations are relatively stable</w:t>
      </w:r>
      <w:r w:rsidR="00E46946" w:rsidRPr="00A440C0">
        <w:t>.</w:t>
      </w:r>
    </w:p>
    <w:p w:rsidR="00E46946" w:rsidRDefault="00E46946" w:rsidP="00E46946">
      <w:pPr>
        <w:pStyle w:val="Caption"/>
      </w:pPr>
      <w:bookmarkStart w:id="582" w:name="_Ref486940952"/>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noBreakHyphen/>
      </w:r>
      <w:r w:rsidR="002C24D6">
        <w:fldChar w:fldCharType="begin"/>
      </w:r>
      <w:r w:rsidR="002C24D6">
        <w:instrText xml:space="preserve"> SEQ Figure \* ARABIC \s 1 </w:instrText>
      </w:r>
      <w:r w:rsidR="002C24D6">
        <w:fldChar w:fldCharType="separate"/>
      </w:r>
      <w:r w:rsidR="002C24D6">
        <w:rPr>
          <w:noProof/>
        </w:rPr>
        <w:t>26</w:t>
      </w:r>
      <w:r w:rsidR="002C24D6">
        <w:rPr>
          <w:noProof/>
        </w:rPr>
        <w:fldChar w:fldCharType="end"/>
      </w:r>
      <w:bookmarkEnd w:id="582"/>
      <w:r>
        <w:tab/>
        <w:t>Inflation estimates from D'Amico, Kim, and Wei (2016)</w:t>
      </w:r>
    </w:p>
    <w:p w:rsidR="00E46946" w:rsidRDefault="00E46946" w:rsidP="00E46946">
      <w:r w:rsidRPr="00E46946">
        <w:rPr>
          <w:noProof/>
          <w:lang w:eastAsia="en-AU"/>
        </w:rPr>
        <w:drawing>
          <wp:inline distT="0" distB="0" distL="0" distR="0" wp14:anchorId="30EAAAB5" wp14:editId="35A3A87D">
            <wp:extent cx="5382895" cy="2067041"/>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82895" cy="2067041"/>
                    </a:xfrm>
                    <a:prstGeom prst="rect">
                      <a:avLst/>
                    </a:prstGeom>
                  </pic:spPr>
                </pic:pic>
              </a:graphicData>
            </a:graphic>
          </wp:inline>
        </w:drawing>
      </w:r>
    </w:p>
    <w:p w:rsidR="00E46946" w:rsidRDefault="00E46946" w:rsidP="00E46946">
      <w:pPr>
        <w:pStyle w:val="AERtablesource"/>
      </w:pPr>
      <w:r>
        <w:t>Notes:</w:t>
      </w:r>
      <w:r>
        <w:tab/>
        <w:t xml:space="preserve">BEI refers to break-even inflation estimates. "inf exp" refers to inflation </w:t>
      </w:r>
    </w:p>
    <w:p w:rsidR="00E46946" w:rsidRDefault="00E46946" w:rsidP="00E46946">
      <w:pPr>
        <w:pStyle w:val="AERtablesource"/>
      </w:pPr>
      <w:r>
        <w:t>Source:</w:t>
      </w:r>
      <w:r>
        <w:tab/>
      </w:r>
      <w:r w:rsidRPr="006A4EB6">
        <w:t>Stefania D’Amico, Don Kim and Min Wei (2016), ‘Tips from TIPS: The informational content of Treasury Inflation-Protected Security prices’, Finance and Economics Discussion Series, Divisions of Research and Statistics and Monetary Affairs, Federal Reserve Board, 2014-24</w:t>
      </w:r>
      <w:r>
        <w:t>, p. 69.</w:t>
      </w:r>
    </w:p>
    <w:p w:rsidR="00E46946" w:rsidRPr="00E46946" w:rsidRDefault="00E46946" w:rsidP="00E46946">
      <w:pPr>
        <w:pStyle w:val="HeadingItalic"/>
        <w:rPr>
          <w:rStyle w:val="Strong"/>
        </w:rPr>
      </w:pPr>
      <w:r w:rsidRPr="00E46946">
        <w:rPr>
          <w:rStyle w:val="Strong"/>
        </w:rPr>
        <w:t>Grishchenko and Huang (2012)</w:t>
      </w:r>
    </w:p>
    <w:p w:rsidR="00E46946" w:rsidRPr="00A440C0" w:rsidRDefault="00E46946" w:rsidP="00E46946">
      <w:r w:rsidRPr="00A440C0">
        <w:t>Grishchenko and Huang (2012) adjust their estimated inflation risk premium for the effects of illiquidity on TIPS</w:t>
      </w:r>
      <w:r>
        <w:t xml:space="preserve"> (US indexed government bonds)</w:t>
      </w:r>
      <w:r w:rsidRPr="00A440C0">
        <w:t>. CEG states that as a result, the inflation risk premium calculated can be considered as the ‘net bias’, and then uses the figure as the amount by which breakeven inflation overestimates expected inflation.</w:t>
      </w:r>
      <w:r w:rsidRPr="00A440C0">
        <w:rPr>
          <w:rStyle w:val="FootnoteReference"/>
        </w:rPr>
        <w:footnoteReference w:id="1747"/>
      </w:r>
      <w:r w:rsidRPr="00A440C0">
        <w:t xml:space="preserve"> However the liquidity adjustment ensures that the inflation risk premium is not distorted by liquidity issues. The figures given are the authors’ estimate of the inflation risk premium, not a ‘net bias’. The purpose of the liquidity adjustment is to isolate the inflation risk premium, in contrast to stating the net effect of inflation risk and liquidity.</w:t>
      </w:r>
    </w:p>
    <w:p w:rsidR="00E46946" w:rsidRPr="00E46946" w:rsidRDefault="00E46946" w:rsidP="00E46946">
      <w:pPr>
        <w:pStyle w:val="HeadingItalic"/>
        <w:rPr>
          <w:rStyle w:val="Strong"/>
        </w:rPr>
      </w:pPr>
      <w:r w:rsidRPr="00E46946">
        <w:rPr>
          <w:rStyle w:val="Strong"/>
        </w:rPr>
        <w:t>Pflueger &amp; Viceira (2015)</w:t>
      </w:r>
    </w:p>
    <w:p w:rsidR="00E46946" w:rsidRDefault="00E46946" w:rsidP="00E46946">
      <w:r w:rsidRPr="001A388C">
        <w:t>Pflueger and Viceira (2015), present a liquidity premium f</w:t>
      </w:r>
      <w:r>
        <w:t xml:space="preserve">or the US TIPS and UK index-linked gilts (US and UK equivalents to the Australian indexed CGS). CEG submits that while Pflueger and Viceira (2015) find a sizeable liquidity premium in the US, </w:t>
      </w:r>
      <w:r w:rsidRPr="001A388C">
        <w:t>the liquidity premium is smaller in the UK</w:t>
      </w:r>
      <w:r>
        <w:t>. However</w:t>
      </w:r>
      <w:r w:rsidRPr="001A388C">
        <w:t>, it is likely that the Australian market exhibits more similarity to properties of the US market than UK market. The proportional value represented by indexed bonds in the Australian CGS market is around 7 per cent as at 3rd of February 2017, for the UK the equivalent is 25 per cent and for the US it is 6 per cent.</w:t>
      </w:r>
      <w:r w:rsidRPr="001A388C">
        <w:rPr>
          <w:rStyle w:val="FootnoteReference"/>
        </w:rPr>
        <w:footnoteReference w:id="1748"/>
      </w:r>
      <w:r w:rsidRPr="001A388C">
        <w:t xml:space="preserve"> This suggests that Australia is more likely to have liquidity premiums in line with the US than the UK.</w:t>
      </w:r>
    </w:p>
    <w:p w:rsidR="00E46946" w:rsidRPr="001A388C" w:rsidRDefault="00E46946" w:rsidP="00E46946">
      <w:r w:rsidRPr="00686541">
        <w:t>Pflueger and Viceira (2015) regresses breakeven inflation on variables that may indicate liquidity issues and published expected inflation. The component of the regression with variables related to liquidity issues is considered as the liquidity premium.</w:t>
      </w:r>
      <w:r>
        <w:t xml:space="preserve"> On this regression, </w:t>
      </w:r>
      <w:r w:rsidRPr="001A388C">
        <w:t>CEG state</w:t>
      </w:r>
      <w:r>
        <w:t>s</w:t>
      </w:r>
      <w:r w:rsidRPr="001A388C">
        <w:t xml:space="preserve"> that:</w:t>
      </w:r>
      <w:r>
        <w:rPr>
          <w:rStyle w:val="FootnoteReference"/>
        </w:rPr>
        <w:footnoteReference w:id="1749"/>
      </w:r>
    </w:p>
    <w:p w:rsidR="00E46946" w:rsidRPr="001A388C" w:rsidRDefault="00E46946" w:rsidP="00E46946">
      <w:pPr>
        <w:pStyle w:val="AERquote"/>
      </w:pPr>
      <w:r w:rsidRPr="001A388C">
        <w:t>Since the coefficients on the variables related to liquidity do not change over time, the model utilised by Pflueger and Viceira (2015) assumes a constant relationship between liquidity premium and the explanatory variables. If these variables do not explain all the movements of liquidity premium across time, the liquidity premium will be over-estimated for some time periods and under-estimated for other time periods. This is because the coefficient is trying to capture the average relationship between the liquidity premium and the explanatory variables. Since Pflueger and Viceira’s (2015) sample includes the periods when TIPS are first introduced and the global financial crisis, which exhibits high liquidity premium, the estimation will overestimate the relationship between the liquidity premium and the explanatory variables in other periods.</w:t>
      </w:r>
    </w:p>
    <w:p w:rsidR="00E46946" w:rsidRPr="001A388C" w:rsidRDefault="00E46946" w:rsidP="00E46946">
      <w:r>
        <w:t>CEG's submission - that a constant relationship between liquidity premium and variables related to liquidity</w:t>
      </w:r>
      <w:r w:rsidRPr="001A388C">
        <w:t xml:space="preserve"> leads to </w:t>
      </w:r>
      <w:r>
        <w:t xml:space="preserve">overestimation - </w:t>
      </w:r>
      <w:r w:rsidRPr="001A388C">
        <w:t xml:space="preserve">does not necessarily hold. </w:t>
      </w:r>
      <w:r>
        <w:t>Some movements in liquidity premium may not be explained by movements in variables related to liquidity premium. There is no reason to believe that these unexplained movements in liquidity premium were</w:t>
      </w:r>
      <w:r w:rsidRPr="001A388C">
        <w:t xml:space="preserve"> </w:t>
      </w:r>
      <w:r>
        <w:t>significantly and reliably</w:t>
      </w:r>
      <w:r w:rsidRPr="001A388C">
        <w:t xml:space="preserve"> in one direction</w:t>
      </w:r>
      <w:r>
        <w:t xml:space="preserve"> or another </w:t>
      </w:r>
      <w:r w:rsidRPr="001A388C">
        <w:t>during</w:t>
      </w:r>
      <w:r>
        <w:t xml:space="preserve"> either</w:t>
      </w:r>
      <w:r w:rsidRPr="001A388C">
        <w:t xml:space="preserve"> the immature stage in the TIPS market or the GFC. Variables</w:t>
      </w:r>
      <w:r>
        <w:t xml:space="preserve"> related to liquidity</w:t>
      </w:r>
      <w:r w:rsidRPr="001A388C">
        <w:t>, such as turnover</w:t>
      </w:r>
      <w:r>
        <w:t>,</w:t>
      </w:r>
      <w:r w:rsidRPr="001A388C">
        <w:t xml:space="preserve"> </w:t>
      </w:r>
      <w:r>
        <w:t>may</w:t>
      </w:r>
      <w:r w:rsidRPr="001A388C">
        <w:t xml:space="preserve"> have varied considerably in the immature stage, the GFC</w:t>
      </w:r>
      <w:r>
        <w:t>,</w:t>
      </w:r>
      <w:r w:rsidRPr="001A388C">
        <w:t xml:space="preserve"> and between.</w:t>
      </w:r>
    </w:p>
    <w:p w:rsidR="00E46946" w:rsidRPr="00757EBE" w:rsidRDefault="00E46946" w:rsidP="00E46946">
      <w:r>
        <w:t>CEG submits that</w:t>
      </w:r>
      <w:r w:rsidRPr="00757EBE">
        <w:t xml:space="preserve"> Pflueger and Viceira (2015) do not test the stability of the estimated coefficient or allow for the removal of the impact of the global financial crisis and introductory period of TIPS. Pflueger and Viceira (2015) do run a separate regression for the period prior to the global financial crisis and finds that the estimated coefficient for two of the liquidity indicators is no longer statistically significant, which may indicate instability in the coefficient.</w:t>
      </w:r>
      <w:r>
        <w:t xml:space="preserve"> Conversely, we note that there is considerable uncertainty about the extent to which biases and risk premia present in bond break-even rates are time-varying.</w:t>
      </w:r>
      <w:r>
        <w:rPr>
          <w:rStyle w:val="FootnoteReference"/>
        </w:rPr>
        <w:footnoteReference w:id="1750"/>
      </w:r>
      <w:r>
        <w:t xml:space="preserve"> </w:t>
      </w:r>
    </w:p>
    <w:p w:rsidR="00E46946" w:rsidRPr="00C93468" w:rsidRDefault="00E46946" w:rsidP="00E46946">
      <w:pPr>
        <w:pStyle w:val="Heading9"/>
      </w:pPr>
      <w:bookmarkStart w:id="583" w:name="_Toc487037254"/>
      <w:r>
        <w:t>Convexity bias</w:t>
      </w:r>
      <w:bookmarkEnd w:id="583"/>
    </w:p>
    <w:p w:rsidR="00E46946" w:rsidRDefault="00E46946" w:rsidP="00E46946">
      <w:r>
        <w:t>CEG and AusNet Services submitted that we did not, in our draft determination, attempt to estimate the impact of convexity bias.</w:t>
      </w:r>
      <w:r>
        <w:rPr>
          <w:rStyle w:val="FootnoteReference"/>
        </w:rPr>
        <w:footnoteReference w:id="1751"/>
      </w:r>
      <w:r>
        <w:t xml:space="preserve"> CEG submitted that the available academic evidence and its own simulation modelling suggest that potential convexity bias in bond break-even inflation estimates is trivial in magnitude.</w:t>
      </w:r>
      <w:r w:rsidRPr="00593F25">
        <w:rPr>
          <w:rStyle w:val="FootnoteReference"/>
        </w:rPr>
        <w:footnoteReference w:id="1752"/>
      </w:r>
      <w:r>
        <w:t xml:space="preserve"> CEG submitted that:</w:t>
      </w:r>
    </w:p>
    <w:p w:rsidR="00E46946" w:rsidRDefault="00E46946" w:rsidP="00E46946">
      <w:pPr>
        <w:pStyle w:val="AERbulletlistfirststyle"/>
      </w:pPr>
      <w:r>
        <w:t>Ang, Bekaert and Wei (2008) find that the convexity bias amounts to less than one basis point.</w:t>
      </w:r>
      <w:r w:rsidRPr="00DF4E0F">
        <w:rPr>
          <w:rStyle w:val="FootnoteReference"/>
        </w:rPr>
        <w:footnoteReference w:id="1753"/>
      </w:r>
      <w:r>
        <w:t xml:space="preserve"> </w:t>
      </w:r>
    </w:p>
    <w:p w:rsidR="00E46946" w:rsidRDefault="00E46946" w:rsidP="00E46946">
      <w:pPr>
        <w:pStyle w:val="AERbulletlistfirststyle"/>
      </w:pPr>
      <w:r>
        <w:t>Lehman Brothers (2006) find convexity bias to be 4 basis points.</w:t>
      </w:r>
      <w:r w:rsidRPr="00DF4E0F">
        <w:rPr>
          <w:rStyle w:val="FootnoteReference"/>
        </w:rPr>
        <w:footnoteReference w:id="1754"/>
      </w:r>
    </w:p>
    <w:p w:rsidR="00E46946" w:rsidRDefault="00E46946" w:rsidP="00E46946">
      <w:pPr>
        <w:pStyle w:val="AERbulletlistfirststyle"/>
      </w:pPr>
      <w:r>
        <w:t>Banco Central do Brasil (2014) finds convexity bias to be close to 1 basis point.</w:t>
      </w:r>
      <w:r w:rsidRPr="00DF4E0F">
        <w:rPr>
          <w:rStyle w:val="FootnoteReference"/>
        </w:rPr>
        <w:footnoteReference w:id="1755"/>
      </w:r>
    </w:p>
    <w:p w:rsidR="00E46946" w:rsidRDefault="00E46946" w:rsidP="00E46946">
      <w:r>
        <w:t xml:space="preserve">CEG did not cite </w:t>
      </w:r>
      <w:r w:rsidRPr="004C7089">
        <w:t>Apedjinou et al. (2006)</w:t>
      </w:r>
      <w:r>
        <w:t>, which</w:t>
      </w:r>
      <w:r w:rsidRPr="004C7089">
        <w:t xml:space="preserve"> estimated the convexity effect for nominal </w:t>
      </w:r>
      <w:r>
        <w:t xml:space="preserve">and indexed US federal government securities. Apedjinou et al (2006) finds </w:t>
      </w:r>
      <w:r w:rsidRPr="004C7089">
        <w:t>a convexity bias of approximately 31 basis points in the 1 year forward inflation rate 10 ye</w:t>
      </w:r>
      <w:r>
        <w:t xml:space="preserve">ars forward and a convexity bias of approximately </w:t>
      </w:r>
      <w:r w:rsidRPr="007072D2">
        <w:t>15 basis points in the 5 year implied forward inflation rate, 5 years forward</w:t>
      </w:r>
      <w:r w:rsidRPr="004C7089">
        <w:t>.</w:t>
      </w:r>
      <w:r>
        <w:rPr>
          <w:rStyle w:val="FootnoteReference"/>
        </w:rPr>
        <w:footnoteReference w:id="1756"/>
      </w:r>
    </w:p>
    <w:p w:rsidR="00E46946" w:rsidRDefault="00E46946" w:rsidP="00E46946">
      <w:r w:rsidRPr="004C7089">
        <w:t>The estimated convexity bias differs considerably across the studies that separately estimate this bias.</w:t>
      </w:r>
      <w:r>
        <w:t xml:space="preserve"> </w:t>
      </w:r>
      <w:r w:rsidRPr="004C7089">
        <w:t>Since the estimated size of the convexity effect is dependent on forward rate/yield volatilities</w:t>
      </w:r>
      <w:r>
        <w:t>,</w:t>
      </w:r>
      <w:r>
        <w:rPr>
          <w:rStyle w:val="FootnoteReference"/>
        </w:rPr>
        <w:footnoteReference w:id="1757"/>
      </w:r>
      <w:r w:rsidRPr="004C7089">
        <w:t xml:space="preserve"> convexity bias </w:t>
      </w:r>
      <w:r>
        <w:t>will</w:t>
      </w:r>
      <w:r w:rsidRPr="004C7089">
        <w:t xml:space="preserve"> likely differ depending on which volatilit</w:t>
      </w:r>
      <w:r>
        <w:t>y measure is used (</w:t>
      </w:r>
      <w:r w:rsidRPr="004C7089">
        <w:t>historical volatilities or forwar</w:t>
      </w:r>
      <w:r>
        <w:t xml:space="preserve">d-looking implied volatilities), </w:t>
      </w:r>
      <w:r w:rsidRPr="004C7089">
        <w:t>the sample period chosen</w:t>
      </w:r>
      <w:r>
        <w:t>, or</w:t>
      </w:r>
      <w:r w:rsidRPr="007072D2">
        <w:t xml:space="preserve"> the modelling approach adopted.</w:t>
      </w:r>
      <w:r>
        <w:t xml:space="preserve"> ACCC Working Paper #11 finds that s</w:t>
      </w:r>
      <w:r w:rsidRPr="00B22FAC">
        <w:t>tudies that isolate the effects of convexity bias are complex, which may explain why few studies are undertaken to estimate this bias.</w:t>
      </w:r>
      <w:r>
        <w:rPr>
          <w:rStyle w:val="FootnoteReference"/>
        </w:rPr>
        <w:footnoteReference w:id="1758"/>
      </w:r>
    </w:p>
    <w:p w:rsidR="00E46946" w:rsidRDefault="00E46946" w:rsidP="00E46946">
      <w:r>
        <w:t>We consider that the effect of convexity bias on Australian bond-breakeven inflation estimates is unclear. We consider there is potential for estimates of the convexity bias to vary considerably depending on methodological choices, and consider that this creates material risk of bias and regulatory gaming in the estimation of convexity bias and the bond break-even inflation rate.</w:t>
      </w:r>
    </w:p>
    <w:p w:rsidR="00E46946" w:rsidRPr="00C93468" w:rsidRDefault="00E46946" w:rsidP="00E46946">
      <w:pPr>
        <w:pStyle w:val="Heading9"/>
      </w:pPr>
      <w:bookmarkStart w:id="584" w:name="_Toc487037255"/>
      <w:r>
        <w:t>Inflation risk premium</w:t>
      </w:r>
      <w:bookmarkEnd w:id="584"/>
    </w:p>
    <w:p w:rsidR="00E46946" w:rsidRDefault="00E46946" w:rsidP="00E46946">
      <w:r>
        <w:t>CEG submitted that Grishchenko and Huang (2012) state that their preferred estimated range</w:t>
      </w:r>
      <w:r w:rsidRPr="00AB15B4">
        <w:t xml:space="preserve"> of inflatio</w:t>
      </w:r>
      <w:r>
        <w:t xml:space="preserve">n risk premium is 14 basis points to 19 basis points </w:t>
      </w:r>
      <w:r w:rsidRPr="00AB15B4">
        <w:t>over the period 2004 to 2008</w:t>
      </w:r>
      <w:r>
        <w:t>.</w:t>
      </w:r>
      <w:r>
        <w:rPr>
          <w:rStyle w:val="FootnoteReference"/>
        </w:rPr>
        <w:footnoteReference w:id="1759"/>
      </w:r>
      <w:r>
        <w:t xml:space="preserve"> </w:t>
      </w:r>
    </w:p>
    <w:p w:rsidR="00E46946" w:rsidRDefault="00E46946" w:rsidP="00E46946">
      <w:r>
        <w:t xml:space="preserve">However, </w:t>
      </w:r>
      <w:r w:rsidRPr="002B04FB">
        <w:t>Grishchenko and Huang find that the average 10 year inflation risk premium is time</w:t>
      </w:r>
      <w:r>
        <w:t xml:space="preserve"> </w:t>
      </w:r>
      <w:r w:rsidRPr="002B04FB">
        <w:t>varying, and ranges from –0.16 to 0.10 per cent depending on the expected inflation</w:t>
      </w:r>
      <w:r>
        <w:t xml:space="preserve"> </w:t>
      </w:r>
      <w:r w:rsidRPr="002B04FB">
        <w:t>proxy used. They attribute the estimated negative inflation risk premium over the first</w:t>
      </w:r>
      <w:r>
        <w:t xml:space="preserve"> </w:t>
      </w:r>
      <w:r w:rsidRPr="002B04FB">
        <w:t>half of the sample period to one or both possibilities: the deflation scare of 2002–2003</w:t>
      </w:r>
      <w:r>
        <w:t xml:space="preserve"> </w:t>
      </w:r>
      <w:r w:rsidRPr="002B04FB">
        <w:t>and/or the illiquidity of TIPS. While they adjust the estimated inflation risk premium for</w:t>
      </w:r>
      <w:r>
        <w:t xml:space="preserve"> </w:t>
      </w:r>
      <w:r w:rsidRPr="002B04FB">
        <w:t>the effects of illiquidity on TIPS, Grishchenko and Huang note that the adjustment</w:t>
      </w:r>
      <w:r>
        <w:t xml:space="preserve"> </w:t>
      </w:r>
      <w:r w:rsidRPr="002B04FB">
        <w:t>may not remove all the effects of liquidity and therefore the inflation risk premium may</w:t>
      </w:r>
      <w:r>
        <w:t xml:space="preserve"> </w:t>
      </w:r>
      <w:r w:rsidRPr="002B04FB">
        <w:t>be even higher.</w:t>
      </w:r>
    </w:p>
    <w:p w:rsidR="00E46946" w:rsidRPr="00A440C0" w:rsidRDefault="00E46946" w:rsidP="00E46946">
      <w:r>
        <w:t xml:space="preserve">Further, </w:t>
      </w:r>
      <w:r w:rsidRPr="002B04FB">
        <w:t xml:space="preserve">Bekaert and Wang (2010) </w:t>
      </w:r>
      <w:r>
        <w:t>surveys</w:t>
      </w:r>
      <w:r w:rsidRPr="002B04FB">
        <w:t xml:space="preserve"> 9 studies that</w:t>
      </w:r>
      <w:r>
        <w:t xml:space="preserve"> </w:t>
      </w:r>
      <w:r w:rsidRPr="002B04FB">
        <w:t>estimate inflation risk premia in the US, UK and Europe. For the sample of US studies</w:t>
      </w:r>
      <w:r>
        <w:t xml:space="preserve"> </w:t>
      </w:r>
      <w:r w:rsidRPr="002B04FB">
        <w:t>they find that the inflation risk premium over a 10 year horizon varies between 50 and</w:t>
      </w:r>
      <w:r>
        <w:t xml:space="preserve"> </w:t>
      </w:r>
      <w:r w:rsidRPr="002B04FB">
        <w:t>200 basis points. In providing this range, Bekaert and Wang (2010) exclude the</w:t>
      </w:r>
      <w:r>
        <w:t xml:space="preserve"> </w:t>
      </w:r>
      <w:r w:rsidRPr="002B04FB">
        <w:t>Grishchenko and Huang’s (2012) estimates from the range because Bekaert and Wang consider that such estimates do not</w:t>
      </w:r>
      <w:r>
        <w:t xml:space="preserve"> </w:t>
      </w:r>
      <w:r w:rsidRPr="002B04FB">
        <w:t>sufficiently correct for a TIPS liquidity premium.</w:t>
      </w:r>
    </w:p>
    <w:p w:rsidR="00E46946" w:rsidRPr="00C93468" w:rsidRDefault="00E46946" w:rsidP="00E46946">
      <w:pPr>
        <w:pStyle w:val="Heading9"/>
      </w:pPr>
      <w:bookmarkStart w:id="585" w:name="_Ref486940935"/>
      <w:bookmarkStart w:id="586" w:name="_Toc487037256"/>
      <w:r>
        <w:t>B</w:t>
      </w:r>
      <w:r w:rsidRPr="00C93468">
        <w:t>iases and premia in inflation swap rates</w:t>
      </w:r>
      <w:bookmarkEnd w:id="585"/>
      <w:bookmarkEnd w:id="586"/>
    </w:p>
    <w:p w:rsidR="00E46946" w:rsidRDefault="00E46946" w:rsidP="00E46946">
      <w:r>
        <w:t xml:space="preserve">Multinet, AGN, AusNet Services and CEG submitted that inflation swap-implied inflation estimates will tend to be biased upwards </w:t>
      </w:r>
      <w:r w:rsidRPr="00DE1578">
        <w:t xml:space="preserve">to account for risk premiums and </w:t>
      </w:r>
      <w:r>
        <w:t xml:space="preserve">the </w:t>
      </w:r>
      <w:r w:rsidRPr="00DE1578">
        <w:t xml:space="preserve">capital costs </w:t>
      </w:r>
      <w:r>
        <w:t>of</w:t>
      </w:r>
      <w:r w:rsidRPr="00DE1578">
        <w:t xml:space="preserve"> </w:t>
      </w:r>
      <w:r>
        <w:t>providers of</w:t>
      </w:r>
      <w:r w:rsidRPr="00DE1578">
        <w:t xml:space="preserve"> these products.</w:t>
      </w:r>
      <w:r>
        <w:rPr>
          <w:rStyle w:val="FootnoteReference"/>
        </w:rPr>
        <w:footnoteReference w:id="1760"/>
      </w:r>
      <w:r w:rsidRPr="00DE1578">
        <w:t xml:space="preserve"> </w:t>
      </w:r>
      <w:r>
        <w:t>CEG refers to a study by Campbell, Shiller, and Viceira (2009) to support its submission.</w:t>
      </w:r>
    </w:p>
    <w:p w:rsidR="00E46946" w:rsidRDefault="00E46946" w:rsidP="00E46946">
      <w:r>
        <w:t xml:space="preserve">While Campbell, Shiller, and Viceira (2009) do not </w:t>
      </w:r>
      <w:r w:rsidRPr="00E46428">
        <w:t xml:space="preserve">claim </w:t>
      </w:r>
      <w:r w:rsidRPr="00557E2E">
        <w:t>that the biases</w:t>
      </w:r>
      <w:r w:rsidRPr="00E46428">
        <w:t xml:space="preserve"> </w:t>
      </w:r>
      <w:r>
        <w:t>in inflation swaps are significant,</w:t>
      </w:r>
      <w:r>
        <w:rPr>
          <w:rStyle w:val="FootnoteReference"/>
        </w:rPr>
        <w:footnoteReference w:id="1761"/>
      </w:r>
      <w:r>
        <w:t xml:space="preserve"> we note:</w:t>
      </w:r>
    </w:p>
    <w:p w:rsidR="00E46946" w:rsidRDefault="00E46946" w:rsidP="00E46946">
      <w:pPr>
        <w:pStyle w:val="AERbulletlistfirststyle"/>
      </w:pPr>
      <w:r>
        <w:t>Campbell, Shiller, and Viceira (2009) do not attempt to estimate the size of potential biases in inflation swaps</w:t>
      </w:r>
    </w:p>
    <w:p w:rsidR="00E46946" w:rsidRDefault="00E46946" w:rsidP="00E46946">
      <w:pPr>
        <w:pStyle w:val="AERbulletlistfirststyle"/>
      </w:pPr>
      <w:r>
        <w:t>Finlay and Olivan (2012),</w:t>
      </w:r>
      <w:r>
        <w:rPr>
          <w:rStyle w:val="FootnoteReference"/>
        </w:rPr>
        <w:footnoteReference w:id="1762"/>
      </w:r>
      <w:r>
        <w:t xml:space="preserve"> RBA (2015),</w:t>
      </w:r>
      <w:r>
        <w:rPr>
          <w:rStyle w:val="FootnoteReference"/>
        </w:rPr>
        <w:footnoteReference w:id="1763"/>
      </w:r>
      <w:r>
        <w:t xml:space="preserve"> Fleckenstein et al. (2014),</w:t>
      </w:r>
      <w:r>
        <w:rPr>
          <w:rStyle w:val="FootnoteReference"/>
        </w:rPr>
        <w:footnoteReference w:id="1764"/>
      </w:r>
      <w:r>
        <w:t xml:space="preserve"> Haubrich et al (2012),</w:t>
      </w:r>
      <w:r>
        <w:rPr>
          <w:rStyle w:val="FootnoteReference"/>
        </w:rPr>
        <w:footnoteReference w:id="1765"/>
      </w:r>
      <w:r>
        <w:t xml:space="preserve"> Pflueger and Viceira (2015),</w:t>
      </w:r>
      <w:r>
        <w:rPr>
          <w:rStyle w:val="FootnoteReference"/>
        </w:rPr>
        <w:footnoteReference w:id="1766"/>
      </w:r>
      <w:r>
        <w:t xml:space="preserve"> Liu et al. (2015),</w:t>
      </w:r>
      <w:r>
        <w:rPr>
          <w:rStyle w:val="FootnoteReference"/>
        </w:rPr>
        <w:footnoteReference w:id="1767"/>
      </w:r>
      <w:r>
        <w:t xml:space="preserve"> and Christensen and Gillan (2012)</w:t>
      </w:r>
      <w:r>
        <w:rPr>
          <w:rStyle w:val="FootnoteReference"/>
        </w:rPr>
        <w:footnoteReference w:id="1768"/>
      </w:r>
      <w:r>
        <w:t xml:space="preserve"> all support the view that inflation swaps are likely to provide more reliable estimates of inflation expectations than bond break-even estimates.</w:t>
      </w:r>
    </w:p>
    <w:p w:rsidR="00E46946" w:rsidRPr="00E46946" w:rsidRDefault="00E46946" w:rsidP="00E46946">
      <w:pPr>
        <w:pStyle w:val="Heading8"/>
      </w:pPr>
      <w:bookmarkStart w:id="587" w:name="_Ref486970236"/>
      <w:bookmarkStart w:id="588" w:name="_Toc487037257"/>
      <w:r>
        <w:t>Effect of inflation outcomes on inflation expectations</w:t>
      </w:r>
      <w:bookmarkEnd w:id="587"/>
      <w:bookmarkEnd w:id="588"/>
    </w:p>
    <w:p w:rsidR="00E46946" w:rsidRDefault="00E46946" w:rsidP="00E46946">
      <w:r>
        <w:t>Multinet, AGN, AusNet Services and CEG submitted that recent inflation outcomes support the use of the bond break-even approach, stating that:</w:t>
      </w:r>
    </w:p>
    <w:p w:rsidR="00E46946" w:rsidRPr="003E4A8E" w:rsidRDefault="00E46946" w:rsidP="00E46946">
      <w:pPr>
        <w:pStyle w:val="AERbulletlistfirststyle"/>
      </w:pPr>
      <w:r w:rsidRPr="00ED7C40">
        <w:t>B</w:t>
      </w:r>
      <w:r>
        <w:t>ond b</w:t>
      </w:r>
      <w:r w:rsidRPr="00ED7C40">
        <w:t>reak-even inflation estimates have responded materially to the sustained low inflation outcomes over the last three year</w:t>
      </w:r>
      <w:r>
        <w:t>s</w:t>
      </w:r>
      <w:r w:rsidRPr="00ED7C40">
        <w:t>, unlike estimates</w:t>
      </w:r>
      <w:r>
        <w:t xml:space="preserve"> from the RBA forecasts and target band approach</w:t>
      </w:r>
      <w:r w:rsidRPr="00ED7C40">
        <w:t>.</w:t>
      </w:r>
      <w:r>
        <w:t xml:space="preserve"> CEG appears to suggest that recent low inflation outcomes inform long-term inflation expectations.</w:t>
      </w:r>
      <w:r w:rsidRPr="002338CF">
        <w:rPr>
          <w:rStyle w:val="FootnoteReference"/>
        </w:rPr>
        <w:footnoteReference w:id="1769"/>
      </w:r>
    </w:p>
    <w:p w:rsidR="00E46946" w:rsidRDefault="00E46946" w:rsidP="00E46946">
      <w:pPr>
        <w:pStyle w:val="AERbulletlistfirststyle"/>
      </w:pPr>
      <w:r w:rsidRPr="00ED7C40">
        <w:t>Break-even inflation accurately predicted the recent fall in inflation below the bottom of the RBA’s target range – more</w:t>
      </w:r>
      <w:r>
        <w:t xml:space="preserve"> accurately than RBA forecasts. CEG appears to suggest that inflation expectations are informed by bond-breakeven estimates, due to the model's greater predictive power.</w:t>
      </w:r>
      <w:r>
        <w:rPr>
          <w:rStyle w:val="FootnoteReference"/>
        </w:rPr>
        <w:footnoteReference w:id="1770"/>
      </w:r>
    </w:p>
    <w:p w:rsidR="00E46946" w:rsidRPr="000F2E28" w:rsidRDefault="00E46946" w:rsidP="00E46946">
      <w:r>
        <w:t xml:space="preserve">In support of this submission </w:t>
      </w:r>
      <w:r w:rsidRPr="000F2E28">
        <w:t>CEG presented a number of charts</w:t>
      </w:r>
      <w:r w:rsidRPr="000F2E28">
        <w:rPr>
          <w:rStyle w:val="FootnoteReference"/>
        </w:rPr>
        <w:footnoteReference w:id="1771"/>
      </w:r>
      <w:r w:rsidRPr="000F2E28">
        <w:t xml:space="preserve"> that compared inflation outcomes against inflation estimates from the bond break-even approach and the RBA forecasts and target band approach. </w:t>
      </w:r>
      <w:r>
        <w:t xml:space="preserve">We note that the charts </w:t>
      </w:r>
      <w:r w:rsidRPr="000F2E28">
        <w:t>submitted by CEG examine only recent data and short-term inflation outcomes.</w:t>
      </w:r>
      <w:r w:rsidRPr="000E6A0B">
        <w:t xml:space="preserve"> </w:t>
      </w:r>
      <w:r>
        <w:t>However, our task is to estimate 10-year expected inflation (see section</w:t>
      </w:r>
      <w:r w:rsidR="00A936B7">
        <w:t xml:space="preserve"> </w:t>
      </w:r>
      <w:r w:rsidR="00A936B7">
        <w:fldChar w:fldCharType="begin"/>
      </w:r>
      <w:r w:rsidR="00A936B7">
        <w:instrText xml:space="preserve"> REF _Ref482256986 \r \h </w:instrText>
      </w:r>
      <w:r w:rsidR="00A936B7">
        <w:fldChar w:fldCharType="separate"/>
      </w:r>
      <w:r w:rsidR="002C24D6">
        <w:t>3.4.4</w:t>
      </w:r>
      <w:r w:rsidR="00A936B7">
        <w:fldChar w:fldCharType="end"/>
      </w:r>
      <w:r>
        <w:t>).</w:t>
      </w:r>
    </w:p>
    <w:p w:rsidR="00E46946" w:rsidRDefault="00E46946" w:rsidP="00E46946">
      <w:r>
        <w:t xml:space="preserve">We consider it plausible that inflation expectations may be informed by the inflation estimates of an estimation approach that has historically been an accurate predictor of inflation outcomes. However, we consider that there is likely to be a material difference in short-term and long-term expectations of inflation. </w:t>
      </w:r>
    </w:p>
    <w:p w:rsidR="00E46946" w:rsidRDefault="00E46946" w:rsidP="00E46946">
      <w:r>
        <w:t>Similarly, we consider it plausible that forward-looking expectations may be informed by recent outcomes</w:t>
      </w:r>
      <w:r w:rsidRPr="007B7961">
        <w:t xml:space="preserve">. </w:t>
      </w:r>
      <w:r>
        <w:t>However, th</w:t>
      </w:r>
      <w:r w:rsidRPr="00CB6ED6">
        <w:t>e impact of this effect is likely overstated by CEG</w:t>
      </w:r>
      <w:r>
        <w:t xml:space="preserve"> – the effect is tempered by the potential for transient inflation shocks. Shocks may cause outcomes to vary from expectations, and we would not expect all shocks to be </w:t>
      </w:r>
      <w:r w:rsidRPr="0009728C">
        <w:t>routinely</w:t>
      </w:r>
      <w:r>
        <w:t xml:space="preserve"> and completely</w:t>
      </w:r>
      <w:r w:rsidRPr="0009728C">
        <w:t xml:space="preserve"> reflected in the formation of subsequent expectations</w:t>
      </w:r>
      <w:r>
        <w:t>, particularly when there is a greater distance between the recent outcomes and the term of the forward expectation. For example, the most recent quarterly inflation outcome would likely have a greater effect on 1-year forward expectations than 10-year forward expectations.</w:t>
      </w:r>
    </w:p>
    <w:p w:rsidR="00E46946" w:rsidRDefault="00E46946" w:rsidP="00E46946">
      <w:r>
        <w:t xml:space="preserve">There </w:t>
      </w:r>
      <w:r w:rsidRPr="007B7961">
        <w:t xml:space="preserve">is considerable evidence </w:t>
      </w:r>
      <w:r>
        <w:t>in the academic literature finding</w:t>
      </w:r>
      <w:r w:rsidRPr="007B7961">
        <w:t xml:space="preserve"> that long term inflation expectations are relatively stable over time</w:t>
      </w:r>
      <w:r>
        <w:t>,</w:t>
      </w:r>
      <w:r w:rsidRPr="007B7961">
        <w:t xml:space="preserve"> informed by and anchored within the RBA’s target band</w:t>
      </w:r>
      <w:r>
        <w:t xml:space="preserve">, and </w:t>
      </w:r>
      <w:r w:rsidRPr="007B7961">
        <w:t>do not respond significantly to inflation surprises.</w:t>
      </w:r>
      <w:r w:rsidRPr="007B7961">
        <w:rPr>
          <w:rStyle w:val="FootnoteReference"/>
        </w:rPr>
        <w:footnoteReference w:id="1772"/>
      </w:r>
      <w:r w:rsidRPr="007B7961">
        <w:t xml:space="preserve"> </w:t>
      </w:r>
      <w:r>
        <w:t xml:space="preserve">While </w:t>
      </w:r>
      <w:r w:rsidRPr="00A74A6A">
        <w:t>Finlay and Wende (2011) find that the contemporaneous rate of inflation has a strong influence on short term inflation expectations</w:t>
      </w:r>
      <w:r>
        <w:t xml:space="preserve">, </w:t>
      </w:r>
      <w:r w:rsidRPr="00A74A6A">
        <w:t xml:space="preserve">Gillitzer and Simon (2015); Finlay and Wende (2011); Leu and Sheen (2006); and </w:t>
      </w:r>
      <w:r w:rsidRPr="00FE48A7">
        <w:t>Jaaskela and McKibbin (2010)</w:t>
      </w:r>
      <w:r>
        <w:t xml:space="preserve"> find that long-term expectations are relatively stable.</w:t>
      </w:r>
      <w:r>
        <w:rPr>
          <w:rStyle w:val="FootnoteReference"/>
        </w:rPr>
        <w:footnoteReference w:id="1773"/>
      </w:r>
    </w:p>
    <w:p w:rsidR="00E46946" w:rsidRPr="006149CD" w:rsidRDefault="00E46946" w:rsidP="00E46946">
      <w:pPr>
        <w:rPr>
          <w:rStyle w:val="AERbody"/>
        </w:rPr>
      </w:pPr>
      <w:r w:rsidRPr="00ED32CB">
        <w:t xml:space="preserve">Sack (2000) and Christensen et al (2004) </w:t>
      </w:r>
      <w:r>
        <w:t xml:space="preserve">suggest </w:t>
      </w:r>
      <w:r w:rsidRPr="00ED32CB">
        <w:t xml:space="preserve">that the </w:t>
      </w:r>
      <w:r>
        <w:t>bond break-even estimates</w:t>
      </w:r>
      <w:r w:rsidRPr="00ED32CB">
        <w:t xml:space="preserve"> may be more volatile than long term inflation expectations because the 10 year </w:t>
      </w:r>
      <w:r>
        <w:t>bond break-even</w:t>
      </w:r>
      <w:r w:rsidRPr="00ED32CB">
        <w:t xml:space="preserve"> may be sensitive to relatively volatile short term inflation expectations</w:t>
      </w:r>
      <w:r>
        <w:t>.</w:t>
      </w:r>
      <w:r>
        <w:rPr>
          <w:rStyle w:val="FootnoteReference"/>
        </w:rPr>
        <w:footnoteReference w:id="1774"/>
      </w:r>
      <w:r>
        <w:t xml:space="preserve"> </w:t>
      </w:r>
      <w:r w:rsidRPr="006149CD">
        <w:rPr>
          <w:rStyle w:val="AERbody"/>
        </w:rPr>
        <w:t>Chris</w:t>
      </w:r>
      <w:r>
        <w:rPr>
          <w:rStyle w:val="AERbody"/>
        </w:rPr>
        <w:t>tensen et al. (2004) warns that, w</w:t>
      </w:r>
      <w:r w:rsidRPr="006149CD">
        <w:rPr>
          <w:rStyle w:val="AERbody"/>
        </w:rPr>
        <w:t>hen inflation expectations are term varying, the</w:t>
      </w:r>
      <w:r>
        <w:rPr>
          <w:rStyle w:val="AERbody"/>
        </w:rPr>
        <w:t>re can be</w:t>
      </w:r>
      <w:r w:rsidRPr="006149CD">
        <w:rPr>
          <w:rStyle w:val="AERbody"/>
        </w:rPr>
        <w:t xml:space="preserve"> problem</w:t>
      </w:r>
      <w:r>
        <w:rPr>
          <w:rStyle w:val="AERbody"/>
        </w:rPr>
        <w:t>s with estimating bond break-even inflation estimates from coupon paying bonds</w:t>
      </w:r>
      <w:r w:rsidRPr="006149CD">
        <w:rPr>
          <w:rStyle w:val="AERbody"/>
        </w:rPr>
        <w:t>, rather than zero coupon bonds</w:t>
      </w:r>
      <w:r>
        <w:rPr>
          <w:rStyle w:val="AERbody"/>
        </w:rPr>
        <w:t>. The problem</w:t>
      </w:r>
      <w:r w:rsidRPr="006149CD">
        <w:rPr>
          <w:rStyle w:val="AERbody"/>
        </w:rPr>
        <w:t xml:space="preserve"> is that </w:t>
      </w:r>
      <w:r>
        <w:rPr>
          <w:rStyle w:val="AERbody"/>
        </w:rPr>
        <w:t>bond break-even estimates are</w:t>
      </w:r>
      <w:r w:rsidRPr="006149CD">
        <w:rPr>
          <w:rStyle w:val="AERbody"/>
        </w:rPr>
        <w:t xml:space="preserve"> more sensitive to changes in sho</w:t>
      </w:r>
      <w:r>
        <w:rPr>
          <w:rStyle w:val="AERbody"/>
        </w:rPr>
        <w:t>rt term inflation expectations than changes to long-term expectations</w:t>
      </w:r>
      <w:r w:rsidRPr="006149CD">
        <w:rPr>
          <w:rStyle w:val="AERbody"/>
        </w:rPr>
        <w:t>.</w:t>
      </w:r>
      <w:r>
        <w:rPr>
          <w:rStyle w:val="FootnoteReference"/>
        </w:rPr>
        <w:footnoteReference w:id="1775"/>
      </w:r>
      <w:r w:rsidRPr="006149CD">
        <w:rPr>
          <w:rStyle w:val="AERbody"/>
        </w:rPr>
        <w:t xml:space="preserve"> The result is that short term inflation expectations can easily depart from relatively stable lon</w:t>
      </w:r>
      <w:r>
        <w:rPr>
          <w:rStyle w:val="AERbody"/>
        </w:rPr>
        <w:t>g term inflation expectations, a</w:t>
      </w:r>
      <w:r w:rsidRPr="006149CD">
        <w:rPr>
          <w:rStyle w:val="AERbody"/>
        </w:rPr>
        <w:t xml:space="preserve">nd shocks to inflation expectations of the shortest term will have a larger effect on the </w:t>
      </w:r>
      <w:r>
        <w:rPr>
          <w:rStyle w:val="AERbody"/>
        </w:rPr>
        <w:t>break-even estimates</w:t>
      </w:r>
      <w:r w:rsidRPr="006149CD">
        <w:rPr>
          <w:rStyle w:val="AERbody"/>
        </w:rPr>
        <w:t xml:space="preserve"> because it will positively influence all subsequent cou</w:t>
      </w:r>
      <w:r>
        <w:rPr>
          <w:rStyle w:val="AERbody"/>
        </w:rPr>
        <w:t>pon payments. Therefore, 10-</w:t>
      </w:r>
      <w:r w:rsidRPr="006149CD">
        <w:rPr>
          <w:rStyle w:val="AERbody"/>
        </w:rPr>
        <w:t xml:space="preserve">year </w:t>
      </w:r>
      <w:r>
        <w:rPr>
          <w:rStyle w:val="AERbody"/>
        </w:rPr>
        <w:t>break-even inflation estimates</w:t>
      </w:r>
      <w:r w:rsidRPr="006149CD">
        <w:rPr>
          <w:rStyle w:val="AERbody"/>
        </w:rPr>
        <w:t xml:space="preserve"> may </w:t>
      </w:r>
      <w:r>
        <w:rPr>
          <w:rStyle w:val="AERbody"/>
        </w:rPr>
        <w:t>appear to move in line with short-term inflation outcomes</w:t>
      </w:r>
      <w:r w:rsidRPr="006149CD">
        <w:rPr>
          <w:rStyle w:val="AERbody"/>
        </w:rPr>
        <w:t xml:space="preserve"> simply because of the</w:t>
      </w:r>
      <w:r>
        <w:rPr>
          <w:rStyle w:val="AERbody"/>
        </w:rPr>
        <w:t xml:space="preserve"> structuring of bond cash flows</w:t>
      </w:r>
      <w:r w:rsidRPr="006149CD">
        <w:rPr>
          <w:rStyle w:val="AERbody"/>
        </w:rPr>
        <w:t xml:space="preserve"> and not because long term inflation expectations have changed. </w:t>
      </w:r>
    </w:p>
    <w:p w:rsidR="00E46946" w:rsidRDefault="00E46946" w:rsidP="00E46946">
      <w:r>
        <w:t>Therefore to produce the best estimate of expected inflation, we should place limited weight on short term inflation outcomes. As stated in section</w:t>
      </w:r>
      <w:r w:rsidR="00A936B7">
        <w:t xml:space="preserve"> </w:t>
      </w:r>
      <w:r w:rsidR="00A936B7">
        <w:fldChar w:fldCharType="begin"/>
      </w:r>
      <w:r w:rsidR="00A936B7">
        <w:instrText xml:space="preserve"> REF _Ref486941074 \r \h </w:instrText>
      </w:r>
      <w:r w:rsidR="00A936B7">
        <w:fldChar w:fldCharType="separate"/>
      </w:r>
      <w:r w:rsidR="002C24D6">
        <w:t>M.1</w:t>
      </w:r>
      <w:r w:rsidR="00A936B7">
        <w:fldChar w:fldCharType="end"/>
      </w:r>
      <w:r>
        <w:t>, there is a role for short-term forecasts (in contrast to short-term outcomes) to inform our 10-year inflation estimate. We consider that the RBA's short-term forecasts appropriately incorporate information from recent inflation outcomes, and that the RBA forecasts and target band approach provides an appropriate balance between short-term forecasts and the anchoring of long-term expectations to the RBA's target band.</w:t>
      </w:r>
    </w:p>
    <w:p w:rsidR="00E46946" w:rsidRDefault="00E46946" w:rsidP="00E46946">
      <w:r>
        <w:t>Similarly, for estimating 10-year inflation, there is limited benefit in examining the relative accuracy of different estimation approaches for predicting short-term inflation outcomes. For the bond break-even approach in particular, we find that inflation estimates from this approach may be distorted by a number of potentially time-varying biases and risk premia (see section</w:t>
      </w:r>
      <w:r w:rsidR="00A936B7">
        <w:t xml:space="preserve"> </w:t>
      </w:r>
      <w:r w:rsidR="00A936B7">
        <w:fldChar w:fldCharType="begin"/>
      </w:r>
      <w:r w:rsidR="00A936B7">
        <w:instrText xml:space="preserve"> REF _Ref482256986 \r \h </w:instrText>
      </w:r>
      <w:r w:rsidR="00A936B7">
        <w:fldChar w:fldCharType="separate"/>
      </w:r>
      <w:r w:rsidR="002C24D6">
        <w:t>3.4.4</w:t>
      </w:r>
      <w:r w:rsidR="00A936B7">
        <w:fldChar w:fldCharType="end"/>
      </w:r>
      <w:r>
        <w:t xml:space="preserve">). To this extent, it is unlikely that investor expectations would be informed by the short-term predictive power of the break-even approach – </w:t>
      </w:r>
      <w:r w:rsidRPr="00ED32CB">
        <w:t>if biases are time-varying, the size of such biases may change in response to prevailing conditions in the financial market.</w:t>
      </w:r>
      <w:r w:rsidRPr="00264EDE">
        <w:rPr>
          <w:rStyle w:val="FootnoteReference"/>
        </w:rPr>
        <w:footnoteReference w:id="1776"/>
      </w:r>
      <w:r>
        <w:t xml:space="preserve"> </w:t>
      </w:r>
    </w:p>
    <w:p w:rsidR="00E46946" w:rsidRDefault="00E46946" w:rsidP="00E46946">
      <w:r>
        <w:t xml:space="preserve">10-year inflation expectations may be informed to some extent by the accuracy of an estimation approach at predicting 10 year inflation outcomes. </w:t>
      </w:r>
      <w:r w:rsidR="00A936B7">
        <w:fldChar w:fldCharType="begin"/>
      </w:r>
      <w:r w:rsidR="00A936B7">
        <w:instrText xml:space="preserve"> REF _Ref486941017 \h </w:instrText>
      </w:r>
      <w:r w:rsidR="00A936B7">
        <w:fldChar w:fldCharType="separate"/>
      </w:r>
      <w:r w:rsidR="002C24D6">
        <w:t xml:space="preserve">Figure </w:t>
      </w:r>
      <w:r w:rsidR="002C24D6">
        <w:rPr>
          <w:noProof/>
        </w:rPr>
        <w:t>3</w:t>
      </w:r>
      <w:r w:rsidR="002C24D6">
        <w:noBreakHyphen/>
      </w:r>
      <w:r w:rsidR="002C24D6">
        <w:rPr>
          <w:noProof/>
        </w:rPr>
        <w:t>27</w:t>
      </w:r>
      <w:r w:rsidR="00A936B7">
        <w:fldChar w:fldCharType="end"/>
      </w:r>
      <w:r w:rsidR="00A936B7">
        <w:t xml:space="preserve"> </w:t>
      </w:r>
      <w:r>
        <w:t>shows 10-year inflation outcomes since the start of inflation targeting, 10-year estimates from the break-even approach, and 10-year estimates from the RBA forecasts and target band approach.</w:t>
      </w:r>
    </w:p>
    <w:p w:rsidR="00E46946" w:rsidRPr="00ED32CB" w:rsidRDefault="00E46946" w:rsidP="00E46946">
      <w:pPr>
        <w:pStyle w:val="Caption"/>
      </w:pPr>
      <w:bookmarkStart w:id="589" w:name="_Ref486941017"/>
      <w:r>
        <w:t xml:space="preserve">Figure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noBreakHyphen/>
      </w:r>
      <w:r w:rsidR="002C24D6">
        <w:fldChar w:fldCharType="begin"/>
      </w:r>
      <w:r w:rsidR="002C24D6">
        <w:instrText xml:space="preserve"> SEQ Figure \* ARABIC \s 1 </w:instrText>
      </w:r>
      <w:r w:rsidR="002C24D6">
        <w:fldChar w:fldCharType="separate"/>
      </w:r>
      <w:r w:rsidR="002C24D6">
        <w:rPr>
          <w:noProof/>
        </w:rPr>
        <w:t>27</w:t>
      </w:r>
      <w:r w:rsidR="002C24D6">
        <w:rPr>
          <w:noProof/>
        </w:rPr>
        <w:fldChar w:fldCharType="end"/>
      </w:r>
      <w:bookmarkEnd w:id="589"/>
      <w:r>
        <w:tab/>
        <w:t>Comparison of inflation outcomes against break-even and RBA forecasts</w:t>
      </w:r>
    </w:p>
    <w:p w:rsidR="00E46946" w:rsidRPr="00ED32CB" w:rsidRDefault="00E46946" w:rsidP="00E46946">
      <w:r w:rsidRPr="00E46946">
        <w:rPr>
          <w:noProof/>
          <w:lang w:eastAsia="en-AU"/>
        </w:rPr>
        <w:drawing>
          <wp:inline distT="0" distB="0" distL="0" distR="0" wp14:anchorId="628388DE" wp14:editId="6B269519">
            <wp:extent cx="5382895" cy="3518114"/>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95" cy="3518114"/>
                    </a:xfrm>
                    <a:prstGeom prst="rect">
                      <a:avLst/>
                    </a:prstGeom>
                    <a:noFill/>
                    <a:ln>
                      <a:noFill/>
                    </a:ln>
                  </pic:spPr>
                </pic:pic>
              </a:graphicData>
            </a:graphic>
          </wp:inline>
        </w:drawing>
      </w:r>
    </w:p>
    <w:p w:rsidR="00E46946" w:rsidRDefault="00E46946" w:rsidP="00E46946">
      <w:pPr>
        <w:pStyle w:val="AERtablesource"/>
      </w:pPr>
      <w:r>
        <w:t>Source:</w:t>
      </w:r>
      <w:r>
        <w:tab/>
        <w:t>AER analysis; ABS CPI (6401.0): weighted average of eight capital cities: all groups; RBA interest rate statistics (F16): indicative mid-rates of Australian government securities; RBA Statements on Monetary Policy from February 2007 to February 2017; 'Forecast date by event date' data file from Tulip &amp; Wallace (2012).</w:t>
      </w:r>
    </w:p>
    <w:p w:rsidR="00E46946" w:rsidRDefault="00E46946" w:rsidP="00E46946">
      <w:r>
        <w:t>We note that the introduction of the Goods and Services Tax (GST) in 2000 is likely to have affected a one-off change in the CPI. This specific one-off change is unlikely to have affected subsequent long-term inflation expectations. However, the change to CPI may persist in 10-year measures of CPI outcomes. Restricting measures of 10-year CPI outcomes to those that exclude the transient effect of the introduction of the GST limits the amount of data available.</w:t>
      </w:r>
      <w:r>
        <w:rPr>
          <w:rStyle w:val="FootnoteReference"/>
        </w:rPr>
        <w:footnoteReference w:id="1777"/>
      </w:r>
      <w:r>
        <w:t xml:space="preserve"> Consequently, direct comparisons of estimates from the RBA forecasts and target band approach or the bond break-even approach to inflation outcomes may be limited. </w:t>
      </w:r>
    </w:p>
    <w:p w:rsidR="00E46946" w:rsidRDefault="00A936B7" w:rsidP="00E46946">
      <w:r>
        <w:fldChar w:fldCharType="begin"/>
      </w:r>
      <w:r>
        <w:instrText xml:space="preserve"> REF _Ref486941017 \h </w:instrText>
      </w:r>
      <w:r>
        <w:fldChar w:fldCharType="separate"/>
      </w:r>
      <w:r w:rsidR="002C24D6">
        <w:t xml:space="preserve">Figure </w:t>
      </w:r>
      <w:r w:rsidR="002C24D6">
        <w:rPr>
          <w:noProof/>
        </w:rPr>
        <w:t>3</w:t>
      </w:r>
      <w:r w:rsidR="002C24D6">
        <w:noBreakHyphen/>
      </w:r>
      <w:r w:rsidR="002C24D6">
        <w:rPr>
          <w:noProof/>
        </w:rPr>
        <w:t>27</w:t>
      </w:r>
      <w:r>
        <w:fldChar w:fldCharType="end"/>
      </w:r>
      <w:r>
        <w:t xml:space="preserve"> </w:t>
      </w:r>
      <w:r w:rsidR="00E46946">
        <w:t xml:space="preserve">shows that 10-year inflation outcomes appear relative stable, consistent with the findings of </w:t>
      </w:r>
      <w:r w:rsidR="00E46946" w:rsidRPr="00A74A6A">
        <w:t xml:space="preserve">Gillitzer and Simon (2015); Finlay and Wende (2011); Leu and Sheen (2006); </w:t>
      </w:r>
      <w:r w:rsidR="00E46946" w:rsidRPr="00FE48A7">
        <w:t>Jaaskela and McKibbin (2010)</w:t>
      </w:r>
      <w:r w:rsidR="00E46946">
        <w:t>; Kuttner and Robinson (2010); Paradiso and Rao (2012); and Mallick (2015).</w:t>
      </w:r>
      <w:r w:rsidR="00E46946">
        <w:rPr>
          <w:rStyle w:val="FootnoteReference"/>
        </w:rPr>
        <w:footnoteReference w:id="1778"/>
      </w:r>
      <w:r w:rsidR="00E46946" w:rsidRPr="00657A72">
        <w:t xml:space="preserve"> </w:t>
      </w:r>
      <w:r w:rsidR="00E46946">
        <w:t>The estimates from the RBA forecasts and target band approach also appear relatively stable, in contrast to the bond break-even estimates which appear more volatile.</w:t>
      </w:r>
      <w:r w:rsidR="00E46946">
        <w:rPr>
          <w:rStyle w:val="FootnoteReference"/>
        </w:rPr>
        <w:footnoteReference w:id="1779"/>
      </w:r>
      <w:r w:rsidR="00E46946" w:rsidRPr="00657A72">
        <w:t xml:space="preserve"> </w:t>
      </w:r>
      <w:r w:rsidR="00E46946">
        <w:t>During the GFC bond break-even estimates we</w:t>
      </w:r>
      <w:r w:rsidR="00E46946" w:rsidRPr="00ED32CB">
        <w:t xml:space="preserve">re particularly volatile, perhaps reflecting the </w:t>
      </w:r>
      <w:r w:rsidR="00E46946">
        <w:t>approach's</w:t>
      </w:r>
      <w:r w:rsidR="00E46946" w:rsidRPr="00ED32CB">
        <w:t xml:space="preserve"> sensitivity to short term inflation shocks</w:t>
      </w:r>
      <w:r w:rsidR="00E46946">
        <w:t xml:space="preserve"> that may not manifest in long term inflation expectations</w:t>
      </w:r>
      <w:r w:rsidR="00E46946" w:rsidRPr="00ED32CB">
        <w:t xml:space="preserve">. </w:t>
      </w:r>
    </w:p>
    <w:p w:rsidR="00E46946" w:rsidRPr="00E46946" w:rsidRDefault="00E46946" w:rsidP="00E46946">
      <w:pPr>
        <w:pStyle w:val="Heading8"/>
      </w:pPr>
      <w:bookmarkStart w:id="590" w:name="_Ref486970248"/>
      <w:bookmarkStart w:id="591" w:name="_Toc487037258"/>
      <w:r>
        <w:t>Break-even estimates are a statistically significant predictor of nominal CGS yields</w:t>
      </w:r>
      <w:bookmarkEnd w:id="590"/>
      <w:bookmarkEnd w:id="591"/>
    </w:p>
    <w:p w:rsidR="00E46946" w:rsidRDefault="00E46946" w:rsidP="00E46946">
      <w:r>
        <w:t>AusNet Services and CEG submitted that f</w:t>
      </w:r>
      <w:r w:rsidRPr="009A29D1">
        <w:t>alling 10 year break-even inflation is a statistically significant explanatory variable when regress</w:t>
      </w:r>
      <w:r>
        <w:t xml:space="preserve">ed against nominal CGS yields. CEG submitted that if </w:t>
      </w:r>
      <w:r w:rsidRPr="000438D3">
        <w:t>break-even inflation estimates are an accurate measure of expected inflation</w:t>
      </w:r>
      <w:r>
        <w:t xml:space="preserve">, then </w:t>
      </w:r>
      <w:r w:rsidRPr="009A29D1">
        <w:t xml:space="preserve">most of the recent fall in nominal CGS yields is due to falling inflation </w:t>
      </w:r>
      <w:r w:rsidRPr="0031263A">
        <w:t xml:space="preserve">expectations </w:t>
      </w:r>
      <w:r>
        <w:t>rather than falling required real returns.</w:t>
      </w:r>
      <w:r>
        <w:rPr>
          <w:rStyle w:val="FootnoteReference"/>
        </w:rPr>
        <w:footnoteReference w:id="1780"/>
      </w:r>
    </w:p>
    <w:p w:rsidR="00E46946" w:rsidRPr="00F415C8" w:rsidRDefault="00E46946" w:rsidP="00E46946">
      <w:r w:rsidRPr="00F415C8">
        <w:t>CEG regress</w:t>
      </w:r>
      <w:r>
        <w:t>ed</w:t>
      </w:r>
      <w:r w:rsidRPr="00F415C8">
        <w:t xml:space="preserve"> daily changes in nominal CGS yields on daily changes in breakeven inflation and find that breakeven inflation estimates largely explain changes in nominal CGS yields. CEG repeats their analysis with quarterly data instead of daily over a longer timeframe from December 2005 to June 2016. There are a number of problems evident from the analysis. First, it does not appear that CEG included any other explanatory variables in its regression analysis.</w:t>
      </w:r>
      <w:r w:rsidRPr="00F415C8">
        <w:rPr>
          <w:rStyle w:val="FootnoteReference"/>
        </w:rPr>
        <w:footnoteReference w:id="1781"/>
      </w:r>
      <w:r>
        <w:t xml:space="preserve"> T</w:t>
      </w:r>
      <w:r w:rsidRPr="00F415C8">
        <w:t>here may be a number of other factors that affect nominal CGS yields</w:t>
      </w:r>
      <w:r>
        <w:t xml:space="preserve"> and breakeven inflation rates, including </w:t>
      </w:r>
      <w:r w:rsidRPr="00F415C8">
        <w:t>the various biases and premia</w:t>
      </w:r>
      <w:r>
        <w:t xml:space="preserve"> outlined above</w:t>
      </w:r>
      <w:r w:rsidRPr="00F415C8">
        <w:t>, short term inflation expectations and the effect the coupon payments.</w:t>
      </w:r>
      <w:r w:rsidRPr="00F415C8">
        <w:rPr>
          <w:rStyle w:val="FootnoteReference"/>
        </w:rPr>
        <w:footnoteReference w:id="1782"/>
      </w:r>
      <w:r w:rsidRPr="00F415C8">
        <w:t xml:space="preserve"> If the regression model does not account for these factors it will suffer from omitted variable bias and its explanatory power will be severely diminished.</w:t>
      </w:r>
    </w:p>
    <w:p w:rsidR="00E46946" w:rsidRPr="00F415C8" w:rsidRDefault="00E46946" w:rsidP="00E46946">
      <w:r w:rsidRPr="00F415C8">
        <w:t>For example, reference has been made previously to the effect of coupon payments on the estimate of breakeven inflation. Deacon and Derry (1994) note that:</w:t>
      </w:r>
    </w:p>
    <w:p w:rsidR="00E46946" w:rsidRPr="00F415C8" w:rsidRDefault="00E46946" w:rsidP="00E46946">
      <w:pPr>
        <w:pStyle w:val="AERquote"/>
      </w:pPr>
      <w:r w:rsidRPr="00F415C8">
        <w:t>the fact that a break-even inflation rate is derived from only two gilt prices—one index-linked and one conventional—means that it is particularly vulnerable to distortions produced by the specific pair of stocks selected.</w:t>
      </w:r>
      <w:r w:rsidRPr="00F415C8">
        <w:br/>
        <w:t>For instance, when matching stocks by maturity there may be two conventionals of roughly equal maturity but widely-differing coupons. The difference in the break-even rates derived using the different stocks can be significant…</w:t>
      </w:r>
      <w:r w:rsidRPr="00F415C8">
        <w:rPr>
          <w:rStyle w:val="FootnoteReference"/>
        </w:rPr>
        <w:footnoteReference w:id="1783"/>
      </w:r>
    </w:p>
    <w:p w:rsidR="00E46946" w:rsidRPr="00F415C8" w:rsidRDefault="00E46946" w:rsidP="00E46946">
      <w:r w:rsidRPr="00F415C8">
        <w:t xml:space="preserve">CEG’s regression analysis does not </w:t>
      </w:r>
      <w:r>
        <w:t xml:space="preserve">appear to </w:t>
      </w:r>
      <w:r w:rsidRPr="00F415C8">
        <w:t xml:space="preserve">take into account the effect of coupon payments which in turn may undermine the explanatory power of the model.  </w:t>
      </w:r>
    </w:p>
    <w:p w:rsidR="00E46946" w:rsidRPr="00F415C8" w:rsidRDefault="00E46946" w:rsidP="00E46946">
      <w:r w:rsidRPr="00F415C8">
        <w:t>Second, the regression analysis itself appears to suffer from a specification issue. By regressing breakeven inflation on nominal CGS yields, CEG is attempting a regression of the form:</w:t>
      </w:r>
    </w:p>
    <w:p w:rsidR="00E46946" w:rsidRPr="00F415C8" w:rsidRDefault="00E46946" w:rsidP="00E46946">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*Breakeven inflation+ε</m:t>
          </m:r>
        </m:oMath>
      </m:oMathPara>
    </w:p>
    <w:p w:rsidR="00E46946" w:rsidRPr="00F415C8" w:rsidRDefault="00E46946" w:rsidP="00E46946">
      <w:r w:rsidRPr="00F415C8">
        <w:t>Now, the Fisher equation provides a relationship between an expected rate of inflation, nominal interest rates and real interest rates:</w:t>
      </w:r>
    </w:p>
    <w:p w:rsidR="00E46946" w:rsidRPr="00F415C8" w:rsidRDefault="00E46946" w:rsidP="00E46946">
      <m:oMathPara>
        <m:oMath>
          <m:r>
            <w:rPr>
              <w:rFonts w:ascii="Cambria Math" w:hAnsi="Cambria Math"/>
            </w:rPr>
            <m:t>1+i=(1+r)(1+π)</m:t>
          </m:r>
        </m:oMath>
      </m:oMathPara>
    </w:p>
    <w:p w:rsidR="00E46946" w:rsidRPr="00F415C8" w:rsidRDefault="00E46946" w:rsidP="00E46946">
      <w:r w:rsidRPr="00F415C8">
        <w:t xml:space="preserve">Where </w:t>
      </w:r>
      <m:oMath>
        <m:r>
          <w:rPr>
            <w:rFonts w:ascii="Cambria Math" w:hAnsi="Cambria Math"/>
          </w:rPr>
          <m:t>i</m:t>
        </m:r>
      </m:oMath>
      <w:r w:rsidRPr="00F415C8">
        <w:t xml:space="preserve"> is nominal yields, </w:t>
      </w:r>
      <m:oMath>
        <m:r>
          <w:rPr>
            <w:rFonts w:ascii="Cambria Math" w:hAnsi="Cambria Math"/>
          </w:rPr>
          <m:t>r</m:t>
        </m:r>
      </m:oMath>
      <w:r w:rsidRPr="00F415C8">
        <w:t xml:space="preserve"> is the real return and </w:t>
      </w:r>
      <m:oMath>
        <m:r>
          <w:rPr>
            <w:rFonts w:ascii="Cambria Math" w:hAnsi="Cambria Math"/>
          </w:rPr>
          <m:t>π</m:t>
        </m:r>
      </m:oMath>
      <w:r w:rsidRPr="00F415C8">
        <w:t xml:space="preserve"> is breakeven inflation. This equation can then be substituted into the original linear regression equation to obtain:</w:t>
      </w:r>
    </w:p>
    <w:p w:rsidR="00E46946" w:rsidRPr="00F415C8" w:rsidRDefault="00E46946" w:rsidP="00E46946">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1+i</m:t>
                  </m:r>
                </m:num>
                <m:den>
                  <m:r>
                    <w:rPr>
                      <w:rFonts w:ascii="Cambria Math" w:hAnsi="Cambria Math"/>
                    </w:rPr>
                    <m:t>1+r</m:t>
                  </m:r>
                </m:den>
              </m:f>
              <m:r>
                <w:rPr>
                  <w:rFonts w:ascii="Cambria Math" w:hAnsi="Cambria Math"/>
                </w:rPr>
                <m:t>-1</m:t>
              </m:r>
            </m:e>
          </m:d>
          <m:r>
            <w:rPr>
              <w:rFonts w:ascii="Cambria Math" w:hAnsi="Cambria Math"/>
            </w:rPr>
            <m:t>+ ε</m:t>
          </m:r>
        </m:oMath>
      </m:oMathPara>
    </w:p>
    <w:p w:rsidR="00E46946" w:rsidRPr="00F415C8" w:rsidRDefault="00E46946" w:rsidP="00E46946">
      <w:r w:rsidRPr="00F415C8">
        <w:t xml:space="preserve">It is immediately clear that the variable representing nominal interest rates appears on both sides of the equation, which when run, would result in a specification error in the regression. A regression that is incorrectly specified will likely produce results that are biased. </w:t>
      </w:r>
    </w:p>
    <w:p w:rsidR="00E46946" w:rsidRPr="00F415C8" w:rsidRDefault="00E46946" w:rsidP="00E46946">
      <w:r w:rsidRPr="00F415C8">
        <w:t>Alternatively, the previous equation can be rewritten as:</w:t>
      </w:r>
    </w:p>
    <w:p w:rsidR="00E46946" w:rsidRPr="00F415C8" w:rsidRDefault="00E46946" w:rsidP="00E46946">
      <m:oMathPara>
        <m:oMath>
          <m:r>
            <w:rPr>
              <w:rFonts w:ascii="Cambria Math" w:hAnsi="Cambria Math"/>
            </w:rPr>
            <m:t>Real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-1</m:t>
              </m:r>
            </m:e>
          </m:d>
          <m:r>
            <w:rPr>
              <w:rFonts w:ascii="Cambria Math" w:hAnsi="Cambria Math"/>
            </w:rPr>
            <m:t>π+ ε</m:t>
          </m:r>
        </m:oMath>
      </m:oMathPara>
    </w:p>
    <w:p w:rsidR="00E46946" w:rsidRPr="00F415C8" w:rsidRDefault="00E46946" w:rsidP="00E46946">
      <w:r w:rsidRPr="00F415C8">
        <w:t xml:space="preserve">This regression equation postulates a relationship between the indexed yield and the breakeven rate. It is likely that these two variables are unrelated, and, as a result, the estimated coefficient of the breakeven rate, in this regression equation, would be close to zero. This implies an estimate for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F415C8">
        <w:t xml:space="preserve"> of approximately one, similar to the original estimated regression.</w:t>
      </w:r>
    </w:p>
    <w:p w:rsidR="00E46946" w:rsidRPr="00F415C8" w:rsidRDefault="00E46946" w:rsidP="00E46946">
      <w:r w:rsidRPr="00F415C8">
        <w:t>In fact, the reason why CEG arrive at an estimate slightly different from one for the slope coefficient in their two regressions (Figures 11 and 12) is due to a slight correlation between the indexed yields and the breakeven rate</w:t>
      </w:r>
      <w:r>
        <w:t>.</w:t>
      </w:r>
      <w:r w:rsidRPr="00F415C8">
        <w:rPr>
          <w:rStyle w:val="FootnoteReference"/>
        </w:rPr>
        <w:footnoteReference w:id="1784"/>
      </w:r>
      <w:r w:rsidRPr="00F415C8">
        <w:t xml:space="preserve"> This is likely due to random chance </w:t>
      </w:r>
      <w:r>
        <w:t xml:space="preserve">rather </w:t>
      </w:r>
      <w:r w:rsidRPr="00F415C8">
        <w:t>than any long-run relationship. The fac</w:t>
      </w:r>
      <w:r>
        <w:t>t that CEG’s estimates for an 8-</w:t>
      </w:r>
      <w:r w:rsidRPr="00F415C8">
        <w:t>month horizon shows negative correlation,</w:t>
      </w:r>
      <w:r>
        <w:t xml:space="preserve"> whilst</w:t>
      </w:r>
      <w:r w:rsidRPr="00F415C8">
        <w:t xml:space="preserve"> CEG’s estimate for a </w:t>
      </w:r>
      <w:r>
        <w:t>ten</w:t>
      </w:r>
      <w:r w:rsidRPr="00F415C8">
        <w:t xml:space="preserve"> and a half year horizon shows positive correlation </w:t>
      </w:r>
      <w:r>
        <w:t>may be</w:t>
      </w:r>
      <w:r w:rsidRPr="00F415C8">
        <w:t xml:space="preserve"> evidence of this.</w:t>
      </w:r>
    </w:p>
    <w:p w:rsidR="00E46946" w:rsidRPr="00F415C8" w:rsidRDefault="00E46946" w:rsidP="00E46946">
      <w:r w:rsidRPr="00F415C8">
        <w:t>What this regression</w:t>
      </w:r>
      <w:r>
        <w:t xml:space="preserve"> </w:t>
      </w:r>
      <w:r w:rsidRPr="00F415C8">
        <w:t>shows, is not that there is a relationship between the breakeven rate and nominal yields, but rather, that there is no relationship between indexed yields and the breakeven rate.</w:t>
      </w:r>
    </w:p>
    <w:p w:rsidR="00E46946" w:rsidRPr="00F415C8" w:rsidRDefault="00E46946" w:rsidP="00E46946">
      <w:r>
        <w:t>Further</w:t>
      </w:r>
      <w:r w:rsidRPr="00F415C8">
        <w:t xml:space="preserve">, CEG’s daily analysis only extends to the period spanning December 2015 – August 2016. Even if breakeven inflation is a statistically significant explanatory variable for falling nominal CGS yields over this time, it may not necessarily be so over a longer time period. As discussed, both the </w:t>
      </w:r>
      <w:r>
        <w:t>break-even inflation estimates</w:t>
      </w:r>
      <w:r w:rsidRPr="00F415C8">
        <w:t xml:space="preserve"> and nominal CGS yields are susceptible to short term inflation expectations due to differences in the size and timing of coupon payments across maturities.</w:t>
      </w:r>
      <w:r w:rsidRPr="00F415C8">
        <w:rPr>
          <w:rStyle w:val="FootnoteReference"/>
        </w:rPr>
        <w:footnoteReference w:id="1785"/>
      </w:r>
      <w:r w:rsidRPr="00F415C8">
        <w:t xml:space="preserve"> CEG’s quarterly analysis undertaken from December 2005 to June 2016 is also problematic due to its limited sample size (approximately 40 observations). </w:t>
      </w:r>
    </w:p>
    <w:p w:rsidR="00E46946" w:rsidRDefault="00E46946" w:rsidP="00E46946">
      <w:r w:rsidRPr="00F415C8">
        <w:t xml:space="preserve">Notwithstanding the previous discussion, even if falling breakeven inflation is a statistically significant explanatory variable for falling nominal CGS yields, it may still not be suitable as an estimator for market expectations of inflation. There are likely other variables that affect breakeven inflation estimates, such as biases and premia which would result in divergent outcomes for breakeven inflation and market expectations of inflation. </w:t>
      </w:r>
    </w:p>
    <w:p w:rsidR="00985825" w:rsidRPr="00985825" w:rsidRDefault="00985825" w:rsidP="00985825">
      <w:pPr>
        <w:pStyle w:val="Heading8"/>
      </w:pPr>
      <w:bookmarkStart w:id="592" w:name="_Ref482623911"/>
      <w:bookmarkStart w:id="593" w:name="_Toc487037259"/>
      <w:r>
        <w:t>APTPPL's proposed revenue model</w:t>
      </w:r>
      <w:bookmarkEnd w:id="592"/>
      <w:bookmarkEnd w:id="593"/>
    </w:p>
    <w:p w:rsidR="00985825" w:rsidRDefault="00985825" w:rsidP="00985825">
      <w:r>
        <w:t>APTPPL proposed a varied version of our post-tax revenue model that alters the treatment of inflation in our revenue modelling. APTPPL proposed, in its submitted revenue model, for the value of its projected capital base to be adjusted for lagged actual inflation, rather than expected inflation during the course of the 2017–22 access arrangement period.</w:t>
      </w:r>
    </w:p>
    <w:p w:rsidR="00985825" w:rsidRDefault="00985825" w:rsidP="00985825">
      <w:r>
        <w:t>APTPPL submitted that its changes to our post-tax revenue model are to address 'mismatch' between the adjustment of asset values for inflation in the post-tax revenue model compared to the asset base roll-forward model. APTPPL stated:</w:t>
      </w:r>
    </w:p>
    <w:p w:rsidR="00985825" w:rsidRDefault="00985825" w:rsidP="00985825">
      <w:pPr>
        <w:pStyle w:val="AERquote"/>
      </w:pPr>
      <w:r w:rsidRPr="00080168">
        <w:t xml:space="preserve">The indexation on the opening capital base used in the depreciation calculation is based on the AER’s forecast of inflation over the access arrangement period </w:t>
      </w:r>
      <w:r>
        <w:t>…</w:t>
      </w:r>
    </w:p>
    <w:p w:rsidR="00985825" w:rsidRDefault="00985825" w:rsidP="00985825">
      <w:pPr>
        <w:pStyle w:val="AERquote"/>
      </w:pPr>
      <w:r w:rsidRPr="00080168">
        <w:t xml:space="preserve">When the AER subsequently rolls forward the capital base using its Roll Forward Model, it applies the actual out-turn inflation to the indexation of the capital base. </w:t>
      </w:r>
    </w:p>
    <w:p w:rsidR="00985825" w:rsidRDefault="00985825" w:rsidP="00985825">
      <w:pPr>
        <w:pStyle w:val="AERquote"/>
      </w:pPr>
      <w:r>
        <w:t>This presents a mis-match where the allowed revenues reflect a forecast of inflation and the roll forward of the capital base reflects actual inflation. This presents inflation risk to the business, which it is not able to manage.</w:t>
      </w:r>
    </w:p>
    <w:p w:rsidR="00985825" w:rsidRDefault="00985825" w:rsidP="00985825">
      <w:r>
        <w:t>To address this mismatch issue, APTPPL's proposed revenue model included the following variations from our published post-tax revenue model:</w:t>
      </w:r>
    </w:p>
    <w:p w:rsidR="00985825" w:rsidRDefault="00985825" w:rsidP="00985825">
      <w:pPr>
        <w:pStyle w:val="AERbulletlistfirststyle"/>
      </w:pPr>
      <w:r>
        <w:t>A second inflation series is added (in row 431 of the PTRM inputs page) in addition to the original expected inflation parameter that is also retained.</w:t>
      </w:r>
    </w:p>
    <w:p w:rsidR="00985825" w:rsidRDefault="00985825" w:rsidP="00985825">
      <w:pPr>
        <w:pStyle w:val="AERbulletlistfirststyle"/>
      </w:pPr>
      <w:r>
        <w:t>The new inflation series is an annually-varying series, with separate rates identified for each year. This contrasts with the original expected inflation parameter which was a single annual figure applied across the whole access arrangement period.</w:t>
      </w:r>
    </w:p>
    <w:p w:rsidR="00985825" w:rsidRDefault="00985825" w:rsidP="00985825">
      <w:pPr>
        <w:pStyle w:val="AERbulletlistfirststyle"/>
      </w:pPr>
      <w:r>
        <w:t>APTPPL proposes that the new inflation series is initially forecast and then updated with new forecasts annually.</w:t>
      </w:r>
    </w:p>
    <w:p w:rsidR="00985825" w:rsidRDefault="00985825" w:rsidP="00985825">
      <w:pPr>
        <w:pStyle w:val="AERbulletlistfirststyle"/>
      </w:pPr>
      <w:r>
        <w:t>APTPPL proposes that the new inflation series is initially forecast, but then annually updated to reflect actual inflation outcomes as they become known.</w:t>
      </w:r>
    </w:p>
    <w:p w:rsidR="00985825" w:rsidRDefault="00985825" w:rsidP="00985825">
      <w:r>
        <w:t>We do not accept APTPPL's proposed revenue model for the following reasons:</w:t>
      </w:r>
    </w:p>
    <w:p w:rsidR="00985825" w:rsidRDefault="00985825" w:rsidP="00985825">
      <w:pPr>
        <w:pStyle w:val="AERbulletlistfirststyle"/>
      </w:pPr>
      <w:r>
        <w:t>APTPPL's proposed revenue model includes two separate and inconsistent estimates of forecast inflation. APTPPL has included a new series of annually-varying inflation estimates, and this new series is used to adjust the nominal value of APTPPL's capital base over the access arrangement period.</w:t>
      </w:r>
      <w:r>
        <w:rPr>
          <w:rStyle w:val="FootnoteReference"/>
        </w:rPr>
        <w:footnoteReference w:id="1786"/>
      </w:r>
      <w:r>
        <w:t xml:space="preserve"> However, a single inflation rate applicable across the whole access arrangement period is then used in the conversion of the annual aggregate revenue requirement into X-factors.</w:t>
      </w:r>
      <w:r>
        <w:rPr>
          <w:rStyle w:val="FootnoteReference"/>
        </w:rPr>
        <w:footnoteReference w:id="1787"/>
      </w:r>
      <w:r>
        <w:t xml:space="preserve"> These two sets of inflation forecasts are not consistent.</w:t>
      </w:r>
      <w:r>
        <w:rPr>
          <w:rStyle w:val="FootnoteReference"/>
        </w:rPr>
        <w:footnoteReference w:id="1788"/>
      </w:r>
      <w:r>
        <w:t xml:space="preserve"> We do not consider that this approach reflects the best forecast or estimate available in the circumstances.</w:t>
      </w:r>
    </w:p>
    <w:p w:rsidR="00985825" w:rsidRDefault="00985825" w:rsidP="00985825">
      <w:pPr>
        <w:pStyle w:val="AERbulletlistfirststyle"/>
      </w:pPr>
      <w:r>
        <w:t xml:space="preserve">Our published post-tax revenue model generally operates to provide X-factors as the end result and we consider this is an important element of a revenue model in order to achieve the NGO and RPPs. X-factors represent the percentage change in real aggregate revenue/tariffs from year to year. Typically, these X-factors (or percentage changes) are then applied to prices from the previous year, in tandem with actual observed inflation, to determine prices for the next year. This process ensures that actual inflation is 'passed-through' into prices, and that the real change in prices provides to the regulated business the real rate of return and real value of aggregate revenue as determined by the AER. Therefore, under this approach, the real value of our revenue determinations is not eroded or expanded by inflation shocks. </w:t>
      </w:r>
    </w:p>
    <w:p w:rsidR="00985825" w:rsidRPr="00772FFB" w:rsidRDefault="00985825" w:rsidP="00985825">
      <w:pPr>
        <w:pStyle w:val="AERbulletlistfirststyle"/>
      </w:pPr>
      <w:r>
        <w:t>APTPPL's proposed revenue model change ultimate</w:t>
      </w:r>
      <w:r w:rsidRPr="00772FFB">
        <w:t xml:space="preserve">ly </w:t>
      </w:r>
      <w:r>
        <w:t>this</w:t>
      </w:r>
      <w:r w:rsidRPr="00772FFB">
        <w:t xml:space="preserve"> outcome of the revenue modelling and tariff variation process. In particular, APTPPL's revenue model uses actual inflation outcomes as the estimate of expected inflation, such that the inflation values in the revenue modelling align with the inflation values to be used in the tariff variation process. The end result appears that the real value of the aggregate revenue determined in our access arrangement determination is not set but will vary as actual inflation outcomes vary. This may materially alter the risk profile of APTPPL, with consequences for determining a rate of return that is commensurate with these risks.</w:t>
      </w:r>
    </w:p>
    <w:p w:rsidR="00985825" w:rsidRDefault="00985825" w:rsidP="00985825">
      <w:r>
        <w:t>Generally, a regulatory determination process has defined milestones and engagement steps. This enables stakeholders to effectively engage in the regulatory process and for service providers to clearly articulate original proposals and revised proposals to the extent necessary to respond to our draft decisions.</w:t>
      </w:r>
      <w:r w:rsidRPr="00D2129B">
        <w:rPr>
          <w:rStyle w:val="FootnoteReference"/>
        </w:rPr>
        <w:t xml:space="preserve"> </w:t>
      </w:r>
      <w:r>
        <w:t>A revenue model is a critical component of a regulatory proposal for allowing stakeholders to examine the implications of various elements of a proposal on final revenue and pricing outcomes.</w:t>
      </w:r>
    </w:p>
    <w:p w:rsidR="00985825" w:rsidRDefault="00985825" w:rsidP="00985825">
      <w:r>
        <w:t xml:space="preserve">In its access arrangement proposal, APTPPL noted that their </w:t>
      </w:r>
      <w:r w:rsidRPr="00940E53">
        <w:t xml:space="preserve">proposed inflation annual update </w:t>
      </w:r>
      <w:r>
        <w:t>is</w:t>
      </w:r>
      <w:r w:rsidRPr="00940E53">
        <w:t xml:space="preserve"> similar </w:t>
      </w:r>
      <w:r>
        <w:t>to our annual debt update:</w:t>
      </w:r>
      <w:r>
        <w:rPr>
          <w:rStyle w:val="FootnoteReference"/>
        </w:rPr>
        <w:footnoteReference w:id="1789"/>
      </w:r>
    </w:p>
    <w:p w:rsidR="00985825" w:rsidRDefault="00985825" w:rsidP="00985825">
      <w:pPr>
        <w:pStyle w:val="AERquote"/>
      </w:pPr>
      <w:r>
        <w:t xml:space="preserve">APTPPL considers that a better approach would reflect the observed changes in inflation as reference tariffs are varied. In the gas regulatory framework (in contract to that applying to the electricity industry), this could be accomplished through the Access Arrangement Tariff Variation Mechanism, within the process now being implemented by the AER for annual update of the tariff for changes in the return on debt. </w:t>
      </w:r>
    </w:p>
    <w:p w:rsidR="00985825" w:rsidRDefault="00985825" w:rsidP="00985825">
      <w:r>
        <w:t xml:space="preserve">However, we consider APTPPL's proposed revenue model treatment of inflation </w:t>
      </w:r>
      <w:r w:rsidRPr="00D2129B">
        <w:t>raise</w:t>
      </w:r>
      <w:r>
        <w:t>s</w:t>
      </w:r>
      <w:r w:rsidRPr="00D2129B">
        <w:t xml:space="preserve"> </w:t>
      </w:r>
      <w:r>
        <w:t xml:space="preserve">a number of matters that require robust testing including </w:t>
      </w:r>
      <w:r w:rsidRPr="00D2129B">
        <w:t xml:space="preserve">the </w:t>
      </w:r>
      <w:r>
        <w:t>interaction between its proposed revenue model, asset base roll-forward model, and annual tariff variation mechanisms</w:t>
      </w:r>
      <w:r w:rsidRPr="00D2129B">
        <w:t xml:space="preserve">. </w:t>
      </w:r>
      <w:r>
        <w:t>We do not consider that the implications of APTPPL's proposed revenue model have been sufficiently addressed in APTPPL's regulatory proposal to support a decision that the proposed method for estimating inflation is the best in the circumstances and arrived at on a reasonable basis. We consider the research, analysis and reasoning submitted to us should be subject to review through a comprehensive process similar to that undertaken in the application of the</w:t>
      </w:r>
      <w:r w:rsidRPr="00F0004A">
        <w:t xml:space="preserve"> return on debt annual update</w:t>
      </w:r>
      <w:r>
        <w:t>.</w:t>
      </w:r>
      <w:r>
        <w:rPr>
          <w:rStyle w:val="FootnoteReference"/>
        </w:rPr>
        <w:footnoteReference w:id="1790"/>
      </w:r>
      <w:r>
        <w:t xml:space="preserve"> This will allow for the effective engagement with all stakeholders. Our recently initiated industry-wide review of the treatment of inflation would be an appropriate avenue for this consultation. </w:t>
      </w:r>
    </w:p>
    <w:p w:rsidR="00985825" w:rsidRDefault="00985825" w:rsidP="00985825">
      <w:r>
        <w:t xml:space="preserve">In the absence of sufficiently robust and extensive consultation, and in light of the concerns outlined above, we do not consider that APTPPL's proposed treatment of inflation in its revenue model would contribute to the achievement of the National Gas Objective. </w:t>
      </w:r>
    </w:p>
    <w:p w:rsidR="00E46946" w:rsidRDefault="00E46946" w:rsidP="00254472"/>
    <w:p w:rsidR="005A6140" w:rsidRPr="00AA2065" w:rsidRDefault="005A6140" w:rsidP="005A6140"/>
    <w:p w:rsidR="00392FFF" w:rsidRDefault="00392FFF" w:rsidP="00392FFF">
      <w:pPr>
        <w:pStyle w:val="Heading7"/>
      </w:pPr>
      <w:bookmarkStart w:id="594" w:name="_Toc487037260"/>
      <w:r>
        <w:t>Equity and debt raising costs</w:t>
      </w:r>
      <w:bookmarkEnd w:id="402"/>
      <w:bookmarkEnd w:id="594"/>
    </w:p>
    <w:p w:rsidR="0020146B" w:rsidRPr="0020146B" w:rsidRDefault="0020146B" w:rsidP="0020146B">
      <w:bookmarkStart w:id="595" w:name="_Ref456703498"/>
      <w:bookmarkStart w:id="596" w:name="_Ref484680127"/>
      <w:r w:rsidRPr="0020146B">
        <w:t>In addition to compensating for the required rate of return on debt and equity, we provide an allowance for the transaction costs associated with raising debt and equity. We include debt raising costs in the opex forecast because these are regular and ongoing costs which are likely to be incurred each time service providers refinance their debt. On the other hand, we include equity raising costs in the capex forecast because these costs are only incurred once and would be associated with funding the particular capital investments.</w:t>
      </w:r>
    </w:p>
    <w:p w:rsidR="0020146B" w:rsidRPr="0020146B" w:rsidRDefault="0020146B" w:rsidP="0020146B">
      <w:r w:rsidRPr="0020146B">
        <w:t>Our draft decision forecasts for debt and equity raising costs are included in the opex and capex attachments, respectively. In this appendix, we set out our assessment approach and the reasons for those forecasts.</w:t>
      </w:r>
    </w:p>
    <w:p w:rsidR="0020146B" w:rsidRPr="0020146B" w:rsidRDefault="0020146B" w:rsidP="0020146B">
      <w:pPr>
        <w:pStyle w:val="Heading8"/>
      </w:pPr>
      <w:bookmarkStart w:id="597" w:name="_Toc487037261"/>
      <w:r w:rsidRPr="0020146B">
        <w:t>Equity raising costs</w:t>
      </w:r>
      <w:bookmarkEnd w:id="597"/>
      <w:r w:rsidRPr="0020146B">
        <w:t xml:space="preserve"> </w:t>
      </w:r>
    </w:p>
    <w:p w:rsidR="0020146B" w:rsidRPr="0020146B" w:rsidRDefault="0020146B" w:rsidP="0020146B">
      <w:r w:rsidRPr="0020146B">
        <w:t>We determine no equity raising costs for the 2018–22 period in this draft decision. APTPPL-RBP adopted our approach and submitted it will not incur equity raising costs over the 2018–22 period in its proposal and revised proposal.</w:t>
      </w:r>
      <w:r w:rsidRPr="0020146B">
        <w:rPr>
          <w:rStyle w:val="AERsuperscript"/>
        </w:rPr>
        <w:footnoteReference w:id="1791"/>
      </w:r>
      <w:r w:rsidRPr="0020146B">
        <w:t xml:space="preserve"> Therefore, we accept its proposal.</w:t>
      </w:r>
    </w:p>
    <w:p w:rsidR="0020146B" w:rsidRPr="0020146B" w:rsidRDefault="0020146B" w:rsidP="0020146B">
      <w:r w:rsidRPr="0020146B">
        <w:t>Equity raising costs are transaction costs incurred when a service provider raises new equity from outside its business. We use a benchmark approach to determine these costs and this approach allows the costs of two means by which a service provider could raise equity from outside its business—dividend reinvestment plans and seasoned equity offerings. Equity raising costs are an unavoidable aspect of raising equity that a prudent service provider acting efficiently</w:t>
      </w:r>
      <w:r w:rsidRPr="0020146B" w:rsidDel="009A34A7">
        <w:t xml:space="preserve"> </w:t>
      </w:r>
      <w:r w:rsidRPr="0020146B">
        <w:t>would incur. Accordingly, we provide an allowance to recover an efficient amount of equity raising costs. This is where a service provider's capex forecast is large enough to require an external equity injection to maintain the benchmark gearing of 60 per cent.</w:t>
      </w:r>
    </w:p>
    <w:p w:rsidR="0020146B" w:rsidRPr="0020146B" w:rsidRDefault="0020146B" w:rsidP="0020146B">
      <w:r w:rsidRPr="0020146B">
        <w:t>While the rate of return guideline does not set out an approach for estimating these costs, we apply an established method for estimating equity raising costs. We initially based our method for determining benchmark equity raising costs on the 2007 advice from Allen Consulting Group (ACG).</w:t>
      </w:r>
      <w:r w:rsidRPr="0020146B">
        <w:rPr>
          <w:rStyle w:val="AERsuperscript"/>
        </w:rPr>
        <w:footnoteReference w:id="1792"/>
      </w:r>
      <w:r w:rsidRPr="0020146B">
        <w:t xml:space="preserve"> We amended this method in our 2009 decisions for the ACT, NSW and Tasmanian electricity service providers.</w:t>
      </w:r>
      <w:r w:rsidRPr="0020146B">
        <w:rPr>
          <w:rStyle w:val="AERsuperscript"/>
        </w:rPr>
        <w:footnoteReference w:id="1793"/>
      </w:r>
      <w:r w:rsidRPr="0020146B">
        <w:t xml:space="preserve"> We further refined this approach, as discussed and applied in the 2012 Powerlink decision.</w:t>
      </w:r>
      <w:r w:rsidRPr="0020146B">
        <w:rPr>
          <w:rStyle w:val="AERsuperscript"/>
        </w:rPr>
        <w:footnoteReference w:id="1794"/>
      </w:r>
    </w:p>
    <w:p w:rsidR="0020146B" w:rsidRPr="0020146B" w:rsidRDefault="0020146B" w:rsidP="0020146B">
      <w:pPr>
        <w:pStyle w:val="Heading8"/>
      </w:pPr>
      <w:bookmarkStart w:id="598" w:name="_Toc487037262"/>
      <w:r w:rsidRPr="0020146B">
        <w:t>Debt raising costs</w:t>
      </w:r>
      <w:bookmarkEnd w:id="598"/>
      <w:r w:rsidRPr="0020146B">
        <w:t xml:space="preserve"> </w:t>
      </w:r>
    </w:p>
    <w:p w:rsidR="0020146B" w:rsidRPr="0020146B" w:rsidRDefault="0020146B" w:rsidP="0020146B">
      <w:pPr>
        <w:numPr>
          <w:ilvl w:val="0"/>
          <w:numId w:val="24"/>
        </w:numPr>
      </w:pPr>
      <w:r w:rsidRPr="0020146B">
        <w:t>Debt raising costs are transaction costs incurred each time debt is raised or refinanced. These costs may include arrangement fees, legal fees, company credit rating fees and other transaction costs. Debt raising costs are an unavoidable cost of raising debt that would be incurred by a prudent service provider, and data exists such that we can estimate them. Accordingly, we provide an allowance to recover an efficient amount of debt raising costs.</w:t>
      </w:r>
    </w:p>
    <w:p w:rsidR="0020146B" w:rsidRPr="0020146B" w:rsidRDefault="0020146B" w:rsidP="0020146B">
      <w:pPr>
        <w:pStyle w:val="HeadingBoldBlue"/>
      </w:pPr>
      <w:r w:rsidRPr="0020146B">
        <w:t xml:space="preserve">Draft decision </w:t>
      </w:r>
    </w:p>
    <w:p w:rsidR="0020146B" w:rsidRPr="0020146B" w:rsidRDefault="0020146B" w:rsidP="0020146B">
      <w:r w:rsidRPr="0020146B">
        <w:t>We determine debt raising costs using our benchmark based approach. APTPPL-RBP has accepted our approach for forecasting debt raising costs in its proposal.</w:t>
      </w:r>
      <w:r w:rsidRPr="0020146B">
        <w:footnoteReference w:id="1795"/>
      </w:r>
      <w:r w:rsidRPr="0020146B">
        <w:t xml:space="preserve"> We accept APTPPL-RBP's proposal and determine debt raising costs of $1.3 million ($ 2016–17) over the 2018–22 period for this final decision, as set out in</w:t>
      </w:r>
      <w:r w:rsidR="00BB5A25">
        <w:t xml:space="preserve"> Table 3-44</w:t>
      </w:r>
      <w:r w:rsidRPr="0020146B">
        <w:t xml:space="preserve">.  </w:t>
      </w:r>
    </w:p>
    <w:p w:rsidR="0020146B" w:rsidRPr="0020146B" w:rsidRDefault="0020146B" w:rsidP="0020146B">
      <w:r w:rsidRPr="0020146B">
        <w:t>We are satisfied that the debt raising costs estimate of $1.3 million contributes towards a total opex forecast that reasonably reflects efficient, prudent and realistic costs. Consistent with the approach applied to recent decisions (including AusNet Services distribution), we consider that it is important to forecast debt raising costs based on a benchmark approach rather than a service provider's actual costs.</w:t>
      </w:r>
      <w:r w:rsidRPr="0020146B">
        <w:rPr>
          <w:rStyle w:val="AERsuperscript"/>
        </w:rPr>
        <w:footnoteReference w:id="1796"/>
      </w:r>
      <w:r w:rsidRPr="0020146B">
        <w:t xml:space="preserve"> This is to be consistent with the benchmark based forecast of the cost of debt used in the rate of return building block. This should give APTPPL-RBP a reasonable opportunity to recover its efficient costs.  </w:t>
      </w:r>
    </w:p>
    <w:p w:rsidR="0020146B" w:rsidRPr="0020146B" w:rsidRDefault="0020146B" w:rsidP="0020146B">
      <w:pPr>
        <w:pStyle w:val="Caption"/>
      </w:pPr>
      <w:r w:rsidRPr="0020146B">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20146B">
        <w:noBreakHyphen/>
      </w:r>
      <w:r w:rsidR="002C24D6">
        <w:fldChar w:fldCharType="begin"/>
      </w:r>
      <w:r w:rsidR="002C24D6">
        <w:instrText xml:space="preserve"> SEQ Table \* ARABIC \s 1 </w:instrText>
      </w:r>
      <w:r w:rsidR="002C24D6">
        <w:fldChar w:fldCharType="separate"/>
      </w:r>
      <w:r w:rsidR="002C24D6">
        <w:rPr>
          <w:noProof/>
        </w:rPr>
        <w:t>44</w:t>
      </w:r>
      <w:r w:rsidR="002C24D6">
        <w:rPr>
          <w:noProof/>
        </w:rPr>
        <w:fldChar w:fldCharType="end"/>
      </w:r>
      <w:r w:rsidRPr="0020146B">
        <w:tab/>
        <w:t>AER's final decision on debt raising costs (million, $ 2016–17)</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20146B" w:rsidRPr="00664BB2" w:rsidTr="00721978">
        <w:trPr>
          <w:cnfStyle w:val="100000000000" w:firstRow="1" w:lastRow="0" w:firstColumn="0" w:lastColumn="0" w:oddVBand="0" w:evenVBand="0" w:oddHBand="0" w:evenHBand="0" w:firstRowFirstColumn="0" w:firstRowLastColumn="0" w:lastRowFirstColumn="0" w:lastRowLastColumn="0"/>
        </w:trPr>
        <w:tc>
          <w:tcPr>
            <w:tcW w:w="714" w:type="pct"/>
          </w:tcPr>
          <w:p w:rsidR="0020146B" w:rsidRPr="00664BB2" w:rsidRDefault="0020146B" w:rsidP="0020146B"/>
        </w:tc>
        <w:tc>
          <w:tcPr>
            <w:tcW w:w="714" w:type="pct"/>
          </w:tcPr>
          <w:p w:rsidR="0020146B" w:rsidRPr="0020146B" w:rsidRDefault="0020146B" w:rsidP="0020146B">
            <w:r>
              <w:t>2018</w:t>
            </w:r>
            <w:r w:rsidRPr="0020146B">
              <w:t>–19</w:t>
            </w:r>
          </w:p>
        </w:tc>
        <w:tc>
          <w:tcPr>
            <w:tcW w:w="714" w:type="pct"/>
          </w:tcPr>
          <w:p w:rsidR="0020146B" w:rsidRPr="0020146B" w:rsidRDefault="0020146B" w:rsidP="0020146B">
            <w:r>
              <w:t>2019</w:t>
            </w:r>
            <w:r w:rsidRPr="0020146B">
              <w:t>–20</w:t>
            </w:r>
          </w:p>
        </w:tc>
        <w:tc>
          <w:tcPr>
            <w:tcW w:w="714" w:type="pct"/>
          </w:tcPr>
          <w:p w:rsidR="0020146B" w:rsidRPr="0020146B" w:rsidRDefault="0020146B" w:rsidP="0020146B">
            <w:r>
              <w:t>2020</w:t>
            </w:r>
            <w:r w:rsidRPr="0020146B">
              <w:t>–21</w:t>
            </w:r>
          </w:p>
        </w:tc>
        <w:tc>
          <w:tcPr>
            <w:tcW w:w="714" w:type="pct"/>
          </w:tcPr>
          <w:p w:rsidR="0020146B" w:rsidRPr="0020146B" w:rsidRDefault="0020146B" w:rsidP="0020146B">
            <w:r>
              <w:t>2021</w:t>
            </w:r>
            <w:r w:rsidRPr="0020146B">
              <w:t>–22</w:t>
            </w:r>
          </w:p>
        </w:tc>
        <w:tc>
          <w:tcPr>
            <w:tcW w:w="715" w:type="pct"/>
          </w:tcPr>
          <w:p w:rsidR="0020146B" w:rsidRPr="0020146B" w:rsidRDefault="0020146B" w:rsidP="0020146B">
            <w:r>
              <w:t>2022</w:t>
            </w:r>
            <w:r w:rsidRPr="0020146B">
              <w:t>–23</w:t>
            </w:r>
          </w:p>
        </w:tc>
        <w:tc>
          <w:tcPr>
            <w:tcW w:w="715" w:type="pct"/>
          </w:tcPr>
          <w:p w:rsidR="0020146B" w:rsidRPr="0020146B" w:rsidRDefault="0020146B" w:rsidP="0020146B">
            <w:r w:rsidRPr="00664BB2">
              <w:t>Total</w:t>
            </w:r>
          </w:p>
        </w:tc>
      </w:tr>
      <w:tr w:rsidR="0020146B" w:rsidRPr="00664BB2" w:rsidTr="00721978">
        <w:tc>
          <w:tcPr>
            <w:tcW w:w="714" w:type="pct"/>
          </w:tcPr>
          <w:p w:rsidR="0020146B" w:rsidRPr="00664BB2" w:rsidRDefault="0020146B" w:rsidP="0020146B"/>
        </w:tc>
        <w:tc>
          <w:tcPr>
            <w:tcW w:w="714" w:type="pct"/>
            <w:vAlign w:val="top"/>
          </w:tcPr>
          <w:p w:rsidR="0020146B" w:rsidRPr="0020146B" w:rsidRDefault="0020146B" w:rsidP="0020146B">
            <w:r>
              <w:t xml:space="preserve"> 0.</w:t>
            </w:r>
            <w:r w:rsidRPr="0020146B">
              <w:t xml:space="preserve">3 </w:t>
            </w:r>
          </w:p>
        </w:tc>
        <w:tc>
          <w:tcPr>
            <w:tcW w:w="714" w:type="pct"/>
            <w:vAlign w:val="top"/>
          </w:tcPr>
          <w:p w:rsidR="0020146B" w:rsidRPr="0020146B" w:rsidRDefault="0020146B" w:rsidP="0020146B">
            <w:r>
              <w:t xml:space="preserve"> 0.</w:t>
            </w:r>
            <w:r w:rsidRPr="0020146B">
              <w:t xml:space="preserve">3 </w:t>
            </w:r>
          </w:p>
        </w:tc>
        <w:tc>
          <w:tcPr>
            <w:tcW w:w="714" w:type="pct"/>
            <w:vAlign w:val="top"/>
          </w:tcPr>
          <w:p w:rsidR="0020146B" w:rsidRPr="0020146B" w:rsidRDefault="0020146B" w:rsidP="0020146B">
            <w:r>
              <w:t>0.</w:t>
            </w:r>
            <w:r w:rsidRPr="0020146B">
              <w:t xml:space="preserve">3 </w:t>
            </w:r>
          </w:p>
        </w:tc>
        <w:tc>
          <w:tcPr>
            <w:tcW w:w="714" w:type="pct"/>
            <w:vAlign w:val="top"/>
          </w:tcPr>
          <w:p w:rsidR="0020146B" w:rsidRPr="0020146B" w:rsidRDefault="0020146B" w:rsidP="0020146B">
            <w:r>
              <w:t xml:space="preserve"> 0.</w:t>
            </w:r>
            <w:r w:rsidRPr="0020146B">
              <w:t xml:space="preserve">3 </w:t>
            </w:r>
          </w:p>
        </w:tc>
        <w:tc>
          <w:tcPr>
            <w:tcW w:w="715" w:type="pct"/>
            <w:vAlign w:val="top"/>
          </w:tcPr>
          <w:p w:rsidR="0020146B" w:rsidRPr="0020146B" w:rsidRDefault="0020146B" w:rsidP="0020146B">
            <w:r>
              <w:t xml:space="preserve"> 0.</w:t>
            </w:r>
            <w:r w:rsidRPr="0020146B">
              <w:t xml:space="preserve">3 </w:t>
            </w:r>
          </w:p>
        </w:tc>
        <w:tc>
          <w:tcPr>
            <w:tcW w:w="715" w:type="pct"/>
          </w:tcPr>
          <w:p w:rsidR="0020146B" w:rsidRPr="0020146B" w:rsidRDefault="0020146B" w:rsidP="0020146B">
            <w:r>
              <w:t>1.3</w:t>
            </w:r>
          </w:p>
        </w:tc>
      </w:tr>
    </w:tbl>
    <w:p w:rsidR="0020146B" w:rsidRPr="0020146B" w:rsidRDefault="0020146B" w:rsidP="0020146B">
      <w:pPr>
        <w:pStyle w:val="AERtablesource"/>
      </w:pPr>
      <w:r w:rsidRPr="0020146B">
        <w:t xml:space="preserve">Source: </w:t>
      </w:r>
      <w:r w:rsidRPr="0020146B">
        <w:tab/>
        <w:t>AER analysis.</w:t>
      </w:r>
    </w:p>
    <w:p w:rsidR="0020146B" w:rsidRPr="0020146B" w:rsidRDefault="0020146B" w:rsidP="0020146B">
      <w:pPr>
        <w:pStyle w:val="AERtablesource"/>
      </w:pPr>
      <w:r w:rsidRPr="0020146B">
        <w:t xml:space="preserve">Note: </w:t>
      </w:r>
      <w:r w:rsidRPr="0020146B">
        <w:tab/>
        <w:t>Columns may not add to total due to rounding for presentation in table.</w:t>
      </w:r>
    </w:p>
    <w:p w:rsidR="0020146B" w:rsidRPr="0020146B" w:rsidRDefault="0020146B" w:rsidP="0020146B">
      <w:pPr>
        <w:pStyle w:val="HeadingBoldBlue"/>
      </w:pPr>
      <w:r w:rsidRPr="0020146B">
        <w:t xml:space="preserve">AER's assessment approach </w:t>
      </w:r>
    </w:p>
    <w:p w:rsidR="0020146B" w:rsidRPr="0020146B" w:rsidRDefault="0020146B" w:rsidP="0020146B">
      <w:r w:rsidRPr="0020146B">
        <w:t>Our standard approach to forecasting debt raising costs is based on the approach in a report from the Allen Consulting Group (ACG), commissioned by the ACCC in 2004.</w:t>
      </w:r>
      <w:r w:rsidRPr="0020146B">
        <w:rPr>
          <w:rStyle w:val="AERsuperscript"/>
        </w:rPr>
        <w:footnoteReference w:id="1797"/>
      </w:r>
      <w:r w:rsidRPr="0020146B">
        <w:t xml:space="preserve"> However, we relied on updated market data from 2008–13, as submitted in a recent report by PricewaterhouseCoopers (PwC) during the rate of return guideline process.</w:t>
      </w:r>
      <w:r w:rsidRPr="0020146B">
        <w:rPr>
          <w:rStyle w:val="AERsuperscript"/>
        </w:rPr>
        <w:footnoteReference w:id="1798"/>
      </w:r>
      <w:r w:rsidRPr="0020146B">
        <w:t xml:space="preserve"> The approach uses a five year window of up to date bond data to reflect current market conditions. Where PwC has updated the data or the method, we have compared it against our standard approach and we are broadly satisfied it is reasonable.</w:t>
      </w:r>
    </w:p>
    <w:p w:rsidR="0020146B" w:rsidRPr="0020146B" w:rsidRDefault="0020146B" w:rsidP="0020146B">
      <w:r w:rsidRPr="0020146B">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20146B" w:rsidRPr="0020146B" w:rsidRDefault="0020146B" w:rsidP="0020146B">
      <w:r w:rsidRPr="0020146B">
        <w:t>Our decision on the unit costs and components of APTPPL-RBP's benchmark rate of debt raising transaction costs is set out in</w:t>
      </w:r>
      <w:r w:rsidR="00BB5A25">
        <w:t xml:space="preserve"> Table 3-45</w:t>
      </w:r>
      <w:r w:rsidRPr="0020146B">
        <w:t>.</w:t>
      </w:r>
    </w:p>
    <w:p w:rsidR="0020146B" w:rsidRPr="0020146B" w:rsidRDefault="0020146B" w:rsidP="0020146B">
      <w:pPr>
        <w:pStyle w:val="Caption"/>
      </w:pPr>
      <w:r w:rsidRPr="0020146B">
        <w:t xml:space="preserve">Table </w:t>
      </w:r>
      <w:r w:rsidR="002C24D6">
        <w:fldChar w:fldCharType="begin"/>
      </w:r>
      <w:r w:rsidR="002C24D6">
        <w:instrText xml:space="preserve"> STYLEREF 1 \s </w:instrText>
      </w:r>
      <w:r w:rsidR="002C24D6">
        <w:fldChar w:fldCharType="separate"/>
      </w:r>
      <w:r w:rsidR="002C24D6">
        <w:rPr>
          <w:noProof/>
        </w:rPr>
        <w:t>3</w:t>
      </w:r>
      <w:r w:rsidR="002C24D6">
        <w:rPr>
          <w:noProof/>
        </w:rPr>
        <w:fldChar w:fldCharType="end"/>
      </w:r>
      <w:r w:rsidRPr="0020146B">
        <w:noBreakHyphen/>
      </w:r>
      <w:r w:rsidR="002C24D6">
        <w:fldChar w:fldCharType="begin"/>
      </w:r>
      <w:r w:rsidR="002C24D6">
        <w:instrText xml:space="preserve"> SEQ Table \* ARABIC \s 1 </w:instrText>
      </w:r>
      <w:r w:rsidR="002C24D6">
        <w:fldChar w:fldCharType="separate"/>
      </w:r>
      <w:r w:rsidR="002C24D6">
        <w:rPr>
          <w:noProof/>
        </w:rPr>
        <w:t>45</w:t>
      </w:r>
      <w:r w:rsidR="002C24D6">
        <w:rPr>
          <w:noProof/>
        </w:rPr>
        <w:fldChar w:fldCharType="end"/>
      </w:r>
      <w:r w:rsidRPr="0020146B">
        <w:tab/>
      </w:r>
      <w:r w:rsidRPr="0020146B">
        <w:tab/>
        <w:t>Benchmark debt raising costs (basis points per annum)</w:t>
      </w:r>
    </w:p>
    <w:tbl>
      <w:tblPr>
        <w:tblStyle w:val="AERtable-text0"/>
        <w:tblW w:w="0" w:type="auto"/>
        <w:tblLook w:val="04A0" w:firstRow="1" w:lastRow="0" w:firstColumn="1" w:lastColumn="0" w:noHBand="0" w:noVBand="1"/>
      </w:tblPr>
      <w:tblGrid>
        <w:gridCol w:w="2729"/>
        <w:gridCol w:w="2729"/>
        <w:gridCol w:w="2730"/>
      </w:tblGrid>
      <w:tr w:rsidR="0020146B" w:rsidRPr="00664BB2" w:rsidTr="00721978">
        <w:trPr>
          <w:cnfStyle w:val="100000000000" w:firstRow="1" w:lastRow="0" w:firstColumn="0" w:lastColumn="0" w:oddVBand="0" w:evenVBand="0" w:oddHBand="0" w:evenHBand="0" w:firstRowFirstColumn="0" w:firstRowLastColumn="0" w:lastRowFirstColumn="0" w:lastRowLastColumn="0"/>
          <w:tblHeader/>
        </w:trPr>
        <w:tc>
          <w:tcPr>
            <w:tcW w:w="2729" w:type="dxa"/>
          </w:tcPr>
          <w:p w:rsidR="0020146B" w:rsidRPr="0020146B" w:rsidRDefault="0020146B" w:rsidP="0020146B">
            <w:r w:rsidRPr="00664BB2">
              <w:t>Number of bonds</w:t>
            </w:r>
          </w:p>
        </w:tc>
        <w:tc>
          <w:tcPr>
            <w:tcW w:w="2729" w:type="dxa"/>
          </w:tcPr>
          <w:p w:rsidR="0020146B" w:rsidRPr="0020146B" w:rsidRDefault="0020146B" w:rsidP="0020146B">
            <w:r w:rsidRPr="00664BB2">
              <w:t>Value</w:t>
            </w:r>
          </w:p>
        </w:tc>
        <w:tc>
          <w:tcPr>
            <w:tcW w:w="2730" w:type="dxa"/>
            <w:vAlign w:val="top"/>
          </w:tcPr>
          <w:p w:rsidR="0020146B" w:rsidRPr="0020146B" w:rsidRDefault="0020146B" w:rsidP="0020146B">
            <w:r w:rsidRPr="00664BB2">
              <w:t>1 bond issued</w:t>
            </w:r>
          </w:p>
        </w:tc>
      </w:tr>
      <w:tr w:rsidR="0020146B" w:rsidRPr="00664BB2" w:rsidTr="00721978">
        <w:tc>
          <w:tcPr>
            <w:tcW w:w="2729" w:type="dxa"/>
          </w:tcPr>
          <w:p w:rsidR="0020146B" w:rsidRPr="0020146B" w:rsidRDefault="0020146B" w:rsidP="0020146B">
            <w:r w:rsidRPr="00664BB2">
              <w:t>Amount raised</w:t>
            </w:r>
          </w:p>
        </w:tc>
        <w:tc>
          <w:tcPr>
            <w:tcW w:w="2729" w:type="dxa"/>
          </w:tcPr>
          <w:p w:rsidR="0020146B" w:rsidRPr="00664BB2" w:rsidRDefault="0020146B" w:rsidP="0020146B"/>
        </w:tc>
        <w:tc>
          <w:tcPr>
            <w:tcW w:w="2730" w:type="dxa"/>
            <w:vAlign w:val="top"/>
          </w:tcPr>
          <w:p w:rsidR="0020146B" w:rsidRPr="0020146B" w:rsidRDefault="0020146B" w:rsidP="0020146B">
            <w:r>
              <w:t>$250</w:t>
            </w:r>
            <w:r w:rsidRPr="0020146B">
              <w:t>m</w:t>
            </w:r>
          </w:p>
        </w:tc>
      </w:tr>
      <w:tr w:rsidR="0020146B" w:rsidRPr="00664BB2" w:rsidTr="00721978">
        <w:trPr>
          <w:cnfStyle w:val="000000010000" w:firstRow="0" w:lastRow="0" w:firstColumn="0" w:lastColumn="0" w:oddVBand="0" w:evenVBand="0" w:oddHBand="0" w:evenHBand="1" w:firstRowFirstColumn="0" w:firstRowLastColumn="0" w:lastRowFirstColumn="0" w:lastRowLastColumn="0"/>
        </w:trPr>
        <w:tc>
          <w:tcPr>
            <w:tcW w:w="2729" w:type="dxa"/>
          </w:tcPr>
          <w:p w:rsidR="0020146B" w:rsidRPr="0020146B" w:rsidRDefault="0020146B" w:rsidP="0020146B">
            <w:r w:rsidRPr="00664BB2">
              <w:t>Arrangement fee</w:t>
            </w:r>
          </w:p>
        </w:tc>
        <w:tc>
          <w:tcPr>
            <w:tcW w:w="2729" w:type="dxa"/>
          </w:tcPr>
          <w:p w:rsidR="0020146B" w:rsidRPr="00664BB2" w:rsidRDefault="0020146B" w:rsidP="0020146B"/>
        </w:tc>
        <w:tc>
          <w:tcPr>
            <w:tcW w:w="2730" w:type="dxa"/>
            <w:vAlign w:val="top"/>
          </w:tcPr>
          <w:p w:rsidR="0020146B" w:rsidRPr="0020146B" w:rsidRDefault="0020146B" w:rsidP="0020146B">
            <w:r w:rsidRPr="00664BB2">
              <w:t>7.0</w:t>
            </w:r>
            <w:r w:rsidRPr="0020146B">
              <w:t>2</w:t>
            </w:r>
          </w:p>
        </w:tc>
      </w:tr>
      <w:tr w:rsidR="0020146B" w:rsidRPr="00664BB2" w:rsidTr="00721978">
        <w:tc>
          <w:tcPr>
            <w:tcW w:w="2729" w:type="dxa"/>
          </w:tcPr>
          <w:p w:rsidR="0020146B" w:rsidRPr="0020146B" w:rsidRDefault="0020146B" w:rsidP="0020146B">
            <w:r w:rsidRPr="00664BB2">
              <w:t>Bond Master Program (per program)</w:t>
            </w:r>
          </w:p>
        </w:tc>
        <w:tc>
          <w:tcPr>
            <w:tcW w:w="2729" w:type="dxa"/>
            <w:vAlign w:val="top"/>
          </w:tcPr>
          <w:p w:rsidR="0020146B" w:rsidRPr="0020146B" w:rsidRDefault="0020146B" w:rsidP="0020146B">
            <w:r w:rsidRPr="00664BB2">
              <w:t>$56,250</w:t>
            </w:r>
          </w:p>
        </w:tc>
        <w:tc>
          <w:tcPr>
            <w:tcW w:w="2730" w:type="dxa"/>
            <w:vAlign w:val="top"/>
          </w:tcPr>
          <w:p w:rsidR="0020146B" w:rsidRPr="0020146B" w:rsidRDefault="0020146B" w:rsidP="0020146B">
            <w:r w:rsidRPr="00664BB2">
              <w:t>0.30</w:t>
            </w:r>
          </w:p>
        </w:tc>
      </w:tr>
      <w:tr w:rsidR="0020146B" w:rsidRPr="00664BB2" w:rsidTr="00721978">
        <w:trPr>
          <w:cnfStyle w:val="000000010000" w:firstRow="0" w:lastRow="0" w:firstColumn="0" w:lastColumn="0" w:oddVBand="0" w:evenVBand="0" w:oddHBand="0" w:evenHBand="1" w:firstRowFirstColumn="0" w:firstRowLastColumn="0" w:lastRowFirstColumn="0" w:lastRowLastColumn="0"/>
        </w:trPr>
        <w:tc>
          <w:tcPr>
            <w:tcW w:w="2729" w:type="dxa"/>
          </w:tcPr>
          <w:p w:rsidR="0020146B" w:rsidRPr="0020146B" w:rsidRDefault="0020146B" w:rsidP="0020146B">
            <w:r w:rsidRPr="00664BB2">
              <w:t>Issuer's legal counsel</w:t>
            </w:r>
          </w:p>
        </w:tc>
        <w:tc>
          <w:tcPr>
            <w:tcW w:w="2729" w:type="dxa"/>
            <w:vAlign w:val="top"/>
          </w:tcPr>
          <w:p w:rsidR="0020146B" w:rsidRPr="0020146B" w:rsidRDefault="0020146B" w:rsidP="0020146B">
            <w:r w:rsidRPr="00664BB2">
              <w:t>$15,625</w:t>
            </w:r>
          </w:p>
        </w:tc>
        <w:tc>
          <w:tcPr>
            <w:tcW w:w="2730" w:type="dxa"/>
            <w:vAlign w:val="top"/>
          </w:tcPr>
          <w:p w:rsidR="0020146B" w:rsidRPr="0020146B" w:rsidRDefault="0020146B" w:rsidP="0020146B">
            <w:r w:rsidRPr="00664BB2">
              <w:t>0.08</w:t>
            </w:r>
          </w:p>
        </w:tc>
      </w:tr>
      <w:tr w:rsidR="0020146B" w:rsidRPr="00664BB2" w:rsidTr="00721978">
        <w:tc>
          <w:tcPr>
            <w:tcW w:w="2729" w:type="dxa"/>
          </w:tcPr>
          <w:p w:rsidR="0020146B" w:rsidRPr="0020146B" w:rsidRDefault="0020146B" w:rsidP="0020146B">
            <w:r w:rsidRPr="00664BB2">
              <w:t>Company credit rating</w:t>
            </w:r>
          </w:p>
        </w:tc>
        <w:tc>
          <w:tcPr>
            <w:tcW w:w="2729" w:type="dxa"/>
            <w:vAlign w:val="top"/>
          </w:tcPr>
          <w:p w:rsidR="0020146B" w:rsidRPr="0020146B" w:rsidRDefault="0020146B" w:rsidP="0020146B">
            <w:r w:rsidRPr="00664BB2">
              <w:t>$77,500</w:t>
            </w:r>
          </w:p>
        </w:tc>
        <w:tc>
          <w:tcPr>
            <w:tcW w:w="2730" w:type="dxa"/>
            <w:vAlign w:val="top"/>
          </w:tcPr>
          <w:p w:rsidR="0020146B" w:rsidRPr="0020146B" w:rsidRDefault="0020146B" w:rsidP="0020146B">
            <w:r w:rsidRPr="00664BB2">
              <w:t>0.42</w:t>
            </w:r>
          </w:p>
        </w:tc>
      </w:tr>
      <w:tr w:rsidR="0020146B" w:rsidRPr="00664BB2" w:rsidTr="00721978">
        <w:trPr>
          <w:cnfStyle w:val="000000010000" w:firstRow="0" w:lastRow="0" w:firstColumn="0" w:lastColumn="0" w:oddVBand="0" w:evenVBand="0" w:oddHBand="0" w:evenHBand="1" w:firstRowFirstColumn="0" w:firstRowLastColumn="0" w:lastRowFirstColumn="0" w:lastRowLastColumn="0"/>
        </w:trPr>
        <w:tc>
          <w:tcPr>
            <w:tcW w:w="2729" w:type="dxa"/>
          </w:tcPr>
          <w:p w:rsidR="0020146B" w:rsidRPr="0020146B" w:rsidRDefault="0020146B" w:rsidP="0020146B">
            <w:r w:rsidRPr="00664BB2">
              <w:t>Annual surveillance fee</w:t>
            </w:r>
          </w:p>
        </w:tc>
        <w:tc>
          <w:tcPr>
            <w:tcW w:w="2729" w:type="dxa"/>
            <w:vAlign w:val="top"/>
          </w:tcPr>
          <w:p w:rsidR="0020146B" w:rsidRPr="0020146B" w:rsidRDefault="0020146B" w:rsidP="0020146B">
            <w:r w:rsidRPr="00664BB2">
              <w:t>$35,500</w:t>
            </w:r>
          </w:p>
        </w:tc>
        <w:tc>
          <w:tcPr>
            <w:tcW w:w="2730" w:type="dxa"/>
            <w:vAlign w:val="top"/>
          </w:tcPr>
          <w:p w:rsidR="0020146B" w:rsidRPr="0020146B" w:rsidRDefault="0020146B" w:rsidP="0020146B">
            <w:r w:rsidRPr="00664BB2">
              <w:t>0.14</w:t>
            </w:r>
          </w:p>
        </w:tc>
      </w:tr>
      <w:tr w:rsidR="0020146B" w:rsidRPr="00664BB2" w:rsidTr="00721978">
        <w:tc>
          <w:tcPr>
            <w:tcW w:w="2729" w:type="dxa"/>
          </w:tcPr>
          <w:p w:rsidR="0020146B" w:rsidRPr="0020146B" w:rsidRDefault="0020146B" w:rsidP="0020146B">
            <w:r w:rsidRPr="00664BB2">
              <w:t>Up-front issuance fee</w:t>
            </w:r>
          </w:p>
        </w:tc>
        <w:tc>
          <w:tcPr>
            <w:tcW w:w="2729" w:type="dxa"/>
            <w:vAlign w:val="top"/>
          </w:tcPr>
          <w:p w:rsidR="0020146B" w:rsidRPr="0020146B" w:rsidRDefault="0020146B" w:rsidP="0020146B">
            <w:r w:rsidRPr="00664BB2">
              <w:t>5.20bp</w:t>
            </w:r>
          </w:p>
        </w:tc>
        <w:tc>
          <w:tcPr>
            <w:tcW w:w="2730" w:type="dxa"/>
            <w:vAlign w:val="top"/>
          </w:tcPr>
          <w:p w:rsidR="0020146B" w:rsidRPr="0020146B" w:rsidRDefault="0020146B" w:rsidP="0020146B">
            <w:r w:rsidRPr="00664BB2">
              <w:t>0.70</w:t>
            </w:r>
          </w:p>
        </w:tc>
      </w:tr>
      <w:tr w:rsidR="0020146B" w:rsidRPr="00664BB2" w:rsidTr="00721978">
        <w:trPr>
          <w:cnfStyle w:val="000000010000" w:firstRow="0" w:lastRow="0" w:firstColumn="0" w:lastColumn="0" w:oddVBand="0" w:evenVBand="0" w:oddHBand="0" w:evenHBand="1" w:firstRowFirstColumn="0" w:firstRowLastColumn="0" w:lastRowFirstColumn="0" w:lastRowLastColumn="0"/>
        </w:trPr>
        <w:tc>
          <w:tcPr>
            <w:tcW w:w="2729" w:type="dxa"/>
          </w:tcPr>
          <w:p w:rsidR="0020146B" w:rsidRPr="0020146B" w:rsidRDefault="0020146B" w:rsidP="0020146B">
            <w:r w:rsidRPr="00664BB2">
              <w:t xml:space="preserve">Registration </w:t>
            </w:r>
            <w:r w:rsidRPr="0020146B">
              <w:t>up-front (per program)</w:t>
            </w:r>
          </w:p>
        </w:tc>
        <w:tc>
          <w:tcPr>
            <w:tcW w:w="2729" w:type="dxa"/>
            <w:vAlign w:val="top"/>
          </w:tcPr>
          <w:p w:rsidR="0020146B" w:rsidRPr="0020146B" w:rsidRDefault="0020146B" w:rsidP="0020146B">
            <w:r w:rsidRPr="00664BB2">
              <w:t>$20,850</w:t>
            </w:r>
          </w:p>
        </w:tc>
        <w:tc>
          <w:tcPr>
            <w:tcW w:w="2730" w:type="dxa"/>
            <w:vAlign w:val="top"/>
          </w:tcPr>
          <w:p w:rsidR="0020146B" w:rsidRPr="0020146B" w:rsidRDefault="0020146B" w:rsidP="0020146B">
            <w:r w:rsidRPr="00664BB2">
              <w:t>0.11</w:t>
            </w:r>
          </w:p>
        </w:tc>
      </w:tr>
      <w:tr w:rsidR="0020146B" w:rsidRPr="00664BB2" w:rsidTr="00721978">
        <w:tc>
          <w:tcPr>
            <w:tcW w:w="2729" w:type="dxa"/>
          </w:tcPr>
          <w:p w:rsidR="0020146B" w:rsidRPr="0020146B" w:rsidRDefault="0020146B" w:rsidP="0020146B">
            <w:r w:rsidRPr="00664BB2">
              <w:t>Registration- annual</w:t>
            </w:r>
          </w:p>
        </w:tc>
        <w:tc>
          <w:tcPr>
            <w:tcW w:w="2729" w:type="dxa"/>
            <w:vAlign w:val="top"/>
          </w:tcPr>
          <w:p w:rsidR="0020146B" w:rsidRPr="0020146B" w:rsidRDefault="0020146B" w:rsidP="0020146B">
            <w:r w:rsidRPr="00664BB2">
              <w:t>$7,825</w:t>
            </w:r>
          </w:p>
        </w:tc>
        <w:tc>
          <w:tcPr>
            <w:tcW w:w="2730" w:type="dxa"/>
            <w:vAlign w:val="top"/>
          </w:tcPr>
          <w:p w:rsidR="0020146B" w:rsidRPr="0020146B" w:rsidRDefault="0020146B" w:rsidP="0020146B">
            <w:r w:rsidRPr="00664BB2">
              <w:t>0.31</w:t>
            </w:r>
          </w:p>
        </w:tc>
      </w:tr>
      <w:tr w:rsidR="0020146B" w:rsidRPr="00664BB2" w:rsidTr="00721978">
        <w:trPr>
          <w:cnfStyle w:val="000000010000" w:firstRow="0" w:lastRow="0" w:firstColumn="0" w:lastColumn="0" w:oddVBand="0" w:evenVBand="0" w:oddHBand="0" w:evenHBand="1" w:firstRowFirstColumn="0" w:firstRowLastColumn="0" w:lastRowFirstColumn="0" w:lastRowLastColumn="0"/>
        </w:trPr>
        <w:tc>
          <w:tcPr>
            <w:tcW w:w="2729" w:type="dxa"/>
          </w:tcPr>
          <w:p w:rsidR="0020146B" w:rsidRPr="0020146B" w:rsidRDefault="0020146B" w:rsidP="0020146B">
            <w:r w:rsidRPr="00664BB2">
              <w:t>Agents out-of-pockets</w:t>
            </w:r>
          </w:p>
        </w:tc>
        <w:tc>
          <w:tcPr>
            <w:tcW w:w="2729" w:type="dxa"/>
            <w:vAlign w:val="top"/>
          </w:tcPr>
          <w:p w:rsidR="0020146B" w:rsidRPr="0020146B" w:rsidRDefault="0020146B" w:rsidP="0020146B">
            <w:r w:rsidRPr="00664BB2">
              <w:t>$3,000</w:t>
            </w:r>
          </w:p>
        </w:tc>
        <w:tc>
          <w:tcPr>
            <w:tcW w:w="2730" w:type="dxa"/>
            <w:vAlign w:val="top"/>
          </w:tcPr>
          <w:p w:rsidR="0020146B" w:rsidRPr="0020146B" w:rsidRDefault="0020146B" w:rsidP="0020146B">
            <w:r w:rsidRPr="00664BB2">
              <w:t>0.02</w:t>
            </w:r>
          </w:p>
        </w:tc>
      </w:tr>
      <w:tr w:rsidR="0020146B" w:rsidRPr="00664BB2" w:rsidTr="00721978">
        <w:tc>
          <w:tcPr>
            <w:tcW w:w="2729" w:type="dxa"/>
          </w:tcPr>
          <w:p w:rsidR="0020146B" w:rsidRPr="0020146B" w:rsidRDefault="0020146B" w:rsidP="0020146B">
            <w:r w:rsidRPr="00664BB2">
              <w:t>Total (basis points per annum)</w:t>
            </w:r>
          </w:p>
        </w:tc>
        <w:tc>
          <w:tcPr>
            <w:tcW w:w="2729" w:type="dxa"/>
            <w:vAlign w:val="top"/>
          </w:tcPr>
          <w:p w:rsidR="0020146B" w:rsidRPr="00664BB2" w:rsidRDefault="0020146B" w:rsidP="0020146B"/>
        </w:tc>
        <w:tc>
          <w:tcPr>
            <w:tcW w:w="2730" w:type="dxa"/>
            <w:vAlign w:val="top"/>
          </w:tcPr>
          <w:p w:rsidR="0020146B" w:rsidRPr="0020146B" w:rsidRDefault="0020146B" w:rsidP="0020146B">
            <w:r w:rsidRPr="00664BB2">
              <w:t>9.1</w:t>
            </w:r>
          </w:p>
        </w:tc>
      </w:tr>
    </w:tbl>
    <w:p w:rsidR="0020146B" w:rsidRPr="0020146B" w:rsidRDefault="0020146B" w:rsidP="0020146B"/>
    <w:p w:rsidR="0020146B" w:rsidRDefault="0020146B" w:rsidP="0020146B"/>
    <w:p w:rsidR="00F7725E" w:rsidRDefault="00F7725E" w:rsidP="00315F1C">
      <w:pPr>
        <w:pStyle w:val="Heading7"/>
      </w:pPr>
      <w:bookmarkStart w:id="599" w:name="_Ref485735133"/>
      <w:bookmarkStart w:id="600" w:name="_Toc487037263"/>
      <w:r>
        <w:t>Averaging periods - confidential appendix</w:t>
      </w:r>
      <w:bookmarkEnd w:id="595"/>
      <w:bookmarkEnd w:id="596"/>
      <w:bookmarkEnd w:id="599"/>
      <w:bookmarkEnd w:id="600"/>
    </w:p>
    <w:p w:rsidR="005661F5" w:rsidRPr="005661F5" w:rsidRDefault="005661F5" w:rsidP="005661F5"/>
    <w:p w:rsidR="00F7725E" w:rsidRDefault="00F7725E" w:rsidP="00EC7203">
      <w:pPr>
        <w:rPr>
          <w:rStyle w:val="AERbody"/>
        </w:rPr>
      </w:pPr>
    </w:p>
    <w:sectPr w:rsidR="00F7725E" w:rsidSect="00EE50D1">
      <w:footerReference w:type="even" r:id="rId48"/>
      <w:footerReference w:type="default" r:id="rId49"/>
      <w:footerReference w:type="first" r:id="rId50"/>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671" w:rsidRPr="00290C63" w:rsidRDefault="00484671" w:rsidP="00290C63">
      <w:r>
        <w:separator/>
      </w:r>
    </w:p>
    <w:p w:rsidR="00484671" w:rsidRDefault="00484671"/>
  </w:endnote>
  <w:endnote w:type="continuationSeparator" w:id="0">
    <w:p w:rsidR="00484671" w:rsidRPr="00290C63" w:rsidRDefault="00484671" w:rsidP="00290C63">
      <w:r>
        <w:continuationSeparator/>
      </w:r>
    </w:p>
    <w:p w:rsidR="00484671" w:rsidRDefault="00484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Pr="00290C63" w:rsidRDefault="00484671"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484671" w:rsidRDefault="00484671"/>
  <w:p w:rsidR="00484671" w:rsidRDefault="00484671"/>
  <w:p w:rsidR="00484671" w:rsidRDefault="00484671"/>
  <w:p w:rsidR="00484671" w:rsidRDefault="00484671"/>
  <w:p w:rsidR="00484671" w:rsidRDefault="00484671"/>
  <w:p w:rsidR="00484671" w:rsidRDefault="00484671"/>
  <w:p w:rsidR="00484671" w:rsidRDefault="004846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56972"/>
      <w:docPartObj>
        <w:docPartGallery w:val="Page Numbers (Bottom of Page)"/>
        <w:docPartUnique/>
      </w:docPartObj>
    </w:sdtPr>
    <w:sdtEndPr>
      <w:rPr>
        <w:noProof/>
        <w:szCs w:val="16"/>
      </w:rPr>
    </w:sdtEndPr>
    <w:sdtContent>
      <w:p w:rsidR="00484671" w:rsidRPr="009B6F84" w:rsidRDefault="00484671">
        <w:pPr>
          <w:pStyle w:val="Footer"/>
          <w:rPr>
            <w:sz w:val="20"/>
          </w:rPr>
        </w:pPr>
        <w:r>
          <w:fldChar w:fldCharType="begin"/>
        </w:r>
        <w:r>
          <w:instrText xml:space="preserve"> PAGE   \* MERGEFORMAT </w:instrText>
        </w:r>
        <w:r>
          <w:fldChar w:fldCharType="separate"/>
        </w:r>
        <w:r w:rsidR="002C24D6">
          <w:rPr>
            <w:noProof/>
          </w:rPr>
          <w:t>3-0</w:t>
        </w:r>
        <w:r>
          <w:rPr>
            <w:noProof/>
          </w:rPr>
          <w:fldChar w:fldCharType="end"/>
        </w:r>
        <w:r>
          <w:rPr>
            <w:noProof/>
          </w:rPr>
          <w:t xml:space="preserve">  </w:t>
        </w:r>
        <w:r>
          <w:tab/>
        </w:r>
        <w:r w:rsidRPr="00CA52A2">
          <w:t xml:space="preserve">Attachment </w:t>
        </w:r>
        <w:r>
          <w:t xml:space="preserve">3 </w:t>
        </w:r>
        <w:r w:rsidRPr="00CA52A2">
          <w:t xml:space="preserve">– </w:t>
        </w:r>
        <w:r>
          <w:t xml:space="preserve">Rate of return </w:t>
        </w:r>
        <w:r w:rsidRPr="00CA52A2">
          <w:t xml:space="preserve">| </w:t>
        </w:r>
        <w:r>
          <w:t>Draft decision: Roma to Brisbane Gas Pipeline Access Arrangement 2017-22</w:t>
        </w:r>
      </w:p>
    </w:sdtContent>
  </w:sdt>
  <w:p w:rsidR="00484671" w:rsidRDefault="004846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Pr="00290C63" w:rsidRDefault="00484671"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484671" w:rsidRDefault="00484671">
    <w:pPr>
      <w:pStyle w:val="Footer"/>
    </w:pPr>
  </w:p>
  <w:p w:rsidR="00484671" w:rsidRDefault="00484671"/>
  <w:p w:rsidR="00484671" w:rsidRDefault="00484671"/>
  <w:p w:rsidR="00484671" w:rsidRDefault="00484671"/>
  <w:p w:rsidR="00484671" w:rsidRDefault="00484671"/>
  <w:p w:rsidR="00484671" w:rsidRDefault="00484671"/>
  <w:p w:rsidR="00484671" w:rsidRDefault="00484671"/>
  <w:p w:rsidR="00484671" w:rsidRDefault="0048467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Pr="00290C63" w:rsidRDefault="00484671"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Pr>
        <w:rStyle w:val="PageNumber"/>
        <w:noProof/>
      </w:rPr>
      <w:t>3-415</w:t>
    </w:r>
    <w:r w:rsidRPr="00290C63">
      <w:rPr>
        <w:rStyle w:val="PageNumber"/>
      </w:rPr>
      <w:fldChar w:fldCharType="end"/>
    </w:r>
    <w:r w:rsidRPr="00290C63">
      <w:rPr>
        <w:rStyle w:val="PageNumber"/>
      </w:rPr>
      <w:tab/>
      <w:t>Xxx report—month/year</w:t>
    </w:r>
  </w:p>
  <w:p w:rsidR="00484671" w:rsidRDefault="00484671"/>
  <w:p w:rsidR="00484671" w:rsidRDefault="00484671"/>
  <w:p w:rsidR="00484671" w:rsidRDefault="00484671"/>
  <w:p w:rsidR="00484671" w:rsidRDefault="00484671"/>
  <w:p w:rsidR="00484671" w:rsidRDefault="00484671"/>
  <w:p w:rsidR="00484671" w:rsidRDefault="00484671"/>
  <w:p w:rsidR="00484671" w:rsidRDefault="0048467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896070"/>
      <w:docPartObj>
        <w:docPartGallery w:val="Page Numbers (Bottom of Page)"/>
        <w:docPartUnique/>
      </w:docPartObj>
    </w:sdtPr>
    <w:sdtEndPr>
      <w:rPr>
        <w:noProof/>
      </w:rPr>
    </w:sdtEndPr>
    <w:sdtContent>
      <w:p w:rsidR="00484671" w:rsidRDefault="00484671" w:rsidP="00122F86">
        <w:pPr>
          <w:pStyle w:val="Footer"/>
        </w:pPr>
        <w:r>
          <w:fldChar w:fldCharType="begin"/>
        </w:r>
        <w:r>
          <w:instrText xml:space="preserve"> PAGE   \* MERGEFORMAT </w:instrText>
        </w:r>
        <w:r>
          <w:fldChar w:fldCharType="separate"/>
        </w:r>
        <w:r w:rsidR="002C24D6">
          <w:rPr>
            <w:noProof/>
          </w:rPr>
          <w:t>3-269</w:t>
        </w:r>
        <w:r>
          <w:rPr>
            <w:noProof/>
          </w:rPr>
          <w:fldChar w:fldCharType="end"/>
        </w:r>
        <w:r>
          <w:rPr>
            <w:noProof/>
          </w:rPr>
          <w:t xml:space="preserve">          </w:t>
        </w:r>
        <w:r w:rsidRPr="00CA52A2">
          <w:t xml:space="preserve">Attachment </w:t>
        </w:r>
        <w:r>
          <w:t xml:space="preserve">3 </w:t>
        </w:r>
        <w:r w:rsidRPr="00CA52A2">
          <w:t xml:space="preserve">– </w:t>
        </w:r>
        <w:r>
          <w:t xml:space="preserve">Rate of return </w:t>
        </w:r>
        <w:r w:rsidRPr="00CA52A2">
          <w:t xml:space="preserve">| </w:t>
        </w:r>
        <w:r>
          <w:t>Draft decision: Roma to Brisbane Gas Pipeline Access Arrangement 2017-22</w:t>
        </w:r>
      </w:p>
    </w:sdtContent>
  </w:sdt>
  <w:p w:rsidR="00484671" w:rsidRDefault="004846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Pr="00290C63" w:rsidRDefault="00484671"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3-415</w:t>
    </w:r>
    <w:r w:rsidRPr="00290C63">
      <w:fldChar w:fldCharType="end"/>
    </w:r>
  </w:p>
  <w:p w:rsidR="00484671" w:rsidRDefault="00484671">
    <w:pPr>
      <w:pStyle w:val="Footer"/>
    </w:pPr>
  </w:p>
  <w:p w:rsidR="00484671" w:rsidRDefault="00484671"/>
  <w:p w:rsidR="00484671" w:rsidRDefault="00484671"/>
  <w:p w:rsidR="00484671" w:rsidRDefault="00484671"/>
  <w:p w:rsidR="00484671" w:rsidRDefault="00484671"/>
  <w:p w:rsidR="00484671" w:rsidRDefault="00484671"/>
  <w:p w:rsidR="00484671" w:rsidRDefault="00484671"/>
  <w:p w:rsidR="00484671" w:rsidRDefault="004846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671" w:rsidRPr="00290C63" w:rsidRDefault="00484671" w:rsidP="00290C63">
      <w:r>
        <w:separator/>
      </w:r>
    </w:p>
    <w:p w:rsidR="00484671" w:rsidRDefault="00484671"/>
  </w:footnote>
  <w:footnote w:type="continuationSeparator" w:id="0">
    <w:p w:rsidR="00484671" w:rsidRPr="00290C63" w:rsidRDefault="00484671" w:rsidP="00290C63">
      <w:r>
        <w:continuationSeparator/>
      </w:r>
    </w:p>
    <w:p w:rsidR="00484671" w:rsidRDefault="00484671"/>
  </w:footnote>
  <w:footnote w:id="1">
    <w:p w:rsidR="00484671" w:rsidRDefault="00484671" w:rsidP="00351675">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484671" w:rsidRDefault="00484671" w:rsidP="00A4740A">
      <w:pPr>
        <w:pStyle w:val="FootnoteText"/>
      </w:pPr>
      <w:r>
        <w:rPr>
          <w:rStyle w:val="FootnoteReference"/>
        </w:rPr>
        <w:footnoteRef/>
      </w:r>
      <w:r>
        <w:t xml:space="preserve"> </w:t>
      </w:r>
      <w:r>
        <w:tab/>
        <w:t xml:space="preserve">APTPPL, </w:t>
      </w:r>
      <w:r w:rsidRPr="00F83DAA">
        <w:rPr>
          <w:rStyle w:val="AERtextitalic"/>
        </w:rPr>
        <w:t>2017 - 2022 RBP Access Arrangement revision submission</w:t>
      </w:r>
      <w:r>
        <w:t>, 16 September, 2016, p. 130, 157, 163, 171.</w:t>
      </w:r>
    </w:p>
  </w:footnote>
  <w:footnote w:id="3">
    <w:p w:rsidR="00484671" w:rsidRDefault="00484671" w:rsidP="00351675">
      <w:pPr>
        <w:pStyle w:val="FootnoteText"/>
      </w:pPr>
      <w:r>
        <w:rPr>
          <w:rStyle w:val="FootnoteReference"/>
        </w:rPr>
        <w:footnoteRef/>
      </w:r>
      <w:r>
        <w:t xml:space="preserve"> </w:t>
      </w:r>
      <w:r>
        <w:tab/>
        <w:t>NER, cl. 6.5.2(b); cl. 6A.6.2(b); NGR, cl. 87(2).</w:t>
      </w:r>
    </w:p>
  </w:footnote>
  <w:footnote w:id="4">
    <w:p w:rsidR="00484671" w:rsidRDefault="00484671" w:rsidP="00351675">
      <w:pPr>
        <w:pStyle w:val="FootnoteText"/>
      </w:pPr>
      <w:r>
        <w:rPr>
          <w:rStyle w:val="FootnoteReference"/>
        </w:rPr>
        <w:footnoteRef/>
      </w:r>
      <w:r>
        <w:t xml:space="preserve"> </w:t>
      </w:r>
      <w:r>
        <w:tab/>
        <w:t>NER, cl. 6.5.2(c); cl. 6A.6.2(c); NGR, cl. 87(3).</w:t>
      </w:r>
    </w:p>
  </w:footnote>
  <w:footnote w:id="5">
    <w:p w:rsidR="00484671" w:rsidRDefault="00484671" w:rsidP="00351675">
      <w:pPr>
        <w:pStyle w:val="FootnoteText"/>
      </w:pPr>
      <w:r>
        <w:rPr>
          <w:rStyle w:val="FootnoteReference"/>
        </w:rPr>
        <w:footnoteRef/>
      </w:r>
      <w:r>
        <w:t xml:space="preserve"> </w:t>
      </w:r>
      <w:r>
        <w:tab/>
        <w:t>NER, cl. 6.5.2(d)(1) and (2); cl. 6A.6.2(d)(1) and (2); NGR, cl. 87(4).</w:t>
      </w:r>
    </w:p>
  </w:footnote>
  <w:footnote w:id="6">
    <w:p w:rsidR="00484671" w:rsidRDefault="00484671" w:rsidP="00351675">
      <w:pPr>
        <w:pStyle w:val="FootnoteText"/>
      </w:pPr>
      <w:r>
        <w:rPr>
          <w:rStyle w:val="FootnoteReference"/>
        </w:rPr>
        <w:footnoteRef/>
      </w:r>
      <w:r>
        <w:t xml:space="preserve"> </w:t>
      </w:r>
      <w:r>
        <w:tab/>
        <w:t>NER, cl. 6.5.2(b); NER, cl. 6A.6.2(b); NGR, r. 87(2).</w:t>
      </w:r>
    </w:p>
  </w:footnote>
  <w:footnote w:id="7">
    <w:p w:rsidR="00484671" w:rsidRDefault="00484671" w:rsidP="00351675">
      <w:pPr>
        <w:pStyle w:val="FootnoteText"/>
      </w:pPr>
      <w:r>
        <w:rPr>
          <w:rStyle w:val="FootnoteReference"/>
        </w:rPr>
        <w:footnoteRef/>
      </w:r>
      <w:r>
        <w:t xml:space="preserve"> </w:t>
      </w:r>
      <w:r>
        <w:tab/>
        <w:t>NEL, s.16; NGL, s. 28.</w:t>
      </w:r>
    </w:p>
  </w:footnote>
  <w:footnote w:id="8">
    <w:p w:rsidR="00484671" w:rsidRDefault="00484671" w:rsidP="00351675">
      <w:pPr>
        <w:pStyle w:val="FootnoteText"/>
      </w:pPr>
      <w:r>
        <w:rPr>
          <w:rStyle w:val="FootnoteReference"/>
        </w:rPr>
        <w:footnoteRef/>
      </w:r>
      <w:r>
        <w:t xml:space="preserve"> </w:t>
      </w:r>
      <w:r>
        <w:tab/>
        <w:t xml:space="preserve"> APTPPL, </w:t>
      </w:r>
      <w:r w:rsidRPr="00F83DAA">
        <w:rPr>
          <w:rStyle w:val="AERtextitalic"/>
        </w:rPr>
        <w:t>2017 - 2022 RBP Access Arrangement revision submission</w:t>
      </w:r>
      <w:r>
        <w:t>, 16 September, 2016, p. 130, 157, 163, 171.</w:t>
      </w:r>
    </w:p>
  </w:footnote>
  <w:footnote w:id="9">
    <w:p w:rsidR="00484671" w:rsidRDefault="00484671" w:rsidP="00351675">
      <w:pPr>
        <w:pStyle w:val="FootnoteText"/>
      </w:pPr>
      <w:r>
        <w:rPr>
          <w:rStyle w:val="FootnoteReference"/>
        </w:rPr>
        <w:footnoteRef/>
      </w:r>
      <w:r>
        <w:t xml:space="preserve"> </w:t>
      </w:r>
      <w:r>
        <w:tab/>
        <w:t xml:space="preserve">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April 2017   Also see our most recent decisions on SA Power Networks, Ergon Energy and Energex.</w:t>
      </w:r>
    </w:p>
  </w:footnote>
  <w:footnote w:id="10">
    <w:p w:rsidR="00484671" w:rsidRDefault="00484671" w:rsidP="0035167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484671" w:rsidRDefault="00484671" w:rsidP="0035167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484671" w:rsidRDefault="00484671" w:rsidP="00351675">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w:t>
      </w:r>
      <w:r w:rsidRPr="00DA4833">
        <w:t xml:space="preserve"> </w:t>
      </w:r>
      <w:r>
        <w:t xml:space="preserve">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w:t>
      </w:r>
      <w:r w:rsidRPr="00DA4833">
        <w:t xml:space="preserve"> </w:t>
      </w:r>
      <w:r>
        <w:t xml:space="preserve">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xml:space="preserve">, April 2017  </w:t>
      </w:r>
    </w:p>
  </w:footnote>
  <w:footnote w:id="13">
    <w:p w:rsidR="00484671" w:rsidRDefault="00484671" w:rsidP="00351675">
      <w:pPr>
        <w:pStyle w:val="FootnoteText"/>
      </w:pPr>
      <w:r>
        <w:rPr>
          <w:rStyle w:val="FootnoteReference"/>
        </w:rPr>
        <w:footnoteRef/>
      </w:r>
      <w:r>
        <w:t xml:space="preserve">     This draft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must be determined in future decisions that relate to that period.</w:t>
      </w:r>
    </w:p>
  </w:footnote>
  <w:footnote w:id="14">
    <w:p w:rsidR="00484671" w:rsidRDefault="00484671" w:rsidP="00351675">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5">
    <w:p w:rsidR="00484671" w:rsidRDefault="00484671" w:rsidP="00351675">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6">
    <w:p w:rsidR="00484671" w:rsidRDefault="00484671" w:rsidP="0035167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7">
    <w:p w:rsidR="00484671" w:rsidRDefault="00484671">
      <w:pPr>
        <w:pStyle w:val="FootnoteText"/>
      </w:pPr>
      <w:r>
        <w:rPr>
          <w:rStyle w:val="FootnoteReference"/>
        </w:rPr>
        <w:footnoteRef/>
      </w:r>
      <w:r>
        <w:t xml:space="preserve"> </w:t>
      </w:r>
      <w:r>
        <w:tab/>
        <w:t xml:space="preserve">APTPPL, </w:t>
      </w:r>
      <w:r w:rsidRPr="00F83DAA">
        <w:rPr>
          <w:rStyle w:val="AERtextitalic"/>
        </w:rPr>
        <w:t>2017 - 2022 RBP Access Arrangement revision submission</w:t>
      </w:r>
      <w:r>
        <w:t>, 16 September, 2016, p. 130, 133, 157, 163, 171.</w:t>
      </w:r>
    </w:p>
  </w:footnote>
  <w:footnote w:id="18">
    <w:p w:rsidR="00484671" w:rsidRDefault="00484671">
      <w:pPr>
        <w:pStyle w:val="FootnoteText"/>
      </w:pPr>
      <w:r>
        <w:rPr>
          <w:rStyle w:val="FootnoteReference"/>
        </w:rPr>
        <w:footnoteRef/>
      </w:r>
      <w:r>
        <w:t xml:space="preserve"> </w:t>
      </w:r>
      <w:r>
        <w:tab/>
        <w:t xml:space="preserve">APTPPL, </w:t>
      </w:r>
      <w:r w:rsidRPr="00F83DAA">
        <w:rPr>
          <w:rStyle w:val="AERtextitalic"/>
        </w:rPr>
        <w:t>2017 - 2022 RBP Access Arrangement revision submission</w:t>
      </w:r>
      <w:r>
        <w:t>, 16 September, 2016, p. 130, 133, 157, 163, 171.</w:t>
      </w:r>
    </w:p>
  </w:footnote>
  <w:footnote w:id="19">
    <w:p w:rsidR="00484671" w:rsidRDefault="00484671">
      <w:pPr>
        <w:pStyle w:val="FootnoteText"/>
      </w:pPr>
      <w:r>
        <w:rPr>
          <w:rStyle w:val="FootnoteReference"/>
        </w:rPr>
        <w:footnoteRef/>
      </w:r>
      <w:r>
        <w:t xml:space="preserve"> </w:t>
      </w:r>
      <w:r>
        <w:tab/>
        <w:t xml:space="preserve">APTPPL, </w:t>
      </w:r>
      <w:r w:rsidRPr="00F83DAA">
        <w:rPr>
          <w:rStyle w:val="AERtextitalic"/>
        </w:rPr>
        <w:t>2017 - 2022 RBP Access Arrangement revision submission</w:t>
      </w:r>
      <w:r>
        <w:t>, 16 September, 2016, p. 132, 134, 136, 161.</w:t>
      </w:r>
    </w:p>
  </w:footnote>
  <w:footnote w:id="20">
    <w:p w:rsidR="00484671" w:rsidRDefault="00484671">
      <w:pPr>
        <w:pStyle w:val="FootnoteText"/>
      </w:pPr>
      <w:r>
        <w:rPr>
          <w:rStyle w:val="FootnoteReference"/>
        </w:rPr>
        <w:footnoteRef/>
      </w:r>
      <w:r>
        <w:t xml:space="preserve"> </w:t>
      </w:r>
      <w:r>
        <w:tab/>
      </w:r>
      <w:r w:rsidRPr="0029130A">
        <w:t xml:space="preserve"> </w:t>
      </w:r>
      <w:r>
        <w:t xml:space="preserve">APTPPL, </w:t>
      </w:r>
      <w:r w:rsidRPr="00F83DAA">
        <w:rPr>
          <w:rStyle w:val="AERtextitalic"/>
        </w:rPr>
        <w:t>2017 - 2022 RBP Access Arrangement revision submission</w:t>
      </w:r>
      <w:r>
        <w:t>, 16 September, 2016, p. 160.</w:t>
      </w:r>
    </w:p>
  </w:footnote>
  <w:footnote w:id="21">
    <w:p w:rsidR="00484671" w:rsidRDefault="00484671">
      <w:pPr>
        <w:pStyle w:val="FootnoteText"/>
      </w:pPr>
      <w:r>
        <w:rPr>
          <w:rStyle w:val="FootnoteReference"/>
        </w:rPr>
        <w:footnoteRef/>
      </w:r>
      <w:r>
        <w:t xml:space="preserve"> </w:t>
      </w:r>
      <w:r>
        <w:tab/>
      </w:r>
      <w:r w:rsidRPr="003C0B51">
        <w:t xml:space="preserve">RBP, </w:t>
      </w:r>
      <w:r w:rsidRPr="0067629A">
        <w:rPr>
          <w:rStyle w:val="AERtextitalic"/>
        </w:rPr>
        <w:t>Access arrangement submission 2017-22</w:t>
      </w:r>
      <w:r w:rsidRPr="003C0B51">
        <w:t>, 16 September 2016, p.16</w:t>
      </w:r>
      <w:r>
        <w:t>0.</w:t>
      </w:r>
    </w:p>
  </w:footnote>
  <w:footnote w:id="22">
    <w:p w:rsidR="00484671" w:rsidRDefault="00484671" w:rsidP="00F90257">
      <w:pPr>
        <w:pStyle w:val="FootnoteText"/>
      </w:pPr>
      <w:r>
        <w:rPr>
          <w:rStyle w:val="FootnoteReference"/>
        </w:rPr>
        <w:footnoteRef/>
      </w:r>
      <w:r>
        <w:t xml:space="preserve"> </w:t>
      </w:r>
      <w:r>
        <w:tab/>
        <w:t>NEL, s. 16(1)(a), NGL, s. 23.</w:t>
      </w:r>
    </w:p>
  </w:footnote>
  <w:footnote w:id="23">
    <w:p w:rsidR="00484671" w:rsidRDefault="00484671" w:rsidP="00F90257">
      <w:pPr>
        <w:pStyle w:val="FootnoteText"/>
      </w:pPr>
      <w:r>
        <w:rPr>
          <w:rStyle w:val="FootnoteReference"/>
        </w:rPr>
        <w:footnoteRef/>
      </w:r>
      <w:r>
        <w:t xml:space="preserve"> </w:t>
      </w:r>
      <w:r>
        <w:tab/>
        <w:t>NEL, s. 16(2); NGL, s. 28(2)(a)(i).</w:t>
      </w:r>
    </w:p>
  </w:footnote>
  <w:footnote w:id="24">
    <w:p w:rsidR="00484671" w:rsidRDefault="00484671" w:rsidP="00F90257">
      <w:pPr>
        <w:pStyle w:val="FootnoteText"/>
      </w:pPr>
      <w:r>
        <w:rPr>
          <w:rStyle w:val="FootnoteReference"/>
        </w:rPr>
        <w:footnoteRef/>
      </w:r>
      <w:r>
        <w:t xml:space="preserve"> </w:t>
      </w:r>
      <w:r>
        <w:tab/>
        <w:t>NEL, s. 7A(2); NGL, s. 24(2)(a).</w:t>
      </w:r>
    </w:p>
  </w:footnote>
  <w:footnote w:id="25">
    <w:p w:rsidR="00484671" w:rsidRDefault="00484671" w:rsidP="00F90257">
      <w:pPr>
        <w:pStyle w:val="FootnoteText"/>
      </w:pPr>
      <w:r>
        <w:rPr>
          <w:rStyle w:val="FootnoteReference"/>
        </w:rPr>
        <w:footnoteRef/>
      </w:r>
      <w:r>
        <w:t xml:space="preserve"> </w:t>
      </w:r>
      <w:r>
        <w:tab/>
        <w:t>NEL, s. 7A(3);</w:t>
      </w:r>
      <w:r w:rsidRPr="0016130C">
        <w:t xml:space="preserve"> </w:t>
      </w:r>
      <w:r>
        <w:t>NGL, s. 24(3).</w:t>
      </w:r>
    </w:p>
  </w:footnote>
  <w:footnote w:id="26">
    <w:p w:rsidR="00484671" w:rsidRDefault="00484671" w:rsidP="00F90257">
      <w:pPr>
        <w:pStyle w:val="FootnoteText"/>
      </w:pPr>
      <w:r>
        <w:rPr>
          <w:rStyle w:val="FootnoteReference"/>
        </w:rPr>
        <w:footnoteRef/>
      </w:r>
      <w:r>
        <w:t xml:space="preserve"> </w:t>
      </w:r>
      <w:r>
        <w:tab/>
        <w:t>NEL, s. 7A(5); NGL, s. 24(5).</w:t>
      </w:r>
    </w:p>
  </w:footnote>
  <w:footnote w:id="27">
    <w:p w:rsidR="00484671" w:rsidRDefault="00484671" w:rsidP="00F90257">
      <w:pPr>
        <w:pStyle w:val="FootnoteText"/>
      </w:pPr>
      <w:r>
        <w:rPr>
          <w:rStyle w:val="FootnoteReference"/>
        </w:rPr>
        <w:footnoteRef/>
      </w:r>
      <w:r>
        <w:t xml:space="preserve"> </w:t>
      </w:r>
      <w:r>
        <w:tab/>
        <w:t>NEL, s. 7A(6); NGL, s. 24(6).</w:t>
      </w:r>
    </w:p>
  </w:footnote>
  <w:footnote w:id="28">
    <w:p w:rsidR="00484671" w:rsidRDefault="00484671" w:rsidP="00F90257">
      <w:pPr>
        <w:pStyle w:val="FootnoteText"/>
      </w:pPr>
      <w:r>
        <w:rPr>
          <w:rStyle w:val="FootnoteReference"/>
        </w:rPr>
        <w:footnoteRef/>
      </w:r>
      <w:r>
        <w:t xml:space="preserve"> </w:t>
      </w:r>
      <w:r>
        <w:tab/>
        <w:t>NEL, s. 7A(7); NGL, s. 24(7).</w:t>
      </w:r>
    </w:p>
  </w:footnote>
  <w:footnote w:id="29">
    <w:p w:rsidR="00484671" w:rsidRPr="00D5405B" w:rsidRDefault="00484671" w:rsidP="00F90257">
      <w:pPr>
        <w:pStyle w:val="FootnoteText"/>
        <w:rPr>
          <w:rStyle w:val="AERtexthighlight"/>
        </w:rPr>
      </w:pPr>
      <w:r>
        <w:rPr>
          <w:rStyle w:val="FootnoteReference"/>
        </w:rPr>
        <w:footnoteRef/>
      </w:r>
      <w:r>
        <w:t xml:space="preserve"> </w:t>
      </w:r>
      <w:r>
        <w:tab/>
        <w:t>NER, cl. 6.5.2(d); NER, cl. 6A.6.2(d); NGR, r, 87(4).</w:t>
      </w:r>
    </w:p>
  </w:footnote>
  <w:footnote w:id="30">
    <w:p w:rsidR="00484671" w:rsidRDefault="00484671" w:rsidP="00F90257">
      <w:pPr>
        <w:pStyle w:val="FootnoteText"/>
      </w:pPr>
      <w:r>
        <w:rPr>
          <w:rStyle w:val="FootnoteReference"/>
        </w:rPr>
        <w:footnoteRef/>
      </w:r>
      <w:r>
        <w:t xml:space="preserve"> </w:t>
      </w:r>
      <w:r>
        <w:tab/>
        <w:t>NER, cl. 6.5.2(e), NER cl, 6A.6.2(e); NGR, r. 87(5).</w:t>
      </w:r>
    </w:p>
  </w:footnote>
  <w:footnote w:id="31">
    <w:p w:rsidR="00484671" w:rsidRDefault="00484671" w:rsidP="00F90257">
      <w:pPr>
        <w:pStyle w:val="FootnoteText"/>
      </w:pPr>
      <w:r>
        <w:rPr>
          <w:rStyle w:val="FootnoteReference"/>
        </w:rPr>
        <w:footnoteRef/>
      </w:r>
      <w:r>
        <w:t xml:space="preserve"> </w:t>
      </w:r>
      <w:r>
        <w:tab/>
        <w:t>NER, cl  6.5.2</w:t>
      </w:r>
      <w:r w:rsidRPr="00A7067C">
        <w:t>(g)</w:t>
      </w:r>
      <w:r>
        <w:t xml:space="preserve">; NER, cl 6A.6.2(g); NGR, r. 87 (7). </w:t>
      </w:r>
    </w:p>
  </w:footnote>
  <w:footnote w:id="32">
    <w:p w:rsidR="00484671" w:rsidRDefault="00484671" w:rsidP="00F90257">
      <w:pPr>
        <w:pStyle w:val="FootnoteText"/>
      </w:pPr>
      <w:r>
        <w:rPr>
          <w:rStyle w:val="FootnoteReference"/>
        </w:rPr>
        <w:footnoteRef/>
      </w:r>
      <w:r>
        <w:t xml:space="preserve"> </w:t>
      </w:r>
      <w:r>
        <w:tab/>
        <w:t xml:space="preserve">NER, cl. 6.5.2 (h); NER, cl. 6A.6.2(h); NGR, cl. 87(8). </w:t>
      </w:r>
    </w:p>
  </w:footnote>
  <w:footnote w:id="33">
    <w:p w:rsidR="00484671" w:rsidRDefault="00484671" w:rsidP="00F90257">
      <w:pPr>
        <w:pStyle w:val="FootnoteText"/>
      </w:pPr>
      <w:r>
        <w:rPr>
          <w:rStyle w:val="FootnoteReference"/>
        </w:rPr>
        <w:footnoteRef/>
      </w:r>
      <w:r>
        <w:t xml:space="preserve"> </w:t>
      </w:r>
      <w:r>
        <w:tab/>
        <w:t>NER, cl. 6.5.2 (i); NER, cl. 6A.6.2(i)(2); NGR, cl. 87(9)(b).</w:t>
      </w:r>
    </w:p>
  </w:footnote>
  <w:footnote w:id="34">
    <w:p w:rsidR="00484671" w:rsidRDefault="00484671" w:rsidP="00F90257">
      <w:pPr>
        <w:pStyle w:val="FootnoteText"/>
      </w:pPr>
      <w:r>
        <w:rPr>
          <w:rStyle w:val="FootnoteReference"/>
        </w:rPr>
        <w:footnoteRef/>
      </w:r>
      <w:r>
        <w:t xml:space="preserve"> </w:t>
      </w:r>
      <w:r>
        <w:tab/>
        <w:t>NER, cl. 6.5.2 (k)(4); NER, cl. 6A.6.2(k)(4); NGR, cl. 87(11)(d).</w:t>
      </w:r>
    </w:p>
  </w:footnote>
  <w:footnote w:id="35">
    <w:p w:rsidR="00484671" w:rsidRDefault="00484671" w:rsidP="00F90257">
      <w:pPr>
        <w:pStyle w:val="FootnoteText"/>
      </w:pPr>
      <w:r>
        <w:rPr>
          <w:rStyle w:val="FootnoteReference"/>
        </w:rPr>
        <w:footnoteRef/>
      </w:r>
      <w:r>
        <w:t xml:space="preserve"> </w:t>
      </w:r>
      <w:r>
        <w:tab/>
        <w:t xml:space="preserve">NER, cl. 6.5.2(c); NER, cl. 6A.6.2(c); NGR r. 87(3). </w:t>
      </w:r>
    </w:p>
  </w:footnote>
  <w:footnote w:id="36">
    <w:p w:rsidR="00484671" w:rsidRDefault="00484671" w:rsidP="00F90257">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37">
    <w:p w:rsidR="00484671" w:rsidRDefault="00484671" w:rsidP="00F90257">
      <w:pPr>
        <w:pStyle w:val="FootnoteText"/>
      </w:pPr>
      <w:r>
        <w:rPr>
          <w:rStyle w:val="FootnoteReference"/>
        </w:rPr>
        <w:footnoteRef/>
      </w:r>
      <w:r>
        <w:t xml:space="preserve"> </w:t>
      </w:r>
      <w:r>
        <w:tab/>
        <w:t>See section H.2.1 of appendix H.</w:t>
      </w:r>
    </w:p>
  </w:footnote>
  <w:footnote w:id="38">
    <w:p w:rsidR="00484671" w:rsidRDefault="00484671" w:rsidP="00F90257">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
    <w:p w:rsidR="00484671" w:rsidRDefault="00484671" w:rsidP="000854E7">
      <w:pPr>
        <w:pStyle w:val="FootnoteText"/>
      </w:pPr>
      <w:r>
        <w:rPr>
          <w:rStyle w:val="FootnoteReference"/>
        </w:rPr>
        <w:footnoteRef/>
      </w:r>
      <w:r>
        <w:t xml:space="preserve"> </w:t>
      </w:r>
      <w:r>
        <w:tab/>
        <w:t>SFG pp. 63-64.</w:t>
      </w:r>
    </w:p>
  </w:footnote>
  <w:footnote w:id="40">
    <w:p w:rsidR="00484671" w:rsidRDefault="00484671" w:rsidP="00F90257">
      <w:pPr>
        <w:pStyle w:val="FootnoteText"/>
      </w:pPr>
      <w:r>
        <w:rPr>
          <w:rStyle w:val="FootnoteReference"/>
        </w:rPr>
        <w:footnoteRef/>
      </w:r>
      <w:r>
        <w:t xml:space="preserve"> </w:t>
      </w:r>
      <w:r>
        <w:tab/>
        <w:t xml:space="preserve">This includes both new and existing investment. </w:t>
      </w:r>
    </w:p>
  </w:footnote>
  <w:footnote w:id="41">
    <w:p w:rsidR="00484671" w:rsidRDefault="00484671" w:rsidP="00F90257">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2">
    <w:p w:rsidR="00484671" w:rsidRDefault="00484671" w:rsidP="00E2001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43">
    <w:p w:rsidR="00484671" w:rsidRDefault="00484671"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4">
    <w:p w:rsidR="00484671" w:rsidRDefault="00484671" w:rsidP="00E20018">
      <w:pPr>
        <w:pStyle w:val="FootnoteText"/>
      </w:pPr>
      <w:r>
        <w:rPr>
          <w:rStyle w:val="FootnoteReference"/>
        </w:rPr>
        <w:footnoteRef/>
      </w:r>
      <w:r>
        <w:t xml:space="preserve"> </w:t>
      </w:r>
      <w:r>
        <w:tab/>
        <w:t xml:space="preserve">See sections 1.1 and 2.1 of appendix </w:t>
      </w:r>
      <w:r>
        <w:fldChar w:fldCharType="begin"/>
      </w:r>
      <w:r>
        <w:instrText xml:space="preserve"> REF _Ref479170782 \r \h </w:instrText>
      </w:r>
      <w:r>
        <w:fldChar w:fldCharType="separate"/>
      </w:r>
      <w:r w:rsidR="002C24D6">
        <w:t>I</w:t>
      </w:r>
      <w:r>
        <w:fldChar w:fldCharType="end"/>
      </w:r>
      <w:r>
        <w:t>.</w:t>
      </w:r>
    </w:p>
  </w:footnote>
  <w:footnote w:id="45">
    <w:p w:rsidR="00484671" w:rsidRDefault="00484671" w:rsidP="00E2001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6">
    <w:p w:rsidR="00484671" w:rsidRDefault="00484671" w:rsidP="00E20018">
      <w:pPr>
        <w:pStyle w:val="FootnoteText"/>
      </w:pPr>
      <w:r>
        <w:rPr>
          <w:rStyle w:val="FootnoteReference"/>
        </w:rPr>
        <w:footnoteRef/>
      </w:r>
      <w:r>
        <w:t xml:space="preserve"> </w:t>
      </w:r>
      <w:r>
        <w:tab/>
        <w:t>Bishop, S., Faff, R., Oliver, B., Twite, G., 'Corporate Finance', Ed. 5 Pearson Prentice Hall, 2004, p. 577.</w:t>
      </w:r>
    </w:p>
  </w:footnote>
  <w:footnote w:id="47">
    <w:p w:rsidR="00484671" w:rsidRDefault="00484671"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48">
    <w:p w:rsidR="00484671" w:rsidRDefault="00484671" w:rsidP="00E2001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49">
    <w:p w:rsidR="00484671" w:rsidRDefault="00484671" w:rsidP="00E2001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0">
    <w:p w:rsidR="00484671" w:rsidRDefault="00484671"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1">
    <w:p w:rsidR="00484671" w:rsidRDefault="00484671" w:rsidP="00E2001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2">
    <w:p w:rsidR="00484671" w:rsidRDefault="00484671" w:rsidP="00E2001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53">
    <w:p w:rsidR="00484671" w:rsidRDefault="00484671" w:rsidP="00E2001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54">
    <w:p w:rsidR="00484671" w:rsidRDefault="00484671" w:rsidP="00E20018">
      <w:pPr>
        <w:pStyle w:val="FootnoteText"/>
      </w:pPr>
      <w:r>
        <w:rPr>
          <w:rStyle w:val="FootnoteReference"/>
        </w:rPr>
        <w:footnoteRef/>
      </w:r>
      <w:r>
        <w:t xml:space="preserve"> </w:t>
      </w:r>
      <w:r>
        <w:tab/>
      </w:r>
      <w:r w:rsidRPr="007D32F9">
        <w:t>NER, cl</w:t>
      </w:r>
      <w:r>
        <w:t>l</w:t>
      </w:r>
      <w:r w:rsidRPr="007D32F9">
        <w:t>. 6.5.2(c), 6A.6.2(c); NGR, r. 87(2)(3).</w:t>
      </w:r>
    </w:p>
  </w:footnote>
  <w:footnote w:id="55">
    <w:p w:rsidR="00484671" w:rsidRPr="00151C8A" w:rsidRDefault="00484671" w:rsidP="00E20018">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56">
    <w:p w:rsidR="00484671" w:rsidRDefault="00484671" w:rsidP="00E2001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57">
    <w:p w:rsidR="00484671" w:rsidRDefault="00484671" w:rsidP="00E2001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58">
    <w:p w:rsidR="00484671" w:rsidRDefault="00484671" w:rsidP="00E2001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59">
    <w:p w:rsidR="00484671" w:rsidRDefault="00484671" w:rsidP="00836286">
      <w:pPr>
        <w:pStyle w:val="FootnoteText"/>
      </w:pPr>
      <w:r>
        <w:rPr>
          <w:rStyle w:val="FootnoteReference"/>
        </w:rPr>
        <w:footnoteRef/>
      </w:r>
      <w:r>
        <w:t xml:space="preserve"> </w:t>
      </w:r>
      <w:r>
        <w:tab/>
        <w:t xml:space="preserve">See NER cl. 6A.6.2(c). Instead of 'prescribed transmission services', the distribution rules refer to 'standard control services' and the NGR refers to 'reference services'. See NER, cl. 6.5.2(c), NGR r. 87(3). </w:t>
      </w:r>
    </w:p>
  </w:footnote>
  <w:footnote w:id="60">
    <w:p w:rsidR="00484671" w:rsidRDefault="00484671">
      <w:pPr>
        <w:pStyle w:val="FootnoteText"/>
      </w:pPr>
      <w:r>
        <w:rPr>
          <w:rStyle w:val="FootnoteReference"/>
        </w:rPr>
        <w:footnoteRef/>
      </w:r>
      <w:r>
        <w:t xml:space="preserve"> </w:t>
      </w:r>
      <w:r>
        <w:tab/>
      </w:r>
      <w:r w:rsidRPr="00CF2861">
        <w:t xml:space="preserve">NGL, Chapter 1, Part 1 (2—Definitions) </w:t>
      </w:r>
      <w:r>
        <w:t xml:space="preserve"> </w:t>
      </w:r>
    </w:p>
  </w:footnote>
  <w:footnote w:id="61">
    <w:p w:rsidR="00484671" w:rsidRDefault="00484671"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2">
    <w:p w:rsidR="00484671" w:rsidRDefault="00484671" w:rsidP="00E2001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3">
    <w:p w:rsidR="00484671" w:rsidRDefault="00484671" w:rsidP="00E20018">
      <w:pPr>
        <w:pStyle w:val="FootnoteText"/>
      </w:pPr>
      <w:r>
        <w:rPr>
          <w:rStyle w:val="FootnoteReference"/>
        </w:rPr>
        <w:footnoteRef/>
      </w:r>
      <w:r>
        <w:t xml:space="preserve"> </w:t>
      </w:r>
      <w:r>
        <w:tab/>
        <w:t>Bishop, S., Faff, R., Oliver, B., Twite, G., 'Corporate Finance', Ed. 5 Pearson Prentice Hall, 2004, p. 577.</w:t>
      </w:r>
    </w:p>
  </w:footnote>
  <w:footnote w:id="64">
    <w:p w:rsidR="00484671" w:rsidRDefault="00484671"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5">
    <w:p w:rsidR="00484671" w:rsidRDefault="00484671"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6">
    <w:p w:rsidR="00484671" w:rsidRDefault="00484671" w:rsidP="00E20018">
      <w:pPr>
        <w:pStyle w:val="FootnoteText"/>
      </w:pPr>
      <w:r>
        <w:rPr>
          <w:rStyle w:val="FootnoteReference"/>
        </w:rPr>
        <w:footnoteRef/>
      </w:r>
      <w:r>
        <w:t xml:space="preserve"> </w:t>
      </w:r>
      <w:r>
        <w:tab/>
        <w:t>Brealey, R., Myers, S., Allen, F., 'Principles of corporate finance', 2011, Ed. 10, McGraw-Hill Irwin, Figure 8.2, p. 187.</w:t>
      </w:r>
    </w:p>
  </w:footnote>
  <w:footnote w:id="67">
    <w:p w:rsidR="00484671" w:rsidRDefault="00484671" w:rsidP="00E2001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68">
    <w:p w:rsidR="00484671" w:rsidRDefault="00484671" w:rsidP="00E20018">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69">
    <w:p w:rsidR="00484671" w:rsidRDefault="00484671" w:rsidP="00E20018">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70">
    <w:p w:rsidR="00484671" w:rsidRDefault="00484671" w:rsidP="00E2001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71">
    <w:p w:rsidR="00484671" w:rsidRDefault="00484671" w:rsidP="00E2001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72">
    <w:p w:rsidR="00484671" w:rsidRDefault="00484671" w:rsidP="00E20018">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73">
    <w:p w:rsidR="00484671" w:rsidRDefault="00484671"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74">
    <w:p w:rsidR="00484671" w:rsidRDefault="00484671" w:rsidP="00E2001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75">
    <w:p w:rsidR="00484671" w:rsidRDefault="00484671" w:rsidP="00DB15A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76">
    <w:p w:rsidR="00484671" w:rsidRDefault="00484671" w:rsidP="00E20018">
      <w:pPr>
        <w:pStyle w:val="FootnoteText"/>
      </w:pPr>
      <w:r>
        <w:rPr>
          <w:rStyle w:val="FootnoteReference"/>
        </w:rPr>
        <w:footnoteRef/>
      </w:r>
      <w:r>
        <w:t xml:space="preserve"> </w:t>
      </w:r>
      <w:r>
        <w:tab/>
        <w:t>NER, cl. 6.5.2(k) and cl. 6A.6.2(k); NGR, r.87(11).</w:t>
      </w:r>
    </w:p>
  </w:footnote>
  <w:footnote w:id="77">
    <w:p w:rsidR="00484671" w:rsidRDefault="0048467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78">
    <w:p w:rsidR="00484671" w:rsidRDefault="0048467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79">
    <w:p w:rsidR="00484671" w:rsidRDefault="0048467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80">
    <w:p w:rsidR="00484671" w:rsidRDefault="0048467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81">
    <w:p w:rsidR="00484671" w:rsidRDefault="00484671" w:rsidP="00E2001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82">
    <w:p w:rsidR="00484671" w:rsidRDefault="00484671">
      <w:pPr>
        <w:pStyle w:val="FootnoteText"/>
      </w:pPr>
      <w:r>
        <w:rPr>
          <w:rStyle w:val="FootnoteReference"/>
        </w:rPr>
        <w:footnoteRef/>
      </w:r>
      <w:r>
        <w:t xml:space="preserve"> </w:t>
      </w:r>
      <w:r>
        <w:tab/>
        <w:t xml:space="preserve">As noted in section </w:t>
      </w:r>
      <w:r>
        <w:fldChar w:fldCharType="begin"/>
      </w:r>
      <w:r>
        <w:instrText xml:space="preserve"> REF _Ref482256961 \r \h </w:instrText>
      </w:r>
      <w:r>
        <w:fldChar w:fldCharType="separate"/>
      </w:r>
      <w:r w:rsidR="002C24D6">
        <w:t>3.4.3</w:t>
      </w:r>
      <w:r>
        <w:fldChar w:fldCharType="end"/>
      </w:r>
      <w:r>
        <w:t xml:space="preserve"> and </w:t>
      </w:r>
      <w:r>
        <w:fldChar w:fldCharType="begin"/>
      </w:r>
      <w:r>
        <w:instrText xml:space="preserve"> REF _Ref478718271 \r \h </w:instrText>
      </w:r>
      <w:r>
        <w:fldChar w:fldCharType="separate"/>
      </w:r>
      <w:r w:rsidR="002C24D6">
        <w:t>3.4.2</w:t>
      </w:r>
      <w:r>
        <w:fldChar w:fldCharType="end"/>
      </w:r>
      <w:r>
        <w:t>, the only place we use observed past financing practices to determine efficient financing costs of the benchmark efficient entity is with respect to estimating the efficient gearing ratio, credit rating and term to maturity of debt for the benchmark efficient entity. However, these parameters are used in the estimation of the ex ante efficient financing costs of the benchmark efficient entity.</w:t>
      </w:r>
    </w:p>
  </w:footnote>
  <w:footnote w:id="83">
    <w:p w:rsidR="00484671" w:rsidRDefault="00484671" w:rsidP="00E20018">
      <w:pPr>
        <w:pStyle w:val="FootnoteText"/>
      </w:pPr>
      <w:r>
        <w:rPr>
          <w:rStyle w:val="FootnoteReference"/>
        </w:rPr>
        <w:footnoteRef/>
      </w:r>
      <w:r>
        <w:t xml:space="preserve"> </w:t>
      </w:r>
      <w:r>
        <w:tab/>
        <w:t>NER cl. 6.5.2(l) and cl. 6A.6.2(l), NGR, r. 87(12).</w:t>
      </w:r>
    </w:p>
  </w:footnote>
  <w:footnote w:id="84">
    <w:p w:rsidR="00484671" w:rsidRDefault="00484671"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85">
    <w:p w:rsidR="00484671" w:rsidRDefault="00484671" w:rsidP="00E20018">
      <w:pPr>
        <w:pStyle w:val="FootnoteText"/>
      </w:pPr>
      <w:r>
        <w:rPr>
          <w:rStyle w:val="FootnoteReference"/>
        </w:rPr>
        <w:footnoteRef/>
      </w:r>
      <w:r>
        <w:t xml:space="preserve"> </w:t>
      </w:r>
      <w:r>
        <w:tab/>
        <w:t>NGR, cl. 87(18); NER, cl. 6.2.8(c); NER, cl.6A.2.3(c).</w:t>
      </w:r>
    </w:p>
  </w:footnote>
  <w:footnote w:id="86">
    <w:p w:rsidR="00484671" w:rsidRDefault="00484671" w:rsidP="00E20018">
      <w:pPr>
        <w:pStyle w:val="FootnoteText"/>
      </w:pPr>
      <w:r>
        <w:rPr>
          <w:rStyle w:val="FootnoteReference"/>
        </w:rPr>
        <w:footnoteRef/>
      </w:r>
      <w:r>
        <w:t xml:space="preserve"> </w:t>
      </w:r>
      <w:r>
        <w:tab/>
        <w:t>NER, cll. S6.1.3(9),(9A),(9B); NER, cll.S6A.1.3.(4A), (4b), (4c); NGR r.72(1)(g)</w:t>
      </w:r>
    </w:p>
  </w:footnote>
  <w:footnote w:id="87">
    <w:p w:rsidR="00484671" w:rsidRDefault="00484671" w:rsidP="00E2001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88">
    <w:p w:rsidR="00484671" w:rsidRDefault="00484671" w:rsidP="00E2001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89">
    <w:p w:rsidR="00484671" w:rsidRDefault="00484671" w:rsidP="00E20018">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90">
    <w:p w:rsidR="00484671" w:rsidRDefault="00484671" w:rsidP="00E20018">
      <w:pPr>
        <w:pStyle w:val="FootnoteText"/>
      </w:pPr>
      <w:r>
        <w:rPr>
          <w:rStyle w:val="FootnoteReference"/>
        </w:rPr>
        <w:footnoteRef/>
      </w:r>
      <w:r>
        <w:t xml:space="preserve"> </w:t>
      </w:r>
      <w:r>
        <w:tab/>
        <w:t>NER, cl. 6.5.2 (n), NER, cl. 6A.6.2(n);</w:t>
      </w:r>
      <w:r w:rsidRPr="009416A4">
        <w:t xml:space="preserve"> </w:t>
      </w:r>
      <w:r>
        <w:t>NGR, cl. 87(14).</w:t>
      </w:r>
    </w:p>
  </w:footnote>
  <w:footnote w:id="91">
    <w:p w:rsidR="00484671" w:rsidRDefault="00484671" w:rsidP="00E2001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92">
    <w:p w:rsidR="00484671" w:rsidRDefault="00484671"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93">
    <w:p w:rsidR="00484671" w:rsidRDefault="0048467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94">
    <w:p w:rsidR="00484671" w:rsidRDefault="00484671" w:rsidP="00DF65C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95">
    <w:p w:rsidR="00484671" w:rsidRDefault="0048467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96">
    <w:p w:rsidR="00484671" w:rsidRDefault="00484671" w:rsidP="00E20018">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484671" w:rsidRDefault="00484671" w:rsidP="00E20018">
      <w:pPr>
        <w:pStyle w:val="FootnoteText"/>
      </w:pPr>
    </w:p>
  </w:footnote>
  <w:footnote w:id="97">
    <w:p w:rsidR="00484671" w:rsidRDefault="00484671" w:rsidP="00E20018">
      <w:pPr>
        <w:pStyle w:val="FootnoteText"/>
      </w:pPr>
      <w:r>
        <w:rPr>
          <w:rStyle w:val="FootnoteReference"/>
        </w:rPr>
        <w:footnoteRef/>
      </w:r>
      <w:r>
        <w:t xml:space="preserve"> </w:t>
      </w:r>
      <w:r>
        <w:tab/>
        <w:t>This draft decision determines the return on debt methodology for the 2017–22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NGR, the return on debt methodology must be determined in future decisions that relate to that period.</w:t>
      </w:r>
    </w:p>
  </w:footnote>
  <w:footnote w:id="98">
    <w:p w:rsidR="00484671" w:rsidRDefault="00484671" w:rsidP="00E2001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99">
    <w:p w:rsidR="00484671" w:rsidRDefault="00484671" w:rsidP="00E2001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00">
    <w:p w:rsidR="00484671" w:rsidRDefault="00484671" w:rsidP="00E20018">
      <w:pPr>
        <w:pStyle w:val="FootnoteText"/>
      </w:pPr>
      <w:r>
        <w:rPr>
          <w:rStyle w:val="FootnoteReference"/>
        </w:rPr>
        <w:footnoteRef/>
      </w:r>
      <w:r>
        <w:t xml:space="preserve"> </w:t>
      </w:r>
      <w:r>
        <w:tab/>
        <w:t>NER, cl. 6.5.2(i); NER, cl. 6A.6.2(i); NGR r. 87(9).</w:t>
      </w:r>
    </w:p>
  </w:footnote>
  <w:footnote w:id="101">
    <w:p w:rsidR="00484671" w:rsidRDefault="00484671" w:rsidP="00E20018">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02">
    <w:p w:rsidR="00484671" w:rsidRDefault="00484671" w:rsidP="00E20018">
      <w:pPr>
        <w:pStyle w:val="FootnoteText"/>
      </w:pPr>
      <w:r>
        <w:rPr>
          <w:rStyle w:val="FootnoteReference"/>
        </w:rPr>
        <w:footnoteRef/>
      </w:r>
      <w:r>
        <w:t xml:space="preserve"> </w:t>
      </w:r>
      <w:r>
        <w:tab/>
        <w:t>NER, cl. 6.5.2(e); NER, cl. 6A.6.2(e); NGR r. 87(9).</w:t>
      </w:r>
    </w:p>
  </w:footnote>
  <w:footnote w:id="103">
    <w:p w:rsidR="00484671" w:rsidRDefault="0048467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04">
    <w:p w:rsidR="00484671" w:rsidRDefault="00484671" w:rsidP="00E20018">
      <w:pPr>
        <w:pStyle w:val="FootnoteText"/>
      </w:pPr>
      <w:r>
        <w:rPr>
          <w:rStyle w:val="FootnoteReference"/>
        </w:rPr>
        <w:footnoteRef/>
      </w:r>
      <w:r>
        <w:t xml:space="preserve"> </w:t>
      </w:r>
      <w:r>
        <w:tab/>
        <w:t>NEL, s. 7A(2); NGL s. 24(2)(a).</w:t>
      </w:r>
    </w:p>
  </w:footnote>
  <w:footnote w:id="105">
    <w:p w:rsidR="00484671" w:rsidRDefault="00484671" w:rsidP="00E20018">
      <w:pPr>
        <w:pStyle w:val="FootnoteText"/>
      </w:pPr>
      <w:r>
        <w:rPr>
          <w:rStyle w:val="FootnoteReference"/>
        </w:rPr>
        <w:footnoteRef/>
      </w:r>
      <w:r>
        <w:t xml:space="preserve"> </w:t>
      </w:r>
      <w:r>
        <w:tab/>
        <w:t>NEL, s. 7A(3);</w:t>
      </w:r>
      <w:r w:rsidRPr="00002EB2">
        <w:t xml:space="preserve"> </w:t>
      </w:r>
      <w:r>
        <w:t>NGL s. 24(2)(b).</w:t>
      </w:r>
    </w:p>
  </w:footnote>
  <w:footnote w:id="106">
    <w:p w:rsidR="00484671" w:rsidRDefault="0048467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07">
    <w:p w:rsidR="00484671" w:rsidRDefault="00484671" w:rsidP="00E2001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08">
    <w:p w:rsidR="00484671" w:rsidRDefault="00484671" w:rsidP="00E2001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09">
    <w:p w:rsidR="00484671" w:rsidRDefault="0048467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10">
    <w:p w:rsidR="00484671" w:rsidRDefault="00484671" w:rsidP="00E20018">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11">
    <w:p w:rsidR="00484671" w:rsidRDefault="00484671" w:rsidP="00E20018">
      <w:pPr>
        <w:pStyle w:val="FootnoteText"/>
      </w:pPr>
      <w:r>
        <w:rPr>
          <w:rStyle w:val="FootnoteReference"/>
        </w:rPr>
        <w:footnoteRef/>
      </w:r>
      <w:r>
        <w:t xml:space="preserve"> </w:t>
      </w:r>
      <w:r>
        <w:tab/>
        <w:t xml:space="preserve">NGR, r. 87(5)(a) and NER clause 6.5.2(e).  </w:t>
      </w:r>
    </w:p>
  </w:footnote>
  <w:footnote w:id="112">
    <w:p w:rsidR="00484671" w:rsidRDefault="00484671" w:rsidP="00E20018">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13">
    <w:p w:rsidR="00484671" w:rsidRDefault="00484671" w:rsidP="0071290C">
      <w:pPr>
        <w:pStyle w:val="FootnoteText"/>
      </w:pPr>
      <w:r>
        <w:rPr>
          <w:rStyle w:val="FootnoteReference"/>
        </w:rPr>
        <w:footnoteRef/>
      </w:r>
      <w:r>
        <w:t xml:space="preserve"> </w:t>
      </w:r>
      <w:r>
        <w:tab/>
        <w:t>AGN, Final Plan Attachment 10.1 Financing Costs, December 2016, p. 5.</w:t>
      </w:r>
    </w:p>
    <w:p w:rsidR="00484671" w:rsidRDefault="00484671">
      <w:pPr>
        <w:pStyle w:val="FootnoteText"/>
      </w:pPr>
      <w:r>
        <w:t xml:space="preserve"> </w:t>
      </w:r>
    </w:p>
  </w:footnote>
  <w:footnote w:id="114">
    <w:p w:rsidR="00484671" w:rsidRDefault="00484671" w:rsidP="0031162C">
      <w:pPr>
        <w:pStyle w:val="FootnoteText"/>
      </w:pPr>
      <w:r>
        <w:rPr>
          <w:rStyle w:val="FootnoteReference"/>
        </w:rPr>
        <w:footnoteRef/>
      </w:r>
      <w:r>
        <w:t xml:space="preserve"> </w:t>
      </w:r>
      <w:r>
        <w:tab/>
        <w:t xml:space="preserve">AusNet Services, </w:t>
      </w:r>
      <w:r w:rsidRPr="000C05A5">
        <w:rPr>
          <w:rStyle w:val="AERtextitalic"/>
        </w:rPr>
        <w:t>Gas Access Arrangement Review 2018–2022: Access Arrangement Information</w:t>
      </w:r>
      <w:r>
        <w:t xml:space="preserve">, 16 December 2016; APA VTS, </w:t>
      </w:r>
      <w:r w:rsidRPr="000C05A5">
        <w:rPr>
          <w:rStyle w:val="AERtextitalic"/>
        </w:rPr>
        <w:t>Victorian transmission system access arrangement submission</w:t>
      </w:r>
      <w:r>
        <w:t xml:space="preserve">, 3 January 2017; APTPPL, </w:t>
      </w:r>
      <w:r w:rsidRPr="00013867">
        <w:rPr>
          <w:rStyle w:val="AERtextitalic"/>
        </w:rPr>
        <w:t>2017 - 2022 RBP Access Arrangement revision submission</w:t>
      </w:r>
      <w:r>
        <w:t>, 16 September, 2016; AGN, F</w:t>
      </w:r>
      <w:r w:rsidRPr="00013867">
        <w:rPr>
          <w:rStyle w:val="AERtextitalic"/>
        </w:rPr>
        <w:t>inal Plan Attachment 10.1: Financing Costs</w:t>
      </w:r>
      <w:r>
        <w:t>, December 2016</w:t>
      </w:r>
    </w:p>
  </w:footnote>
  <w:footnote w:id="115">
    <w:p w:rsidR="00484671" w:rsidRDefault="00484671" w:rsidP="00E20018">
      <w:pPr>
        <w:pStyle w:val="FootnoteText"/>
      </w:pPr>
      <w:r>
        <w:rPr>
          <w:rStyle w:val="FootnoteReference"/>
        </w:rPr>
        <w:footnoteRef/>
      </w:r>
      <w:r>
        <w:t xml:space="preserve"> </w:t>
      </w:r>
      <w:r>
        <w:tab/>
      </w:r>
      <w:r w:rsidRPr="0071290C">
        <w:t xml:space="preserve"> </w:t>
      </w:r>
      <w:r>
        <w:t xml:space="preserve">AusNet Services, </w:t>
      </w:r>
      <w:r w:rsidRPr="000C05A5">
        <w:rPr>
          <w:rStyle w:val="AERtextitalic"/>
        </w:rPr>
        <w:t>Gas Access Arrangement Review 2018–2022: Access Arrangement Information</w:t>
      </w:r>
      <w:r>
        <w:t xml:space="preserve">, 16 December 2016; APA VTS, </w:t>
      </w:r>
      <w:r w:rsidRPr="000C05A5">
        <w:rPr>
          <w:rStyle w:val="AERtextitalic"/>
        </w:rPr>
        <w:t>Victorian transmission system access arrangement submission</w:t>
      </w:r>
      <w:r>
        <w:t xml:space="preserve">, 3 January 2017; APTPPL, </w:t>
      </w:r>
      <w:r w:rsidRPr="00710345">
        <w:rPr>
          <w:rStyle w:val="AERtextitalic"/>
        </w:rPr>
        <w:t>2017 - 2022 RBP Access Arrangement revision submission</w:t>
      </w:r>
      <w:r>
        <w:t>, 16 September, 2016; AGN, F</w:t>
      </w:r>
      <w:r w:rsidRPr="00710345">
        <w:rPr>
          <w:rStyle w:val="AERtextitalic"/>
        </w:rPr>
        <w:t>inal Plan Attachment 10.1: Financing Costs</w:t>
      </w:r>
      <w:r>
        <w:t xml:space="preserve">, December 2016, </w:t>
      </w:r>
      <w:r w:rsidRPr="00F64702">
        <w:t xml:space="preserve">Multinet, </w:t>
      </w:r>
      <w:r w:rsidRPr="00F64702">
        <w:rPr>
          <w:rStyle w:val="Emphasis"/>
        </w:rPr>
        <w:t>Rate of Return Overview</w:t>
      </w:r>
      <w:r w:rsidRPr="00F64702">
        <w:t>, 16 December 2016</w:t>
      </w:r>
    </w:p>
  </w:footnote>
  <w:footnote w:id="116">
    <w:p w:rsidR="00484671" w:rsidRDefault="00484671" w:rsidP="00E20018">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xml:space="preserve">. For similar material, see our decisions in 2015 on ActewAGL distribution, Ausgrid, Directlink, Endeavour Energy, Ergon Energy, Essential Energy, JGN, SAPN and TasNetworks. For 2016, see our decisions on AusNet Services (SP AusNet) distribution, Powercor, Jemena, CitiPower, and United Energy. </w:t>
      </w:r>
    </w:p>
  </w:footnote>
  <w:footnote w:id="117">
    <w:p w:rsidR="00484671" w:rsidRDefault="00484671" w:rsidP="002A118C">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Also see our final decisions on SA Power Networks, Ergon Energy and Energex; 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xml:space="preserve">, April 2017  </w:t>
      </w:r>
    </w:p>
  </w:footnote>
  <w:footnote w:id="118">
    <w:p w:rsidR="00484671" w:rsidRDefault="00484671" w:rsidP="00E2001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19">
    <w:p w:rsidR="00484671" w:rsidRDefault="00484671" w:rsidP="00E20018">
      <w:pPr>
        <w:pStyle w:val="FootnoteText"/>
      </w:pPr>
      <w:r>
        <w:rPr>
          <w:rStyle w:val="FootnoteReference"/>
        </w:rPr>
        <w:footnoteRef/>
      </w:r>
      <w:r>
        <w:t xml:space="preserve"> </w:t>
      </w:r>
      <w:r>
        <w:tab/>
      </w:r>
      <w:r w:rsidRPr="00735D0E">
        <w:t>Partington, G., Satchell, S.,</w:t>
      </w:r>
      <w:r w:rsidRPr="0071290C">
        <w:rPr>
          <w:rStyle w:val="AERtextitalic"/>
        </w:rPr>
        <w:t xml:space="preserve"> </w:t>
      </w:r>
      <w:r w:rsidRPr="00D24089">
        <w:rPr>
          <w:rStyle w:val="AERtextitalic"/>
        </w:rPr>
        <w:t xml:space="preserve">Report to the AER: </w:t>
      </w:r>
      <w:r>
        <w:rPr>
          <w:rStyle w:val="AERtextitalic"/>
        </w:rPr>
        <w:t>Discussion of submission on the cost of equity</w:t>
      </w:r>
      <w:r>
        <w:t>, 8 June 2017;</w:t>
      </w:r>
    </w:p>
    <w:p w:rsidR="00484671" w:rsidRDefault="00484671" w:rsidP="00E20018">
      <w:pPr>
        <w:pStyle w:val="FootnoteText"/>
      </w:pPr>
      <w:r>
        <w:tab/>
      </w:r>
      <w:r w:rsidRPr="00735D0E">
        <w:t xml:space="preserve">Partington, G., Satchell, S., </w:t>
      </w:r>
      <w:r w:rsidRPr="00D24089">
        <w:rPr>
          <w:rStyle w:val="AERtextitalic"/>
        </w:rPr>
        <w:t>Report to the AER: Issues in relation to the cost of debt</w:t>
      </w:r>
      <w:r>
        <w:t xml:space="preserve">, 9 April 2017; Partington, G., Satchell, S., </w:t>
      </w:r>
      <w:r w:rsidRPr="00D24089">
        <w:rPr>
          <w:rStyle w:val="AERtextitalic"/>
        </w:rPr>
        <w:t>Report to the AER: Discussion of estimates of the return on equity</w:t>
      </w:r>
      <w:r>
        <w:t xml:space="preserve">, 12 April 2017; 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20">
    <w:p w:rsidR="00484671" w:rsidRDefault="00484671" w:rsidP="00E20018">
      <w:pPr>
        <w:pStyle w:val="FootnoteText"/>
      </w:pPr>
      <w:r>
        <w:rPr>
          <w:rStyle w:val="FootnoteReference"/>
        </w:rPr>
        <w:footnoteRef/>
      </w:r>
      <w:r>
        <w:t xml:space="preserve"> </w:t>
      </w:r>
      <w:r>
        <w:tab/>
      </w:r>
      <w:r w:rsidRPr="00735D0E">
        <w:t>Partington, G., Satchell, S.,</w:t>
      </w:r>
      <w:r w:rsidRPr="0071290C">
        <w:rPr>
          <w:rStyle w:val="AERtextitalic"/>
        </w:rPr>
        <w:t xml:space="preserve"> </w:t>
      </w:r>
      <w:r w:rsidRPr="00D24089">
        <w:rPr>
          <w:rStyle w:val="AERtextitalic"/>
        </w:rPr>
        <w:t xml:space="preserve">Report to the AER: </w:t>
      </w:r>
      <w:r>
        <w:rPr>
          <w:rStyle w:val="AERtextitalic"/>
        </w:rPr>
        <w:t>Discussion of submission on the cost of equity</w:t>
      </w:r>
      <w:r>
        <w:t>, 8 June 2017;</w:t>
      </w:r>
    </w:p>
    <w:p w:rsidR="00484671" w:rsidRDefault="00484671" w:rsidP="00E20018">
      <w:pPr>
        <w:pStyle w:val="FootnoteText"/>
      </w:pPr>
      <w:r>
        <w:tab/>
      </w:r>
      <w:r w:rsidRPr="00735D0E">
        <w:t xml:space="preserve">Partington, G., Satchell, S., </w:t>
      </w:r>
      <w:r w:rsidRPr="00D24089">
        <w:rPr>
          <w:rStyle w:val="AERtextitalic"/>
        </w:rPr>
        <w:t>Report to the AER: Issues in relation to the cost of debt</w:t>
      </w:r>
      <w:r w:rsidRPr="00735D0E">
        <w:t xml:space="preserve">, </w:t>
      </w:r>
      <w:r>
        <w:t>9 April</w:t>
      </w:r>
      <w:r w:rsidRPr="00735D0E">
        <w:t xml:space="preserve"> 2017</w:t>
      </w:r>
      <w:r>
        <w:t xml:space="preserve">; Partington, G., Satchell, S., </w:t>
      </w:r>
      <w:r w:rsidRPr="00D24089">
        <w:rPr>
          <w:rStyle w:val="AERtextitalic"/>
        </w:rPr>
        <w:t>Report to the AER: Discussion of estimates of the return on equity</w:t>
      </w:r>
      <w:r>
        <w:t xml:space="preserve">, 12 April 2017;Partington,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21">
    <w:p w:rsidR="00484671" w:rsidRDefault="00484671" w:rsidP="00E20018">
      <w:pPr>
        <w:pStyle w:val="FootnoteText"/>
      </w:pPr>
      <w:r>
        <w:rPr>
          <w:rStyle w:val="FootnoteReference"/>
        </w:rPr>
        <w:footnoteRef/>
      </w:r>
      <w:r>
        <w:t xml:space="preserve"> </w:t>
      </w:r>
      <w:r>
        <w:tab/>
        <w:t>Handley, J.</w:t>
      </w:r>
      <w:r w:rsidRPr="002F6091">
        <w:t xml:space="preserve">, </w:t>
      </w:r>
      <w:r w:rsidRPr="00D24089">
        <w:rPr>
          <w:rStyle w:val="AERtextitalic"/>
        </w:rPr>
        <w:t>Furthe</w:t>
      </w:r>
      <w:r>
        <w:t>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22">
    <w:p w:rsidR="00484671" w:rsidRDefault="00484671" w:rsidP="00E2001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23">
    <w:p w:rsidR="00484671" w:rsidRDefault="00484671" w:rsidP="00E2001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24">
    <w:p w:rsidR="00484671" w:rsidRDefault="00484671" w:rsidP="00E2001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25">
    <w:p w:rsidR="00484671" w:rsidRDefault="00484671" w:rsidP="00E2001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26">
    <w:p w:rsidR="00484671" w:rsidRDefault="00484671" w:rsidP="00D647EB">
      <w:pPr>
        <w:pStyle w:val="FootnoteText"/>
      </w:pPr>
      <w:r>
        <w:rPr>
          <w:rStyle w:val="FootnoteReference"/>
        </w:rPr>
        <w:footnoteRef/>
      </w:r>
      <w:r>
        <w:t xml:space="preserve"> </w:t>
      </w:r>
      <w:r>
        <w:tab/>
        <w:t>Our most recent</w:t>
      </w:r>
      <w:r w:rsidRPr="0078505C">
        <w:t xml:space="preserve"> regulatory </w:t>
      </w:r>
      <w:r>
        <w:t>determination</w:t>
      </w:r>
      <w:r w:rsidRPr="0078505C">
        <w:t xml:space="preserve">s are for the following </w:t>
      </w:r>
      <w:r>
        <w:t>service providers: AusNet electricity transmission, Powerlink and TasNetworks.</w:t>
      </w:r>
    </w:p>
  </w:footnote>
  <w:footnote w:id="127">
    <w:p w:rsidR="00484671" w:rsidRDefault="00484671" w:rsidP="00836286">
      <w:pPr>
        <w:pStyle w:val="FootnoteText"/>
      </w:pPr>
      <w:r>
        <w:rPr>
          <w:rStyle w:val="FootnoteReference"/>
        </w:rPr>
        <w:footnoteRef/>
      </w:r>
      <w:r>
        <w:t xml:space="preserve"> </w:t>
      </w:r>
      <w:r>
        <w:tab/>
        <w:t xml:space="preserve">For example, </w:t>
      </w:r>
      <w:r w:rsidRPr="00836286">
        <w:t>CCP4 (David Headberry), Re</w:t>
      </w:r>
      <w:r w:rsidRPr="006E5878">
        <w:rPr>
          <w:rStyle w:val="AERtextitalic"/>
        </w:rPr>
        <w:t>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836286">
        <w:t xml:space="preserve">CCP4 (David Headberry), </w:t>
      </w:r>
      <w:r w:rsidRPr="006E5878">
        <w:rPr>
          <w:rStyle w:val="AERtextitalic"/>
        </w:rPr>
        <w:t>Response to the AER Draft Decision and Revised Proposal to</w:t>
      </w:r>
      <w:r>
        <w:rPr>
          <w:rStyle w:val="AERtextitalic"/>
        </w:rPr>
        <w:t xml:space="preserve"> </w:t>
      </w:r>
      <w:r w:rsidRPr="006E5878">
        <w:rPr>
          <w:rStyle w:val="AERtextitalic"/>
        </w:rPr>
        <w:t>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 </w:t>
      </w:r>
      <w:r w:rsidRPr="00FF1D40">
        <w:t xml:space="preserve">CCP4 (David Headberry), </w:t>
      </w:r>
      <w:r w:rsidRPr="00E91B81">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E91B81">
        <w:rPr>
          <w:rStyle w:val="AERtextitalic"/>
        </w:rPr>
        <w:t>Submission to the AER: AER draft 2018–22 revenue decision Powerlink revised 208–22 revenue proposal</w:t>
      </w:r>
      <w:r>
        <w:t xml:space="preserve">, 23 December 2016; Cotton Australia, </w:t>
      </w:r>
      <w:r w:rsidRPr="00E91B81">
        <w:rPr>
          <w:rStyle w:val="AERtextitalic"/>
        </w:rPr>
        <w:t>Re: AER Draft Decision–Powerlink Electricity transmission revised revenue proposal 2017–2022</w:t>
      </w:r>
      <w:r>
        <w:t>, 22 December 2016; Queensland farmers’ federation</w:t>
      </w:r>
      <w:r w:rsidRPr="00E91B81">
        <w:rPr>
          <w:rStyle w:val="AERtextitalic"/>
        </w:rPr>
        <w:t>, Re: Response on Australian Energy Regulator (AER) Draft Decision on Powerlink ‘s revenue proposal for the 2017/18 –2021/22 regulatory period</w:t>
      </w:r>
      <w:r>
        <w:t>, 30 November 2016.</w:t>
      </w:r>
    </w:p>
    <w:p w:rsidR="00484671" w:rsidRDefault="00484671" w:rsidP="00836286">
      <w:pPr>
        <w:pStyle w:val="FootnoteText"/>
      </w:pPr>
      <w:r>
        <w:tab/>
        <w:t xml:space="preserve">Origin Energy, </w:t>
      </w:r>
      <w:r w:rsidRPr="007B186C">
        <w:rPr>
          <w:rStyle w:val="AERtextitalic"/>
        </w:rPr>
        <w:t>Victorian Gas Access Arrangement Review- 2018-22: Response to Gas Distribution Business’ proposals</w:t>
      </w:r>
      <w:r w:rsidRPr="00B03E07">
        <w:t>, 17 February 2017</w:t>
      </w:r>
      <w:r>
        <w:t xml:space="preserve">; Red and Lumo Energy, </w:t>
      </w:r>
      <w:r w:rsidRPr="007B186C">
        <w:rPr>
          <w:rStyle w:val="AERtextitalic"/>
        </w:rPr>
        <w:t>Re: Australian Gas Networks Access Arrangement</w:t>
      </w:r>
      <w:r w:rsidRPr="00B03E07">
        <w:t>, 6 March 2017</w:t>
      </w:r>
      <w:r>
        <w:t xml:space="preserve">; CCP11, Victorian Gas Networks (AGN), </w:t>
      </w:r>
      <w:r w:rsidRPr="007B186C">
        <w:rPr>
          <w:rStyle w:val="AERtextitalic"/>
        </w:rPr>
        <w:t>AusNet Services and MultiNet: Supplementary Advice on the proposed Return on Equity by Victorian Gas Distribution Network Service Providers</w:t>
      </w:r>
      <w:r>
        <w:t xml:space="preserve">, 22 March 2017; CCP11, </w:t>
      </w:r>
      <w:r w:rsidRPr="007B186C">
        <w:rPr>
          <w:rStyle w:val="AERtextitalic"/>
        </w:rPr>
        <w:t>Victorian Gas Networks (AGN), AusNet Services and MultiNet: Supplementary Advice on the proposed Return on Equity by Victorian Gas Distribution Network Service Providers</w:t>
      </w:r>
      <w:r>
        <w:t xml:space="preserve">, 22 March 2017; CCP11, </w:t>
      </w:r>
      <w:r w:rsidRPr="007B186C">
        <w:rPr>
          <w:rStyle w:val="AERtextitalic"/>
        </w:rPr>
        <w:t>Australian Gas Networks (AGN), AusNet Services and Multinet</w:t>
      </w:r>
      <w:r>
        <w:t xml:space="preserve">, 3 March 2017; CCP11, </w:t>
      </w:r>
      <w:r w:rsidRPr="007B186C">
        <w:rPr>
          <w:rStyle w:val="AERtextitalic"/>
        </w:rPr>
        <w:t>Victorian Gas Access Arrangement Review (GAAR) for APA VTS</w:t>
      </w:r>
      <w:r>
        <w:t>, 3 March 2017.</w:t>
      </w:r>
    </w:p>
  </w:footnote>
  <w:footnote w:id="128">
    <w:p w:rsidR="00484671" w:rsidRDefault="00484671" w:rsidP="002715B8">
      <w:pPr>
        <w:pStyle w:val="FootnoteText"/>
      </w:pPr>
      <w:r>
        <w:rPr>
          <w:rStyle w:val="FootnoteReference"/>
        </w:rPr>
        <w:footnoteRef/>
      </w:r>
      <w:r>
        <w:t xml:space="preserve"> </w:t>
      </w:r>
      <w:r>
        <w:tab/>
        <w:t>Ausgrid, Endeavour Energy and Essential Energy</w:t>
      </w:r>
    </w:p>
  </w:footnote>
  <w:footnote w:id="129">
    <w:p w:rsidR="00484671" w:rsidRDefault="00484671" w:rsidP="002715B8">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725.</w:t>
      </w:r>
    </w:p>
  </w:footnote>
  <w:footnote w:id="130">
    <w:p w:rsidR="00484671" w:rsidRDefault="00484671" w:rsidP="002715B8">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31">
    <w:p w:rsidR="00484671" w:rsidRDefault="00484671" w:rsidP="002715B8">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132">
    <w:p w:rsidR="00484671" w:rsidRDefault="00484671" w:rsidP="002715B8">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133">
    <w:p w:rsidR="00484671" w:rsidRDefault="00484671" w:rsidP="002715B8">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r>
        <w:t xml:space="preserve"> p. 164.</w:t>
      </w:r>
    </w:p>
  </w:footnote>
  <w:footnote w:id="134">
    <w:p w:rsidR="00484671" w:rsidRDefault="00484671" w:rsidP="002715B8">
      <w:pPr>
        <w:pStyle w:val="FootnoteText"/>
      </w:pPr>
      <w:r>
        <w:rPr>
          <w:rStyle w:val="FootnoteReference"/>
        </w:rPr>
        <w:footnoteRef/>
      </w:r>
      <w:r>
        <w:t xml:space="preserve"> </w:t>
      </w:r>
      <w:r>
        <w:tab/>
      </w:r>
      <w:r w:rsidRPr="00BB6204">
        <w:rPr>
          <w:rStyle w:val="AERtextitalic"/>
        </w:rPr>
        <w:t>A</w:t>
      </w:r>
      <w:r>
        <w:rPr>
          <w:rStyle w:val="AERtextitalic"/>
        </w:rPr>
        <w:t xml:space="preserve">pplication by SAPN [2016] ACompT 11.  </w:t>
      </w:r>
    </w:p>
  </w:footnote>
  <w:footnote w:id="135">
    <w:p w:rsidR="00484671" w:rsidRDefault="00484671" w:rsidP="002715B8">
      <w:pPr>
        <w:pStyle w:val="FootnoteText"/>
      </w:pPr>
      <w:r>
        <w:rPr>
          <w:rStyle w:val="FootnoteReference"/>
        </w:rPr>
        <w:footnoteRef/>
      </w:r>
      <w:r>
        <w:t xml:space="preserve"> </w:t>
      </w:r>
      <w:r>
        <w:tab/>
      </w:r>
      <w:r w:rsidRPr="00BB6204">
        <w:rPr>
          <w:rStyle w:val="AERtextitalic"/>
        </w:rPr>
        <w:t>A</w:t>
      </w:r>
      <w:r>
        <w:rPr>
          <w:rStyle w:val="AERtextitalic"/>
        </w:rPr>
        <w:t xml:space="preserve">pplication by SAPN [2016] ACompT 11.  </w:t>
      </w:r>
    </w:p>
  </w:footnote>
  <w:footnote w:id="136">
    <w:p w:rsidR="00484671" w:rsidRDefault="00484671" w:rsidP="002715B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w:t>
      </w:r>
    </w:p>
  </w:footnote>
  <w:footnote w:id="137">
    <w:p w:rsidR="00484671" w:rsidRDefault="00484671" w:rsidP="002715B8">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United Energy.</w:t>
      </w:r>
    </w:p>
  </w:footnote>
  <w:footnote w:id="138">
    <w:p w:rsidR="00484671" w:rsidRDefault="00484671" w:rsidP="002715B8">
      <w:pPr>
        <w:pStyle w:val="FootnoteText"/>
      </w:pPr>
      <w:r>
        <w:rPr>
          <w:rStyle w:val="FootnoteReference"/>
        </w:rPr>
        <w:footnoteRef/>
      </w:r>
      <w:r>
        <w:t xml:space="preserve">  </w:t>
      </w:r>
      <w:r>
        <w:tab/>
        <w:t>See for example, Final Decision Jemena distribution determination 2016 to 2020 Attachment 3 - Rate of Return, May 2016, pp 18-19, 277-278.</w:t>
      </w:r>
    </w:p>
  </w:footnote>
  <w:footnote w:id="139">
    <w:p w:rsidR="00484671" w:rsidRDefault="00484671" w:rsidP="002715B8">
      <w:pPr>
        <w:pStyle w:val="FootnoteText"/>
      </w:pPr>
      <w:r>
        <w:rPr>
          <w:rStyle w:val="FootnoteReference"/>
        </w:rPr>
        <w:footnoteRef/>
      </w:r>
      <w:r>
        <w:t xml:space="preserve"> </w:t>
      </w:r>
      <w:r>
        <w:tab/>
        <w:t>See for example, Final Decision Jemena distribution determination 2016 to 2020 Attachment 3 - Rate of Return, May 2016, p. 278.</w:t>
      </w:r>
    </w:p>
  </w:footnote>
  <w:footnote w:id="140">
    <w:p w:rsidR="00484671" w:rsidRDefault="00484671" w:rsidP="002715B8">
      <w:pPr>
        <w:pStyle w:val="FootnoteText"/>
      </w:pPr>
      <w:r>
        <w:rPr>
          <w:rStyle w:val="FootnoteReference"/>
        </w:rPr>
        <w:footnoteRef/>
      </w:r>
      <w:r>
        <w:t xml:space="preserve"> </w:t>
      </w:r>
      <w:r>
        <w:tab/>
      </w:r>
      <w:r w:rsidRPr="007A0484">
        <w:t xml:space="preserve">AusNet Services, Transmission revised revenue proposal, 21 September 2016, p.166 </w:t>
      </w:r>
      <w:r>
        <w:t xml:space="preserve"> </w:t>
      </w:r>
    </w:p>
  </w:footnote>
  <w:footnote w:id="141">
    <w:p w:rsidR="00484671" w:rsidRDefault="00484671" w:rsidP="002715B8">
      <w:pPr>
        <w:pStyle w:val="FootnoteText"/>
      </w:pPr>
      <w:r>
        <w:rPr>
          <w:rStyle w:val="FootnoteReference"/>
        </w:rPr>
        <w:footnoteRef/>
      </w:r>
      <w:r>
        <w:t xml:space="preserve"> </w:t>
      </w:r>
      <w:r>
        <w:tab/>
        <w:t xml:space="preserve">CEG, </w:t>
      </w:r>
      <w:r w:rsidRPr="00B55622">
        <w:t>The AER’s current interpretation of the ARORO</w:t>
      </w:r>
      <w:r>
        <w:t>, September 2016.</w:t>
      </w:r>
    </w:p>
  </w:footnote>
  <w:footnote w:id="142">
    <w:p w:rsidR="00484671" w:rsidRDefault="00484671" w:rsidP="002715B8">
      <w:pPr>
        <w:pStyle w:val="FootnoteText"/>
      </w:pPr>
      <w:r>
        <w:rPr>
          <w:rStyle w:val="FootnoteReference"/>
        </w:rPr>
        <w:footnoteRef/>
      </w:r>
      <w:r>
        <w:t xml:space="preserve"> </w:t>
      </w:r>
      <w:r>
        <w:tab/>
        <w:t>Final Decision, AusNet Services transmission determination 2017-2022 Attachment 3 - Rate or return, April 2017, pp. 313-325.</w:t>
      </w:r>
    </w:p>
  </w:footnote>
  <w:footnote w:id="143">
    <w:p w:rsidR="00484671" w:rsidRDefault="00484671" w:rsidP="002715B8">
      <w:pPr>
        <w:pStyle w:val="FootnoteText"/>
      </w:pPr>
      <w:r>
        <w:rPr>
          <w:rStyle w:val="FootnoteReference"/>
        </w:rPr>
        <w:footnoteRef/>
      </w:r>
      <w:r>
        <w:t xml:space="preserve"> </w:t>
      </w:r>
      <w:r>
        <w:tab/>
        <w:t xml:space="preserve">Graham Partington and Stephen Satchell, Report to the AER: Issues in Relation to the Cost of Debt, 9 April 2017  </w:t>
      </w:r>
    </w:p>
  </w:footnote>
  <w:footnote w:id="144">
    <w:p w:rsidR="00484671" w:rsidRDefault="00484671" w:rsidP="002715B8">
      <w:pPr>
        <w:pStyle w:val="FootnoteText"/>
      </w:pPr>
      <w:r>
        <w:rPr>
          <w:rStyle w:val="FootnoteReference"/>
        </w:rPr>
        <w:footnoteRef/>
      </w:r>
      <w:r>
        <w:t xml:space="preserve"> </w:t>
      </w:r>
      <w:r>
        <w:tab/>
        <w:t>Final Decision, AusNet Services transmission determination 2017-2022 Attachment 3 - Rate or return, April 2017, pp 307-308.</w:t>
      </w:r>
    </w:p>
  </w:footnote>
  <w:footnote w:id="145">
    <w:p w:rsidR="00484671" w:rsidRDefault="00484671" w:rsidP="002715B8">
      <w:pPr>
        <w:pStyle w:val="FootnoteText"/>
      </w:pPr>
      <w:r>
        <w:rPr>
          <w:rStyle w:val="FootnoteReference"/>
        </w:rPr>
        <w:footnoteRef/>
      </w:r>
      <w:r>
        <w:t xml:space="preserve"> </w:t>
      </w:r>
      <w:r>
        <w:tab/>
        <w:t xml:space="preserve">Final Decision, AusNet Services transmission determination 2017-2022 Attachment 3 - Rate or return, April 2017, p. 11. </w:t>
      </w:r>
    </w:p>
  </w:footnote>
  <w:footnote w:id="146">
    <w:p w:rsidR="00484671" w:rsidRDefault="00484671" w:rsidP="002715B8">
      <w:pPr>
        <w:pStyle w:val="FootnoteText"/>
      </w:pPr>
      <w:r>
        <w:rPr>
          <w:rStyle w:val="FootnoteReference"/>
        </w:rPr>
        <w:footnoteRef/>
      </w:r>
      <w:r>
        <w:t xml:space="preserve"> </w:t>
      </w:r>
      <w:r>
        <w:tab/>
      </w:r>
      <w:hyperlink r:id="rId8" w:history="1">
        <w:r w:rsidRPr="00841DC7">
          <w:rPr>
            <w:rStyle w:val="Hyperlink"/>
            <w:sz w:val="16"/>
          </w:rPr>
          <w:t>http://www.competitiontribunal.gov.au/current-matters/tribunal-documents/act-8-2016</w:t>
        </w:r>
      </w:hyperlink>
      <w:r>
        <w:t xml:space="preserve">; </w:t>
      </w:r>
      <w:hyperlink r:id="rId9" w:history="1">
        <w:r w:rsidRPr="00841DC7">
          <w:rPr>
            <w:rStyle w:val="Hyperlink"/>
            <w:sz w:val="16"/>
          </w:rPr>
          <w:t>http://www.competitiontribunal.gov.au/current-matters/tribunal-documents/act-6-2016</w:t>
        </w:r>
      </w:hyperlink>
      <w:r>
        <w:t xml:space="preserve">;  </w:t>
      </w:r>
    </w:p>
  </w:footnote>
  <w:footnote w:id="147">
    <w:p w:rsidR="00484671" w:rsidRPr="00D5405B" w:rsidRDefault="00484671" w:rsidP="00345EDF">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48">
    <w:p w:rsidR="00484671" w:rsidRDefault="00484671" w:rsidP="00345EDF">
      <w:pPr>
        <w:pStyle w:val="FootnoteText"/>
      </w:pPr>
      <w:r>
        <w:rPr>
          <w:rStyle w:val="FootnoteReference"/>
        </w:rPr>
        <w:footnoteRef/>
      </w:r>
      <w:r>
        <w:t xml:space="preserve"> </w:t>
      </w:r>
      <w:r>
        <w:tab/>
        <w:t xml:space="preserve">All the NSPs whose proposals we are currently assessing have proposed a gearing ratio consistent with the Guideline. </w:t>
      </w:r>
    </w:p>
  </w:footnote>
  <w:footnote w:id="149">
    <w:p w:rsidR="00484671" w:rsidRDefault="00484671" w:rsidP="00013867">
      <w:pPr>
        <w:pStyle w:val="FootnoteText"/>
        <w:ind w:left="0" w:firstLine="0"/>
      </w:pPr>
    </w:p>
  </w:footnote>
  <w:footnote w:id="150">
    <w:p w:rsidR="00484671" w:rsidRDefault="00484671" w:rsidP="00345EDF">
      <w:pPr>
        <w:pStyle w:val="FootnoteText"/>
      </w:pPr>
      <w:r>
        <w:rPr>
          <w:rStyle w:val="FootnoteReference"/>
        </w:rPr>
        <w:footnoteRef/>
      </w:r>
      <w:r>
        <w:t xml:space="preserve"> </w:t>
      </w:r>
      <w:r>
        <w:tab/>
        <w:t>NER, cl. 6.5.2(c); NER, cl. 6A.6.2(c); NGR, r. 87(3).</w:t>
      </w:r>
    </w:p>
  </w:footnote>
  <w:footnote w:id="151">
    <w:p w:rsidR="00484671" w:rsidRDefault="00484671" w:rsidP="00345EDF">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2">
    <w:p w:rsidR="00484671" w:rsidRDefault="00484671" w:rsidP="00345EDF">
      <w:pPr>
        <w:pStyle w:val="FootnoteText"/>
      </w:pPr>
      <w:r>
        <w:rPr>
          <w:rStyle w:val="FootnoteReference"/>
        </w:rPr>
        <w:footnoteRef/>
      </w:r>
      <w:r>
        <w:t xml:space="preserve"> </w:t>
      </w:r>
      <w:r>
        <w:tab/>
        <w:t>As set out in NER cl.6; NER cl. 6A; NGR.</w:t>
      </w:r>
    </w:p>
  </w:footnote>
  <w:footnote w:id="153">
    <w:p w:rsidR="00484671" w:rsidRDefault="00484671" w:rsidP="00345EDF">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4">
    <w:p w:rsidR="00484671" w:rsidRDefault="00484671" w:rsidP="00345EDF">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5">
    <w:p w:rsidR="00484671" w:rsidRDefault="00484671" w:rsidP="00345EDF">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6">
    <w:p w:rsidR="00484671" w:rsidRDefault="00484671" w:rsidP="00345EDF">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7">
    <w:p w:rsidR="00484671" w:rsidRDefault="00484671" w:rsidP="00D94CDE">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58">
    <w:p w:rsidR="00484671" w:rsidRDefault="00484671" w:rsidP="00345EDF">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rsidR="002C24D6">
        <w:t>B</w:t>
      </w:r>
      <w:r>
        <w:fldChar w:fldCharType="end"/>
      </w:r>
      <w:r>
        <w:t>.</w:t>
      </w:r>
    </w:p>
  </w:footnote>
  <w:footnote w:id="159">
    <w:p w:rsidR="00484671" w:rsidRDefault="00484671" w:rsidP="00CC7A1C">
      <w:pPr>
        <w:pStyle w:val="FootnoteText"/>
        <w:numPr>
          <w:ilvl w:val="0"/>
          <w:numId w:val="24"/>
        </w:numPr>
      </w:pPr>
      <w:r>
        <w:rPr>
          <w:rStyle w:val="FootnoteReference"/>
        </w:rPr>
        <w:footnoteRef/>
      </w:r>
      <w:r>
        <w:t xml:space="preserve"> </w:t>
      </w:r>
      <w:r>
        <w:tab/>
        <w:t>Calculated as: 7.2% = 2.6% + 0.7 * 6.</w:t>
      </w:r>
      <w:r w:rsidRPr="000A1A8C">
        <w:t>5%</w:t>
      </w:r>
      <w:r>
        <w:t xml:space="preserve">. For more information on the Sharpe-Lintner CAPM, see section </w:t>
      </w:r>
      <w:r>
        <w:fldChar w:fldCharType="begin"/>
      </w:r>
      <w:r>
        <w:instrText xml:space="preserve"> REF _Ref451414916 \r \h </w:instrText>
      </w:r>
      <w:r>
        <w:fldChar w:fldCharType="separate"/>
      </w:r>
      <w:r w:rsidR="002C24D6">
        <w:t>B</w:t>
      </w:r>
      <w:r>
        <w:fldChar w:fldCharType="end"/>
      </w:r>
      <w:r>
        <w:t>.</w:t>
      </w:r>
    </w:p>
  </w:footnote>
  <w:footnote w:id="160">
    <w:p w:rsidR="00484671" w:rsidRDefault="00484671">
      <w:pPr>
        <w:pStyle w:val="FootnoteText"/>
      </w:pPr>
      <w:r>
        <w:rPr>
          <w:rStyle w:val="FootnoteReference"/>
        </w:rPr>
        <w:footnoteRef/>
      </w:r>
      <w:r>
        <w:t xml:space="preserve"> </w:t>
      </w:r>
      <w:r>
        <w:tab/>
        <w:t xml:space="preserve">Service providers have consistently proposed the use of the Sharpe-Linter CAPM (either by itself or in combination with other equity models) for estimate the return on equity. For example, see </w:t>
      </w:r>
      <w:r w:rsidRPr="00D5642A">
        <w:t xml:space="preserve">CitiPower, </w:t>
      </w:r>
      <w:r w:rsidRPr="00D5642A">
        <w:rPr>
          <w:rStyle w:val="AERtextitalic"/>
        </w:rPr>
        <w:t>Revised Regulatory Proposal 2016</w:t>
      </w:r>
      <w:r w:rsidRPr="00D5642A">
        <w:rPr>
          <w:rStyle w:val="AERtextitalic"/>
        </w:rPr>
        <w:softHyphen/>
        <w:t>–2020</w:t>
      </w:r>
      <w:r w:rsidRPr="00D5642A">
        <w:t>, January 2016, p. 284</w:t>
      </w:r>
      <w:r>
        <w:t xml:space="preserve">; </w:t>
      </w:r>
      <w:r w:rsidRPr="00D5642A">
        <w:t xml:space="preserve">AusNet Services, </w:t>
      </w:r>
      <w:r w:rsidRPr="00D5642A">
        <w:rPr>
          <w:rStyle w:val="Emphasis"/>
        </w:rPr>
        <w:t>AusNet Transmission Group Pty Ltd Transmission revised revenue review 2017–22</w:t>
      </w:r>
      <w:r>
        <w:t>, 21 September 2016</w:t>
      </w:r>
      <w:r w:rsidRPr="00D5642A">
        <w:t>.</w:t>
      </w:r>
      <w:r>
        <w:t xml:space="preserve"> The current service providers have also proposed use of the Sharpe-Lintner CAPM as the foundation model for estimating the return on equity.</w:t>
      </w:r>
    </w:p>
    <w:p w:rsidR="00484671" w:rsidRDefault="00484671">
      <w:pPr>
        <w:pStyle w:val="FootnoteText"/>
      </w:pPr>
      <w:r>
        <w:tab/>
        <w:t xml:space="preserve">Consumer groups have either supported the use of the Sharpe-Lintner CAPM (through support for the Guideline foundation model approach) or have not opposed the use of the model. For example see: </w:t>
      </w:r>
      <w:r w:rsidRPr="004972C2">
        <w:t xml:space="preserve">Origin Energy, </w:t>
      </w:r>
      <w:r w:rsidRPr="004972C2">
        <w:rPr>
          <w:rStyle w:val="Emphasis"/>
        </w:rPr>
        <w:t>Submission on ActewAGL’s revised access arrangement for 2016–21</w:t>
      </w:r>
      <w:r w:rsidRPr="004972C2">
        <w:t xml:space="preserve">, 4 February 2016, p. 2; Origin Energy, </w:t>
      </w:r>
      <w:r w:rsidRPr="004972C2">
        <w:rPr>
          <w:rStyle w:val="Emphasis"/>
        </w:rPr>
        <w:t>Submission on AGN’s revised access arrangement for 2016–21</w:t>
      </w:r>
      <w:r w:rsidRPr="004972C2">
        <w:t xml:space="preserve">, February 2016; Victorian Government, </w:t>
      </w:r>
      <w:r w:rsidRPr="004972C2">
        <w:rPr>
          <w:rStyle w:val="Emphasis"/>
        </w:rPr>
        <w:t>Submission on the Victorian electricity distribution network service providers’ revised regulatory proposals for 2016–20</w:t>
      </w:r>
      <w:r w:rsidRPr="004972C2">
        <w:t xml:space="preserve">, 12 February 2016, p. 1–2; EUCV, </w:t>
      </w:r>
      <w:r w:rsidRPr="004972C2">
        <w:rPr>
          <w:rStyle w:val="Emphasis"/>
        </w:rPr>
        <w:t>A response to AusNet revenue reset proposal for the 2017–2022 period</w:t>
      </w:r>
      <w:r w:rsidRPr="004972C2">
        <w:t xml:space="preserve">, 9 February 2016; AGL, </w:t>
      </w:r>
      <w:r w:rsidRPr="004972C2">
        <w:rPr>
          <w:rStyle w:val="Emphasis"/>
        </w:rPr>
        <w:t>Submission on the AER’s draft decision on AGN’s 2016–21 access arrangement</w:t>
      </w:r>
      <w:r w:rsidRPr="004972C2">
        <w:t>, 4 February 2016, p. 2</w:t>
      </w:r>
      <w:r>
        <w:t xml:space="preserve">; CCP11, Victorian Gas Networks (AGN), </w:t>
      </w:r>
      <w:r w:rsidRPr="001D7859">
        <w:rPr>
          <w:rStyle w:val="AERtextitalic"/>
        </w:rPr>
        <w:t>AusNet Services and MultiNet: Supplementary Advice on the proposed Return on Equity by Victorian Gas Distribution Network Service Providers</w:t>
      </w:r>
      <w:r>
        <w:t xml:space="preserve">, 22 March 2017, p. 9; Origin Energy,  </w:t>
      </w:r>
      <w:r w:rsidRPr="001D7859">
        <w:rPr>
          <w:rStyle w:val="AERtextitalic"/>
        </w:rPr>
        <w:t>Victorian Gas Access Arrangement Review- 2018-22 Response to Gas Distribution Business’ proposals</w:t>
      </w:r>
      <w:r>
        <w:t xml:space="preserve">, 17 February 2017; </w:t>
      </w:r>
      <w:r w:rsidRPr="00136452">
        <w:t xml:space="preserve">Red and Lumo Energy, </w:t>
      </w:r>
      <w:r w:rsidRPr="001D7859">
        <w:rPr>
          <w:rStyle w:val="AERtextitalic"/>
        </w:rPr>
        <w:t>Re: Australian Gas Networks Access Arrangement</w:t>
      </w:r>
      <w:r w:rsidRPr="001D7859">
        <w:t>, 6 March 2017</w:t>
      </w:r>
      <w:r>
        <w:t>.</w:t>
      </w:r>
    </w:p>
  </w:footnote>
  <w:footnote w:id="161">
    <w:p w:rsidR="00484671" w:rsidRDefault="00484671" w:rsidP="00345EDF">
      <w:pPr>
        <w:pStyle w:val="FootnoteText"/>
      </w:pPr>
      <w:r>
        <w:rPr>
          <w:rStyle w:val="FootnoteReference"/>
        </w:rPr>
        <w:footnoteRef/>
      </w:r>
      <w:r>
        <w:t xml:space="preserve"> </w:t>
      </w:r>
      <w:r>
        <w:tab/>
        <w:t xml:space="preserve">Confidential Appendix </w:t>
      </w:r>
      <w:r>
        <w:fldChar w:fldCharType="begin"/>
      </w:r>
      <w:r>
        <w:instrText xml:space="preserve"> REF _Ref484680127 \r \h </w:instrText>
      </w:r>
      <w:r>
        <w:fldChar w:fldCharType="separate"/>
      </w:r>
      <w:r w:rsidR="002C24D6">
        <w:t>0</w:t>
      </w:r>
      <w:r>
        <w:fldChar w:fldCharType="end"/>
      </w:r>
      <w:r>
        <w:t xml:space="preserve"> sets out the averaging period used in this decision.</w:t>
      </w:r>
    </w:p>
  </w:footnote>
  <w:footnote w:id="162">
    <w:p w:rsidR="00484671" w:rsidRDefault="00484671">
      <w:pPr>
        <w:pStyle w:val="FootnoteText"/>
      </w:pPr>
      <w:r>
        <w:rPr>
          <w:rStyle w:val="FootnoteReference"/>
        </w:rPr>
        <w:footnoteRef/>
      </w:r>
      <w:r>
        <w:t xml:space="preserve"> </w:t>
      </w:r>
      <w:r>
        <w:tab/>
        <w:t>User submissions sometimes do not specifically mention the use of the dividend growth model. However, they generally propose a market risk premiums of 6.5 per cent or less which would be based on the use of historical returns (at least) and, to a lesser extent, the dividend growth model.</w:t>
      </w:r>
    </w:p>
  </w:footnote>
  <w:footnote w:id="163">
    <w:p w:rsidR="00484671" w:rsidRDefault="00484671">
      <w:pPr>
        <w:pStyle w:val="FootnoteText"/>
      </w:pPr>
      <w:r>
        <w:rPr>
          <w:rStyle w:val="FootnoteReference"/>
        </w:rPr>
        <w:footnoteRef/>
      </w:r>
      <w:r>
        <w:t xml:space="preserve"> </w:t>
      </w:r>
      <w:r>
        <w:tab/>
        <w:t>Where consumers groups have submitted specifically on how the beta should be estimated, they have generally proposed that the equity beta should be set with reference to empirical estimates from Olan Henry's 2014 study for the AER.</w:t>
      </w:r>
    </w:p>
  </w:footnote>
  <w:footnote w:id="164">
    <w:p w:rsidR="00484671" w:rsidRDefault="00484671" w:rsidP="00D44830">
      <w:pPr>
        <w:pStyle w:val="FootnoteText"/>
      </w:pPr>
      <w:r>
        <w:rPr>
          <w:rStyle w:val="FootnoteReference"/>
        </w:rPr>
        <w:footnoteRef/>
      </w:r>
      <w:r>
        <w:t xml:space="preserve"> </w:t>
      </w:r>
      <w:r>
        <w:tab/>
        <w:t xml:space="preserve">Multinet Gas, </w:t>
      </w:r>
      <w:r w:rsidRPr="00013867">
        <w:rPr>
          <w:rStyle w:val="AERtextitalic"/>
        </w:rPr>
        <w:t>Rate of Return Overview</w:t>
      </w:r>
      <w:r>
        <w:t xml:space="preserve">, 16 December 2016, pp. 29–30; AusNet Services, </w:t>
      </w:r>
      <w:r w:rsidRPr="00013867">
        <w:rPr>
          <w:rStyle w:val="AERtextitalic"/>
        </w:rPr>
        <w:t>Gas Access Arrangement Review 2018–2022: Access Arrangement Information</w:t>
      </w:r>
      <w:r>
        <w:t xml:space="preserve">, 16 December 2016, pp. 198–202 ; APA VTS, </w:t>
      </w:r>
      <w:r w:rsidRPr="00013867">
        <w:rPr>
          <w:rStyle w:val="AERtextitalic"/>
        </w:rPr>
        <w:t>Victoraian transmission system access arrangement submission</w:t>
      </w:r>
      <w:r>
        <w:t>, 3 January 2017, pp. 144–173; ; APTPPL, 2017 - 2022 RBP Access Arrangement revision submission, 16 September, 2016, pp. 143–158.</w:t>
      </w:r>
    </w:p>
    <w:p w:rsidR="00484671" w:rsidRDefault="00484671" w:rsidP="00D44830">
      <w:pPr>
        <w:pStyle w:val="FootnoteText"/>
      </w:pPr>
      <w:r>
        <w:tab/>
      </w:r>
      <w:r w:rsidRPr="004972C2">
        <w:t xml:space="preserve">For </w:t>
      </w:r>
      <w:r>
        <w:t xml:space="preserve">previous regulatory processes, see for </w:t>
      </w:r>
      <w:r w:rsidRPr="004972C2">
        <w:t xml:space="preserve">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5">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29–30; AusNet Services, </w:t>
      </w:r>
      <w:r w:rsidRPr="000C05A5">
        <w:rPr>
          <w:rStyle w:val="AERtextitalic"/>
        </w:rPr>
        <w:t>Gas Access Arrangement Review 2018–2022: Access Arrangement Information</w:t>
      </w:r>
      <w:r>
        <w:t xml:space="preserve">, 16 December 2016, p. 199. </w:t>
      </w:r>
    </w:p>
    <w:p w:rsidR="00484671" w:rsidRDefault="00484671">
      <w:pPr>
        <w:pStyle w:val="FootnoteText"/>
      </w:pPr>
      <w:r>
        <w:tab/>
      </w:r>
      <w:r w:rsidRPr="004972C2">
        <w:t xml:space="preserve">For </w:t>
      </w:r>
      <w:r>
        <w:t>previous regulatory processes, see f</w:t>
      </w:r>
      <w:r w:rsidRPr="004972C2">
        <w:t xml:space="preserve">or 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6">
    <w:p w:rsidR="00484671" w:rsidRDefault="00484671" w:rsidP="003E3001">
      <w:pPr>
        <w:pStyle w:val="FootnoteText"/>
      </w:pPr>
      <w:r>
        <w:rPr>
          <w:rStyle w:val="FootnoteReference"/>
        </w:rPr>
        <w:footnoteRef/>
      </w:r>
      <w:r>
        <w:t xml:space="preserve"> </w:t>
      </w:r>
      <w:r>
        <w:tab/>
      </w:r>
      <w:r w:rsidRPr="00F17EB3">
        <w:t xml:space="preserve">CCP (subpanel 5), </w:t>
      </w:r>
      <w:r w:rsidRPr="00D24089">
        <w:rPr>
          <w:rStyle w:val="AERtextitalic"/>
        </w:rPr>
        <w:t>Response to AER draft decision on AusNet Services transmission revenue review</w:t>
      </w:r>
      <w:r w:rsidRPr="00F17EB3">
        <w:t xml:space="preserve">, September 2016, p. 20 </w:t>
      </w:r>
      <w:r>
        <w:t xml:space="preserve">; CCP (subpanel 5), </w:t>
      </w:r>
      <w:r w:rsidRPr="00D24089">
        <w:rPr>
          <w:rStyle w:val="AERtextitalic"/>
        </w:rPr>
        <w:t>Submission on AusNet transmission revised proposal</w:t>
      </w:r>
      <w:r w:rsidRPr="00F17EB3">
        <w:t xml:space="preserve">, </w:t>
      </w:r>
      <w:r>
        <w:t xml:space="preserve">October 2016, p. 8-9;; </w:t>
      </w:r>
      <w:r w:rsidRPr="00352220">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 Cotton Australia, </w:t>
      </w:r>
      <w:r w:rsidRPr="005E5104">
        <w:rPr>
          <w:rStyle w:val="AERtextitalic"/>
        </w:rPr>
        <w:t>Re: AER Draft Decision–Powerlink Electricity transmission revised revenue proposal 2017–2022</w:t>
      </w:r>
      <w:r>
        <w:t xml:space="preserve">, 22 December 2016; Queensland farmers’ federation, </w:t>
      </w:r>
      <w:r w:rsidRPr="005E5104">
        <w:rPr>
          <w:rStyle w:val="AERtextitalic"/>
        </w:rPr>
        <w:t>Re: Response on Australian Energy Regulator (AER) Draft Decision on Powerlink ‘s revenue proposal for the 2017/18 –2021/22 regulatory period</w:t>
      </w:r>
      <w:r>
        <w:t xml:space="preserve">, 30 November 2016;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25 November 2016,</w:t>
      </w:r>
      <w:r>
        <w:t xml:space="preserve"> p. 28;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12 December 2016, p. 31</w:t>
      </w:r>
      <w:r>
        <w:t xml:space="preserve">; Red and Lumo Energy, </w:t>
      </w:r>
      <w:r w:rsidRPr="003E3001">
        <w:t>Re: Australian Gas Networks Access Arrangement, 6 March 2017</w:t>
      </w:r>
      <w:r>
        <w:t>; Origin Energy, V</w:t>
      </w:r>
      <w:r w:rsidRPr="003E3001">
        <w:t xml:space="preserve">ictorian Gas Access </w:t>
      </w:r>
      <w:r>
        <w:t xml:space="preserve"> </w:t>
      </w:r>
      <w:r w:rsidRPr="003E3001">
        <w:t>arrangement Review- 2018-22 Response to Gas Distribution Business’ proposals, 17 February 2017</w:t>
      </w:r>
      <w:r>
        <w:t>; CCP11, Victorian Gas Networks (AGN), AusNet Services and MultiNet: Supplementary Advice on the proposed Return on Equity by Victorian Gas Distribution Network Service Providers, 22 March 2017;</w:t>
      </w:r>
      <w:r w:rsidRPr="003E3001">
        <w:t xml:space="preserve"> </w:t>
      </w:r>
      <w:r>
        <w:t xml:space="preserve">CCP11, Victorian Gas Networks (AGN), AusNet Services and MultiNet: Supplementary Advice on the proposed Return on Equity by Victorian Gas Distribution Network Service Providers, 22 March 2017, p. 9.  </w:t>
      </w:r>
    </w:p>
  </w:footnote>
  <w:footnote w:id="167">
    <w:p w:rsidR="00484671" w:rsidRDefault="00484671" w:rsidP="00180347">
      <w:pPr>
        <w:pStyle w:val="FootnoteText"/>
      </w:pPr>
      <w:r>
        <w:rPr>
          <w:rStyle w:val="FootnoteReference"/>
        </w:rPr>
        <w:footnoteRef/>
      </w:r>
      <w:r>
        <w:t xml:space="preserve"> </w:t>
      </w:r>
      <w:r>
        <w:tab/>
        <w:t>CCP (subpanel 5</w:t>
      </w:r>
      <w:r w:rsidRPr="005E5104">
        <w:rPr>
          <w:rStyle w:val="AERtextitalic"/>
        </w:rPr>
        <w:t>), Transmission for the Generations III–Response to: Revised revenue proposal by AusNet Services for Transmission Revenue Review 2017–22</w:t>
      </w:r>
      <w:r>
        <w:t xml:space="preserve">, October 2016, pp. 9–11; CCP (subpanel 5), </w:t>
      </w:r>
      <w:r w:rsidRPr="005E5104">
        <w:rPr>
          <w:rStyle w:val="AERtextitalic"/>
        </w:rPr>
        <w:t>Transmission for the Generations III–Response to: AER draft decision for AusNet Services’ Transmission Revenue Review 2017–22</w:t>
      </w:r>
      <w:r>
        <w:t xml:space="preserve">, October 2016, pp. 20–21; CCP4 (Hugh Grant), </w:t>
      </w:r>
      <w:r w:rsidRPr="0063500D">
        <w:rPr>
          <w:rStyle w:val="Emphasis"/>
        </w:rPr>
        <w:t>Submission on Powerlink draft decision and revised proposal</w:t>
      </w:r>
      <w:r>
        <w:t xml:space="preserve">, 23 December 2016, pp. 5 &amp; 39-42; CCP4 (David Headberry), </w:t>
      </w:r>
      <w:r w:rsidRPr="0063500D">
        <w:rPr>
          <w:rStyle w:val="Emphasis"/>
        </w:rPr>
        <w:t>Submission on Powerlink draft decision and revised proposal</w:t>
      </w:r>
      <w:r>
        <w:t xml:space="preserve">, 23 December 2016, P21; CCP4 (Hugh Grant and David Headberry),  </w:t>
      </w:r>
      <w:r w:rsidRPr="005E5104">
        <w:rPr>
          <w:rStyle w:val="AERtextitalic"/>
        </w:rPr>
        <w:t>Submission to the AER, Powerlink Queensland 2018-22 revenue proposal</w:t>
      </w:r>
      <w:r>
        <w:t xml:space="preserve">, June 2016, pp. 45-6; </w:t>
      </w:r>
      <w:r w:rsidRPr="00180347">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5E5104">
        <w:rPr>
          <w:rStyle w:val="AERtextitalic"/>
        </w:rPr>
        <w:t>Submission to the AER: AER draft 2018–22 revenue decision Powerlink revised 208–22 revenue proposal</w:t>
      </w:r>
      <w:r>
        <w:t xml:space="preserve">, 23 December 2016, pp. 44–47; </w:t>
      </w:r>
    </w:p>
  </w:footnote>
  <w:footnote w:id="168">
    <w:p w:rsidR="00484671" w:rsidRDefault="00484671" w:rsidP="0087773E">
      <w:pPr>
        <w:pStyle w:val="FootnoteText"/>
      </w:pPr>
      <w:r>
        <w:rPr>
          <w:rStyle w:val="FootnoteReference"/>
        </w:rPr>
        <w:footnoteRef/>
      </w:r>
      <w:r>
        <w:t xml:space="preserve"> </w:t>
      </w:r>
      <w:r>
        <w:tab/>
        <w:t>The multi-model approach estimates a return on equity by combining estimates from four equity models: Sharpe–Lintner, Black, Fama–French and Wright.</w:t>
      </w:r>
    </w:p>
  </w:footnote>
  <w:footnote w:id="169">
    <w:p w:rsidR="00484671" w:rsidRDefault="00484671" w:rsidP="0087773E">
      <w:pPr>
        <w:pStyle w:val="FootnoteText"/>
      </w:pPr>
      <w:r>
        <w:rPr>
          <w:rStyle w:val="FootnoteReference"/>
        </w:rPr>
        <w:footnoteRef/>
      </w:r>
      <w:r>
        <w:t xml:space="preserve"> </w:t>
      </w:r>
      <w:r>
        <w:tab/>
        <w:t>For example, AusGrid proposed a multi-model approach for estimating the return on equity in its distribution revenue proposal for the 2014–2019 regulatory period.</w:t>
      </w:r>
    </w:p>
  </w:footnote>
  <w:footnote w:id="170">
    <w:p w:rsidR="00484671" w:rsidRDefault="00484671" w:rsidP="0087773E">
      <w:pPr>
        <w:pStyle w:val="FootnoteText"/>
      </w:pPr>
      <w:r>
        <w:rPr>
          <w:rStyle w:val="FootnoteReference"/>
        </w:rPr>
        <w:footnoteRef/>
      </w:r>
      <w:r>
        <w:t xml:space="preserve"> </w:t>
      </w:r>
      <w:r>
        <w:tab/>
        <w:t>Australian Competition Tribunal, A</w:t>
      </w:r>
      <w:r w:rsidRPr="005E5104">
        <w:rPr>
          <w:rStyle w:val="AERtextitalic"/>
        </w:rPr>
        <w:t>pplications by Public Interest Advocacy Centre Ltd and Ausgrid [2016] ACompT 1</w:t>
      </w:r>
      <w:r>
        <w:t>, 26 February 2016.</w:t>
      </w:r>
    </w:p>
  </w:footnote>
  <w:footnote w:id="171">
    <w:p w:rsidR="00484671" w:rsidRDefault="00484671" w:rsidP="00F15B77">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AusNet Services, </w:t>
      </w:r>
      <w:r w:rsidRPr="000C05A5">
        <w:rPr>
          <w:rStyle w:val="AERtextitalic"/>
        </w:rPr>
        <w:t>Gas Access Arrangement Review 2018–2022: Access Arrangement Information</w:t>
      </w:r>
      <w:r>
        <w:t xml:space="preserve">, 16 December 2016; APA VTS, </w:t>
      </w:r>
      <w:r w:rsidRPr="000C05A5">
        <w:rPr>
          <w:rStyle w:val="AERtextitalic"/>
        </w:rPr>
        <w:t>Victoraian transmission system access arrangement submission</w:t>
      </w:r>
      <w:r>
        <w:t xml:space="preserve">, 3 January 2017; APTPPL, </w:t>
      </w:r>
      <w:r w:rsidRPr="00013867">
        <w:rPr>
          <w:rStyle w:val="AERtextitalic"/>
        </w:rPr>
        <w:t>2017 - 2022 RBP Access Arrangement revision submission</w:t>
      </w:r>
      <w:r>
        <w:t>, 16 September, 2016; AGN, Final Plan Attachment 10.1: Financing Costs, December 2016.</w:t>
      </w:r>
    </w:p>
  </w:footnote>
  <w:footnote w:id="172">
    <w:p w:rsidR="00484671" w:rsidRDefault="00484671" w:rsidP="00CF13CB">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188; AGN, Final Plan Attachment 10.1: Financing Costs, December 2016; APA VTS, </w:t>
      </w:r>
      <w:r w:rsidRPr="000C05A5">
        <w:rPr>
          <w:rStyle w:val="AERtextitalic"/>
        </w:rPr>
        <w:t>Victoraian transmission system access arrangement submission</w:t>
      </w:r>
      <w:r>
        <w:t xml:space="preserve">, 3 January 2017; APTPPL, </w:t>
      </w:r>
      <w:r w:rsidRPr="001D7859">
        <w:rPr>
          <w:rStyle w:val="AERtextitalic"/>
        </w:rPr>
        <w:t>2017 - 2022 RBP Access Arrangement revision submission</w:t>
      </w:r>
      <w:r>
        <w:t>, 16 September, 2016.</w:t>
      </w:r>
    </w:p>
  </w:footnote>
  <w:footnote w:id="173">
    <w:p w:rsidR="00484671" w:rsidRDefault="00484671" w:rsidP="005D04E2">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188; AGN, Final Plan Attachment 10.1: Financing Costs, December 2016; APA VTS, </w:t>
      </w:r>
      <w:r w:rsidRPr="000C05A5">
        <w:rPr>
          <w:rStyle w:val="AERtextitalic"/>
        </w:rPr>
        <w:t>Victoraian transmission system access arrangement submission</w:t>
      </w:r>
      <w:r>
        <w:t xml:space="preserve">, 3 January 2017; APTPPL, </w:t>
      </w:r>
      <w:r w:rsidRPr="001D7859">
        <w:rPr>
          <w:rStyle w:val="AERtextitalic"/>
        </w:rPr>
        <w:t>2017 - 2022 RBP Access Arrangement revision submission</w:t>
      </w:r>
      <w:r>
        <w:t>, 16 September, 2016.</w:t>
      </w:r>
    </w:p>
  </w:footnote>
  <w:footnote w:id="174">
    <w:p w:rsidR="00484671" w:rsidRDefault="00484671">
      <w:pPr>
        <w:pStyle w:val="FootnoteText"/>
      </w:pPr>
      <w:r>
        <w:rPr>
          <w:rStyle w:val="FootnoteReference"/>
        </w:rPr>
        <w:footnoteRef/>
      </w:r>
      <w:r>
        <w:t xml:space="preserve"> </w:t>
      </w:r>
      <w:r>
        <w:tab/>
        <w:t xml:space="preserve">AGN and AusNet Services submitted a September 2016 version of the report: CEG, </w:t>
      </w:r>
      <w:r w:rsidRPr="00013867">
        <w:rPr>
          <w:rStyle w:val="AERtextitalic"/>
        </w:rPr>
        <w:t>Replication and extension of Henry's beta analysis</w:t>
      </w:r>
      <w:r>
        <w:t xml:space="preserve">, September 2016. Multinet submitted a November 2016 version of the report: CEG, </w:t>
      </w:r>
      <w:r w:rsidRPr="00013867">
        <w:rPr>
          <w:rStyle w:val="AERtextitalic"/>
        </w:rPr>
        <w:t>Replication and extension of Henry's beta analysis</w:t>
      </w:r>
      <w:r>
        <w:t xml:space="preserve">, November 2016; </w:t>
      </w:r>
    </w:p>
  </w:footnote>
  <w:footnote w:id="175">
    <w:p w:rsidR="00484671" w:rsidRDefault="00484671">
      <w:pPr>
        <w:pStyle w:val="FootnoteText"/>
      </w:pPr>
      <w:r>
        <w:rPr>
          <w:rStyle w:val="FootnoteReference"/>
        </w:rPr>
        <w:footnoteRef/>
      </w:r>
      <w:r>
        <w:t xml:space="preserve"> </w:t>
      </w:r>
      <w:r>
        <w:tab/>
        <w:t xml:space="preserve">APA VTS, </w:t>
      </w:r>
      <w:r w:rsidRPr="000C05A5">
        <w:rPr>
          <w:rStyle w:val="AERtextitalic"/>
        </w:rPr>
        <w:t>Victoraian transmission system access arrangement submission</w:t>
      </w:r>
      <w:r>
        <w:t xml:space="preserve">, 3 January 2017, p. 163; APTPPL, </w:t>
      </w:r>
      <w:r w:rsidRPr="00013867">
        <w:rPr>
          <w:rStyle w:val="AERtextitalic"/>
        </w:rPr>
        <w:t>2017 - 2022 RBP Access Arrangement revision submission</w:t>
      </w:r>
      <w:r>
        <w:t>, 16 September 2016, p. 157.</w:t>
      </w:r>
    </w:p>
  </w:footnote>
  <w:footnote w:id="176">
    <w:p w:rsidR="00484671" w:rsidRDefault="00484671">
      <w:pPr>
        <w:pStyle w:val="FootnoteText"/>
      </w:pPr>
      <w:r>
        <w:rPr>
          <w:rStyle w:val="FootnoteReference"/>
        </w:rPr>
        <w:footnoteRef/>
      </w:r>
      <w:r>
        <w:t xml:space="preserve"> </w:t>
      </w:r>
      <w:r>
        <w:tab/>
        <w:t xml:space="preserve">The difference is driven by the different indicative risk free rates in the proposals. Both service providers proposed the same methodology for estimating the market risk premium. APA VTS, </w:t>
      </w:r>
      <w:r w:rsidRPr="000C05A5">
        <w:rPr>
          <w:rStyle w:val="AERtextitalic"/>
        </w:rPr>
        <w:t>Victoraian transmission system access arrangement submission</w:t>
      </w:r>
      <w:r>
        <w:t xml:space="preserve">, 3 January 2017, p. 163; APTPPL, </w:t>
      </w:r>
      <w:r w:rsidRPr="00793AD5">
        <w:rPr>
          <w:rStyle w:val="AERtextitalic"/>
        </w:rPr>
        <w:t>2017 - 2022 RBP Access Arrangement revision submission</w:t>
      </w:r>
      <w:r>
        <w:t xml:space="preserve">, 16 September 2016, p. 157. </w:t>
      </w:r>
    </w:p>
  </w:footnote>
  <w:footnote w:id="177">
    <w:p w:rsidR="00484671" w:rsidRDefault="00484671" w:rsidP="00CF13CB">
      <w:pPr>
        <w:pStyle w:val="FootnoteText"/>
      </w:pPr>
      <w:r>
        <w:rPr>
          <w:rStyle w:val="FootnoteReference"/>
        </w:rPr>
        <w:footnoteRef/>
      </w:r>
      <w:r>
        <w:t xml:space="preserve"> </w:t>
      </w:r>
      <w:r>
        <w:tab/>
        <w:t>We received many stakeholder submissions supporting our guideline approach including:</w:t>
      </w:r>
      <w:r w:rsidRPr="00D40AFA">
        <w:t xml:space="preserve">; CCP4 (David Headberry), </w:t>
      </w:r>
      <w:r w:rsidRPr="005E5104">
        <w:rPr>
          <w:rStyle w:val="AERtextitalic"/>
        </w:rPr>
        <w:t>Response to the AER Draft Decision and Revised Proposal to Powerlink's electricity transmission network for a revenue reset for the 2017-2019 regulatory period</w:t>
      </w:r>
      <w:r w:rsidRPr="00D40AFA">
        <w:t xml:space="preserve">, 19 December 2016, p. 2; Cotton Australia, </w:t>
      </w:r>
      <w:r w:rsidRPr="005E5104">
        <w:rPr>
          <w:rStyle w:val="AERtextitalic"/>
        </w:rPr>
        <w:t>Re: AER Draft Decision–Powerlink Electricity transmission revised revenue proposal 2017–2022</w:t>
      </w:r>
      <w:r w:rsidRPr="00D40AFA">
        <w:t xml:space="preserve">, 22 December 2016; Queensland farmers’ federation, </w:t>
      </w:r>
      <w:r w:rsidRPr="005E5104">
        <w:rPr>
          <w:rStyle w:val="AERtextitalic"/>
        </w:rPr>
        <w:t>Re: Response on Australian Energy Regulator (AER) Draft Decision on Powerlink ‘s revenue proposal for the 2017/18 –2021/22 regulatory period</w:t>
      </w:r>
      <w:r w:rsidRPr="00D40AFA">
        <w:t xml:space="preserve">, 30 November 2016;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xml:space="preserve">, 25 November 2016, p. 28;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12 December 2016, p. 31</w:t>
      </w:r>
      <w:r>
        <w:t xml:space="preserve">; CCP11, Victorian Gas Networks (AGN), </w:t>
      </w:r>
      <w:r w:rsidRPr="001D7859">
        <w:rPr>
          <w:rStyle w:val="AERtextitalic"/>
        </w:rPr>
        <w:t>AusNet Services and MultiNet: Supplementary Advice on the proposed Return on Equity by Victorian Gas Distribution Network Service Providers</w:t>
      </w:r>
      <w:r>
        <w:t xml:space="preserve">, 22 March 2017, p. 9; Origin Energy,  </w:t>
      </w:r>
      <w:r w:rsidRPr="001D7859">
        <w:rPr>
          <w:rStyle w:val="AERtextitalic"/>
        </w:rPr>
        <w:t>Victorian Gas Access Arrangement Review- 2018-22 Response to Gas Distribution Business’ proposals</w:t>
      </w:r>
      <w:r>
        <w:t xml:space="preserve">, 17 February 2017; </w:t>
      </w:r>
      <w:r w:rsidRPr="00136452">
        <w:t xml:space="preserve">Red and Lumo Energy, </w:t>
      </w:r>
      <w:r w:rsidRPr="001D7859">
        <w:rPr>
          <w:rStyle w:val="AERtextitalic"/>
        </w:rPr>
        <w:t>Re: Australian Gas Networks Access Arrangement</w:t>
      </w:r>
      <w:r w:rsidRPr="001D7859">
        <w:t>, 6 March 2017</w:t>
      </w:r>
      <w:r>
        <w:t>.</w:t>
      </w:r>
    </w:p>
  </w:footnote>
  <w:footnote w:id="178">
    <w:p w:rsidR="00484671" w:rsidRDefault="00484671">
      <w:pPr>
        <w:pStyle w:val="FootnoteText"/>
      </w:pPr>
      <w:r>
        <w:rPr>
          <w:rStyle w:val="FootnoteReference"/>
        </w:rPr>
        <w:footnoteRef/>
      </w:r>
      <w:r>
        <w:t xml:space="preserve"> </w:t>
      </w:r>
      <w:r>
        <w:tab/>
        <w:t xml:space="preserve">AER, </w:t>
      </w:r>
      <w:r w:rsidRPr="005E5104">
        <w:rPr>
          <w:rStyle w:val="AERtextitalic"/>
        </w:rPr>
        <w:t>Final decision SA Power Networks determination 2015–16 to 2019–20: Attachment 3–Rate of return</w:t>
      </w:r>
      <w:r>
        <w:t>, October 2015, pp. 43–106.</w:t>
      </w:r>
    </w:p>
  </w:footnote>
  <w:footnote w:id="179">
    <w:p w:rsidR="00484671" w:rsidRDefault="00484671">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80">
    <w:p w:rsidR="00484671" w:rsidRDefault="00484671">
      <w:pPr>
        <w:pStyle w:val="FootnoteText"/>
      </w:pPr>
      <w:r>
        <w:rPr>
          <w:rStyle w:val="FootnoteReference"/>
        </w:rPr>
        <w:footnoteRef/>
      </w:r>
      <w:r>
        <w:t xml:space="preserve"> </w:t>
      </w:r>
      <w:r>
        <w:tab/>
        <w:t>As set out in NER cl.6; NER cl. 6A; NGR</w:t>
      </w:r>
    </w:p>
  </w:footnote>
  <w:footnote w:id="181">
    <w:p w:rsidR="00484671" w:rsidRDefault="00484671">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sidRPr="00D60AEA">
        <w:t>–</w:t>
      </w:r>
      <w:r>
        <w:t>13.</w:t>
      </w:r>
    </w:p>
  </w:footnote>
  <w:footnote w:id="182">
    <w:p w:rsidR="00484671" w:rsidRDefault="00484671">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3">
    <w:p w:rsidR="00484671" w:rsidRDefault="00484671" w:rsidP="00D60AEA">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84">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14–26.</w:t>
      </w:r>
    </w:p>
  </w:footnote>
  <w:footnote w:id="185">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86">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187">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188">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19.</w:t>
      </w:r>
    </w:p>
  </w:footnote>
  <w:footnote w:id="189">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23–26.</w:t>
      </w:r>
    </w:p>
  </w:footnote>
  <w:footnote w:id="190">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1">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2">
    <w:p w:rsidR="00484671" w:rsidRDefault="00484671" w:rsidP="00CE6F2A">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November 2016.</w:t>
      </w:r>
    </w:p>
  </w:footnote>
  <w:footnote w:id="193">
    <w:p w:rsidR="00484671" w:rsidRDefault="0048467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194">
    <w:p w:rsidR="00484671" w:rsidRDefault="00484671" w:rsidP="00CE6F2A">
      <w:pPr>
        <w:pStyle w:val="FootnoteText"/>
      </w:pPr>
      <w:r>
        <w:rPr>
          <w:rStyle w:val="FootnoteReference"/>
        </w:rPr>
        <w:footnoteRef/>
      </w:r>
      <w:r>
        <w:t xml:space="preserve"> </w:t>
      </w:r>
      <w:r>
        <w:tab/>
        <w:t>Partington and Satchell, Report to the AER: Discussion of submissions on the cost of equity, 8 June 2017, p. 8, 41.</w:t>
      </w:r>
    </w:p>
  </w:footnote>
  <w:footnote w:id="195">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13.</w:t>
      </w:r>
    </w:p>
  </w:footnote>
  <w:footnote w:id="196">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7">
    <w:p w:rsidR="00484671" w:rsidRDefault="00484671" w:rsidP="00CE6F2A">
      <w:pPr>
        <w:pStyle w:val="FootnoteText"/>
      </w:pPr>
      <w:r>
        <w:rPr>
          <w:rStyle w:val="FootnoteReference"/>
        </w:rPr>
        <w:footnoteRef/>
      </w:r>
      <w:r>
        <w:t xml:space="preserve"> </w:t>
      </w:r>
      <w:r>
        <w:tab/>
        <w:t>We consider a benchmark efficient entity would have an equity beta less than one because it would be relatively shielded from risks (such as demand risk).</w:t>
      </w:r>
    </w:p>
  </w:footnote>
  <w:footnote w:id="198">
    <w:p w:rsidR="00484671" w:rsidRDefault="00484671" w:rsidP="00CE6F2A">
      <w:pPr>
        <w:pStyle w:val="FootnoteText"/>
      </w:pPr>
      <w:r>
        <w:rPr>
          <w:rStyle w:val="FootnoteReference"/>
        </w:rPr>
        <w:footnoteRef/>
      </w:r>
      <w:r>
        <w:t xml:space="preserve"> </w:t>
      </w:r>
      <w:r>
        <w:tab/>
        <w:t xml:space="preserve">AER, </w:t>
      </w:r>
      <w:r w:rsidRPr="001D7859">
        <w:rPr>
          <w:rStyle w:val="AERtextitalic"/>
        </w:rPr>
        <w:t>Better Regulation Explanatory Statement Rate of Return Guideline</w:t>
      </w:r>
      <w:r>
        <w:t>, December 2013, p. 88.</w:t>
      </w:r>
    </w:p>
  </w:footnote>
  <w:footnote w:id="199">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 Australian Competition Tribunal, a</w:t>
      </w:r>
      <w:r w:rsidRPr="008405A1">
        <w:rPr>
          <w:rStyle w:val="AERtextitalic"/>
        </w:rPr>
        <w:t>pplications by Public Interest Advocacy Centre Ltd and Ausgrid [2016] ACompT 1</w:t>
      </w:r>
      <w:r>
        <w:t>, 26 February 2016, paragraph 749, 779.</w:t>
      </w:r>
    </w:p>
  </w:footnote>
  <w:footnote w:id="200">
    <w:p w:rsidR="00484671" w:rsidRDefault="00484671" w:rsidP="00CE6F2A">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26 February 201,6 paragraph 749, 779.</w:t>
      </w:r>
    </w:p>
  </w:footnote>
  <w:footnote w:id="201">
    <w:p w:rsidR="00484671" w:rsidRDefault="00484671" w:rsidP="00CE6F2A">
      <w:pPr>
        <w:pStyle w:val="FootnoteText"/>
      </w:pPr>
      <w:r>
        <w:rPr>
          <w:rStyle w:val="FootnoteReference"/>
        </w:rPr>
        <w:footnoteRef/>
      </w:r>
      <w:r>
        <w:t xml:space="preserve"> </w:t>
      </w:r>
      <w:r>
        <w:tab/>
        <w:t>We consider a benchmark efficient entity would have an equity beta less than one because it would be relatively shielded from risks (such as demand risk).</w:t>
      </w:r>
    </w:p>
  </w:footnote>
  <w:footnote w:id="202">
    <w:p w:rsidR="00484671" w:rsidRDefault="00484671" w:rsidP="00CE6F2A">
      <w:pPr>
        <w:pStyle w:val="FootnoteText"/>
      </w:pPr>
      <w:r>
        <w:rPr>
          <w:rStyle w:val="FootnoteReference"/>
        </w:rPr>
        <w:footnoteRef/>
      </w:r>
      <w:r>
        <w:t xml:space="preserve"> </w:t>
      </w:r>
      <w:r>
        <w:tab/>
        <w:t xml:space="preserve">AER, </w:t>
      </w:r>
      <w:r w:rsidRPr="00013867">
        <w:rPr>
          <w:rStyle w:val="AERtextitalic"/>
        </w:rPr>
        <w:t>Better Regulation Explanatory Statement Rate of Return Guideline</w:t>
      </w:r>
      <w:r>
        <w:t>, December 2013, p. 88.</w:t>
      </w:r>
    </w:p>
  </w:footnote>
  <w:footnote w:id="203">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04">
    <w:p w:rsidR="00484671" w:rsidRDefault="00484671" w:rsidP="00CE6F2A">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205">
    <w:p w:rsidR="00484671" w:rsidRDefault="00484671" w:rsidP="00CE6F2A">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206">
    <w:p w:rsidR="00484671" w:rsidRDefault="00484671" w:rsidP="00CE6F2A">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207">
    <w:p w:rsidR="00484671" w:rsidRDefault="00484671" w:rsidP="00CE6F2A">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208">
    <w:p w:rsidR="00484671" w:rsidRDefault="00484671" w:rsidP="00CE6F2A">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209">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0">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1">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2">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29–30.</w:t>
      </w:r>
    </w:p>
  </w:footnote>
  <w:footnote w:id="213">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Cost of equity issues 2016 electricity and gas determinations</w:t>
      </w:r>
      <w:r w:rsidRPr="00387DCE">
        <w:t xml:space="preserve">, </w:t>
      </w:r>
      <w:r>
        <w:t>April 2016</w:t>
      </w:r>
      <w:r w:rsidRPr="00387DCE">
        <w:t>,</w:t>
      </w:r>
      <w:r>
        <w:t xml:space="preserve"> p. 9.</w:t>
      </w:r>
    </w:p>
    <w:p w:rsidR="00484671" w:rsidRDefault="00484671" w:rsidP="00CE6F2A">
      <w:pPr>
        <w:pStyle w:val="FootnoteText"/>
      </w:pPr>
      <w:r>
        <w:tab/>
      </w:r>
      <w:r w:rsidRPr="00387DCE">
        <w:t xml:space="preserve">Partington and Satchell, </w:t>
      </w:r>
      <w:r>
        <w:rPr>
          <w:rStyle w:val="Emphasis"/>
        </w:rPr>
        <w:t>Report to the AER: Discussion of submissions on the cost of equity</w:t>
      </w:r>
      <w:r w:rsidRPr="00387DCE">
        <w:t xml:space="preserve">, </w:t>
      </w:r>
      <w:r>
        <w:t>8 June 2017, p. 19.</w:t>
      </w:r>
    </w:p>
  </w:footnote>
  <w:footnote w:id="214">
    <w:p w:rsidR="00484671" w:rsidRDefault="00484671" w:rsidP="00092961">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484671" w:rsidRDefault="00484671" w:rsidP="00092961">
      <w:pPr>
        <w:pStyle w:val="FootnoteText"/>
      </w:pPr>
      <w:r>
        <w:tab/>
        <w:t>HoustonKemp also uses ex-post return on equity to estimate an 'alpha' term to include in the Sharpe-Lintner CAPM.</w:t>
      </w:r>
    </w:p>
  </w:footnote>
  <w:footnote w:id="215">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25.</w:t>
      </w:r>
    </w:p>
  </w:footnote>
  <w:footnote w:id="216">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19.</w:t>
      </w:r>
    </w:p>
  </w:footnote>
  <w:footnote w:id="217">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218">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219">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220">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221">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16–19.</w:t>
      </w:r>
    </w:p>
  </w:footnote>
  <w:footnote w:id="222">
    <w:p w:rsidR="00484671" w:rsidRDefault="00484671" w:rsidP="00CE6F2A">
      <w:pPr>
        <w:pStyle w:val="FootnoteText"/>
      </w:pPr>
      <w:r>
        <w:rPr>
          <w:rStyle w:val="FootnoteReference"/>
        </w:rPr>
        <w:footnoteRef/>
      </w:r>
      <w:r>
        <w:t xml:space="preserve"> </w:t>
      </w:r>
      <w:r>
        <w:tab/>
        <w:t xml:space="preserve">AER, </w:t>
      </w:r>
      <w:r w:rsidRPr="001D7859">
        <w:rPr>
          <w:rStyle w:val="AERtextitalic"/>
        </w:rPr>
        <w:t>Better Regulation Explanatory Statement Rate of Return Guideline</w:t>
      </w:r>
      <w:r>
        <w:t>, December 2013, p. 88.</w:t>
      </w:r>
    </w:p>
    <w:p w:rsidR="00484671" w:rsidRDefault="00484671" w:rsidP="00CE6F2A">
      <w:pPr>
        <w:pStyle w:val="FootnoteText"/>
      </w:pPr>
      <w:r>
        <w:tab/>
        <w:t xml:space="preserve">For example, see: AER, </w:t>
      </w:r>
      <w:r w:rsidRPr="00FE6698">
        <w:rPr>
          <w:rStyle w:val="AERtextitalic"/>
        </w:rPr>
        <w:t>Final decision, AusNet Services distribution determination 2016 to 2020, Attachment 3 - Rate of return,</w:t>
      </w:r>
      <w:r>
        <w:t xml:space="preserve"> May 2016, pp. 44-90.</w:t>
      </w:r>
    </w:p>
  </w:footnote>
  <w:footnote w:id="223">
    <w:p w:rsidR="00484671" w:rsidRDefault="00484671" w:rsidP="00092961">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484671" w:rsidRDefault="00484671" w:rsidP="00092961">
      <w:pPr>
        <w:pStyle w:val="FootnoteText"/>
      </w:pPr>
      <w:r>
        <w:tab/>
        <w:t xml:space="preserve">HoustonKemp also uses ex-post return on equity to estimate an 'alpha' term to include in the Sharpe-Lintner CAPM. </w:t>
      </w:r>
    </w:p>
  </w:footnote>
  <w:footnote w:id="224">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225">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30.</w:t>
      </w:r>
    </w:p>
  </w:footnote>
  <w:footnote w:id="226">
    <w:p w:rsidR="00484671" w:rsidRDefault="0048467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227">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8">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9">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0">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1">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2">
    <w:p w:rsidR="00484671" w:rsidRDefault="0048467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3">
    <w:p w:rsidR="00484671" w:rsidRDefault="00484671" w:rsidP="00CE6F2A">
      <w:pPr>
        <w:pStyle w:val="FootnoteText"/>
      </w:pPr>
      <w:r>
        <w:rPr>
          <w:rStyle w:val="FootnoteReference"/>
        </w:rPr>
        <w:footnoteRef/>
      </w:r>
      <w:r>
        <w:t xml:space="preserve"> </w:t>
      </w:r>
      <w:r>
        <w:tab/>
        <w:t xml:space="preserve">Partington and Satchell, </w:t>
      </w:r>
      <w:r>
        <w:rPr>
          <w:rStyle w:val="Emphasis"/>
        </w:rPr>
        <w:t>Report to the AER: Discussion of submissions on the cost of equity</w:t>
      </w:r>
      <w:r>
        <w:t>, 8 June 2017, pp. 28–30.</w:t>
      </w:r>
    </w:p>
  </w:footnote>
  <w:footnote w:id="234">
    <w:p w:rsidR="00484671" w:rsidRDefault="00484671" w:rsidP="00CE6F2A">
      <w:pPr>
        <w:pStyle w:val="FootnoteText"/>
      </w:pPr>
      <w:r>
        <w:rPr>
          <w:rStyle w:val="FootnoteReference"/>
        </w:rPr>
        <w:footnoteRef/>
      </w:r>
      <w:r>
        <w:t xml:space="preserve"> </w:t>
      </w:r>
      <w:r>
        <w:tab/>
        <w:t>We note that historical excess returns is considered in the estimation of the market risk premium.</w:t>
      </w:r>
    </w:p>
  </w:footnote>
  <w:footnote w:id="235">
    <w:p w:rsidR="00484671" w:rsidRDefault="00484671" w:rsidP="00CE6F2A">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236">
    <w:p w:rsidR="00484671" w:rsidRDefault="0048467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20.</w:t>
      </w:r>
    </w:p>
  </w:footnote>
  <w:footnote w:id="237">
    <w:p w:rsidR="00484671" w:rsidRDefault="00484671" w:rsidP="00CE6F2A">
      <w:pPr>
        <w:pStyle w:val="FootnoteText"/>
      </w:pPr>
      <w:r>
        <w:rPr>
          <w:rStyle w:val="FootnoteReference"/>
        </w:rPr>
        <w:footnoteRef/>
      </w:r>
      <w:r>
        <w:t xml:space="preserve"> </w:t>
      </w:r>
      <w:r>
        <w:tab/>
        <w:t xml:space="preserve">The AEMC describes, 'allowed revenues for network businesses are now set using the expenditure required by prudent, efficient operators as a benchmark. Companies have incentives to beat the benchmarks so they can keep some of their savings and pass the rest on to customers'. See AEMC, </w:t>
      </w:r>
      <w:r>
        <w:rPr>
          <w:rStyle w:val="AERtextitalic"/>
        </w:rPr>
        <w:t>Overview 2014–15</w:t>
      </w:r>
      <w:r>
        <w:t>.</w:t>
      </w:r>
    </w:p>
  </w:footnote>
  <w:footnote w:id="238">
    <w:p w:rsidR="00484671" w:rsidRDefault="00484671" w:rsidP="00CE6F2A">
      <w:pPr>
        <w:pStyle w:val="FootnoteText"/>
      </w:pPr>
      <w:r>
        <w:rPr>
          <w:rStyle w:val="FootnoteReference"/>
        </w:rPr>
        <w:footnoteRef/>
      </w:r>
      <w:r>
        <w:t xml:space="preserve"> </w:t>
      </w:r>
      <w:r>
        <w:tab/>
        <w:t xml:space="preserve">See section </w:t>
      </w:r>
      <w:r>
        <w:fldChar w:fldCharType="begin"/>
      </w:r>
      <w:r>
        <w:instrText xml:space="preserve"> REF _Ref446603900 \r \h </w:instrText>
      </w:r>
      <w:r>
        <w:fldChar w:fldCharType="separate"/>
      </w:r>
      <w:r w:rsidR="002C24D6">
        <w:t>J.2.1</w:t>
      </w:r>
      <w:r>
        <w:fldChar w:fldCharType="end"/>
      </w:r>
      <w:r>
        <w:t>.</w:t>
      </w:r>
    </w:p>
  </w:footnote>
  <w:footnote w:id="239">
    <w:p w:rsidR="00484671" w:rsidRDefault="00484671" w:rsidP="00CE6F2A">
      <w:pPr>
        <w:pStyle w:val="FootnoteText"/>
      </w:pPr>
      <w:r>
        <w:rPr>
          <w:rStyle w:val="FootnoteReference"/>
        </w:rPr>
        <w:footnoteRef/>
      </w:r>
      <w:r>
        <w:t xml:space="preserve"> </w:t>
      </w:r>
      <w:r>
        <w:tab/>
        <w:t xml:space="preserve">See section </w:t>
      </w:r>
      <w:r>
        <w:fldChar w:fldCharType="begin"/>
      </w:r>
      <w:r>
        <w:instrText xml:space="preserve"> REF _Ref451685041 \r \h </w:instrText>
      </w:r>
      <w:r>
        <w:fldChar w:fldCharType="separate"/>
      </w:r>
      <w:r w:rsidR="002C24D6">
        <w:t>B</w:t>
      </w:r>
      <w:r>
        <w:fldChar w:fldCharType="end"/>
      </w:r>
      <w:r>
        <w:t>.</w:t>
      </w:r>
    </w:p>
  </w:footnote>
  <w:footnote w:id="240">
    <w:p w:rsidR="00484671" w:rsidRDefault="00484671" w:rsidP="00CE6F2A">
      <w:pPr>
        <w:pStyle w:val="FootnoteText"/>
      </w:pPr>
      <w:r>
        <w:rPr>
          <w:rStyle w:val="FootnoteReference"/>
        </w:rPr>
        <w:footnoteRef/>
      </w:r>
      <w:r>
        <w:t xml:space="preserve"> </w:t>
      </w:r>
      <w:r>
        <w:tab/>
        <w:t xml:space="preserve">Australian Competition Tribunal, </w:t>
      </w:r>
      <w:r>
        <w:rPr>
          <w:rStyle w:val="AERtextitalic"/>
        </w:rPr>
        <w:t>Applications by Public Interest Advocacy Centre Ltd and Ausgrid [2016] ACompT 1</w:t>
      </w:r>
      <w:r>
        <w:t>, 26 February 2016, paragraph 735.</w:t>
      </w:r>
    </w:p>
  </w:footnote>
  <w:footnote w:id="241">
    <w:p w:rsidR="00484671" w:rsidRDefault="00484671" w:rsidP="00CE6F2A">
      <w:pPr>
        <w:pStyle w:val="FootnoteText"/>
      </w:pPr>
      <w:r>
        <w:rPr>
          <w:rStyle w:val="FootnoteReference"/>
        </w:rPr>
        <w:footnoteRef/>
      </w:r>
      <w:r>
        <w:t xml:space="preserve"> </w:t>
      </w:r>
      <w:r>
        <w:tab/>
        <w:t>APTPPL, APA, Multinet, AusNet, AGN.</w:t>
      </w:r>
    </w:p>
  </w:footnote>
  <w:footnote w:id="242">
    <w:p w:rsidR="00484671" w:rsidRDefault="0048467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21.</w:t>
      </w:r>
    </w:p>
  </w:footnote>
  <w:footnote w:id="243">
    <w:p w:rsidR="00484671" w:rsidRDefault="0048467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16.</w:t>
      </w:r>
    </w:p>
  </w:footnote>
  <w:footnote w:id="244">
    <w:p w:rsidR="00484671" w:rsidRDefault="00484671" w:rsidP="00CE6F2A">
      <w:pPr>
        <w:pStyle w:val="FootnoteText"/>
      </w:pPr>
      <w:r>
        <w:rPr>
          <w:rStyle w:val="FootnoteReference"/>
        </w:rPr>
        <w:footnoteRef/>
      </w:r>
      <w:r>
        <w:t xml:space="preserve"> </w:t>
      </w:r>
      <w:r>
        <w:tab/>
        <w:t xml:space="preserve">HoustonKemp deemed that statistically significant differences between realised returns and Sharpe-Lintner CAPM to be attributable to downward bias from the Sharpe-Lintner CAPM. See HoustonKemp, </w:t>
      </w:r>
      <w:r w:rsidRPr="00793AD5">
        <w:rPr>
          <w:rStyle w:val="AERtextitalic"/>
        </w:rPr>
        <w:t>The Cost of Equity and the Low-Beta Bias</w:t>
      </w:r>
      <w:r>
        <w:t>, November 2016, p. 30.</w:t>
      </w:r>
    </w:p>
  </w:footnote>
  <w:footnote w:id="245">
    <w:p w:rsidR="00484671" w:rsidRDefault="00484671"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17</w:t>
      </w:r>
      <w:r w:rsidRPr="0001212D">
        <w:t>.</w:t>
      </w:r>
    </w:p>
  </w:footnote>
  <w:footnote w:id="246">
    <w:p w:rsidR="00484671" w:rsidRDefault="00484671"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30</w:t>
      </w:r>
      <w:r w:rsidRPr="0001212D">
        <w:t>.</w:t>
      </w:r>
    </w:p>
  </w:footnote>
  <w:footnote w:id="247">
    <w:p w:rsidR="00484671" w:rsidRDefault="0048467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16.</w:t>
      </w:r>
    </w:p>
  </w:footnote>
  <w:footnote w:id="248">
    <w:p w:rsidR="00484671" w:rsidRDefault="00484671" w:rsidP="00CE6F2A">
      <w:pPr>
        <w:pStyle w:val="FootnoteText"/>
      </w:pPr>
      <w:r>
        <w:rPr>
          <w:rStyle w:val="FootnoteReference"/>
        </w:rPr>
        <w:footnoteRef/>
      </w:r>
      <w:r>
        <w:t xml:space="preserve"> </w:t>
      </w:r>
      <w:r>
        <w:tab/>
        <w:t xml:space="preserve">Multinet's proposed alpha term is estimated from the difference between the Sharpe-Lintner CAPM estimates from realised returns such that its inclusion would not lead to statistically different (at the five per cent level) differences to the realised returns. See HoustonKemp, </w:t>
      </w:r>
      <w:r w:rsidRPr="00793AD5">
        <w:rPr>
          <w:rStyle w:val="AERtextitalic"/>
        </w:rPr>
        <w:t>The Cost of Equity and the Low-Beta Bias</w:t>
      </w:r>
      <w:r>
        <w:t>, November 2016, p. 30.</w:t>
      </w:r>
    </w:p>
  </w:footnote>
  <w:footnote w:id="249">
    <w:p w:rsidR="00484671" w:rsidRDefault="00484671" w:rsidP="00CE6F2A">
      <w:pPr>
        <w:pStyle w:val="FootnoteText"/>
      </w:pPr>
      <w:r>
        <w:rPr>
          <w:rStyle w:val="FootnoteReference"/>
        </w:rPr>
        <w:footnoteRef/>
      </w:r>
      <w:r>
        <w:t xml:space="preserve"> </w:t>
      </w:r>
      <w:r>
        <w:tab/>
        <w:t xml:space="preserve">HoustonKemp, </w:t>
      </w:r>
      <w:r w:rsidRPr="00793AD5">
        <w:rPr>
          <w:rStyle w:val="AERtextitalic"/>
        </w:rPr>
        <w:t>The Cost of Equity and the Low-Beta Bias</w:t>
      </w:r>
      <w:r>
        <w:t>, November 2016.</w:t>
      </w:r>
    </w:p>
  </w:footnote>
  <w:footnote w:id="250">
    <w:p w:rsidR="00484671" w:rsidRDefault="00484671" w:rsidP="009D68F7">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251">
    <w:p w:rsidR="00484671" w:rsidRDefault="00484671" w:rsidP="00CE6F2A">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w:t>
      </w:r>
    </w:p>
    <w:p w:rsidR="00484671" w:rsidRDefault="00484671" w:rsidP="00CE6F2A">
      <w:pPr>
        <w:pStyle w:val="FootnoteText"/>
      </w:pPr>
      <w:r>
        <w:tab/>
        <w:t>HoustonKemp also uses ex-post return on equity to estimate an 'alpha' term to include in the Sharpe-Lintner CAPM.</w:t>
      </w:r>
    </w:p>
  </w:footnote>
  <w:footnote w:id="252">
    <w:p w:rsidR="00484671" w:rsidRDefault="00484671"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17</w:t>
      </w:r>
      <w:r w:rsidRPr="0001212D">
        <w:t>.</w:t>
      </w:r>
    </w:p>
  </w:footnote>
  <w:footnote w:id="253">
    <w:p w:rsidR="00484671" w:rsidRDefault="00484671" w:rsidP="00C7716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254">
    <w:p w:rsidR="00484671" w:rsidRDefault="00484671">
      <w:pPr>
        <w:pStyle w:val="FootnoteText"/>
      </w:pPr>
      <w:r>
        <w:rPr>
          <w:rStyle w:val="FootnoteReference"/>
        </w:rPr>
        <w:footnoteRef/>
      </w:r>
      <w:r>
        <w:t xml:space="preserve"> </w:t>
      </w:r>
      <w:r>
        <w:tab/>
        <w:t xml:space="preserve">For example, see 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w:t>
      </w:r>
    </w:p>
  </w:footnote>
  <w:footnote w:id="255">
    <w:p w:rsidR="00484671" w:rsidRDefault="00484671">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256">
    <w:p w:rsidR="00484671" w:rsidRDefault="00484671">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April 2015, p. 54].</w:t>
      </w:r>
    </w:p>
  </w:footnote>
  <w:footnote w:id="257">
    <w:p w:rsidR="00484671" w:rsidRDefault="00484671">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258">
    <w:p w:rsidR="00484671" w:rsidRDefault="00484671">
      <w:pPr>
        <w:pStyle w:val="FootnoteText"/>
      </w:pPr>
      <w:r>
        <w:rPr>
          <w:rStyle w:val="FootnoteReference"/>
        </w:rPr>
        <w:footnoteRef/>
      </w:r>
      <w:r>
        <w:t xml:space="preserve"> </w:t>
      </w:r>
      <w:r>
        <w:tab/>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Queensland farmers’ federation, </w:t>
      </w:r>
      <w:r w:rsidRPr="00635D29">
        <w:rPr>
          <w:rStyle w:val="AERtextitalic"/>
        </w:rPr>
        <w:t>Re: Response on Australian Energy Regulator (AER) Draft Decision on Powerlink ‘s revenue proposal for the 2017/18 –2021/22 regulatory period</w:t>
      </w:r>
      <w:r>
        <w:t xml:space="preserve">, 30 November 2016; Shell, </w:t>
      </w:r>
      <w:r w:rsidRPr="00635D29">
        <w:rPr>
          <w:rStyle w:val="AERtextitalic"/>
        </w:rPr>
        <w:t>Roma (Wallumbilla) to Brisbane Pipeline  Access Arrangement 2017–22</w:t>
      </w:r>
      <w:r>
        <w:t xml:space="preserve">, 27 October 2016; CCP11, Victorian Gas Networks (AGN), AusNet Services and MultiNet: Supplementary Advice on the proposed Return on Equity by Victorian Gas Distribution Network Service Providers, 22 March 2017, p. 9; CCP11, Australian Gas Networks (AGN), AusNet Services and Multinet, 3 March 2017, p. 81; </w:t>
      </w:r>
      <w:r w:rsidRPr="004E35BC">
        <w:t>Origin Energy, Victorian Gas Access Arrangement Review- 2018-22 Response to Gas Distribution Business’ proposals, 17 February 2017</w:t>
      </w:r>
      <w:r>
        <w:t xml:space="preserve">; Red and Lumo Energy, </w:t>
      </w:r>
      <w:r w:rsidRPr="004E35BC">
        <w:t>Re: Australian Gas Networks Access Arrangement, 6 March 2017</w:t>
      </w:r>
      <w:r>
        <w:t xml:space="preserve">. </w:t>
      </w:r>
    </w:p>
  </w:footnote>
  <w:footnote w:id="259">
    <w:p w:rsidR="00484671" w:rsidRDefault="00484671">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260">
    <w:p w:rsidR="00484671" w:rsidRDefault="0048467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261">
    <w:p w:rsidR="00484671" w:rsidRDefault="00484671" w:rsidP="00E31230">
      <w:pPr>
        <w:pStyle w:val="FootnoteText"/>
      </w:pPr>
      <w:r>
        <w:rPr>
          <w:rStyle w:val="FootnoteReference"/>
        </w:rPr>
        <w:footnoteRef/>
      </w:r>
      <w:r>
        <w:tab/>
        <w:t xml:space="preserve">For example, see: </w:t>
      </w:r>
      <w:r w:rsidRPr="00853443">
        <w:t xml:space="preserve">AER, Final decision SA Power Networks determination 2015–16 to 2019–20: Attachment 3–Rate of return, October 2015, pp. </w:t>
      </w:r>
      <w:r>
        <w:t xml:space="preserve">257–323; AER, </w:t>
      </w:r>
      <w:r w:rsidRPr="00853443">
        <w:t xml:space="preserve">Final decision </w:t>
      </w:r>
      <w:r>
        <w:t>AusNet Services distribution</w:t>
      </w:r>
      <w:r w:rsidRPr="00853443">
        <w:t xml:space="preserve"> determination </w:t>
      </w:r>
      <w:r>
        <w:t>2016 to 2020</w:t>
      </w:r>
      <w:r w:rsidRPr="00853443">
        <w:t xml:space="preserve">: Attachment 3–Rate of return, </w:t>
      </w:r>
      <w:r>
        <w:t>May 2016</w:t>
      </w:r>
      <w:r w:rsidRPr="00853443">
        <w:t xml:space="preserve">, pp. </w:t>
      </w:r>
      <w:r>
        <w:t>165–212.</w:t>
      </w:r>
    </w:p>
  </w:footnote>
  <w:footnote w:id="262">
    <w:p w:rsidR="00484671" w:rsidRDefault="00484671">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263">
    <w:p w:rsidR="00484671" w:rsidRDefault="00484671">
      <w:pPr>
        <w:pStyle w:val="FootnoteText"/>
      </w:pPr>
      <w:r>
        <w:rPr>
          <w:rStyle w:val="FootnoteReference"/>
        </w:rPr>
        <w:footnoteRef/>
      </w:r>
      <w:r>
        <w:t xml:space="preserve"> </w:t>
      </w:r>
      <w:r>
        <w:tab/>
        <w:t xml:space="preserve">AER, </w:t>
      </w:r>
      <w:r w:rsidRPr="00664F75">
        <w:rPr>
          <w:rStyle w:val="AERtextitalic"/>
        </w:rPr>
        <w:t>Final decision SA Power Networks determination 2015–16 to 2019–20: Attachment 3–Rate of return</w:t>
      </w:r>
      <w:r>
        <w:t xml:space="preserve">, October 2015, pp. 257–323; AER, </w:t>
      </w:r>
      <w:r w:rsidRPr="00664F75">
        <w:rPr>
          <w:rStyle w:val="AERtextitalic"/>
        </w:rPr>
        <w:t>Final decision AusNet Services distribution determination 2016 to 2020: Attachment 3–Rate of return</w:t>
      </w:r>
      <w:r w:rsidRPr="00853443">
        <w:t>, May 2016</w:t>
      </w:r>
      <w:r>
        <w:t xml:space="preserve">, pp. 139–190  </w:t>
      </w:r>
    </w:p>
  </w:footnote>
  <w:footnote w:id="264">
    <w:p w:rsidR="00484671" w:rsidRDefault="00484671" w:rsidP="008B2351">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265">
    <w:p w:rsidR="00484671" w:rsidRDefault="00484671" w:rsidP="00385F4D">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266">
    <w:p w:rsidR="00484671" w:rsidRDefault="00484671" w:rsidP="00385F4D">
      <w:pPr>
        <w:pStyle w:val="FootnoteText"/>
      </w:pPr>
      <w:r>
        <w:rPr>
          <w:rStyle w:val="FootnoteReference"/>
        </w:rPr>
        <w:footnoteRef/>
      </w:r>
      <w:r>
        <w:t xml:space="preserve"> </w:t>
      </w:r>
      <w:r>
        <w:tab/>
      </w:r>
      <w:r w:rsidRPr="002B3EFB">
        <w:t xml:space="preserve">Standard and Poor's, viewed 5 March 2013, </w:t>
      </w:r>
      <w:hyperlink r:id="rId10" w:history="1">
        <w:r w:rsidRPr="008A31AD">
          <w:rPr>
            <w:rStyle w:val="Hyperlink"/>
            <w:color w:val="auto"/>
            <w:sz w:val="16"/>
            <w:u w:val="none"/>
          </w:rPr>
          <w:t>http://www.standardandpoors.com/prot/ratings/entityratings/</w:t>
        </w:r>
      </w:hyperlink>
      <w:r w:rsidRPr="008A31AD">
        <w:t>en/us</w:t>
      </w:r>
      <w:r w:rsidRPr="002B3EFB">
        <w:t>/</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hyperlink r:id="rId11" w:history="1">
        <w:r w:rsidRPr="000C679D">
          <w:rPr>
            <w:rStyle w:val="Hyperlink"/>
            <w:sz w:val="16"/>
          </w:rPr>
          <w:t>http://www.fitchratings.com/gws/en/esp/issr/80442187</w:t>
        </w:r>
      </w:hyperlink>
      <w:r>
        <w:t xml:space="preserve">. Also see AOFM, </w:t>
      </w:r>
      <w:r w:rsidRPr="00496DF0">
        <w:rPr>
          <w:rStyle w:val="AERtextitalic"/>
        </w:rPr>
        <w:t>Australian government securities: Major features of the AGS market</w:t>
      </w:r>
      <w:r>
        <w:t xml:space="preserve">, last updated 12 February 2015, viewed on 15 October 2015, link </w:t>
      </w:r>
      <w:hyperlink r:id="rId12" w:history="1">
        <w:r w:rsidRPr="000C679D">
          <w:rPr>
            <w:rStyle w:val="Hyperlink"/>
            <w:sz w:val="16"/>
          </w:rPr>
          <w:t>http://aofm.gov.au/ags/</w:t>
        </w:r>
      </w:hyperlink>
      <w:r>
        <w:t>.</w:t>
      </w:r>
    </w:p>
  </w:footnote>
  <w:footnote w:id="267">
    <w:p w:rsidR="00484671" w:rsidRDefault="00484671" w:rsidP="00385F4D">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268">
    <w:p w:rsidR="00484671" w:rsidRDefault="00484671" w:rsidP="00385F4D">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w:t>
      </w:r>
      <w:r>
        <w:t>APA Group</w:t>
      </w:r>
      <w:r w:rsidRPr="00902D5F">
        <w:t xml:space="preserve">,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269">
    <w:p w:rsidR="00484671" w:rsidRDefault="00484671" w:rsidP="00385F4D">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270">
    <w:p w:rsidR="00B96D76" w:rsidRDefault="00B96D76">
      <w:pPr>
        <w:pStyle w:val="FootnoteText"/>
      </w:pPr>
      <w:r>
        <w:rPr>
          <w:rStyle w:val="FootnoteReference"/>
        </w:rPr>
        <w:footnoteRef/>
      </w:r>
      <w:r>
        <w:t xml:space="preserve"> </w:t>
      </w:r>
      <w:r>
        <w:tab/>
      </w:r>
      <w:r w:rsidRPr="00B96D76">
        <w:t>NER, cl. 6.5.2(f); NER, cl. 6A.6.2(f); NGR, r. 87(6).</w:t>
      </w:r>
    </w:p>
  </w:footnote>
  <w:footnote w:id="271">
    <w:p w:rsidR="00B96D76" w:rsidRDefault="00B96D76">
      <w:pPr>
        <w:pStyle w:val="FootnoteText"/>
      </w:pPr>
      <w:r>
        <w:rPr>
          <w:rStyle w:val="FootnoteReference"/>
        </w:rPr>
        <w:footnoteRef/>
      </w:r>
      <w:r>
        <w:t xml:space="preserve"> </w:t>
      </w:r>
      <w:r>
        <w:tab/>
      </w:r>
      <w:r w:rsidRPr="00B96D76">
        <w:t xml:space="preserve">AER, </w:t>
      </w:r>
      <w:r w:rsidRPr="00B96D76">
        <w:rPr>
          <w:rStyle w:val="AERtextitalic"/>
        </w:rPr>
        <w:t>Rate of return guideline</w:t>
      </w:r>
      <w:r w:rsidRPr="00B96D76">
        <w:t>, 17 December 2013, p. 15, 74–82.</w:t>
      </w:r>
    </w:p>
  </w:footnote>
  <w:footnote w:id="272">
    <w:p w:rsidR="00B96D76" w:rsidRDefault="00B96D76">
      <w:pPr>
        <w:pStyle w:val="FootnoteText"/>
      </w:pPr>
      <w:r>
        <w:rPr>
          <w:rStyle w:val="FootnoteReference"/>
        </w:rPr>
        <w:footnoteRef/>
      </w:r>
      <w:r>
        <w:t xml:space="preserve"> </w:t>
      </w:r>
      <w:r>
        <w:tab/>
      </w:r>
      <w:r w:rsidRPr="00B96D76">
        <w:t xml:space="preserve">This was recognised in Australian Competition Tribunal, </w:t>
      </w:r>
      <w:r w:rsidRPr="00B96D76">
        <w:rPr>
          <w:rStyle w:val="AERtextitalic"/>
        </w:rPr>
        <w:t>Application by APA GasNet Australia (Operations) Pty Limited (No 2) [2013],  ACompT 8</w:t>
      </w:r>
      <w:r w:rsidRPr="00B96D76">
        <w:t>, 18 September 2013, paras 279, 302–308.</w:t>
      </w:r>
    </w:p>
  </w:footnote>
  <w:footnote w:id="273">
    <w:p w:rsidR="00484671" w:rsidRDefault="00484671" w:rsidP="00705158">
      <w:pPr>
        <w:pStyle w:val="FootnoteText"/>
      </w:pPr>
      <w:r>
        <w:rPr>
          <w:rStyle w:val="FootnoteReference"/>
        </w:rPr>
        <w:footnoteRef/>
      </w:r>
      <w:r>
        <w:t xml:space="preserve"> </w:t>
      </w:r>
      <w:r>
        <w:tab/>
        <w:t xml:space="preserve">APTPPL, </w:t>
      </w:r>
      <w:r w:rsidRPr="004A1215">
        <w:rPr>
          <w:rStyle w:val="AERtextitalic"/>
        </w:rPr>
        <w:t>Roma to Brisbane Pipeline proposed revised Access Arrangement – rate of return averaging periods</w:t>
      </w:r>
      <w:r>
        <w:t>, 10 February 2017 (confidential).</w:t>
      </w:r>
    </w:p>
  </w:footnote>
  <w:footnote w:id="274">
    <w:p w:rsidR="00484671" w:rsidRDefault="00484671" w:rsidP="00744D2E">
      <w:pPr>
        <w:pStyle w:val="FootnoteText"/>
      </w:pPr>
      <w:r>
        <w:rPr>
          <w:rStyle w:val="FootnoteReference"/>
        </w:rPr>
        <w:footnoteRef/>
      </w:r>
      <w:r>
        <w:t xml:space="preserve"> </w:t>
      </w:r>
      <w:r>
        <w:tab/>
        <w:t xml:space="preserve">APTPPL, </w:t>
      </w:r>
      <w:r w:rsidRPr="004A1215">
        <w:rPr>
          <w:rStyle w:val="AERtextitalic"/>
        </w:rPr>
        <w:t>Roma to Brisbane Pipeline proposed revised Access Arrangement – rate of return averaging periods</w:t>
      </w:r>
      <w:r>
        <w:t>, 10 February 2017 (confidential).</w:t>
      </w:r>
    </w:p>
  </w:footnote>
  <w:footnote w:id="275">
    <w:p w:rsidR="00484671" w:rsidRDefault="00484671" w:rsidP="00744D2E">
      <w:pPr>
        <w:pStyle w:val="FootnoteText"/>
      </w:pPr>
      <w:r>
        <w:rPr>
          <w:rStyle w:val="FootnoteReference"/>
        </w:rPr>
        <w:footnoteRef/>
      </w:r>
      <w:r>
        <w:t xml:space="preserve"> </w:t>
      </w:r>
      <w:r>
        <w:tab/>
      </w:r>
      <w:r w:rsidRPr="0046105A">
        <w:t>For clarity, service providers can select longer periods for estimating the risk free rate used in the return on debt.</w:t>
      </w:r>
    </w:p>
  </w:footnote>
  <w:footnote w:id="276">
    <w:p w:rsidR="00484671" w:rsidRDefault="00484671" w:rsidP="00744D2E">
      <w:pPr>
        <w:pStyle w:val="FootnoteText"/>
      </w:pPr>
      <w:r>
        <w:rPr>
          <w:rStyle w:val="FootnoteReference"/>
        </w:rPr>
        <w:footnoteRef/>
      </w:r>
      <w:r>
        <w:t xml:space="preserve"> </w:t>
      </w:r>
      <w:r>
        <w:tab/>
        <w:t>APTPPL</w:t>
      </w:r>
      <w:r w:rsidRPr="000D67CC">
        <w:t xml:space="preserve">, </w:t>
      </w:r>
      <w:r>
        <w:rPr>
          <w:rStyle w:val="AERtextitalic"/>
        </w:rPr>
        <w:t>Rome to Brisbane Pipeline access arrangement submission</w:t>
      </w:r>
      <w:r w:rsidRPr="000D67CC">
        <w:t xml:space="preserve">, </w:t>
      </w:r>
      <w:r>
        <w:t>September 2016, p. 137.</w:t>
      </w:r>
    </w:p>
  </w:footnote>
  <w:footnote w:id="277">
    <w:p w:rsidR="00484671" w:rsidRDefault="00484671" w:rsidP="00744D2E">
      <w:pPr>
        <w:pStyle w:val="FootnoteText"/>
      </w:pPr>
      <w:r>
        <w:rPr>
          <w:rStyle w:val="FootnoteReference"/>
        </w:rPr>
        <w:footnoteRef/>
      </w:r>
      <w:r>
        <w:t xml:space="preserve"> </w:t>
      </w:r>
      <w:r>
        <w:tab/>
        <w:t xml:space="preserve">AER, </w:t>
      </w:r>
      <w:r w:rsidRPr="00C42844">
        <w:rPr>
          <w:rStyle w:val="AERtextitalic"/>
        </w:rPr>
        <w:t>Roma to Brisbane Pipeline proposed revised Access Arrangement – rate of return averaging periods</w:t>
      </w:r>
      <w:r>
        <w:t>, 25 January 2017 (confidential).</w:t>
      </w:r>
    </w:p>
  </w:footnote>
  <w:footnote w:id="278">
    <w:p w:rsidR="00484671" w:rsidRDefault="00484671" w:rsidP="00744D2E">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79">
    <w:p w:rsidR="00484671" w:rsidRDefault="00484671" w:rsidP="00744D2E">
      <w:pPr>
        <w:pStyle w:val="FootnoteText"/>
      </w:pPr>
      <w:r>
        <w:rPr>
          <w:rStyle w:val="FootnoteReference"/>
        </w:rPr>
        <w:footnoteRef/>
      </w:r>
      <w:r>
        <w:t xml:space="preserve"> </w:t>
      </w:r>
      <w:r>
        <w:tab/>
        <w:t>AER, Explanatory statement to the draft rate of return guideline, August 2013, p. 211.</w:t>
      </w:r>
    </w:p>
  </w:footnote>
  <w:footnote w:id="280">
    <w:p w:rsidR="00484671" w:rsidRDefault="00484671" w:rsidP="00744D2E">
      <w:pPr>
        <w:pStyle w:val="FootnoteText"/>
      </w:pPr>
      <w:r>
        <w:rPr>
          <w:rStyle w:val="FootnoteReference"/>
        </w:rPr>
        <w:footnoteRef/>
      </w:r>
      <w:r>
        <w:t xml:space="preserve"> </w:t>
      </w:r>
      <w:r>
        <w:tab/>
      </w:r>
      <w:r w:rsidRPr="00690DF2">
        <w:t xml:space="preserve">See, for example, AER, Final decision: APA GasNet, March 2013, Part 2, p. </w:t>
      </w:r>
      <w:r>
        <w:t xml:space="preserve">55; AER, Final decision: Access </w:t>
      </w:r>
      <w:r w:rsidRPr="00690DF2">
        <w:t>arrangement final decision: SPI Networks (Gas) Pty Ltd 2013-17, March 2013, Part 2, p. 75; AER, Final decision: Access</w:t>
      </w:r>
      <w:r>
        <w:t xml:space="preserve"> </w:t>
      </w:r>
      <w:r w:rsidRPr="00690DF2">
        <w:t>arrangement final decision: Envestra Ltd 2013-17, March 2013, Part 2, p. 114; AER, Final decision: Access arrangement</w:t>
      </w:r>
      <w:r>
        <w:t xml:space="preserve"> </w:t>
      </w:r>
      <w:r w:rsidRPr="00690DF2">
        <w:t>final decision: Multinet Gas (DB No. 1) Pty Ltd, Multinet Gas (DB No. 2) Pty Ltd 2013-17, March 2013, Part 2, p. 97.</w:t>
      </w:r>
    </w:p>
  </w:footnote>
  <w:footnote w:id="281">
    <w:p w:rsidR="00484671" w:rsidRDefault="00484671" w:rsidP="00744D2E">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82">
    <w:p w:rsidR="00484671" w:rsidRDefault="00484671" w:rsidP="00744D2E">
      <w:pPr>
        <w:pStyle w:val="FootnoteText"/>
      </w:pPr>
      <w:r>
        <w:rPr>
          <w:rStyle w:val="FootnoteReference"/>
        </w:rPr>
        <w:footnoteRef/>
      </w:r>
      <w:r>
        <w:t xml:space="preserve"> </w:t>
      </w:r>
      <w:r>
        <w:tab/>
        <w:t>NER, cll. 6.5</w:t>
      </w:r>
      <w:r w:rsidRPr="009477CD">
        <w:t>.2(</w:t>
      </w:r>
      <w:r>
        <w:t>f</w:t>
      </w:r>
      <w:r w:rsidRPr="009477CD">
        <w:t>)</w:t>
      </w:r>
      <w:r>
        <w:t>; NER, cll. 6A.6.2(f); NGR, rr. 87(6).</w:t>
      </w:r>
    </w:p>
  </w:footnote>
  <w:footnote w:id="283">
    <w:p w:rsidR="00484671" w:rsidRDefault="00484671" w:rsidP="00744D2E">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284">
    <w:p w:rsidR="00484671" w:rsidRDefault="00484671" w:rsidP="00744D2E">
      <w:pPr>
        <w:pStyle w:val="FootnoteText"/>
      </w:pPr>
      <w:r>
        <w:rPr>
          <w:rStyle w:val="FootnoteReference"/>
        </w:rPr>
        <w:footnoteRef/>
      </w:r>
      <w:r>
        <w:t xml:space="preserve"> </w:t>
      </w:r>
      <w:r>
        <w:tab/>
        <w:t>NER, cll. 6.5.2(g); NER, cll. 6A.6.2(g); NGR, rr. 87(7).</w:t>
      </w:r>
    </w:p>
  </w:footnote>
  <w:footnote w:id="285">
    <w:p w:rsidR="00484671" w:rsidRDefault="00484671" w:rsidP="00744D2E">
      <w:pPr>
        <w:pStyle w:val="FootnoteText"/>
      </w:pPr>
      <w:r>
        <w:rPr>
          <w:rStyle w:val="FootnoteReference"/>
        </w:rPr>
        <w:footnoteRef/>
      </w:r>
      <w:r>
        <w:t xml:space="preserve"> </w:t>
      </w:r>
      <w:r>
        <w:tab/>
        <w:t xml:space="preserve">NER, cl. 6.5.2(f–g); NER, cl. 6A.6.2(f–g); </w:t>
      </w:r>
      <w:r w:rsidRPr="00565069">
        <w:t>NGR, r. 87(6</w:t>
      </w:r>
      <w:r>
        <w:t>–7</w:t>
      </w:r>
      <w:r w:rsidRPr="00565069">
        <w:t>).</w:t>
      </w:r>
    </w:p>
  </w:footnote>
  <w:footnote w:id="286">
    <w:p w:rsidR="00484671" w:rsidRDefault="00484671" w:rsidP="00744D2E">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287">
    <w:p w:rsidR="00484671" w:rsidRDefault="00484671" w:rsidP="00744D2E">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288">
    <w:p w:rsidR="00484671" w:rsidRDefault="00484671" w:rsidP="00744D2E">
      <w:pPr>
        <w:pStyle w:val="FootnoteText"/>
      </w:pPr>
      <w:r>
        <w:rPr>
          <w:rStyle w:val="FootnoteReference"/>
        </w:rPr>
        <w:footnoteRef/>
      </w:r>
      <w:r>
        <w:t xml:space="preserve"> </w:t>
      </w:r>
      <w:r>
        <w:tab/>
        <w:t>See sections 7 and 7A of the NEL for the NEO and RPP respectively. The NEO states: 'The</w:t>
      </w:r>
      <w:r w:rsidRPr="00E95B24">
        <w:t xml:space="preserve"> objective of this Law </w:t>
      </w:r>
      <w:r w:rsidRPr="00A40EA2">
        <w:t xml:space="preserve">is to promote efficient investment in, and efficient operation and use of, </w:t>
      </w:r>
      <w:r>
        <w:t>electricity</w:t>
      </w:r>
      <w:r w:rsidRPr="00A40EA2">
        <w:t xml:space="preserve"> services for the long term interests of consumers of </w:t>
      </w:r>
      <w:r>
        <w:t>electricity</w:t>
      </w:r>
      <w:r w:rsidRPr="00A40EA2">
        <w:t xml:space="preserve"> with respect to price, quality, safety, reliability and security of supply of </w:t>
      </w:r>
      <w:r>
        <w:t>electricity; and the reliability, safety and security of the national electricity system'.</w:t>
      </w:r>
    </w:p>
  </w:footnote>
  <w:footnote w:id="289">
    <w:p w:rsidR="00484671" w:rsidRDefault="00484671" w:rsidP="00744D2E">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290">
    <w:p w:rsidR="00484671" w:rsidRDefault="00484671" w:rsidP="00744D2E">
      <w:pPr>
        <w:pStyle w:val="FootnoteText"/>
      </w:pPr>
      <w:r>
        <w:rPr>
          <w:rStyle w:val="FootnoteReference"/>
        </w:rPr>
        <w:footnoteRef/>
      </w:r>
      <w:r>
        <w:t xml:space="preserve"> </w:t>
      </w:r>
      <w:r>
        <w:tab/>
        <w:t>NER, cl. 6.5.2(g); NER, cl. 6A.6.2(g); NGR, r. 87(7</w:t>
      </w:r>
      <w:r w:rsidRPr="00565069">
        <w:t>).</w:t>
      </w:r>
    </w:p>
  </w:footnote>
  <w:footnote w:id="291">
    <w:p w:rsidR="00484671" w:rsidRDefault="00484671" w:rsidP="00744D2E">
      <w:pPr>
        <w:pStyle w:val="FootnoteText"/>
      </w:pPr>
      <w:r>
        <w:rPr>
          <w:rStyle w:val="FootnoteReference"/>
        </w:rPr>
        <w:footnoteRef/>
      </w:r>
      <w:r>
        <w:t xml:space="preserve"> </w:t>
      </w:r>
      <w:r>
        <w:tab/>
        <w:t>For clarity, service providers can select longer averaging periods for estimating the return on debt.</w:t>
      </w:r>
    </w:p>
  </w:footnote>
  <w:footnote w:id="292">
    <w:p w:rsidR="00484671" w:rsidRDefault="00484671" w:rsidP="00744D2E">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293">
    <w:p w:rsidR="00484671" w:rsidRDefault="00484671" w:rsidP="00744D2E">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294">
    <w:p w:rsidR="00484671" w:rsidRDefault="00484671" w:rsidP="00744D2E">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95">
    <w:p w:rsidR="00484671" w:rsidRDefault="00484671" w:rsidP="00744D2E">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296">
    <w:p w:rsidR="00484671" w:rsidRDefault="00484671" w:rsidP="001D4715">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97">
    <w:p w:rsidR="00484671" w:rsidRDefault="00484671" w:rsidP="001D4715">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98">
    <w:p w:rsidR="00484671" w:rsidRDefault="00484671" w:rsidP="001D4715">
      <w:pPr>
        <w:pStyle w:val="FootnoteText"/>
      </w:pPr>
      <w:r>
        <w:rPr>
          <w:rStyle w:val="FootnoteReference"/>
        </w:rPr>
        <w:footnoteRef/>
      </w:r>
      <w:r>
        <w:t xml:space="preserve"> </w:t>
      </w:r>
      <w:r>
        <w:tab/>
        <w:t>More precisely, an efficient business (or benchmark efficient entity) with a similar degree of risk as that which applies to APTPPL in the provision of reference services.</w:t>
      </w:r>
    </w:p>
  </w:footnote>
  <w:footnote w:id="299">
    <w:p w:rsidR="00484671" w:rsidRDefault="00484671" w:rsidP="001D4715">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300">
    <w:p w:rsidR="00484671" w:rsidRDefault="00484671" w:rsidP="001D4715">
      <w:pPr>
        <w:pStyle w:val="FootnoteText"/>
      </w:pPr>
      <w:r>
        <w:rPr>
          <w:rStyle w:val="FootnoteReference"/>
        </w:rPr>
        <w:footnoteRef/>
      </w:r>
      <w:r>
        <w:t xml:space="preserve"> </w:t>
      </w:r>
      <w:r>
        <w:tab/>
        <w:t>However, the Black CAPM replaces this with an assumption of unlimited ability to short sell stocks.</w:t>
      </w:r>
    </w:p>
  </w:footnote>
  <w:footnote w:id="301">
    <w:p w:rsidR="00484671" w:rsidRDefault="00484671" w:rsidP="001D4715">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302">
    <w:p w:rsidR="00484671" w:rsidRDefault="00484671" w:rsidP="001D4715">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303">
    <w:p w:rsidR="00484671" w:rsidRDefault="00484671" w:rsidP="001D4715">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304">
    <w:p w:rsidR="00484671" w:rsidRDefault="00484671">
      <w:pPr>
        <w:pStyle w:val="FootnoteText"/>
      </w:pPr>
      <w:r>
        <w:rPr>
          <w:rStyle w:val="FootnoteReference"/>
        </w:rPr>
        <w:footnoteRef/>
      </w:r>
      <w:r>
        <w:t xml:space="preserve"> </w:t>
      </w:r>
      <w:r>
        <w:tab/>
        <w:t xml:space="preserve">Henry, </w:t>
      </w:r>
      <w:r w:rsidRPr="00880024">
        <w:rPr>
          <w:rStyle w:val="AERtextitalic"/>
        </w:rPr>
        <w:t xml:space="preserve">Estimating </w:t>
      </w:r>
      <w:r w:rsidRPr="009173F5">
        <w:rPr>
          <w:rStyle w:val="AERtextitalic"/>
        </w:rPr>
        <w:t>β</w:t>
      </w:r>
      <w:r w:rsidRPr="00880024">
        <w:rPr>
          <w:rStyle w:val="AERtextitalic"/>
        </w:rPr>
        <w:t>: An update</w:t>
      </w:r>
      <w:r>
        <w:t>, April 2014, p. 63.</w:t>
      </w:r>
    </w:p>
  </w:footnote>
  <w:footnote w:id="305">
    <w:p w:rsidR="00484671" w:rsidRDefault="00484671" w:rsidP="00FB15D2">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xml:space="preserve">, December 2016; CEG, </w:t>
      </w:r>
      <w:r w:rsidRPr="00862CD5">
        <w:t>Replication and extension of Henry’s beta analysis</w:t>
      </w:r>
      <w:r>
        <w:t xml:space="preserve">, 21 September 2016; CEG. </w:t>
      </w:r>
      <w:r w:rsidRPr="00064FA9">
        <w:rPr>
          <w:rStyle w:val="AERtextitalic"/>
        </w:rPr>
        <w:t>Replication and extension of Henry’s beta analysis</w:t>
      </w:r>
      <w:r>
        <w:t>, November 2016.</w:t>
      </w:r>
    </w:p>
  </w:footnote>
  <w:footnote w:id="306">
    <w:p w:rsidR="00484671" w:rsidRDefault="00484671" w:rsidP="00AD4293">
      <w:pPr>
        <w:pStyle w:val="FootnoteText"/>
      </w:pPr>
      <w:r>
        <w:rPr>
          <w:rStyle w:val="FootnoteReference"/>
        </w:rPr>
        <w:footnoteRef/>
      </w:r>
      <w:r>
        <w:t xml:space="preserve"> </w:t>
      </w:r>
      <w:r>
        <w:tab/>
        <w:t xml:space="preserve">CEG, </w:t>
      </w:r>
      <w:r w:rsidRPr="00862CD5">
        <w:t>Replication and extension of Henry’s beta analysis</w:t>
      </w:r>
      <w:r>
        <w:t xml:space="preserve">, 21 September 2016; CEG. </w:t>
      </w:r>
      <w:r w:rsidRPr="00064FA9">
        <w:rPr>
          <w:rStyle w:val="AERtextitalic"/>
        </w:rPr>
        <w:t>Replication and extension of Henry’s beta analysis</w:t>
      </w:r>
      <w:r>
        <w:t xml:space="preserve">, November 2016; Frontier, </w:t>
      </w:r>
      <w:r w:rsidRPr="00D32070">
        <w:rPr>
          <w:rStyle w:val="AERtextitalic"/>
        </w:rPr>
        <w:t>An equity beta estimate for Australian energy network businesses</w:t>
      </w:r>
      <w:r>
        <w:t>, December 2016, pp. 16–21.</w:t>
      </w:r>
    </w:p>
  </w:footnote>
  <w:footnote w:id="307">
    <w:p w:rsidR="00484671" w:rsidRDefault="00484671">
      <w:pPr>
        <w:pStyle w:val="FootnoteText"/>
      </w:pPr>
      <w:r>
        <w:rPr>
          <w:rStyle w:val="FootnoteReference"/>
        </w:rPr>
        <w:footnoteRef/>
      </w:r>
      <w:r>
        <w:t xml:space="preserve"> </w:t>
      </w:r>
      <w:r>
        <w:tab/>
        <w:t xml:space="preserve">CEG, </w:t>
      </w:r>
      <w:r w:rsidRPr="00862CD5">
        <w:t>Replication and extension of Henry’s beta analysis</w:t>
      </w:r>
      <w:r>
        <w:t xml:space="preserve">, 21 September 2016, pp. 2-3,14; CEG. </w:t>
      </w:r>
      <w:r w:rsidRPr="00064FA9">
        <w:rPr>
          <w:rStyle w:val="AERtextitalic"/>
        </w:rPr>
        <w:t>Replication and extension of Henry’s beta analysis</w:t>
      </w:r>
      <w:r>
        <w:t xml:space="preserve">, November 2016, pp. 2–5; Frontier, </w:t>
      </w:r>
      <w:r w:rsidRPr="00D32070">
        <w:rPr>
          <w:rStyle w:val="AERtextitalic"/>
        </w:rPr>
        <w:t>An equity beta estimate for Australian energy network businesses</w:t>
      </w:r>
      <w:r>
        <w:t>, December 2016, pp. 16–21.</w:t>
      </w:r>
    </w:p>
  </w:footnote>
  <w:footnote w:id="308">
    <w:p w:rsidR="00484671" w:rsidRDefault="0048467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09">
    <w:p w:rsidR="00484671" w:rsidRDefault="00484671" w:rsidP="001D4715">
      <w:pPr>
        <w:pStyle w:val="FootnoteText"/>
      </w:pPr>
      <w:r>
        <w:rPr>
          <w:rStyle w:val="FootnoteReference"/>
        </w:rPr>
        <w:footnoteRef/>
      </w:r>
      <w:r>
        <w:t xml:space="preserve"> </w:t>
      </w:r>
      <w:r>
        <w:tab/>
        <w:t xml:space="preserve">As discussed in detail in section </w:t>
      </w:r>
      <w:r>
        <w:fldChar w:fldCharType="begin"/>
      </w:r>
      <w:r>
        <w:instrText xml:space="preserve"> REF _Ref478460051 \r \h </w:instrText>
      </w:r>
      <w:r>
        <w:fldChar w:fldCharType="separate"/>
      </w:r>
      <w:r w:rsidR="002C24D6">
        <w:t>G</w:t>
      </w:r>
      <w:r>
        <w:fldChar w:fldCharType="end"/>
      </w:r>
      <w:r>
        <w:t xml:space="preserve">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310">
    <w:p w:rsidR="00484671" w:rsidRDefault="00484671" w:rsidP="001D4715">
      <w:pPr>
        <w:pStyle w:val="FootnoteText"/>
      </w:pPr>
      <w:r>
        <w:rPr>
          <w:rStyle w:val="FootnoteReference"/>
        </w:rPr>
        <w:footnoteRef/>
      </w:r>
      <w:r>
        <w:t xml:space="preserve"> </w:t>
      </w:r>
      <w:r>
        <w:tab/>
        <w:t>But does not support an estimate beyond our range. We hold this view based on:</w:t>
      </w:r>
    </w:p>
    <w:p w:rsidR="00484671" w:rsidRDefault="00484671" w:rsidP="001D4715">
      <w:pPr>
        <w:pStyle w:val="FootnoteText"/>
      </w:pPr>
      <w:r>
        <w:tab/>
        <w:t>(1) the outcome of our conceptual analysis that a business with a similar degree of risk as AusNet Services (in providing regulated services) is likely to have an equity beta less than one;</w:t>
      </w:r>
    </w:p>
    <w:p w:rsidR="00484671" w:rsidRDefault="00484671" w:rsidP="001D4715">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311">
    <w:p w:rsidR="00484671" w:rsidRDefault="00484671" w:rsidP="001D4715">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 xml:space="preserve">; CEG, </w:t>
      </w:r>
      <w:r w:rsidRPr="000C309D">
        <w:rPr>
          <w:i/>
        </w:rPr>
        <w:t>Replication and extension of Henry’s beta analysis</w:t>
      </w:r>
      <w:r>
        <w:t xml:space="preserve">, 21 September 2016, pp. 2-3,14;  CEG, </w:t>
      </w:r>
      <w:r w:rsidRPr="00AD4293">
        <w:t>Replication and extension of Henry’s beta analysis</w:t>
      </w:r>
      <w:r>
        <w:t xml:space="preserve">, November 2016; </w:t>
      </w:r>
      <w:r w:rsidRPr="004E35BC">
        <w:t>Origin Energy, Victorian Gas Access Arrangement Review- 2018-22 Response to Gas Distribution Business’ proposals, 17 February 2017</w:t>
      </w:r>
      <w:r>
        <w:t xml:space="preserve">; CCP11, Victorian Gas Networks (AGN), AusNet Services and MultiNet: Supplementary Advice on the proposed Return on Equity by Victorian Gas Distribution Network Service Providers, 22 March 2017, p. 8. </w:t>
      </w:r>
    </w:p>
  </w:footnote>
  <w:footnote w:id="312">
    <w:p w:rsidR="00484671" w:rsidRDefault="00484671" w:rsidP="001D4715">
      <w:pPr>
        <w:pStyle w:val="FootnoteText"/>
      </w:pPr>
      <w:r>
        <w:rPr>
          <w:rStyle w:val="FootnoteReference"/>
        </w:rPr>
        <w:footnoteRef/>
      </w:r>
      <w:r>
        <w:t xml:space="preserve"> </w:t>
      </w:r>
      <w:r>
        <w:tab/>
        <w:t xml:space="preserve">CEG, </w:t>
      </w:r>
      <w:r w:rsidRPr="000C309D">
        <w:rPr>
          <w:i/>
        </w:rPr>
        <w:t>Replication and extension of Henry’s beta analysis</w:t>
      </w:r>
      <w:r>
        <w:t xml:space="preserve">, 21 September 2016, pp. 2-3, 14; CEG. </w:t>
      </w:r>
      <w:r w:rsidRPr="00064FA9">
        <w:rPr>
          <w:rStyle w:val="AERtextitalic"/>
        </w:rPr>
        <w:t>Replication and extension of Henry’s beta analysis</w:t>
      </w:r>
      <w:r>
        <w:t xml:space="preserve">, November 2016. </w:t>
      </w:r>
    </w:p>
  </w:footnote>
  <w:footnote w:id="313">
    <w:p w:rsidR="00484671" w:rsidRDefault="00484671" w:rsidP="001D4715">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xml:space="preserve">, 21 September 2016, pp. 2-3, 14; CEG. </w:t>
      </w:r>
      <w:r w:rsidRPr="00064FA9">
        <w:rPr>
          <w:rStyle w:val="AERtextitalic"/>
        </w:rPr>
        <w:t>Replication and extension of Henry’s beta analysis</w:t>
      </w:r>
      <w:r>
        <w:t xml:space="preserve">, November 2016, p. </w:t>
      </w:r>
    </w:p>
  </w:footnote>
  <w:footnote w:id="314">
    <w:p w:rsidR="00484671" w:rsidRDefault="00484671">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November 2016, pp. 4–5.</w:t>
      </w:r>
    </w:p>
  </w:footnote>
  <w:footnote w:id="315">
    <w:p w:rsidR="00484671" w:rsidRDefault="00484671" w:rsidP="00D67158">
      <w:pPr>
        <w:pStyle w:val="FootnoteText"/>
      </w:pPr>
      <w:r>
        <w:rPr>
          <w:rStyle w:val="FootnoteReference"/>
        </w:rPr>
        <w:footnoteRef/>
      </w:r>
      <w:r>
        <w:t xml:space="preserve"> </w:t>
      </w:r>
      <w:r>
        <w:tab/>
        <w:t xml:space="preserve">Partington and Satchell, </w:t>
      </w:r>
      <w:r w:rsidRPr="00D24089">
        <w:rPr>
          <w:rStyle w:val="AERtextitalic"/>
        </w:rPr>
        <w:t>Report to the AER: Discussion of estimates of the return on equity</w:t>
      </w:r>
      <w:r>
        <w:t>, 12 April 2017. p. 8, 14.</w:t>
      </w:r>
    </w:p>
  </w:footnote>
  <w:footnote w:id="316">
    <w:p w:rsidR="00484671" w:rsidRDefault="00484671" w:rsidP="00747FAF">
      <w:pPr>
        <w:pStyle w:val="FootnoteText"/>
      </w:pPr>
      <w:r>
        <w:rPr>
          <w:rStyle w:val="FootnoteReference"/>
        </w:rPr>
        <w:footnoteRef/>
      </w:r>
      <w:r>
        <w:t xml:space="preserve"> </w:t>
      </w:r>
      <w:r>
        <w:tab/>
        <w:t>The average of Henry's re-levered equity beta for firm-level estimates was 0.52. CEG's replication (0.554) is different from Henry's result would be driven by the method we use for gearing to account for cross-holding. We compare CEG's extension with its replication of Henry's estimates to allow a like-for-like comparison.</w:t>
      </w:r>
    </w:p>
  </w:footnote>
  <w:footnote w:id="317">
    <w:p w:rsidR="00484671" w:rsidRDefault="00484671" w:rsidP="00747FAF">
      <w:pPr>
        <w:pStyle w:val="FootnoteText"/>
      </w:pPr>
      <w:r>
        <w:rPr>
          <w:rStyle w:val="FootnoteReference"/>
        </w:rPr>
        <w:footnoteRef/>
      </w:r>
      <w:r>
        <w:t xml:space="preserve"> </w:t>
      </w:r>
      <w:r>
        <w:tab/>
        <w:t>We compare average portfolio-level estimates for P1 to P5.</w:t>
      </w:r>
    </w:p>
  </w:footnote>
  <w:footnote w:id="318">
    <w:p w:rsidR="00484671" w:rsidRDefault="00484671" w:rsidP="00623502">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November 2016, pp. 1–5.</w:t>
      </w:r>
    </w:p>
  </w:footnote>
  <w:footnote w:id="319">
    <w:p w:rsidR="00484671" w:rsidRDefault="00484671">
      <w:pPr>
        <w:pStyle w:val="FootnoteText"/>
      </w:pPr>
      <w:r>
        <w:rPr>
          <w:rStyle w:val="FootnoteReference"/>
        </w:rPr>
        <w:footnoteRef/>
      </w:r>
      <w:r>
        <w:t xml:space="preserve"> </w:t>
      </w:r>
      <w:r>
        <w:tab/>
        <w:t xml:space="preserve">AER, </w:t>
      </w:r>
      <w:r w:rsidRPr="00013867">
        <w:rPr>
          <w:rStyle w:val="AERtextitalic"/>
        </w:rPr>
        <w:t>Better regulation: Explanatory statement rate of return guideline</w:t>
      </w:r>
      <w:r>
        <w:t xml:space="preserve">, December 2013, p. 122; </w:t>
      </w:r>
    </w:p>
  </w:footnote>
  <w:footnote w:id="320">
    <w:p w:rsidR="00484671" w:rsidRDefault="0048467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321">
    <w:p w:rsidR="00484671" w:rsidRDefault="0048467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322">
    <w:p w:rsidR="00484671" w:rsidRDefault="0048467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10.</w:t>
      </w:r>
    </w:p>
  </w:footnote>
  <w:footnote w:id="323">
    <w:p w:rsidR="00484671" w:rsidRDefault="0048467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12.</w:t>
      </w:r>
    </w:p>
  </w:footnote>
  <w:footnote w:id="324">
    <w:p w:rsidR="00484671" w:rsidRDefault="0048467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25">
    <w:p w:rsidR="00484671" w:rsidRDefault="00484671" w:rsidP="00745A20">
      <w:pPr>
        <w:pStyle w:val="FootnoteText"/>
      </w:pPr>
      <w:r>
        <w:rPr>
          <w:rStyle w:val="FootnoteReference"/>
        </w:rPr>
        <w:footnoteRef/>
      </w:r>
      <w:r>
        <w:t xml:space="preserve"> </w:t>
      </w:r>
      <w:r>
        <w:tab/>
        <w:t xml:space="preserve">APTPPL, </w:t>
      </w:r>
      <w:r w:rsidRPr="00F54369">
        <w:rPr>
          <w:i/>
        </w:rPr>
        <w:t>Roma to Brisbane pipeline access arrangement submission</w:t>
      </w:r>
      <w:r>
        <w:t xml:space="preserve">, September 2016, pp. 135-141; APA, </w:t>
      </w:r>
      <w:r w:rsidRPr="00013867">
        <w:rPr>
          <w:rStyle w:val="AERtextitalic"/>
        </w:rPr>
        <w:t>Victorian transmission system access arrangement submission</w:t>
      </w:r>
      <w:r>
        <w:t>, 3 January 2017, pp. 139–144.</w:t>
      </w:r>
    </w:p>
  </w:footnote>
  <w:footnote w:id="326">
    <w:p w:rsidR="00484671" w:rsidRDefault="00484671" w:rsidP="00745A20">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327">
    <w:p w:rsidR="00484671" w:rsidRDefault="00484671" w:rsidP="006E4294">
      <w:pPr>
        <w:pStyle w:val="FootnoteText"/>
      </w:pPr>
      <w:r>
        <w:rPr>
          <w:rStyle w:val="FootnoteReference"/>
        </w:rPr>
        <w:footnoteRef/>
      </w:r>
      <w:r>
        <w:t xml:space="preserve"> </w:t>
      </w:r>
      <w:r>
        <w:tab/>
        <w:t>AER</w:t>
      </w:r>
      <w:r w:rsidRPr="00064FA9">
        <w:rPr>
          <w:rStyle w:val="AERtextitalic"/>
        </w:rPr>
        <w:t>, APT Petroleum Pipeline Pty Ltd Access arrangement final decision  Roma to Brisbane Pipeline 2012–13 to 2016–1</w:t>
      </w:r>
      <w:r>
        <w:t xml:space="preserve">7, August 2012, p. 20;  AER, Access arrangement final decision APA GasNet Australia (Operations) Pty Ltd 2013–17 Part 2 Attachments, March 2013, p. 93. </w:t>
      </w:r>
    </w:p>
  </w:footnote>
  <w:footnote w:id="328">
    <w:p w:rsidR="00484671" w:rsidRDefault="00484671" w:rsidP="006E4294">
      <w:pPr>
        <w:pStyle w:val="FootnoteText"/>
      </w:pPr>
      <w:r>
        <w:rPr>
          <w:rStyle w:val="FootnoteReference"/>
        </w:rPr>
        <w:footnoteRef/>
      </w:r>
      <w:r>
        <w:t xml:space="preserve"> </w:t>
      </w:r>
      <w:r>
        <w:tab/>
        <w:t xml:space="preserve">AER, </w:t>
      </w:r>
      <w:r w:rsidRPr="00064FA9">
        <w:rPr>
          <w:rStyle w:val="AERtextitalic"/>
        </w:rPr>
        <w:t>Better Regulation Explanatory Statement: Rate of return guideline</w:t>
      </w:r>
      <w:r>
        <w:t>, December 2013, pp. 84–85.</w:t>
      </w:r>
    </w:p>
  </w:footnote>
  <w:footnote w:id="329">
    <w:p w:rsidR="00484671" w:rsidRDefault="00484671" w:rsidP="00F81F86">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pp. 16–18, 19–21.</w:t>
      </w:r>
    </w:p>
  </w:footnote>
  <w:footnote w:id="330">
    <w:p w:rsidR="00484671" w:rsidRDefault="0048467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31">
    <w:p w:rsidR="00484671" w:rsidRDefault="0048467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32">
    <w:p w:rsidR="00484671" w:rsidRDefault="00484671">
      <w:pPr>
        <w:pStyle w:val="FootnoteText"/>
      </w:pPr>
      <w:r>
        <w:rPr>
          <w:rStyle w:val="FootnoteReference"/>
        </w:rPr>
        <w:footnoteRef/>
      </w:r>
      <w:r>
        <w:t xml:space="preserve"> </w:t>
      </w:r>
      <w:r>
        <w:tab/>
        <w:t xml:space="preserve">Partington and Satchell, </w:t>
      </w:r>
      <w:r w:rsidRPr="00013867">
        <w:rPr>
          <w:rStyle w:val="AERtextitalic"/>
        </w:rPr>
        <w:t>Report to the AER: Discussion of submissions on the cost of equity</w:t>
      </w:r>
      <w:r>
        <w:t>, 8 June 2017, p. 44.</w:t>
      </w:r>
    </w:p>
  </w:footnote>
  <w:footnote w:id="333">
    <w:p w:rsidR="00484671" w:rsidRDefault="00484671" w:rsidP="00D77A3E">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pp. 41–42.</w:t>
      </w:r>
    </w:p>
  </w:footnote>
  <w:footnote w:id="334">
    <w:p w:rsidR="00484671" w:rsidRDefault="00484671">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pp. 41–42.</w:t>
      </w:r>
    </w:p>
  </w:footnote>
  <w:footnote w:id="335">
    <w:p w:rsidR="00484671" w:rsidRDefault="00484671">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 44.</w:t>
      </w:r>
    </w:p>
  </w:footnote>
  <w:footnote w:id="336">
    <w:p w:rsidR="00484671" w:rsidRDefault="00484671" w:rsidP="00AA1ABD">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14.</w:t>
      </w:r>
    </w:p>
  </w:footnote>
  <w:footnote w:id="337">
    <w:p w:rsidR="00484671" w:rsidRDefault="00484671" w:rsidP="003B25AB">
      <w:pPr>
        <w:pStyle w:val="FootnoteText"/>
      </w:pPr>
      <w:r>
        <w:rPr>
          <w:rStyle w:val="FootnoteReference"/>
        </w:rPr>
        <w:footnoteRef/>
      </w:r>
      <w:r>
        <w:t xml:space="preserve"> </w:t>
      </w:r>
      <w:r>
        <w:tab/>
        <w:t>CCP11, Victorian Gas Access Arrangement Review (GAAR) for APA VTS, 3 March 2017, p. 35.</w:t>
      </w:r>
    </w:p>
  </w:footnote>
  <w:footnote w:id="338">
    <w:p w:rsidR="00484671" w:rsidRDefault="00484671" w:rsidP="002B18E5">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20.</w:t>
      </w:r>
    </w:p>
  </w:footnote>
  <w:footnote w:id="339">
    <w:p w:rsidR="00484671" w:rsidRDefault="00484671" w:rsidP="00F34411">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20.</w:t>
      </w:r>
    </w:p>
  </w:footnote>
  <w:footnote w:id="340">
    <w:p w:rsidR="00484671" w:rsidRDefault="00484671" w:rsidP="003B25AB">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22.</w:t>
      </w:r>
    </w:p>
  </w:footnote>
  <w:footnote w:id="341">
    <w:p w:rsidR="00484671" w:rsidRDefault="00484671" w:rsidP="003B25AB">
      <w:pPr>
        <w:pStyle w:val="FootnoteText"/>
      </w:pPr>
      <w:r>
        <w:rPr>
          <w:rStyle w:val="FootnoteReference"/>
        </w:rPr>
        <w:footnoteRef/>
      </w:r>
      <w:r>
        <w:t xml:space="preserve"> </w:t>
      </w:r>
      <w:r>
        <w:tab/>
        <w:t>CCP11, Victorian Gas Access Arrangement Review (GAAR) for APA VTS, 3 March 2017, p. 32.</w:t>
      </w:r>
    </w:p>
  </w:footnote>
  <w:footnote w:id="342">
    <w:p w:rsidR="00484671" w:rsidRDefault="00484671" w:rsidP="008E4C50">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43">
    <w:p w:rsidR="00484671" w:rsidRDefault="00484671" w:rsidP="0002339A">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44">
    <w:p w:rsidR="00484671" w:rsidRDefault="00484671" w:rsidP="0002339A">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45">
    <w:p w:rsidR="00484671" w:rsidRDefault="00484671" w:rsidP="00882F6A">
      <w:pPr>
        <w:pStyle w:val="FootnoteText"/>
      </w:pPr>
      <w:r>
        <w:rPr>
          <w:rStyle w:val="FootnoteReference"/>
        </w:rPr>
        <w:footnoteRef/>
      </w:r>
      <w:r>
        <w:t xml:space="preserve"> </w:t>
      </w:r>
      <w:r>
        <w:tab/>
        <w:t>CCP11, Victorian Gas Networks (AGN), AusNet Services and MultiNet: Supplementary Advice on the proposed Return on Equity by Victorian Gas Distribution Network Service Providers, 22 March 2017, p. 8.</w:t>
      </w:r>
    </w:p>
  </w:footnote>
  <w:footnote w:id="346">
    <w:p w:rsidR="00484671" w:rsidRDefault="00484671" w:rsidP="00882F6A">
      <w:pPr>
        <w:pStyle w:val="FootnoteText"/>
      </w:pPr>
      <w:r>
        <w:rPr>
          <w:rStyle w:val="FootnoteReference"/>
        </w:rPr>
        <w:footnoteRef/>
      </w:r>
      <w:r>
        <w:t xml:space="preserve"> </w:t>
      </w:r>
      <w:r>
        <w:tab/>
        <w:t>CCP11, Victorian Gas Access Arrangement Review (GAAR) for APA VTS, 3 March 2017, p. 35.</w:t>
      </w:r>
    </w:p>
  </w:footnote>
  <w:footnote w:id="347">
    <w:p w:rsidR="00484671" w:rsidRDefault="00484671" w:rsidP="001D4715">
      <w:pPr>
        <w:pStyle w:val="FootnoteText"/>
      </w:pPr>
      <w:r>
        <w:rPr>
          <w:rStyle w:val="FootnoteReference"/>
        </w:rPr>
        <w:footnoteRef/>
      </w:r>
      <w:r>
        <w:t xml:space="preserve"> </w:t>
      </w:r>
      <w:r>
        <w:tab/>
        <w:t>NER, cl. 6.5.2(f); NER, cl. 6A.6.2(f); NGR, r. 87(6). NEL, s.16; NGL, s. 23.</w:t>
      </w:r>
    </w:p>
  </w:footnote>
  <w:footnote w:id="348">
    <w:p w:rsidR="00484671" w:rsidRDefault="00484671" w:rsidP="007C54F1">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202, 221–222.</w:t>
      </w:r>
    </w:p>
  </w:footnote>
  <w:footnote w:id="349">
    <w:p w:rsidR="00484671" w:rsidRDefault="00484671" w:rsidP="007C54F1">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221–222.</w:t>
      </w:r>
    </w:p>
  </w:footnote>
  <w:footnote w:id="350">
    <w:p w:rsidR="00484671" w:rsidRDefault="00484671" w:rsidP="006E238F">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w:t>
      </w:r>
      <w:r w:rsidRPr="00B474EC">
        <w:rPr>
          <w:rStyle w:val="AERtextitalic"/>
        </w:rPr>
        <w:t>The market risk premium</w:t>
      </w:r>
      <w:r>
        <w:t xml:space="preserve">, September 2016, p. 71–73, 75–76; Multinet Gas, </w:t>
      </w:r>
      <w:r w:rsidRPr="008E21FF">
        <w:rPr>
          <w:rStyle w:val="Emphasis"/>
        </w:rPr>
        <w:t>Multinet Gas Rate of Return Overview</w:t>
      </w:r>
      <w:r>
        <w:t>, 2016 December 2016, pp.26-28</w:t>
      </w:r>
    </w:p>
  </w:footnote>
  <w:footnote w:id="351">
    <w:p w:rsidR="00484671" w:rsidRDefault="00484671" w:rsidP="007C54F1">
      <w:pPr>
        <w:pStyle w:val="FootnoteText"/>
      </w:pPr>
      <w:r>
        <w:rPr>
          <w:rStyle w:val="FootnoteReference"/>
        </w:rPr>
        <w:footnoteRef/>
      </w:r>
      <w:r>
        <w:t xml:space="preserve"> </w:t>
      </w:r>
      <w:r>
        <w:tab/>
        <w:t xml:space="preserve">See 'other information and evaluation of information' subsection of section </w:t>
      </w:r>
      <w:r>
        <w:fldChar w:fldCharType="begin"/>
      </w:r>
      <w:r>
        <w:instrText xml:space="preserve"> REF _Ref478718271 \r \h </w:instrText>
      </w:r>
      <w:r>
        <w:fldChar w:fldCharType="separate"/>
      </w:r>
      <w:r w:rsidR="002C24D6">
        <w:t>3.4.2</w:t>
      </w:r>
      <w:r>
        <w:fldChar w:fldCharType="end"/>
      </w:r>
      <w:r>
        <w:t xml:space="preserve"> and </w:t>
      </w:r>
      <w:r>
        <w:fldChar w:fldCharType="begin"/>
      </w:r>
      <w:r>
        <w:instrText xml:space="preserve"> REF _Ref451685221 \r \h </w:instrText>
      </w:r>
      <w:r>
        <w:fldChar w:fldCharType="separate"/>
      </w:r>
      <w:r w:rsidR="002C24D6">
        <w:t>E</w:t>
      </w:r>
      <w:r>
        <w:fldChar w:fldCharType="end"/>
      </w:r>
      <w:r>
        <w:t>.</w:t>
      </w:r>
    </w:p>
  </w:footnote>
  <w:footnote w:id="352">
    <w:p w:rsidR="00484671" w:rsidRDefault="00484671" w:rsidP="00772B77">
      <w:pPr>
        <w:pStyle w:val="FootnoteText"/>
      </w:pPr>
      <w:r>
        <w:rPr>
          <w:rStyle w:val="FootnoteReference"/>
        </w:rPr>
        <w:footnoteRef/>
      </w:r>
      <w:r>
        <w:t xml:space="preserve"> </w:t>
      </w:r>
      <w:r>
        <w:tab/>
        <w:t>IPART</w:t>
      </w:r>
      <w:r w:rsidRPr="00BA392B">
        <w:rPr>
          <w:rStyle w:val="Emphasis"/>
        </w:rPr>
        <w:t>, Maximum fees and charges for cruise ships in Sydney Harbour Final decision</w:t>
      </w:r>
      <w:r w:rsidRPr="001B3748">
        <w:t>, 25 November 2016</w:t>
      </w:r>
      <w:r>
        <w:t xml:space="preserve">; </w:t>
      </w:r>
      <w:r w:rsidRPr="001B3748">
        <w:t>ESCOSA</w:t>
      </w:r>
      <w:r w:rsidRPr="00BA392B">
        <w:rPr>
          <w:rStyle w:val="Emphasis"/>
        </w:rPr>
        <w:t>, SA Water Regulatory Determination 2016 Final Decision</w:t>
      </w:r>
      <w:r w:rsidRPr="001B3748">
        <w:t>, June 2016</w:t>
      </w:r>
      <w:r>
        <w:t xml:space="preserve">; </w:t>
      </w:r>
      <w:r w:rsidRPr="001B3748">
        <w:t xml:space="preserve">ESCV, </w:t>
      </w:r>
      <w:r w:rsidRPr="00BA392B">
        <w:rPr>
          <w:rStyle w:val="Emphasis"/>
        </w:rPr>
        <w:t>Goulbourn-Murray Water Price Review 2016</w:t>
      </w:r>
      <w:r w:rsidRPr="001B3748">
        <w:t>, 16 June 2016</w:t>
      </w:r>
    </w:p>
  </w:footnote>
  <w:footnote w:id="353">
    <w:p w:rsidR="00484671" w:rsidRDefault="00484671" w:rsidP="00C22C38">
      <w:pPr>
        <w:pStyle w:val="FootnoteText"/>
      </w:pPr>
      <w:r>
        <w:rPr>
          <w:rStyle w:val="FootnoteReference"/>
        </w:rPr>
        <w:footnoteRef/>
      </w:r>
      <w:r>
        <w:t xml:space="preserve"> </w:t>
      </w:r>
      <w:r>
        <w:tab/>
      </w:r>
      <w:r w:rsidRPr="0056513F">
        <w:t xml:space="preserve"> </w:t>
      </w:r>
      <w:r>
        <w:t xml:space="preserve">CCP5, </w:t>
      </w:r>
      <w:r w:rsidRPr="00BA392B">
        <w:rPr>
          <w:rStyle w:val="Emphasis"/>
        </w:rPr>
        <w:t>response to AER draft decision on AusNet services transmission review</w:t>
      </w:r>
      <w:r>
        <w:t xml:space="preserve">, September 2016; CCP5, </w:t>
      </w:r>
      <w:r w:rsidRPr="006E5878">
        <w:rPr>
          <w:rStyle w:val="AERtextitalic"/>
        </w:rPr>
        <w:t>Transmission for the Generations III–Response to: Revised revenue proposal by AusNet Services for Transmission Revenue Review 2017–22</w:t>
      </w:r>
      <w:r>
        <w:t xml:space="preserve">, October 2016, pp. 9–10; CCP4 (Hugh Grant), </w:t>
      </w:r>
      <w:r w:rsidRPr="006E5878">
        <w:rPr>
          <w:rStyle w:val="AERtextitalic"/>
        </w:rPr>
        <w:t>Submission to the AER: AER draft 2018–22 revenue decision Powerlink revised 208–22 revenue proposal</w:t>
      </w:r>
      <w:r>
        <w:t xml:space="preserve">, 23 December 2016, p. 44; </w:t>
      </w:r>
      <w:r w:rsidRPr="007004E9">
        <w:t xml:space="preserve">CCP4 (David Headberry), </w:t>
      </w:r>
      <w:r w:rsidRPr="006E5878">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Queensland farmers’ federation, </w:t>
      </w:r>
      <w:r w:rsidRPr="006E5878">
        <w:rPr>
          <w:rStyle w:val="AERtextitalic"/>
        </w:rPr>
        <w:t>Re: Response on Australian Energy Regulator (AER) Draft Decision on Powerlink ‘s revenue proposal for the 2017/18 –2021/22 regulatory period</w:t>
      </w:r>
      <w:r>
        <w:t>, 30 November 2016..</w:t>
      </w:r>
    </w:p>
  </w:footnote>
  <w:footnote w:id="354">
    <w:p w:rsidR="00484671" w:rsidRDefault="00484671" w:rsidP="00272584">
      <w:pPr>
        <w:pStyle w:val="FootnoteText"/>
      </w:pPr>
      <w:r>
        <w:rPr>
          <w:rStyle w:val="FootnoteReference"/>
        </w:rPr>
        <w:footnoteRef/>
      </w:r>
      <w:r>
        <w:t xml:space="preserve"> </w:t>
      </w:r>
      <w:r>
        <w:tab/>
        <w:t xml:space="preserve">AusNet Services, </w:t>
      </w:r>
      <w:r>
        <w:rPr>
          <w:rStyle w:val="Emphasis"/>
        </w:rPr>
        <w:t>Access Arrangement</w:t>
      </w:r>
      <w:r w:rsidRPr="00BA392B">
        <w:rPr>
          <w:rStyle w:val="Emphasis"/>
        </w:rPr>
        <w:t xml:space="preserve"> 201</w:t>
      </w:r>
      <w:r>
        <w:rPr>
          <w:rStyle w:val="Emphasis"/>
        </w:rPr>
        <w:t>8</w:t>
      </w:r>
      <w:r w:rsidRPr="00BA392B">
        <w:rPr>
          <w:rStyle w:val="Emphasis"/>
        </w:rPr>
        <w:t>-22</w:t>
      </w:r>
      <w:r>
        <w:t xml:space="preserve">, 21 December 2016; APA VTS, </w:t>
      </w:r>
      <w:r w:rsidRPr="000B5EEF">
        <w:rPr>
          <w:rStyle w:val="Emphasis"/>
        </w:rPr>
        <w:t>VTS Revision Proposal Submission</w:t>
      </w:r>
      <w:r>
        <w:t xml:space="preserve">, 03 January 2017; AGN, Access Arrangement Information for our Victorian and Albury natural gas distribution networks 2018-2022, 22 December 2016; Multinet Gas, </w:t>
      </w:r>
      <w:r w:rsidRPr="000B5EEF">
        <w:rPr>
          <w:rStyle w:val="Emphasis"/>
        </w:rPr>
        <w:t>Rate of Return Overview</w:t>
      </w:r>
      <w:r>
        <w:t xml:space="preserve">, 16 December 2016; APTPPL, </w:t>
      </w:r>
      <w:r w:rsidRPr="000B5EEF">
        <w:rPr>
          <w:rStyle w:val="Emphasis"/>
        </w:rPr>
        <w:t>RBP Access Arrangement revision submission</w:t>
      </w:r>
      <w:r>
        <w:t>, September 2016</w:t>
      </w:r>
    </w:p>
    <w:p w:rsidR="00484671" w:rsidRDefault="00484671" w:rsidP="00772B77">
      <w:pPr>
        <w:pStyle w:val="FootnoteText"/>
      </w:pPr>
    </w:p>
  </w:footnote>
  <w:footnote w:id="355">
    <w:p w:rsidR="00484671" w:rsidRDefault="00484671" w:rsidP="007C54F1">
      <w:pPr>
        <w:pStyle w:val="FootnoteText"/>
      </w:pPr>
      <w:r>
        <w:rPr>
          <w:rStyle w:val="FootnoteReference"/>
        </w:rPr>
        <w:footnoteRef/>
      </w:r>
      <w:r>
        <w:t xml:space="preserve"> </w:t>
      </w:r>
      <w:r>
        <w:tab/>
        <w:t xml:space="preserve">AER, </w:t>
      </w:r>
      <w:r>
        <w:rPr>
          <w:rStyle w:val="Emphasis"/>
        </w:rPr>
        <w:t xml:space="preserve"> Explanatory statement, Rate of Return Guideline</w:t>
      </w:r>
      <w:r>
        <w:t>, December 2013, pp. 14;</w:t>
      </w:r>
    </w:p>
  </w:footnote>
  <w:footnote w:id="356">
    <w:p w:rsidR="00484671" w:rsidRDefault="00484671" w:rsidP="007C54F1">
      <w:pPr>
        <w:pStyle w:val="FootnoteText"/>
      </w:pPr>
      <w:r>
        <w:rPr>
          <w:rStyle w:val="FootnoteReference"/>
        </w:rPr>
        <w:footnoteRef/>
      </w:r>
      <w:r>
        <w:t xml:space="preserve"> </w:t>
      </w:r>
      <w:r>
        <w:tab/>
        <w:t xml:space="preserve">CCP (subpanel 5, </w:t>
      </w:r>
      <w:r>
        <w:rPr>
          <w:i/>
        </w:rPr>
        <w:t xml:space="preserve">Submission on AusNet transmission revised proposal, </w:t>
      </w:r>
      <w:r>
        <w:t xml:space="preserve">October 2016 P8-9. </w:t>
      </w:r>
    </w:p>
  </w:footnote>
  <w:footnote w:id="357">
    <w:p w:rsidR="00484671" w:rsidRDefault="00484671" w:rsidP="007C54F1">
      <w:pPr>
        <w:pStyle w:val="FootnoteText"/>
      </w:pPr>
      <w:r>
        <w:rPr>
          <w:rStyle w:val="FootnoteReference"/>
        </w:rPr>
        <w:footnoteRef/>
      </w:r>
      <w:r>
        <w:t xml:space="preserve"> </w:t>
      </w:r>
      <w:r>
        <w:tab/>
        <w:t xml:space="preserve">Asia Pacific LNG, </w:t>
      </w:r>
      <w:r w:rsidRPr="00A332C6">
        <w:rPr>
          <w:i/>
        </w:rPr>
        <w:t>Submission on Roma to Brisbane access arrangement 2017-22</w:t>
      </w:r>
      <w:r>
        <w:t>, 4 November 2016, p. 2</w:t>
      </w:r>
    </w:p>
  </w:footnote>
  <w:footnote w:id="358">
    <w:p w:rsidR="00484671" w:rsidRPr="00C84D34" w:rsidRDefault="00484671" w:rsidP="007C54F1">
      <w:pPr>
        <w:pStyle w:val="FootnoteText"/>
      </w:pPr>
      <w:r>
        <w:rPr>
          <w:rStyle w:val="FootnoteReference"/>
        </w:rPr>
        <w:footnoteRef/>
      </w:r>
      <w:r>
        <w:t xml:space="preserve"> </w:t>
      </w:r>
      <w:r>
        <w:tab/>
        <w:t xml:space="preserve">QGC, </w:t>
      </w:r>
      <w:r>
        <w:rPr>
          <w:i/>
        </w:rPr>
        <w:t xml:space="preserve">Submission on Roma to Brisbane access arrangement 2017-22, </w:t>
      </w:r>
      <w:r>
        <w:t>28 October 2016, p4</w:t>
      </w:r>
    </w:p>
  </w:footnote>
  <w:footnote w:id="359">
    <w:p w:rsidR="00484671" w:rsidRDefault="00484671" w:rsidP="007C54F1">
      <w:pPr>
        <w:pStyle w:val="FootnoteText"/>
      </w:pPr>
      <w:r>
        <w:rPr>
          <w:rStyle w:val="FootnoteReference"/>
        </w:rPr>
        <w:footnoteRef/>
      </w:r>
      <w:r>
        <w:t xml:space="preserve"> </w:t>
      </w:r>
      <w:r>
        <w:tab/>
        <w:t xml:space="preserve">AEC, </w:t>
      </w:r>
      <w:r w:rsidRPr="00BA392B">
        <w:rPr>
          <w:rStyle w:val="Emphasis"/>
        </w:rPr>
        <w:t>Submission on Roma to Brisbane access arrangement 2017-22</w:t>
      </w:r>
      <w:r w:rsidRPr="004378D9">
        <w:t xml:space="preserve">, </w:t>
      </w:r>
      <w:r>
        <w:t>20 October 2016, p3</w:t>
      </w:r>
    </w:p>
  </w:footnote>
  <w:footnote w:id="360">
    <w:p w:rsidR="00484671" w:rsidRDefault="00484671" w:rsidP="007C54F1">
      <w:pPr>
        <w:pStyle w:val="FootnoteText"/>
      </w:pPr>
      <w:r>
        <w:rPr>
          <w:rStyle w:val="FootnoteReference"/>
        </w:rPr>
        <w:footnoteRef/>
      </w:r>
      <w:r>
        <w:t xml:space="preserve"> </w:t>
      </w:r>
      <w:r>
        <w:tab/>
        <w:t xml:space="preserve">CCP4 (David Headberry), </w:t>
      </w:r>
      <w:r w:rsidRPr="00BA392B">
        <w:rPr>
          <w:rStyle w:val="Emphasis"/>
        </w:rPr>
        <w:t>Submission on Powerlink draft decision and revised proposal</w:t>
      </w:r>
      <w:r>
        <w:t>, 23 December 2016, P21</w:t>
      </w:r>
    </w:p>
  </w:footnote>
  <w:footnote w:id="361">
    <w:p w:rsidR="00484671" w:rsidRDefault="00484671" w:rsidP="007C54F1">
      <w:pPr>
        <w:pStyle w:val="FootnoteText"/>
      </w:pPr>
      <w:r>
        <w:rPr>
          <w:rStyle w:val="FootnoteReference"/>
        </w:rPr>
        <w:footnoteRef/>
      </w:r>
      <w:r>
        <w:t xml:space="preserve"> </w:t>
      </w:r>
      <w:r>
        <w:tab/>
        <w:t xml:space="preserve">CCP4 (Hugh Grant), </w:t>
      </w:r>
      <w:r w:rsidRPr="00BA392B">
        <w:rPr>
          <w:rStyle w:val="Emphasis"/>
        </w:rPr>
        <w:t>Submission on Powerlink draft decision and revised proposal</w:t>
      </w:r>
      <w:r>
        <w:t>, 23 December 2016, P5 &amp; P39-42</w:t>
      </w:r>
    </w:p>
  </w:footnote>
  <w:footnote w:id="362">
    <w:p w:rsidR="00484671" w:rsidRDefault="00484671" w:rsidP="007C54F1">
      <w:pPr>
        <w:pStyle w:val="FootnoteText"/>
      </w:pPr>
      <w:r>
        <w:rPr>
          <w:rStyle w:val="FootnoteReference"/>
        </w:rPr>
        <w:footnoteRef/>
      </w:r>
      <w:r>
        <w:t xml:space="preserve"> </w:t>
      </w:r>
      <w:r>
        <w:tab/>
        <w:t xml:space="preserve">Cotton Australia, </w:t>
      </w:r>
      <w:r w:rsidRPr="00BA392B">
        <w:rPr>
          <w:rStyle w:val="Emphasis"/>
        </w:rPr>
        <w:t>Submission on Powerlink revised proposal</w:t>
      </w:r>
      <w:r>
        <w:t>, 22 December 2016, p2</w:t>
      </w:r>
    </w:p>
  </w:footnote>
  <w:footnote w:id="363">
    <w:p w:rsidR="00484671" w:rsidRDefault="00484671" w:rsidP="007C54F1">
      <w:pPr>
        <w:pStyle w:val="FootnoteText"/>
      </w:pPr>
      <w:r>
        <w:rPr>
          <w:rStyle w:val="FootnoteReference"/>
        </w:rPr>
        <w:footnoteRef/>
      </w:r>
      <w:r>
        <w:t xml:space="preserve"> </w:t>
      </w:r>
      <w:r>
        <w:tab/>
        <w:t xml:space="preserve">Queensland Farmers' Federation, </w:t>
      </w:r>
      <w:r w:rsidRPr="00A164C0">
        <w:rPr>
          <w:rStyle w:val="Emphasis"/>
        </w:rPr>
        <w:t>Submission on Powerlink Draft Decision</w:t>
      </w:r>
      <w:r>
        <w:t>, 30 November 2016, p3</w:t>
      </w:r>
    </w:p>
  </w:footnote>
  <w:footnote w:id="364">
    <w:p w:rsidR="00484671" w:rsidRDefault="00484671" w:rsidP="007C54F1">
      <w:pPr>
        <w:pStyle w:val="FootnoteText"/>
      </w:pPr>
      <w:r>
        <w:rPr>
          <w:rStyle w:val="FootnoteReference"/>
        </w:rPr>
        <w:footnoteRef/>
      </w:r>
      <w:r>
        <w:t xml:space="preserve"> </w:t>
      </w:r>
      <w:r>
        <w:tab/>
        <w:t xml:space="preserve">John Herbst, </w:t>
      </w:r>
      <w:r w:rsidRPr="00A164C0">
        <w:rPr>
          <w:rStyle w:val="Emphasis"/>
        </w:rPr>
        <w:t>Submission on TasNetworks tariff structure statement</w:t>
      </w:r>
      <w:r>
        <w:t>, December 2016, p1-3</w:t>
      </w:r>
    </w:p>
  </w:footnote>
  <w:footnote w:id="365">
    <w:p w:rsidR="00484671" w:rsidRPr="00B508AD" w:rsidRDefault="00484671" w:rsidP="007C54F1">
      <w:pPr>
        <w:pStyle w:val="FootnoteText"/>
        <w:rPr>
          <w:rStyle w:val="Emphasis"/>
          <w:i w:val="0"/>
          <w:iCs w:val="0"/>
        </w:rPr>
      </w:pPr>
      <w:r>
        <w:rPr>
          <w:rStyle w:val="FootnoteReference"/>
        </w:rPr>
        <w:footnoteRef/>
      </w:r>
      <w:r>
        <w:t xml:space="preserve">  </w:t>
      </w:r>
      <w:r>
        <w:tab/>
        <w:t xml:space="preserve">Beverly Hughson, </w:t>
      </w:r>
      <w:r>
        <w:rPr>
          <w:rStyle w:val="Emphasis"/>
        </w:rPr>
        <w:t xml:space="preserve">Supplementary Advice on the proposed Return on Equity by Victorian gas network service providers, </w:t>
      </w:r>
      <w:r w:rsidRPr="00B508AD">
        <w:t>22 March 2017</w:t>
      </w:r>
      <w:r>
        <w:t xml:space="preserve">, pp.39-40; Beverly Hughs, </w:t>
      </w:r>
      <w:r w:rsidRPr="00B508AD">
        <w:rPr>
          <w:rStyle w:val="Emphasis"/>
        </w:rPr>
        <w:t>Supplementary advice on APA VTS's proposed Return on Equity</w:t>
      </w:r>
      <w:r>
        <w:t>,</w:t>
      </w:r>
      <w:r w:rsidRPr="00B508AD">
        <w:t xml:space="preserve"> 22 March 2017</w:t>
      </w:r>
      <w:r>
        <w:t>, p.7</w:t>
      </w:r>
    </w:p>
  </w:footnote>
  <w:footnote w:id="366">
    <w:p w:rsidR="00484671" w:rsidRDefault="00484671" w:rsidP="007C54F1">
      <w:pPr>
        <w:pStyle w:val="FootnoteText"/>
      </w:pPr>
      <w:r>
        <w:rPr>
          <w:rStyle w:val="FootnoteReference"/>
        </w:rPr>
        <w:footnoteRef/>
      </w:r>
      <w:r>
        <w:t xml:space="preserve"> </w:t>
      </w:r>
      <w:r>
        <w:tab/>
        <w:t xml:space="preserve">CCP11, </w:t>
      </w:r>
      <w:r>
        <w:rPr>
          <w:rStyle w:val="Emphasis"/>
        </w:rPr>
        <w:t>Response to proposal from APA VTS for the 2018-22 access arrangement</w:t>
      </w:r>
      <w:r>
        <w:t xml:space="preserve"> ,3 March 2017, pp.32-35</w:t>
      </w:r>
    </w:p>
  </w:footnote>
  <w:footnote w:id="367">
    <w:p w:rsidR="00484671" w:rsidRDefault="00484671" w:rsidP="007C54F1">
      <w:pPr>
        <w:pStyle w:val="FootnoteText"/>
      </w:pPr>
      <w:r>
        <w:rPr>
          <w:rStyle w:val="FootnoteReference"/>
        </w:rPr>
        <w:footnoteRef/>
      </w:r>
      <w:r>
        <w:t xml:space="preserve"> </w:t>
      </w:r>
      <w:r>
        <w:tab/>
        <w:t xml:space="preserve">CCP11, </w:t>
      </w:r>
      <w:r w:rsidRPr="009C0908">
        <w:rPr>
          <w:rStyle w:val="Emphasis"/>
        </w:rPr>
        <w:t>Response to proposals from AGN,</w:t>
      </w:r>
      <w:r>
        <w:t xml:space="preserve"> </w:t>
      </w:r>
      <w:r w:rsidRPr="009C0908">
        <w:rPr>
          <w:rStyle w:val="Emphasis"/>
        </w:rPr>
        <w:t>AusNet and Multinet for the 2018-2022 Access Arrangements</w:t>
      </w:r>
      <w:r>
        <w:t>, 3 March 2017, pp.74-79</w:t>
      </w:r>
    </w:p>
  </w:footnote>
  <w:footnote w:id="368">
    <w:p w:rsidR="00484671" w:rsidRDefault="00484671" w:rsidP="007C54F1">
      <w:pPr>
        <w:pStyle w:val="FootnoteText"/>
      </w:pPr>
      <w:r>
        <w:rPr>
          <w:rStyle w:val="FootnoteReference"/>
        </w:rPr>
        <w:footnoteRef/>
      </w:r>
      <w:r>
        <w:t xml:space="preserve"> </w:t>
      </w:r>
      <w:r>
        <w:tab/>
        <w:t xml:space="preserve">Frontier considers that we set a market risk premium of 6.5 per cent in the December 2013 Guideline by estimating the mid-point of historical excess returns and dividend growth model estimates. See Frontier Economics, </w:t>
      </w:r>
      <w:r w:rsidRPr="00A164C0">
        <w:rPr>
          <w:rStyle w:val="Emphasis"/>
        </w:rPr>
        <w:t>The Market Risk Premium</w:t>
      </w:r>
      <w:r>
        <w:t>, September 2016, p. 25.</w:t>
      </w:r>
    </w:p>
  </w:footnote>
  <w:footnote w:id="369">
    <w:p w:rsidR="00484671" w:rsidRDefault="00484671" w:rsidP="007C54F1">
      <w:pPr>
        <w:pStyle w:val="FootnoteText"/>
      </w:pPr>
      <w:r>
        <w:rPr>
          <w:rStyle w:val="FootnoteReference"/>
        </w:rPr>
        <w:footnoteRef/>
      </w:r>
      <w:r>
        <w:t xml:space="preserve"> </w:t>
      </w:r>
      <w:r>
        <w:tab/>
        <w:t xml:space="preserve">See: AER, </w:t>
      </w:r>
      <w:r w:rsidRPr="00F13A0F">
        <w:rPr>
          <w:rStyle w:val="Emphasis"/>
        </w:rPr>
        <w:t>Final decision SA Power Networks determination 2015-16 to 2019-20: Attachment 3–Rate of return</w:t>
      </w:r>
      <w:r>
        <w:t>, October 2015, pp. 33–144.</w:t>
      </w:r>
    </w:p>
  </w:footnote>
  <w:footnote w:id="370">
    <w:p w:rsidR="00484671" w:rsidRDefault="00484671" w:rsidP="007C54F1">
      <w:pPr>
        <w:pStyle w:val="FootnoteText"/>
      </w:pPr>
      <w:r>
        <w:rPr>
          <w:rStyle w:val="FootnoteReference"/>
        </w:rPr>
        <w:footnoteRef/>
      </w:r>
      <w:r>
        <w:t xml:space="preserve"> </w:t>
      </w:r>
      <w:r>
        <w:tab/>
        <w:t xml:space="preserve">See for example: AER, </w:t>
      </w:r>
      <w:r w:rsidRPr="00F13A0F">
        <w:rPr>
          <w:rStyle w:val="Emphasis"/>
        </w:rPr>
        <w:t>Final decision SA Power Networks determination 2015-16 to 2019-20: Attachment 3–Rate of return</w:t>
      </w:r>
      <w:r>
        <w:t>, October 2015, pp. 43–106.</w:t>
      </w:r>
    </w:p>
  </w:footnote>
  <w:footnote w:id="371">
    <w:p w:rsidR="00484671" w:rsidRDefault="00484671" w:rsidP="007C54F1">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372">
    <w:p w:rsidR="00484671" w:rsidRDefault="00484671" w:rsidP="007C54F1">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w:t>
      </w:r>
      <w:r w:rsidRPr="00176A4B">
        <w:t xml:space="preserve">Partington &amp; Satchell, </w:t>
      </w:r>
      <w:r>
        <w:rPr>
          <w:rStyle w:val="AERtextitalic"/>
        </w:rPr>
        <w:t xml:space="preserve">Report to the AER: Analysis of </w:t>
      </w:r>
      <w:r w:rsidRPr="00176A4B">
        <w:rPr>
          <w:rStyle w:val="AERtextitalic"/>
        </w:rPr>
        <w:t>criticism of 2015 determinations</w:t>
      </w:r>
      <w:r w:rsidRPr="00176A4B">
        <w:t>, October 2015</w:t>
      </w:r>
      <w:r>
        <w:t>, pp. 43–44.</w:t>
      </w:r>
    </w:p>
  </w:footnote>
  <w:footnote w:id="373">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23.</w:t>
      </w:r>
    </w:p>
  </w:footnote>
  <w:footnote w:id="374">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26.</w:t>
      </w:r>
    </w:p>
  </w:footnote>
  <w:footnote w:id="375">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28-31.</w:t>
      </w:r>
    </w:p>
  </w:footnote>
  <w:footnote w:id="376">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24.</w:t>
      </w:r>
    </w:p>
  </w:footnote>
  <w:footnote w:id="377">
    <w:p w:rsidR="00484671" w:rsidRDefault="00484671" w:rsidP="007C54F1">
      <w:pPr>
        <w:pStyle w:val="FootnoteText"/>
      </w:pPr>
      <w:r>
        <w:rPr>
          <w:rStyle w:val="FootnoteReference"/>
        </w:rPr>
        <w:footnoteRef/>
      </w:r>
      <w:r>
        <w:t xml:space="preserve"> </w:t>
      </w:r>
      <w:r>
        <w:tab/>
        <w:t>For the return on equity: the Sharpe Lintner CAPM, Black CAPM, Fama-French model and the dividend growth model. For the market risk premium: historical excess returns, Wright approach, dividend growth model and independent expert valuation reports.</w:t>
      </w:r>
    </w:p>
  </w:footnote>
  <w:footnote w:id="378">
    <w:p w:rsidR="00484671" w:rsidRDefault="00484671" w:rsidP="007C54F1">
      <w:pPr>
        <w:pStyle w:val="FootnoteText"/>
      </w:pPr>
      <w:r>
        <w:rPr>
          <w:rStyle w:val="FootnoteReference"/>
        </w:rPr>
        <w:footnoteRef/>
      </w:r>
      <w:r>
        <w:t xml:space="preserve"> </w:t>
      </w:r>
      <w:r>
        <w:tab/>
        <w:t xml:space="preserve">SAPN, </w:t>
      </w:r>
      <w:r w:rsidRPr="00A74F31">
        <w:rPr>
          <w:rStyle w:val="Emphasis"/>
        </w:rPr>
        <w:t>Regulatory Proposal 2015-20</w:t>
      </w:r>
      <w:r>
        <w:t xml:space="preserve">, p318-319; AGN, </w:t>
      </w:r>
      <w:r w:rsidRPr="00A74F31">
        <w:rPr>
          <w:rStyle w:val="Emphasis"/>
        </w:rPr>
        <w:t>Revised SA Access Arrangement Information January 2016</w:t>
      </w:r>
      <w:r>
        <w:t>, P88-89; Frontier Economics, The Required Return on Equity Under a Foundation Model Approach, January 2016, P7-10,22</w:t>
      </w:r>
    </w:p>
  </w:footnote>
  <w:footnote w:id="379">
    <w:p w:rsidR="00484671" w:rsidRDefault="0048467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pp. 23–24.</w:t>
      </w:r>
    </w:p>
  </w:footnote>
  <w:footnote w:id="380">
    <w:p w:rsidR="00484671" w:rsidRDefault="0048467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 23.</w:t>
      </w:r>
    </w:p>
  </w:footnote>
  <w:footnote w:id="381">
    <w:p w:rsidR="00484671" w:rsidRDefault="0048467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 24.</w:t>
      </w:r>
    </w:p>
  </w:footnote>
  <w:footnote w:id="382">
    <w:p w:rsidR="00484671" w:rsidRDefault="00484671" w:rsidP="007C54F1">
      <w:pPr>
        <w:pStyle w:val="FootnoteText"/>
      </w:pPr>
      <w:r>
        <w:rPr>
          <w:rStyle w:val="FootnoteReference"/>
        </w:rPr>
        <w:footnoteRef/>
      </w:r>
      <w:r>
        <w:t xml:space="preserve"> </w:t>
      </w:r>
      <w:r>
        <w:tab/>
        <w:t>Frontier assumed a theta of 0.35, the NERA adjustment and excluded averaging periods that start in 1980 (that is it excluded the 1980–2015 and the 1988–2015 averaging periods).</w:t>
      </w:r>
    </w:p>
  </w:footnote>
  <w:footnote w:id="383">
    <w:p w:rsidR="00484671" w:rsidRDefault="00484671" w:rsidP="007C54F1">
      <w:pPr>
        <w:pStyle w:val="FootnoteText"/>
      </w:pPr>
      <w:r>
        <w:rPr>
          <w:rStyle w:val="FootnoteReference"/>
        </w:rPr>
        <w:footnoteRef/>
      </w:r>
      <w:r>
        <w:t xml:space="preserve"> </w:t>
      </w:r>
      <w:r>
        <w:tab/>
        <w:t xml:space="preserve">AER, Better regulation Explanatory statement rate of return guideline appendices, December 2013, p. 27; </w:t>
      </w:r>
    </w:p>
  </w:footnote>
  <w:footnote w:id="384">
    <w:p w:rsidR="00484671" w:rsidRDefault="00484671" w:rsidP="007C54F1">
      <w:pPr>
        <w:pStyle w:val="FootnoteText"/>
      </w:pPr>
      <w:r>
        <w:rPr>
          <w:rStyle w:val="FootnoteReference"/>
        </w:rPr>
        <w:footnoteRef/>
      </w:r>
      <w:r>
        <w:t xml:space="preserve"> </w:t>
      </w:r>
      <w:r>
        <w:tab/>
        <w:t xml:space="preserve">Frontier Economics, </w:t>
      </w:r>
      <w:r w:rsidRPr="00A74F31">
        <w:rPr>
          <w:rStyle w:val="Emphasis"/>
        </w:rPr>
        <w:t>The Market Risk Premium</w:t>
      </w:r>
      <w:r>
        <w:t xml:space="preserve">, September 2016, pp. 35–37; Frontier Economics, </w:t>
      </w:r>
      <w:r w:rsidRPr="00A74F31">
        <w:rPr>
          <w:rStyle w:val="Emphasis"/>
        </w:rPr>
        <w:t>The Required Return On Equity Under A Foundation Model Approach</w:t>
      </w:r>
      <w:r>
        <w:t>, January 2016, pp. 32–34.</w:t>
      </w:r>
    </w:p>
  </w:footnote>
  <w:footnote w:id="385">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14 </w:t>
      </w:r>
    </w:p>
  </w:footnote>
  <w:footnote w:id="386">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18 </w:t>
      </w:r>
    </w:p>
  </w:footnote>
  <w:footnote w:id="387">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18-21</w:t>
      </w:r>
    </w:p>
  </w:footnote>
  <w:footnote w:id="388">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20 </w:t>
      </w:r>
    </w:p>
  </w:footnote>
  <w:footnote w:id="389">
    <w:p w:rsidR="00484671" w:rsidRDefault="00484671" w:rsidP="007C54F1">
      <w:pPr>
        <w:pStyle w:val="FootnoteText"/>
      </w:pPr>
      <w:r>
        <w:rPr>
          <w:rStyle w:val="FootnoteReference"/>
        </w:rPr>
        <w:footnoteRef/>
      </w:r>
      <w:r>
        <w:t xml:space="preserve"> </w:t>
      </w:r>
      <w:r>
        <w:tab/>
        <w:t xml:space="preserve">Multinet, </w:t>
      </w:r>
      <w:r>
        <w:rPr>
          <w:rStyle w:val="Emphasis"/>
        </w:rPr>
        <w:t>Rate of Return Overview</w:t>
      </w:r>
      <w:r>
        <w:t>, 16 December 2016, p. 29; Frontier, The market risk premium, September 2016, pp. 40–41.</w:t>
      </w:r>
    </w:p>
  </w:footnote>
  <w:footnote w:id="390">
    <w:p w:rsidR="00484671" w:rsidRDefault="00484671" w:rsidP="007C54F1">
      <w:pPr>
        <w:pStyle w:val="FootnoteText"/>
      </w:pPr>
      <w:r>
        <w:rPr>
          <w:rStyle w:val="FootnoteReference"/>
        </w:rPr>
        <w:footnoteRef/>
      </w:r>
      <w:r>
        <w:t xml:space="preserve"> </w:t>
      </w:r>
      <w:r>
        <w:tab/>
        <w:t xml:space="preserve">Multinet, </w:t>
      </w:r>
      <w:r>
        <w:rPr>
          <w:rStyle w:val="Emphasis"/>
        </w:rPr>
        <w:t>Rate of Return Overview</w:t>
      </w:r>
      <w:r>
        <w:t>, 16 December 2016, p. 31; Frontier, The market risk premium, September 2016, pp. 30–31.</w:t>
      </w:r>
    </w:p>
  </w:footnote>
  <w:footnote w:id="391">
    <w:p w:rsidR="00484671" w:rsidRDefault="00484671" w:rsidP="001E3DDE">
      <w:pPr>
        <w:pStyle w:val="FootnoteText"/>
      </w:pPr>
      <w:r>
        <w:rPr>
          <w:rStyle w:val="FootnoteReference"/>
        </w:rPr>
        <w:footnoteRef/>
      </w:r>
      <w:r>
        <w:t xml:space="preserve"> </w:t>
      </w:r>
      <w:r>
        <w:tab/>
        <w:t>AER, AER explanatory statement – appendices – rate of return guideline, December 2013, pp. 24-28</w:t>
      </w:r>
    </w:p>
  </w:footnote>
  <w:footnote w:id="392">
    <w:p w:rsidR="00484671" w:rsidRDefault="00484671" w:rsidP="001E3DDE">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27-28</w:t>
      </w:r>
    </w:p>
  </w:footnote>
  <w:footnote w:id="393">
    <w:p w:rsidR="00484671" w:rsidRDefault="00484671" w:rsidP="007C54F1">
      <w:pPr>
        <w:pStyle w:val="FootnoteText"/>
      </w:pPr>
      <w:r>
        <w:rPr>
          <w:rStyle w:val="FootnoteReference"/>
        </w:rPr>
        <w:footnoteRef/>
      </w:r>
      <w:r>
        <w:t xml:space="preserve"> </w:t>
      </w:r>
      <w:r>
        <w:tab/>
        <w:t>AER, AER explanatory statement – appendices – rate of return guideline, December 2013, pp. 119-125</w:t>
      </w:r>
    </w:p>
  </w:footnote>
  <w:footnote w:id="394">
    <w:p w:rsidR="00484671" w:rsidRDefault="00484671" w:rsidP="007C54F1">
      <w:pPr>
        <w:pStyle w:val="FootnoteText"/>
      </w:pPr>
      <w:r>
        <w:rPr>
          <w:rStyle w:val="FootnoteReference"/>
        </w:rPr>
        <w:footnoteRef/>
      </w:r>
      <w:r>
        <w:t xml:space="preserve"> </w:t>
      </w:r>
      <w:r>
        <w:tab/>
        <w:t>The difference between the two is due to the change in risk free rate between submission dates, and results in a higher Return on Equity estimate for APA VTS.</w:t>
      </w:r>
    </w:p>
  </w:footnote>
  <w:footnote w:id="395">
    <w:p w:rsidR="00484671" w:rsidRDefault="00484671" w:rsidP="007C54F1">
      <w:pPr>
        <w:pStyle w:val="FootnoteText"/>
      </w:pPr>
      <w:r>
        <w:rPr>
          <w:rStyle w:val="FootnoteReference"/>
        </w:rPr>
        <w:footnoteRef/>
      </w:r>
      <w:r>
        <w:t xml:space="preserve"> </w:t>
      </w:r>
      <w:r>
        <w:tab/>
        <w:t xml:space="preserve">APTPPL, </w:t>
      </w:r>
      <w:r w:rsidRPr="00A164C0">
        <w:rPr>
          <w:rStyle w:val="Emphasis"/>
        </w:rPr>
        <w:t>2017-2022 RBP Access Arrangement revision submission</w:t>
      </w:r>
      <w:r>
        <w:t xml:space="preserve">, September 16 2016, pp. 145–157; APA VTS, </w:t>
      </w:r>
      <w:r w:rsidRPr="00013867">
        <w:rPr>
          <w:rStyle w:val="Emphasis"/>
        </w:rPr>
        <w:t>VTS Revision Proposal submission</w:t>
      </w:r>
      <w:r>
        <w:t>, 3 January 2017, pp. 144-150</w:t>
      </w:r>
    </w:p>
  </w:footnote>
  <w:footnote w:id="396">
    <w:p w:rsidR="00484671" w:rsidRDefault="0048467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pp. 16, 33.</w:t>
      </w:r>
    </w:p>
  </w:footnote>
  <w:footnote w:id="397">
    <w:p w:rsidR="00484671" w:rsidRDefault="00484671" w:rsidP="007C54F1">
      <w:pPr>
        <w:pStyle w:val="FootnoteText"/>
      </w:pPr>
      <w:r>
        <w:rPr>
          <w:rStyle w:val="FootnoteReference"/>
        </w:rPr>
        <w:footnoteRef/>
      </w:r>
      <w:r>
        <w:t xml:space="preserve"> </w:t>
      </w:r>
      <w:r>
        <w:tab/>
        <w:t xml:space="preserve">Partington and Stachell, </w:t>
      </w:r>
      <w:r w:rsidRPr="00013867">
        <w:rPr>
          <w:rStyle w:val="Emphasis"/>
        </w:rPr>
        <w:t>Report to the AER: Discussion of submissions on the cost of equity</w:t>
      </w:r>
      <w:r>
        <w:t>, 29 May 2017, p. 47</w:t>
      </w:r>
    </w:p>
  </w:footnote>
  <w:footnote w:id="398">
    <w:p w:rsidR="00484671" w:rsidRDefault="00484671" w:rsidP="007C54F1">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399">
    <w:p w:rsidR="00484671" w:rsidRDefault="00484671" w:rsidP="007C54F1">
      <w:pPr>
        <w:pStyle w:val="FootnoteText"/>
      </w:pPr>
      <w:r>
        <w:rPr>
          <w:rStyle w:val="FootnoteReference"/>
        </w:rPr>
        <w:footnoteRef/>
      </w:r>
      <w:r>
        <w:t xml:space="preserve"> </w:t>
      </w:r>
      <w:r>
        <w:tab/>
        <w:t xml:space="preserve">APA VTS, </w:t>
      </w:r>
      <w:r w:rsidRPr="00013867">
        <w:rPr>
          <w:rStyle w:val="Emphasis"/>
        </w:rPr>
        <w:t>VTS Revision Proposal Submission</w:t>
      </w:r>
      <w:r>
        <w:t>, 3 January 2017, p. 166</w:t>
      </w:r>
    </w:p>
  </w:footnote>
  <w:footnote w:id="400">
    <w:p w:rsidR="00484671" w:rsidRDefault="00484671" w:rsidP="001E3DDE">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401">
    <w:p w:rsidR="00484671" w:rsidRDefault="00484671" w:rsidP="007C54F1">
      <w:pPr>
        <w:pStyle w:val="FootnoteText"/>
      </w:pPr>
      <w:r>
        <w:rPr>
          <w:rStyle w:val="FootnoteReference"/>
        </w:rPr>
        <w:footnoteRef/>
      </w:r>
      <w:r>
        <w:t xml:space="preserve"> </w:t>
      </w:r>
      <w:r>
        <w:tab/>
        <w:t xml:space="preserve">APTPPL, </w:t>
      </w:r>
      <w:r w:rsidRPr="0005600A">
        <w:rPr>
          <w:rStyle w:val="Emphasis"/>
        </w:rPr>
        <w:t>2017-2022 RBP Access Arrangement revision submission</w:t>
      </w:r>
      <w:r>
        <w:t>, September 16 2016, p. 156.</w:t>
      </w:r>
    </w:p>
  </w:footnote>
  <w:footnote w:id="402">
    <w:p w:rsidR="00484671" w:rsidRDefault="00484671" w:rsidP="007C54F1">
      <w:pPr>
        <w:pStyle w:val="FootnoteText"/>
      </w:pPr>
      <w:r>
        <w:rPr>
          <w:rStyle w:val="FootnoteReference"/>
        </w:rPr>
        <w:footnoteRef/>
      </w:r>
      <w:r>
        <w:t xml:space="preserve"> </w:t>
      </w:r>
      <w:r>
        <w:tab/>
        <w:t>APTPPL submitted that the ERA's decision supported an expected return on the market of 10 per cent which results in a market risk premium of 8.06 per cent based on a placeholder risk free rate of 1.94 per cent. APA VTS do the same with a risk free rate of 2.24 per cent.</w:t>
      </w:r>
    </w:p>
  </w:footnote>
  <w:footnote w:id="403">
    <w:p w:rsidR="00484671" w:rsidRDefault="00484671" w:rsidP="007C54F1">
      <w:pPr>
        <w:pStyle w:val="FootnoteText"/>
      </w:pPr>
      <w:r>
        <w:rPr>
          <w:rStyle w:val="FootnoteReference"/>
        </w:rPr>
        <w:footnoteRef/>
      </w:r>
      <w:r>
        <w:t xml:space="preserve"> </w:t>
      </w:r>
      <w:r>
        <w:tab/>
        <w:t xml:space="preserve">ERA, </w:t>
      </w:r>
      <w:r w:rsidRPr="00BF3D8B">
        <w:rPr>
          <w:rStyle w:val="Emphasis"/>
        </w:rPr>
        <w:t>Final Decision on Proposed Revisions to the Access Arrangement for the Goldfields Gas Pipeline</w:t>
      </w:r>
      <w:r>
        <w:t xml:space="preserve">, June 2016, pp. 239–240. </w:t>
      </w:r>
    </w:p>
  </w:footnote>
  <w:footnote w:id="404">
    <w:p w:rsidR="00484671" w:rsidRDefault="00484671" w:rsidP="007C54F1">
      <w:pPr>
        <w:pStyle w:val="FootnoteText"/>
      </w:pPr>
      <w:r>
        <w:rPr>
          <w:rStyle w:val="FootnoteReference"/>
        </w:rPr>
        <w:footnoteRef/>
      </w:r>
      <w:r>
        <w:t xml:space="preserve"> </w:t>
      </w:r>
      <w:r>
        <w:tab/>
        <w:t xml:space="preserve">APTPPL, </w:t>
      </w:r>
      <w:r w:rsidRPr="0005600A">
        <w:rPr>
          <w:rStyle w:val="Emphasis"/>
        </w:rPr>
        <w:t>2017-2022 RBP Access Arrangement revision submission</w:t>
      </w:r>
      <w:r>
        <w:t>, September 16 2016, p. 146;</w:t>
      </w:r>
      <w:r w:rsidRPr="00E46E3B">
        <w:t xml:space="preserve"> </w:t>
      </w:r>
      <w:r>
        <w:t xml:space="preserve">APA VTS, </w:t>
      </w:r>
      <w:r w:rsidRPr="002B1853">
        <w:rPr>
          <w:rStyle w:val="Emphasis"/>
        </w:rPr>
        <w:t>VTS Revision Proposal submission</w:t>
      </w:r>
      <w:r>
        <w:t>, 3 January 2017, p. 148</w:t>
      </w:r>
    </w:p>
  </w:footnote>
  <w:footnote w:id="405">
    <w:p w:rsidR="00484671" w:rsidRDefault="00484671" w:rsidP="007C54F1">
      <w:pPr>
        <w:pStyle w:val="FootnoteText"/>
      </w:pPr>
      <w:r>
        <w:rPr>
          <w:rStyle w:val="FootnoteReference"/>
        </w:rPr>
        <w:footnoteRef/>
      </w:r>
      <w:r>
        <w:t xml:space="preserve"> </w:t>
      </w:r>
      <w:r>
        <w:tab/>
        <w:t xml:space="preserve">ERA, </w:t>
      </w:r>
      <w:r w:rsidRPr="00BF3D8B">
        <w:rPr>
          <w:rStyle w:val="Emphasis"/>
        </w:rPr>
        <w:t>Final Decision on Proposed Revisions to the Access Arrangement for the Goldfields Gas Pipeline</w:t>
      </w:r>
      <w:r>
        <w:t>, June 2016, pp. 222–230.</w:t>
      </w:r>
    </w:p>
  </w:footnote>
  <w:footnote w:id="406">
    <w:p w:rsidR="00484671" w:rsidRDefault="00484671" w:rsidP="007C54F1">
      <w:pPr>
        <w:pStyle w:val="FootnoteText"/>
      </w:pPr>
      <w:r>
        <w:rPr>
          <w:rStyle w:val="FootnoteReference"/>
        </w:rPr>
        <w:footnoteRef/>
      </w:r>
      <w:r>
        <w:t xml:space="preserve"> </w:t>
      </w:r>
      <w:r>
        <w:tab/>
        <w:t>ERA,</w:t>
      </w:r>
      <w:r w:rsidRPr="00310F69">
        <w:rPr>
          <w:rStyle w:val="Emphasis"/>
        </w:rPr>
        <w:t xml:space="preserve"> </w:t>
      </w:r>
      <w:r w:rsidRPr="00BF3D8B">
        <w:rPr>
          <w:rStyle w:val="Emphasis"/>
        </w:rPr>
        <w:t>Final Decision on Proposed Revisions to the Access Arrangement for the Goldfields Gas Pipeline</w:t>
      </w:r>
      <w:r>
        <w:t>, June 2016, P216</w:t>
      </w:r>
    </w:p>
  </w:footnote>
  <w:footnote w:id="407">
    <w:p w:rsidR="00484671" w:rsidRDefault="00484671" w:rsidP="007C54F1">
      <w:pPr>
        <w:pStyle w:val="FootnoteText"/>
      </w:pPr>
      <w:r>
        <w:rPr>
          <w:rStyle w:val="FootnoteReference"/>
        </w:rPr>
        <w:footnoteRef/>
      </w:r>
      <w:r>
        <w:t xml:space="preserve"> </w:t>
      </w:r>
      <w:r>
        <w:tab/>
        <w:t xml:space="preserve">AER, </w:t>
      </w:r>
      <w:r w:rsidRPr="00A74F31">
        <w:rPr>
          <w:rStyle w:val="Emphasis"/>
        </w:rPr>
        <w:t>AER Explanatory statement - rate of return guideline</w:t>
      </w:r>
      <w:r>
        <w:t>, December 2013, P11</w:t>
      </w:r>
    </w:p>
  </w:footnote>
  <w:footnote w:id="408">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P33</w:t>
      </w:r>
    </w:p>
  </w:footnote>
  <w:footnote w:id="409">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pp. 17–18.</w:t>
      </w:r>
    </w:p>
  </w:footnote>
  <w:footnote w:id="410">
    <w:p w:rsidR="00484671" w:rsidRDefault="00484671" w:rsidP="007C54F1">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411">
    <w:p w:rsidR="00484671" w:rsidRDefault="0048467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 18.</w:t>
      </w:r>
    </w:p>
  </w:footnote>
  <w:footnote w:id="412">
    <w:p w:rsidR="00484671" w:rsidRDefault="00484671" w:rsidP="007C54F1">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AER, </w:t>
      </w:r>
      <w:r w:rsidRPr="00A164C0">
        <w:rPr>
          <w:rStyle w:val="Emphasis"/>
        </w:rPr>
        <w:t>Final Decision AusNet distribution determination - Attachment 3 - rate of return</w:t>
      </w:r>
      <w:r>
        <w:t>, May 2016</w:t>
      </w:r>
    </w:p>
  </w:footnote>
  <w:footnote w:id="413">
    <w:p w:rsidR="00484671" w:rsidRDefault="00484671" w:rsidP="007C54F1">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414">
    <w:p w:rsidR="00484671" w:rsidRDefault="00484671" w:rsidP="007C54F1">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15">
    <w:p w:rsidR="00484671" w:rsidRDefault="00484671" w:rsidP="007C54F1">
      <w:pPr>
        <w:pStyle w:val="FootnoteText"/>
      </w:pPr>
      <w:r>
        <w:rPr>
          <w:rStyle w:val="FootnoteReference"/>
        </w:rPr>
        <w:footnoteRef/>
      </w:r>
      <w:r>
        <w:t xml:space="preserve"> </w:t>
      </w:r>
      <w:r>
        <w:tab/>
        <w:t>Or more precisely, a benchmark efficient entity with a similar degree of risk as APTPPL in respect of the provision of reference services.</w:t>
      </w:r>
    </w:p>
  </w:footnote>
  <w:footnote w:id="416">
    <w:p w:rsidR="00484671" w:rsidRDefault="00484671" w:rsidP="007C54F1">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417">
    <w:p w:rsidR="00484671" w:rsidRDefault="00484671" w:rsidP="007C54F1">
      <w:pPr>
        <w:pStyle w:val="FootnoteText"/>
      </w:pPr>
      <w:r>
        <w:rPr>
          <w:rStyle w:val="FootnoteReference"/>
        </w:rPr>
        <w:footnoteRef/>
      </w:r>
      <w:r>
        <w:t xml:space="preserve"> </w:t>
      </w:r>
      <w:r>
        <w:tab/>
        <w:t>The other material includes our construction of the Wright CAPM, other regulators' estimates, comparison with return on debt and relevant broker and independent expert reports.</w:t>
      </w:r>
    </w:p>
  </w:footnote>
  <w:footnote w:id="418">
    <w:p w:rsidR="00484671" w:rsidRDefault="00484671" w:rsidP="007C54F1">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19">
    <w:p w:rsidR="00484671" w:rsidRDefault="00484671" w:rsidP="00E61E8F">
      <w:pPr>
        <w:pStyle w:val="FootnoteText"/>
      </w:pPr>
      <w:r>
        <w:rPr>
          <w:rStyle w:val="FootnoteReference"/>
        </w:rPr>
        <w:footnoteRef/>
      </w:r>
      <w:r>
        <w:t xml:space="preserve"> </w:t>
      </w:r>
      <w:r>
        <w:tab/>
        <w:t xml:space="preserve">AusNet Services, </w:t>
      </w:r>
      <w:r>
        <w:rPr>
          <w:rStyle w:val="Emphasis"/>
        </w:rPr>
        <w:t>Access Arrangement</w:t>
      </w:r>
      <w:r w:rsidRPr="00BA392B">
        <w:rPr>
          <w:rStyle w:val="Emphasis"/>
        </w:rPr>
        <w:t xml:space="preserve"> 201</w:t>
      </w:r>
      <w:r>
        <w:rPr>
          <w:rStyle w:val="Emphasis"/>
        </w:rPr>
        <w:t>8</w:t>
      </w:r>
      <w:r w:rsidRPr="00BA392B">
        <w:rPr>
          <w:rStyle w:val="Emphasis"/>
        </w:rPr>
        <w:t>-22</w:t>
      </w:r>
      <w:r>
        <w:t xml:space="preserve">, 21 December 2016; APA VTS, </w:t>
      </w:r>
      <w:r w:rsidRPr="000B5EEF">
        <w:rPr>
          <w:rStyle w:val="Emphasis"/>
        </w:rPr>
        <w:t>VTS Revision Proposal Submission</w:t>
      </w:r>
      <w:r>
        <w:t xml:space="preserve">, 03 January 2017; AGN, Access Arrangement Information for our Victorian and Albury natural gas distribution networks 2018-2022, 22 December 2016; Multinet Gas, </w:t>
      </w:r>
      <w:r w:rsidRPr="000B5EEF">
        <w:rPr>
          <w:rStyle w:val="Emphasis"/>
        </w:rPr>
        <w:t>Rate of Return Overview</w:t>
      </w:r>
      <w:r>
        <w:t xml:space="preserve">, 16 December 2016; APTPPL, </w:t>
      </w:r>
      <w:r w:rsidRPr="000B5EEF">
        <w:rPr>
          <w:rStyle w:val="Emphasis"/>
        </w:rPr>
        <w:t>RBP Access Arrangement revision submission</w:t>
      </w:r>
      <w:r>
        <w:t>, September 2016</w:t>
      </w:r>
    </w:p>
  </w:footnote>
  <w:footnote w:id="420">
    <w:p w:rsidR="00484671" w:rsidRDefault="00484671" w:rsidP="007C54F1">
      <w:pPr>
        <w:pStyle w:val="FootnoteText"/>
      </w:pPr>
      <w:r>
        <w:rPr>
          <w:rStyle w:val="FootnoteReference"/>
        </w:rPr>
        <w:footnoteRef/>
      </w:r>
      <w:r>
        <w:t xml:space="preserve"> </w:t>
      </w:r>
      <w:r>
        <w:tab/>
        <w:t xml:space="preserve">CCP5, </w:t>
      </w:r>
      <w:r w:rsidRPr="001A0C41">
        <w:rPr>
          <w:rStyle w:val="AERtextitalic"/>
        </w:rPr>
        <w:t xml:space="preserve">Submission </w:t>
      </w:r>
      <w:r>
        <w:rPr>
          <w:rStyle w:val="AERtextitalic"/>
        </w:rPr>
        <w:t>on AusNet transmission revised proposal</w:t>
      </w:r>
      <w:r>
        <w:t>, October 2016.</w:t>
      </w:r>
    </w:p>
  </w:footnote>
  <w:footnote w:id="421">
    <w:p w:rsidR="00484671" w:rsidRDefault="00484671" w:rsidP="007C54F1">
      <w:pPr>
        <w:pStyle w:val="FootnoteText"/>
      </w:pPr>
      <w:r>
        <w:rPr>
          <w:rStyle w:val="FootnoteReference"/>
        </w:rPr>
        <w:footnoteRef/>
      </w:r>
      <w:r>
        <w:t xml:space="preserve"> </w:t>
      </w:r>
      <w:r>
        <w:tab/>
        <w:t xml:space="preserve">Australia Pacific LNG, </w:t>
      </w:r>
      <w:r w:rsidRPr="00405AF1">
        <w:rPr>
          <w:rStyle w:val="Emphasis"/>
        </w:rPr>
        <w:t>Submission on Roma to Brisbane access arrangement 2017-2022</w:t>
      </w:r>
      <w:r>
        <w:t xml:space="preserve">, 4 November 2016; AEC, </w:t>
      </w:r>
      <w:r w:rsidRPr="00405AF1">
        <w:rPr>
          <w:rStyle w:val="Emphasis"/>
        </w:rPr>
        <w:t>Submission on Roma to Brisbane access arrangement 2017-2022</w:t>
      </w:r>
      <w:r>
        <w:t xml:space="preserve">, 20 October 2016; QGC, </w:t>
      </w:r>
      <w:r w:rsidRPr="00405AF1">
        <w:rPr>
          <w:rStyle w:val="Emphasis"/>
        </w:rPr>
        <w:t>Submission on Roma to Brisbane access arrangement 2017-2022</w:t>
      </w:r>
      <w:r>
        <w:t>, 28 October 2016</w:t>
      </w:r>
    </w:p>
  </w:footnote>
  <w:footnote w:id="422">
    <w:p w:rsidR="00484671" w:rsidRDefault="00484671" w:rsidP="007C54F1">
      <w:pPr>
        <w:pStyle w:val="FootnoteText"/>
      </w:pPr>
      <w:r>
        <w:rPr>
          <w:rStyle w:val="FootnoteReference"/>
        </w:rPr>
        <w:footnoteRef/>
      </w:r>
      <w:r>
        <w:t xml:space="preserve"> </w:t>
      </w:r>
      <w:r>
        <w:tab/>
        <w:t>Estimated as the difference between our estimate of the equity risk premium and the prevailing debt risk premium for April 2017.</w:t>
      </w:r>
    </w:p>
  </w:footnote>
  <w:footnote w:id="423">
    <w:p w:rsidR="00484671" w:rsidRDefault="00484671" w:rsidP="007C54F1">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424">
    <w:p w:rsidR="00484671" w:rsidRDefault="00484671" w:rsidP="007C54F1">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425">
    <w:p w:rsidR="00484671" w:rsidRDefault="00484671" w:rsidP="007C54F1">
      <w:pPr>
        <w:pStyle w:val="FootnoteText"/>
      </w:pPr>
      <w:r>
        <w:rPr>
          <w:rStyle w:val="FootnoteReference"/>
        </w:rPr>
        <w:footnoteRef/>
      </w:r>
      <w:r>
        <w:t xml:space="preserve"> </w:t>
      </w:r>
      <w:r>
        <w:tab/>
        <w:t>For example, SAPN, Final decision, p. 509; AER</w:t>
      </w:r>
      <w:r w:rsidRPr="00A164C0">
        <w:rPr>
          <w:rStyle w:val="Emphasis"/>
        </w:rPr>
        <w:t>, Final Decision CitiPower distribution determination - attachment 3 - rate of return</w:t>
      </w:r>
      <w:r>
        <w:t>, May 2016, P76</w:t>
      </w:r>
    </w:p>
  </w:footnote>
  <w:footnote w:id="426">
    <w:p w:rsidR="00484671" w:rsidRDefault="00484671" w:rsidP="007C54F1">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427">
    <w:p w:rsidR="00484671" w:rsidRDefault="00484671" w:rsidP="007C54F1">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428">
    <w:p w:rsidR="00484671" w:rsidRDefault="00484671" w:rsidP="007C54F1">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r w:rsidRPr="00214A02">
        <w:t xml:space="preserve"> </w:t>
      </w:r>
    </w:p>
    <w:p w:rsidR="00484671" w:rsidRDefault="00484671" w:rsidP="007C54F1">
      <w:pPr>
        <w:pStyle w:val="FootnoteText"/>
      </w:pPr>
      <w:r>
        <w:tab/>
        <w:t>ASX &amp; SGX-ST release, AusNet Services successfully prices HKD 1.2bn offer, 9 December 2016; ASX &amp; SGX-ST release, AusNet Services successfully prices NOK 1bn offer, 10 January 2017; ASX &amp; SGX-ST release, AusNet Services successfully prices USD 80m offer, 19 January 2017</w:t>
      </w:r>
    </w:p>
  </w:footnote>
  <w:footnote w:id="429">
    <w:p w:rsidR="00484671" w:rsidRDefault="00484671" w:rsidP="007C54F1">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 xml:space="preserve">; </w:t>
      </w:r>
    </w:p>
  </w:footnote>
  <w:footnote w:id="430">
    <w:p w:rsidR="00484671" w:rsidRDefault="00484671" w:rsidP="007C54F1">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431">
    <w:p w:rsidR="00484671" w:rsidRDefault="00484671" w:rsidP="007C54F1">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rsidR="002C24D6">
        <w:t>E</w:t>
      </w:r>
      <w:r>
        <w:fldChar w:fldCharType="end"/>
      </w:r>
      <w:r>
        <w:t xml:space="preserve"> for further discussion.</w:t>
      </w:r>
    </w:p>
  </w:footnote>
  <w:footnote w:id="432">
    <w:p w:rsidR="00484671" w:rsidRDefault="00484671" w:rsidP="007C54F1">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433">
    <w:p w:rsidR="00484671" w:rsidRDefault="00484671" w:rsidP="007C54F1">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434">
    <w:p w:rsidR="00484671" w:rsidRDefault="00484671" w:rsidP="007C54F1">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 CCP (panel 11), Response to proposal from APA VTS for the 2018-2022 access arrangement, 3 March 2017, p. 8.</w:t>
      </w:r>
    </w:p>
  </w:footnote>
  <w:footnote w:id="435">
    <w:p w:rsidR="00484671" w:rsidRDefault="00484671" w:rsidP="007C54F1">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F3489A">
        <w:t>, February 2016</w:t>
      </w:r>
      <w:r>
        <w:t xml:space="preserve">; </w:t>
      </w:r>
    </w:p>
  </w:footnote>
  <w:footnote w:id="436">
    <w:p w:rsidR="00484671" w:rsidRDefault="00484671" w:rsidP="007C54F1">
      <w:pPr>
        <w:pStyle w:val="FootnoteText"/>
      </w:pPr>
      <w:r>
        <w:rPr>
          <w:rStyle w:val="FootnoteReference"/>
        </w:rPr>
        <w:footnoteRef/>
      </w:r>
      <w:r>
        <w:t xml:space="preserve"> </w:t>
      </w:r>
      <w:r>
        <w:tab/>
        <w:t>QGC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Australia Pacific LNG</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4 November</w:t>
      </w:r>
      <w:r w:rsidRPr="009751A6">
        <w:t xml:space="preserve"> 2016</w:t>
      </w:r>
      <w:r>
        <w:t>; AEC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CCP Panel 5</w:t>
      </w:r>
      <w:r w:rsidRPr="009751A6">
        <w:t xml:space="preserve">, </w:t>
      </w:r>
      <w:r>
        <w:rPr>
          <w:rStyle w:val="AERtextitalic"/>
        </w:rPr>
        <w:t>Response to AER draft decision on AusNet transmission revenue review</w:t>
      </w:r>
      <w:r w:rsidRPr="009751A6">
        <w:t xml:space="preserve">, </w:t>
      </w:r>
      <w:r>
        <w:t>September</w:t>
      </w:r>
      <w:r w:rsidRPr="009751A6">
        <w:t xml:space="preserve"> 2016</w:t>
      </w:r>
    </w:p>
  </w:footnote>
  <w:footnote w:id="437">
    <w:p w:rsidR="00484671" w:rsidRDefault="00484671" w:rsidP="007C54F1">
      <w:pPr>
        <w:pStyle w:val="FootnoteText"/>
      </w:pPr>
      <w:r>
        <w:rPr>
          <w:rStyle w:val="FootnoteReference"/>
        </w:rPr>
        <w:footnoteRef/>
      </w:r>
      <w:r>
        <w:t xml:space="preserve"> </w:t>
      </w:r>
      <w:r>
        <w:tab/>
        <w:t xml:space="preserve">CCP4 (David Headberry) - </w:t>
      </w:r>
      <w:r w:rsidRPr="00405AF1">
        <w:rPr>
          <w:rStyle w:val="Emphasis"/>
        </w:rPr>
        <w:t>Submission on Powerlink draft decision and revised proposal</w:t>
      </w:r>
      <w:r>
        <w:t>, p21, 21 December 2016; CCP5</w:t>
      </w:r>
      <w:r w:rsidRPr="00405AF1">
        <w:rPr>
          <w:rStyle w:val="Emphasis"/>
        </w:rPr>
        <w:t>, Submission on AusNet transmission revised proposal,</w:t>
      </w:r>
      <w:r>
        <w:t xml:space="preserve"> October 2016 p10; 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29–30. </w:t>
      </w:r>
    </w:p>
  </w:footnote>
  <w:footnote w:id="438">
    <w:p w:rsidR="00484671" w:rsidRDefault="00484671" w:rsidP="007C54F1">
      <w:pPr>
        <w:pStyle w:val="FootnoteText"/>
      </w:pPr>
      <w:r>
        <w:rPr>
          <w:rStyle w:val="FootnoteReference"/>
        </w:rPr>
        <w:footnoteRef/>
      </w:r>
      <w:r>
        <w:t xml:space="preserve"> </w:t>
      </w:r>
      <w:r>
        <w:tab/>
        <w:t xml:space="preserve">CCP4 (Hugh Grant) </w:t>
      </w:r>
      <w:r w:rsidRPr="00405AF1">
        <w:rPr>
          <w:rStyle w:val="Emphasis"/>
        </w:rPr>
        <w:t>- Submission on Powerlink draft decision and revised proposa</w:t>
      </w:r>
      <w:r>
        <w:rPr>
          <w:rStyle w:val="Emphasis"/>
        </w:rPr>
        <w:t>l,</w:t>
      </w:r>
      <w:r w:rsidRPr="003C3081">
        <w:t xml:space="preserve"> </w:t>
      </w:r>
      <w:r>
        <w:t xml:space="preserve">23 December 2016, p39-42,; CCP5, </w:t>
      </w:r>
      <w:r w:rsidRPr="00405AF1">
        <w:rPr>
          <w:rStyle w:val="Emphasis"/>
        </w:rPr>
        <w:t>Submission on AusNet transmission revised proposal</w:t>
      </w:r>
      <w:r>
        <w:t xml:space="preserve">, October 2016, p10; </w:t>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439">
    <w:p w:rsidR="00484671" w:rsidRDefault="00484671" w:rsidP="007C54F1">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440">
    <w:p w:rsidR="00484671" w:rsidRDefault="00484671" w:rsidP="007C54F1">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41">
    <w:p w:rsidR="00484671" w:rsidRDefault="00484671" w:rsidP="007C54F1">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42">
    <w:p w:rsidR="00484671" w:rsidRDefault="00484671" w:rsidP="007C54F1">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Previously covered in AER Final decision for Australian Gas Networks Access Arrangement, CitiPower distribution Determination and Jemena distribution determination all in May 2016  </w:t>
      </w:r>
    </w:p>
  </w:footnote>
  <w:footnote w:id="443">
    <w:p w:rsidR="00484671" w:rsidRDefault="00484671" w:rsidP="007C54F1">
      <w:pPr>
        <w:pStyle w:val="FootnoteText"/>
      </w:pPr>
      <w:r>
        <w:rPr>
          <w:rStyle w:val="FootnoteReference"/>
        </w:rPr>
        <w:footnoteRef/>
      </w:r>
      <w:r>
        <w:t xml:space="preserve"> </w:t>
      </w:r>
      <w:r>
        <w:tab/>
        <w:t>AER</w:t>
      </w:r>
      <w:r w:rsidRPr="00A164C0">
        <w:rPr>
          <w:rStyle w:val="Emphasis"/>
        </w:rPr>
        <w:t>, Final Decision AusNet distribution determination - Attachment 3 - rate of return</w:t>
      </w:r>
      <w:r>
        <w:t>, May 2016, P82</w:t>
      </w:r>
    </w:p>
  </w:footnote>
  <w:footnote w:id="444">
    <w:p w:rsidR="00484671" w:rsidRDefault="00484671" w:rsidP="007C54F1">
      <w:pPr>
        <w:pStyle w:val="FootnoteText"/>
      </w:pPr>
      <w:r>
        <w:rPr>
          <w:rStyle w:val="FootnoteReference"/>
        </w:rPr>
        <w:footnoteRef/>
      </w:r>
      <w:r>
        <w:t xml:space="preserve"> </w:t>
      </w:r>
      <w:r>
        <w:tab/>
        <w:t xml:space="preserve">Partington </w:t>
      </w:r>
      <w:r w:rsidRPr="007902A4">
        <w:t>and Satchell,</w:t>
      </w:r>
      <w:r w:rsidRPr="007902A4">
        <w:rPr>
          <w:rStyle w:val="Emphasis"/>
        </w:rPr>
        <w:t xml:space="preserve"> Report to the AER: Discussion of estimates of the return on equity</w:t>
      </w:r>
      <w:r w:rsidRPr="007902A4">
        <w:t>, March 2017</w:t>
      </w:r>
      <w:r>
        <w:t>, P14</w:t>
      </w:r>
    </w:p>
  </w:footnote>
  <w:footnote w:id="445">
    <w:p w:rsidR="00484671" w:rsidRDefault="00484671"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45; AusNet Services, </w:t>
      </w:r>
      <w:r w:rsidRPr="008556CC">
        <w:rPr>
          <w:rStyle w:val="Emphasis"/>
        </w:rPr>
        <w:t>Transmission Revised Revenue Proposal</w:t>
      </w:r>
      <w:r>
        <w:t xml:space="preserve">, 21 September 2016, p150; Multinet Gas, </w:t>
      </w:r>
      <w:r w:rsidRPr="00C16BD3">
        <w:rPr>
          <w:rStyle w:val="Emphasis"/>
        </w:rPr>
        <w:t>Rate of Return Overview</w:t>
      </w:r>
      <w:r>
        <w:t xml:space="preserve">, 16 December 2016, p32; Please see any one of: </w:t>
      </w:r>
      <w:r w:rsidRPr="008556CC">
        <w:rPr>
          <w:rStyle w:val="Emphasis"/>
        </w:rPr>
        <w:t>AER Final decision for Australian Gas Networks Access Arrangement</w:t>
      </w:r>
      <w:r>
        <w:t xml:space="preserve">, </w:t>
      </w:r>
      <w:r w:rsidRPr="008556CC">
        <w:rPr>
          <w:rStyle w:val="Emphasis"/>
        </w:rPr>
        <w:t>AER's CitiPower distribution Determination</w:t>
      </w:r>
      <w:r>
        <w:t xml:space="preserve"> or AER </w:t>
      </w:r>
      <w:r w:rsidRPr="008556CC">
        <w:rPr>
          <w:rStyle w:val="Emphasis"/>
        </w:rPr>
        <w:t>Jemena distribution determination</w:t>
      </w:r>
      <w:r>
        <w:t xml:space="preserve"> all in May 2016 for examples of where this material and argument has been considered before</w:t>
      </w:r>
    </w:p>
  </w:footnote>
  <w:footnote w:id="446">
    <w:p w:rsidR="00484671" w:rsidRDefault="00484671" w:rsidP="007C54F1">
      <w:pPr>
        <w:pStyle w:val="FootnoteText"/>
      </w:pPr>
      <w:r>
        <w:rPr>
          <w:rStyle w:val="FootnoteReference"/>
        </w:rPr>
        <w:footnoteRef/>
      </w:r>
      <w:r>
        <w:t xml:space="preserve"> </w:t>
      </w:r>
      <w:r>
        <w:tab/>
        <w:t>Frontier,</w:t>
      </w:r>
      <w:r>
        <w:rPr>
          <w:rStyle w:val="AERtextitalic"/>
        </w:rPr>
        <w:t xml:space="preserve"> T</w:t>
      </w:r>
      <w:r w:rsidRPr="00A01314">
        <w:rPr>
          <w:rStyle w:val="AERtextitalic"/>
        </w:rPr>
        <w:t>he market risk premium</w:t>
      </w:r>
      <w:r w:rsidRPr="00A01314">
        <w:t xml:space="preserve">, </w:t>
      </w:r>
      <w:r>
        <w:t xml:space="preserve">September 2016, p. 44; AusNet Services, </w:t>
      </w:r>
      <w:r w:rsidRPr="008556CC">
        <w:rPr>
          <w:rStyle w:val="Emphasis"/>
        </w:rPr>
        <w:t>Transmission Revised Revenue Proposal</w:t>
      </w:r>
      <w:r>
        <w:t>, 21 September 2016, p154; Please see any one of: AER Final decision for Australian Gas Networks Access Arrangement, CitiPower distribution Determination and Jemena distribution determination all in May 2016 for examples of where this material and argument has been considered before</w:t>
      </w:r>
    </w:p>
  </w:footnote>
  <w:footnote w:id="447">
    <w:p w:rsidR="00484671" w:rsidRDefault="00484671" w:rsidP="007C54F1">
      <w:pPr>
        <w:pStyle w:val="FootnoteText"/>
      </w:pPr>
      <w:r>
        <w:rPr>
          <w:rStyle w:val="FootnoteReference"/>
        </w:rPr>
        <w:footnoteRef/>
      </w:r>
      <w:r>
        <w:t xml:space="preserve"> </w:t>
      </w:r>
      <w:r>
        <w:tab/>
      </w:r>
      <w:r w:rsidRPr="007902A4">
        <w:t>AER</w:t>
      </w:r>
      <w:r w:rsidRPr="007902A4">
        <w:rPr>
          <w:rStyle w:val="Emphasis"/>
        </w:rPr>
        <w:t>, Final Decision AusNet distribution determination - Attachment 3 - rate of return</w:t>
      </w:r>
      <w:r w:rsidRPr="007902A4">
        <w:t>, May 2016, P8</w:t>
      </w:r>
      <w:r>
        <w:t>4</w:t>
      </w:r>
    </w:p>
  </w:footnote>
  <w:footnote w:id="448">
    <w:p w:rsidR="00484671" w:rsidRDefault="00484671"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41; AusNet, </w:t>
      </w:r>
      <w:r w:rsidRPr="00A164C0">
        <w:rPr>
          <w:rStyle w:val="Emphasis"/>
        </w:rPr>
        <w:t>Service Revenue Proposal Revised - Public</w:t>
      </w:r>
      <w:r>
        <w:t xml:space="preserve">, Nov 2015, P217; Multinet Gas, </w:t>
      </w:r>
      <w:r w:rsidRPr="00C16BD3">
        <w:rPr>
          <w:rStyle w:val="Emphasis"/>
        </w:rPr>
        <w:t>Rate of Return Overview</w:t>
      </w:r>
      <w:r>
        <w:t>, 16 December 2016, p. 32</w:t>
      </w:r>
    </w:p>
  </w:footnote>
  <w:footnote w:id="449">
    <w:p w:rsidR="00484671" w:rsidRDefault="00484671" w:rsidP="007C54F1">
      <w:pPr>
        <w:pStyle w:val="FootnoteText"/>
      </w:pPr>
      <w:r>
        <w:rPr>
          <w:rStyle w:val="FootnoteReference"/>
        </w:rPr>
        <w:footnoteRef/>
      </w:r>
      <w:r>
        <w:t xml:space="preserve"> </w:t>
      </w:r>
      <w:r>
        <w:tab/>
        <w:t xml:space="preserve">Partington </w:t>
      </w:r>
      <w:r w:rsidRPr="007902A4">
        <w:t>and Satchell,</w:t>
      </w:r>
      <w:r w:rsidRPr="007902A4">
        <w:rPr>
          <w:rStyle w:val="Emphasis"/>
        </w:rPr>
        <w:t xml:space="preserve"> Report to the AER: Discussion of estimates of the return on equity</w:t>
      </w:r>
      <w:r w:rsidRPr="007902A4">
        <w:t>, March 2017</w:t>
      </w:r>
      <w:r>
        <w:t>, p26</w:t>
      </w:r>
    </w:p>
  </w:footnote>
  <w:footnote w:id="450">
    <w:p w:rsidR="00484671" w:rsidRDefault="00484671" w:rsidP="007C54F1">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Multinet Gas, </w:t>
      </w:r>
      <w:r w:rsidRPr="00C16BD3">
        <w:rPr>
          <w:rStyle w:val="Emphasis"/>
        </w:rPr>
        <w:t>Rate of Return Overview</w:t>
      </w:r>
      <w:r>
        <w:t>, 16 December 2016, pp. 32-34</w:t>
      </w:r>
    </w:p>
  </w:footnote>
  <w:footnote w:id="451">
    <w:p w:rsidR="00484671" w:rsidRDefault="00484671"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44; Multinet Gas, </w:t>
      </w:r>
      <w:r w:rsidRPr="00C16BD3">
        <w:rPr>
          <w:rStyle w:val="Emphasis"/>
        </w:rPr>
        <w:t>Rate of Return Overview</w:t>
      </w:r>
      <w:r>
        <w:t>, 16 December 2016, p. 32</w:t>
      </w:r>
    </w:p>
  </w:footnote>
  <w:footnote w:id="452">
    <w:p w:rsidR="00484671" w:rsidRDefault="00484671" w:rsidP="007C54F1">
      <w:pPr>
        <w:pStyle w:val="FootnoteText"/>
      </w:pPr>
      <w:r>
        <w:rPr>
          <w:rStyle w:val="FootnoteReference"/>
        </w:rPr>
        <w:footnoteRef/>
      </w:r>
      <w:r>
        <w:t xml:space="preserve"> </w:t>
      </w:r>
      <w:r>
        <w:tab/>
      </w:r>
      <w:r>
        <w:rPr>
          <w:szCs w:val="16"/>
        </w:rPr>
        <w:t xml:space="preserve">ActewAGL, </w:t>
      </w:r>
      <w:r>
        <w:rPr>
          <w:i/>
          <w:iCs/>
          <w:szCs w:val="16"/>
        </w:rPr>
        <w:t>Access arrangement information for the 2016–21 ACT, Queanbeyan and Palerang Access Arrangement, Appendix 8.05: Return on equity – detailed proposal</w:t>
      </w:r>
      <w:r>
        <w:rPr>
          <w:szCs w:val="16"/>
        </w:rPr>
        <w:t xml:space="preserve">, June 2015, p. 48; </w:t>
      </w:r>
      <w:r>
        <w:t xml:space="preserve">Multinet Gas, </w:t>
      </w:r>
      <w:r w:rsidRPr="00C16BD3">
        <w:rPr>
          <w:rStyle w:val="Emphasis"/>
        </w:rPr>
        <w:t>Rate of Return Overview</w:t>
      </w:r>
      <w:r>
        <w:t>, 16 December 2016, p. 32</w:t>
      </w:r>
    </w:p>
  </w:footnote>
  <w:footnote w:id="453">
    <w:p w:rsidR="00484671" w:rsidRDefault="00484671" w:rsidP="007C54F1">
      <w:pPr>
        <w:pStyle w:val="FootnoteText"/>
      </w:pPr>
      <w:r>
        <w:rPr>
          <w:rStyle w:val="FootnoteReference"/>
        </w:rPr>
        <w:footnoteRef/>
      </w:r>
      <w:r>
        <w:t xml:space="preserve"> </w:t>
      </w:r>
      <w:r>
        <w:tab/>
        <w:t xml:space="preserve">AER, </w:t>
      </w:r>
      <w:r w:rsidRPr="00013867">
        <w:rPr>
          <w:rStyle w:val="Emphasis"/>
        </w:rPr>
        <w:t>AER Explanatory statement – rate of return guideline</w:t>
      </w:r>
      <w:r>
        <w:t>, December 2013, p.59</w:t>
      </w:r>
    </w:p>
  </w:footnote>
  <w:footnote w:id="454">
    <w:p w:rsidR="00484671" w:rsidRDefault="00484671" w:rsidP="007C54F1">
      <w:pPr>
        <w:pStyle w:val="FootnoteText"/>
      </w:pPr>
      <w:r>
        <w:rPr>
          <w:rStyle w:val="FootnoteReference"/>
        </w:rPr>
        <w:footnoteRef/>
      </w:r>
      <w:r>
        <w:t xml:space="preserve"> </w:t>
      </w:r>
      <w:r>
        <w:tab/>
        <w:t xml:space="preserve">AER, </w:t>
      </w:r>
      <w:r>
        <w:rPr>
          <w:rStyle w:val="Emphasis"/>
        </w:rPr>
        <w:t>Final decision CitiPower distribution determination – Attachment 3 – Rate of Return</w:t>
      </w:r>
      <w:r>
        <w:t>, May 2016, p.80</w:t>
      </w:r>
    </w:p>
  </w:footnote>
  <w:footnote w:id="455">
    <w:p w:rsidR="00484671" w:rsidRDefault="00484671"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p33</w:t>
      </w:r>
    </w:p>
  </w:footnote>
  <w:footnote w:id="456">
    <w:p w:rsidR="00484671" w:rsidRDefault="00484671"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p33</w:t>
      </w:r>
    </w:p>
  </w:footnote>
  <w:footnote w:id="457">
    <w:p w:rsidR="00484671" w:rsidRDefault="00484671"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p34</w:t>
      </w:r>
    </w:p>
  </w:footnote>
  <w:footnote w:id="458">
    <w:p w:rsidR="00484671" w:rsidRPr="00EF5EBF" w:rsidRDefault="00484671" w:rsidP="007C54F1">
      <w:pPr>
        <w:pStyle w:val="FootnoteText"/>
      </w:pPr>
      <w:r>
        <w:rPr>
          <w:rStyle w:val="FootnoteReference"/>
        </w:rPr>
        <w:footnoteRef/>
      </w:r>
      <w:r>
        <w:t xml:space="preserve"> </w:t>
      </w:r>
      <w:r>
        <w:tab/>
        <w:t xml:space="preserve">AER, </w:t>
      </w:r>
      <w:r w:rsidRPr="005E5B01">
        <w:rPr>
          <w:rStyle w:val="Emphasis"/>
        </w:rPr>
        <w:t>AER Explanatory statement – rate of return guideline</w:t>
      </w:r>
      <w:r>
        <w:t>, December 2013, p.59</w:t>
      </w:r>
    </w:p>
  </w:footnote>
  <w:footnote w:id="459">
    <w:p w:rsidR="00484671" w:rsidRDefault="00484671" w:rsidP="007C54F1">
      <w:pPr>
        <w:pStyle w:val="FootnoteText"/>
      </w:pPr>
      <w:r>
        <w:rPr>
          <w:rStyle w:val="FootnoteReference"/>
        </w:rPr>
        <w:footnoteRef/>
      </w:r>
      <w:r>
        <w:t xml:space="preserve"> </w:t>
      </w:r>
      <w:r>
        <w:tab/>
        <w:t>Or more precisely, a benchmark efficient entity with a similar degree of risk as APTPPL in respect of the provision of reference services.</w:t>
      </w:r>
    </w:p>
  </w:footnote>
  <w:footnote w:id="460">
    <w:p w:rsidR="00484671" w:rsidRDefault="00484671" w:rsidP="007C54F1">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61">
    <w:p w:rsidR="00484671" w:rsidRDefault="00484671" w:rsidP="007C54F1">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462">
    <w:p w:rsidR="00484671" w:rsidRDefault="00484671" w:rsidP="007C54F1">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or reference services. See: NER, cl. 6.5.2(c); NER, cl. 6A.6.2(c); NGR, r.87(3).</w:t>
      </w:r>
    </w:p>
  </w:footnote>
  <w:footnote w:id="463">
    <w:p w:rsidR="00484671" w:rsidRDefault="00484671" w:rsidP="007C54F1">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64">
    <w:p w:rsidR="00484671" w:rsidRDefault="00484671" w:rsidP="007C54F1">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484671" w:rsidRDefault="00484671" w:rsidP="007C54F1">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465">
    <w:p w:rsidR="00484671" w:rsidRDefault="00484671" w:rsidP="007C54F1">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466">
    <w:p w:rsidR="00484671" w:rsidRDefault="00484671" w:rsidP="007C54F1">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467">
    <w:p w:rsidR="00484671" w:rsidRDefault="00484671" w:rsidP="007C54F1">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468">
    <w:p w:rsidR="00484671" w:rsidRDefault="00484671" w:rsidP="007C54F1">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469">
    <w:p w:rsidR="00484671" w:rsidRDefault="00484671" w:rsidP="007C54F1">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470">
    <w:p w:rsidR="00484671" w:rsidRDefault="00484671" w:rsidP="007C54F1">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P32</w:t>
      </w:r>
    </w:p>
  </w:footnote>
  <w:footnote w:id="471">
    <w:p w:rsidR="00484671" w:rsidRDefault="00484671" w:rsidP="007C54F1">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P16</w:t>
      </w:r>
    </w:p>
  </w:footnote>
  <w:footnote w:id="472">
    <w:p w:rsidR="00484671" w:rsidRDefault="00484671" w:rsidP="007C54F1">
      <w:pPr>
        <w:pStyle w:val="FootnoteText"/>
      </w:pPr>
      <w:r>
        <w:rPr>
          <w:rStyle w:val="FootnoteReference"/>
        </w:rPr>
        <w:footnoteRef/>
      </w:r>
      <w:r>
        <w:t xml:space="preserve"> </w:t>
      </w:r>
      <w:r>
        <w:tab/>
        <w:t xml:space="preserve">Frontier Economics, </w:t>
      </w:r>
      <w:r w:rsidRPr="008556CC">
        <w:rPr>
          <w:rStyle w:val="Emphasis"/>
        </w:rPr>
        <w:t>The market risk premium</w:t>
      </w:r>
      <w:r>
        <w:t>, September 2016, p. 47–54</w:t>
      </w:r>
    </w:p>
  </w:footnote>
  <w:footnote w:id="473">
    <w:p w:rsidR="00484671" w:rsidRDefault="00484671" w:rsidP="007C54F1">
      <w:pPr>
        <w:pStyle w:val="FootnoteText"/>
      </w:pPr>
      <w:r>
        <w:rPr>
          <w:rStyle w:val="FootnoteReference"/>
        </w:rPr>
        <w:footnoteRef/>
      </w:r>
      <w:r>
        <w:t xml:space="preserve"> </w:t>
      </w:r>
      <w:r>
        <w:tab/>
        <w:t xml:space="preserve">Duarte and Rosa, </w:t>
      </w:r>
      <w:r w:rsidRPr="008556CC">
        <w:rPr>
          <w:rStyle w:val="Emphasis"/>
        </w:rPr>
        <w:t>The Equity Risk Premium: A review of Models</w:t>
      </w:r>
      <w:r>
        <w:t>, February 2015</w:t>
      </w:r>
    </w:p>
  </w:footnote>
  <w:footnote w:id="474">
    <w:p w:rsidR="00484671" w:rsidRDefault="00484671" w:rsidP="007C54F1">
      <w:pPr>
        <w:pStyle w:val="FootnoteText"/>
      </w:pPr>
      <w:r>
        <w:rPr>
          <w:rStyle w:val="FootnoteReference"/>
        </w:rPr>
        <w:footnoteRef/>
      </w:r>
      <w:r>
        <w:t xml:space="preserve"> </w:t>
      </w:r>
      <w:r>
        <w:tab/>
        <w:t xml:space="preserve">Strunk, </w:t>
      </w:r>
      <w:r w:rsidRPr="008556CC">
        <w:rPr>
          <w:rStyle w:val="Emphasis"/>
        </w:rPr>
        <w:t>The Decoupling of Treasury Yields and the Cost of Equity for Public Utilities</w:t>
      </w:r>
      <w:r>
        <w:t>, 2014</w:t>
      </w:r>
    </w:p>
  </w:footnote>
  <w:footnote w:id="475">
    <w:p w:rsidR="00484671" w:rsidRDefault="00484671" w:rsidP="007C54F1">
      <w:pPr>
        <w:pStyle w:val="FootnoteText"/>
      </w:pPr>
      <w:r>
        <w:rPr>
          <w:rStyle w:val="FootnoteReference"/>
        </w:rPr>
        <w:footnoteRef/>
      </w:r>
      <w:r>
        <w:t xml:space="preserve"> </w:t>
      </w:r>
      <w:r>
        <w:tab/>
        <w:t>Partington</w:t>
      </w:r>
      <w:r w:rsidRPr="00FA22CC">
        <w:t xml:space="preserve"> and Satchell,</w:t>
      </w:r>
      <w:r w:rsidRPr="00FA22CC">
        <w:rPr>
          <w:rStyle w:val="Emphasis"/>
        </w:rPr>
        <w:t xml:space="preserve"> Report to the AER: Discussion of estimates of the return on equity</w:t>
      </w:r>
      <w:r w:rsidRPr="00FA22CC">
        <w:t>, March 2017</w:t>
      </w:r>
      <w:r>
        <w:t>, p. 26.</w:t>
      </w:r>
    </w:p>
  </w:footnote>
  <w:footnote w:id="476">
    <w:p w:rsidR="00484671" w:rsidRDefault="00484671" w:rsidP="007C54F1">
      <w:pPr>
        <w:pStyle w:val="FootnoteText"/>
      </w:pPr>
      <w:r>
        <w:rPr>
          <w:rStyle w:val="FootnoteReference"/>
        </w:rPr>
        <w:footnoteRef/>
      </w:r>
      <w:r>
        <w:t xml:space="preserve"> </w:t>
      </w:r>
      <w:r>
        <w:tab/>
        <w:t>The FERC effectively uses a dividend model to estimate a range for the required return on equity and then selects a point estimate based on movement in the government bond yields</w:t>
      </w:r>
    </w:p>
  </w:footnote>
  <w:footnote w:id="477">
    <w:p w:rsidR="00484671" w:rsidRDefault="00484671" w:rsidP="007C54F1">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478">
    <w:p w:rsidR="00484671" w:rsidRDefault="00484671" w:rsidP="007C54F1">
      <w:pPr>
        <w:pStyle w:val="FootnoteText"/>
      </w:pPr>
      <w:r>
        <w:rPr>
          <w:rStyle w:val="FootnoteReference"/>
        </w:rPr>
        <w:footnoteRef/>
      </w:r>
      <w:r>
        <w:t xml:space="preserve"> </w:t>
      </w:r>
      <w:r>
        <w:tab/>
        <w:t xml:space="preserve">FERC, </w:t>
      </w:r>
      <w:r w:rsidRPr="00A164C0">
        <w:rPr>
          <w:rStyle w:val="Emphasis"/>
        </w:rPr>
        <w:t>Docket No.EL11-66-001</w:t>
      </w:r>
      <w:r>
        <w:t>, June 2014 Paragraph 7 then page 13-43.</w:t>
      </w:r>
    </w:p>
    <w:p w:rsidR="00484671" w:rsidRDefault="00484671" w:rsidP="007C54F1">
      <w:pPr>
        <w:pStyle w:val="FootnoteText"/>
      </w:pPr>
      <w:r>
        <w:tab/>
        <w:t xml:space="preserve">FERC, </w:t>
      </w:r>
      <w:r w:rsidRPr="00A164C0">
        <w:rPr>
          <w:rStyle w:val="Emphasis"/>
        </w:rPr>
        <w:t>Meeting Slides on Return on Equity</w:t>
      </w:r>
      <w:r>
        <w:t xml:space="preserve">, June 19 2014, </w:t>
      </w:r>
      <w:r w:rsidRPr="00D329A2">
        <w:t>https://www.ferc.gov/industries/electric/indus-act/oatt-reform/e-7-presentation.pdf</w:t>
      </w:r>
    </w:p>
  </w:footnote>
  <w:footnote w:id="479">
    <w:p w:rsidR="00484671" w:rsidRDefault="00484671" w:rsidP="007C54F1">
      <w:pPr>
        <w:pStyle w:val="FootnoteText"/>
      </w:pPr>
      <w:r>
        <w:rPr>
          <w:rStyle w:val="FootnoteReference"/>
        </w:rPr>
        <w:footnoteRef/>
      </w:r>
      <w:r>
        <w:t xml:space="preserve"> </w:t>
      </w:r>
      <w:r>
        <w:tab/>
        <w:t xml:space="preserve">FERC, </w:t>
      </w:r>
      <w:r w:rsidRPr="007E6349">
        <w:t>Docket No. EL13-48-001</w:t>
      </w:r>
      <w:r>
        <w:t>, February 2016</w:t>
      </w:r>
    </w:p>
  </w:footnote>
  <w:footnote w:id="480">
    <w:p w:rsidR="00484671" w:rsidRDefault="00484671" w:rsidP="007C54F1">
      <w:pPr>
        <w:pStyle w:val="FootnoteText"/>
      </w:pPr>
      <w:r>
        <w:rPr>
          <w:rStyle w:val="FootnoteReference"/>
        </w:rPr>
        <w:footnoteRef/>
      </w:r>
      <w:r>
        <w:t xml:space="preserve"> </w:t>
      </w:r>
      <w:r>
        <w:tab/>
      </w:r>
      <w:r w:rsidRPr="006566E4">
        <w:t>Partington and Satchell,</w:t>
      </w:r>
      <w:r w:rsidRPr="006566E4">
        <w:rPr>
          <w:rStyle w:val="Emphasis"/>
        </w:rPr>
        <w:t xml:space="preserve"> Report to the AER: Discussion of estimates of the return on equity</w:t>
      </w:r>
      <w:r w:rsidRPr="006566E4">
        <w:t>, March 2017, p</w:t>
      </w:r>
      <w:r>
        <w:t>p</w:t>
      </w:r>
      <w:r w:rsidRPr="006566E4">
        <w:t xml:space="preserve">. </w:t>
      </w:r>
      <w:r>
        <w:t>16–17</w:t>
      </w:r>
      <w:r w:rsidRPr="006566E4">
        <w:t>.</w:t>
      </w:r>
    </w:p>
  </w:footnote>
  <w:footnote w:id="481">
    <w:p w:rsidR="00484671" w:rsidRDefault="00484671" w:rsidP="007C54F1">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r>
        <w:t xml:space="preserve">; AER, Final Decision United Energy distribution determination 2016–2020 Attachment 3–Rate of return, p. 84–91; AER, Final Decision AusNet Services transmission determination 2017–2022 Attachment 3–Rate of return, April 2017, pp. 103–113;  </w:t>
      </w:r>
    </w:p>
  </w:footnote>
  <w:footnote w:id="482">
    <w:p w:rsidR="00484671" w:rsidRDefault="00484671" w:rsidP="007C54F1">
      <w:pPr>
        <w:pStyle w:val="FootnoteText"/>
      </w:pPr>
      <w:r>
        <w:rPr>
          <w:rStyle w:val="FootnoteReference"/>
        </w:rPr>
        <w:footnoteRef/>
      </w:r>
      <w:r>
        <w:t xml:space="preserve"> </w:t>
      </w:r>
      <w:r>
        <w:tab/>
        <w:t>APTPPL,</w:t>
      </w:r>
      <w:r>
        <w:rPr>
          <w:rStyle w:val="Emphasis"/>
        </w:rPr>
        <w:t xml:space="preserve"> RBP Access Arrangement revision submission</w:t>
      </w:r>
      <w:r w:rsidRPr="00D325AA">
        <w:rPr>
          <w:rStyle w:val="Emphasis"/>
        </w:rPr>
        <w:t xml:space="preserve"> 2017–22</w:t>
      </w:r>
      <w:r>
        <w:t>, 21 September 2016, p. 152.</w:t>
      </w:r>
      <w:r w:rsidRPr="00C36099">
        <w:rPr>
          <w:rStyle w:val="Emphasis"/>
        </w:rPr>
        <w:t xml:space="preserve"> </w:t>
      </w:r>
    </w:p>
  </w:footnote>
  <w:footnote w:id="483">
    <w:p w:rsidR="00484671" w:rsidRDefault="00484671" w:rsidP="007C54F1">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xml:space="preserve">, January 2016, pp. 21–25; Frontier Economics, </w:t>
      </w:r>
      <w:r w:rsidRPr="00A164C0">
        <w:rPr>
          <w:rStyle w:val="Emphasis"/>
        </w:rPr>
        <w:t>The market risk premium</w:t>
      </w:r>
      <w:r>
        <w:t xml:space="preserve">, September 2016, pp. 46–54. </w:t>
      </w:r>
    </w:p>
  </w:footnote>
  <w:footnote w:id="484">
    <w:p w:rsidR="00484671" w:rsidRDefault="00484671" w:rsidP="007C54F1">
      <w:pPr>
        <w:pStyle w:val="FootnoteText"/>
      </w:pPr>
      <w:r>
        <w:rPr>
          <w:rStyle w:val="FootnoteReference"/>
        </w:rPr>
        <w:footnoteRef/>
      </w:r>
      <w:r>
        <w:t xml:space="preserve"> </w:t>
      </w:r>
      <w:r>
        <w:tab/>
        <w:t>A 2015 report from the Federal Reserve Bank authored by Duarte and Rosa, a speech from Glenn Stevens of the RBA in April 2015, A report for NERA titled "</w:t>
      </w:r>
      <w:r w:rsidRPr="00A164C0">
        <w:rPr>
          <w:rStyle w:val="Emphasis"/>
        </w:rPr>
        <w:t>The decoupling of treasury yields and the cost of equity for public utilities</w:t>
      </w:r>
      <w:r>
        <w:t xml:space="preserve">" by Strunk (2014) </w:t>
      </w:r>
    </w:p>
  </w:footnote>
  <w:footnote w:id="485">
    <w:p w:rsidR="00484671" w:rsidRDefault="00484671" w:rsidP="007C54F1">
      <w:pPr>
        <w:pStyle w:val="FootnoteText"/>
      </w:pPr>
      <w:r>
        <w:rPr>
          <w:rStyle w:val="FootnoteReference"/>
        </w:rPr>
        <w:footnoteRef/>
      </w:r>
      <w:r>
        <w:t xml:space="preserve"> </w:t>
      </w:r>
      <w:r>
        <w:tab/>
        <w:t>A 2014 decision by the Federal Energy Regulatory Commission (FERC) in the United States.</w:t>
      </w:r>
      <w:r w:rsidRPr="006E620F">
        <w:t xml:space="preserve"> FERC, </w:t>
      </w:r>
      <w:r w:rsidRPr="00A164C0">
        <w:rPr>
          <w:rStyle w:val="Emphasis"/>
        </w:rPr>
        <w:t>Docket No. ER14-500-000</w:t>
      </w:r>
      <w:r w:rsidRPr="006E620F">
        <w:t>, June 2014, pp. 71</w:t>
      </w:r>
      <w:r>
        <w:t xml:space="preserve">; ERA Decisions </w:t>
      </w:r>
      <w:r w:rsidRPr="00A164C0">
        <w:rPr>
          <w:rStyle w:val="Emphasis"/>
        </w:rPr>
        <w:t>ATCO Gas Final decision</w:t>
      </w:r>
      <w:r>
        <w:t xml:space="preserve"> June 2015 and </w:t>
      </w:r>
      <w:r w:rsidRPr="00A164C0">
        <w:rPr>
          <w:rStyle w:val="Emphasis"/>
        </w:rPr>
        <w:t xml:space="preserve">DBP Final Decision </w:t>
      </w:r>
      <w:r>
        <w:t xml:space="preserve">June 2016; IPART, Semi-annual WACC update, February 2016, ESC Golburn Murray Water Draft Determination, February 2016; ESCOSA, </w:t>
      </w:r>
      <w:r w:rsidRPr="00A164C0">
        <w:rPr>
          <w:rStyle w:val="Emphasis"/>
        </w:rPr>
        <w:t>SA Water Final determination</w:t>
      </w:r>
      <w:r>
        <w:t xml:space="preserve"> June 2016; QCA, </w:t>
      </w:r>
      <w:r w:rsidRPr="00A164C0">
        <w:rPr>
          <w:rStyle w:val="Emphasis"/>
        </w:rPr>
        <w:t>DBCT Draft Decision</w:t>
      </w:r>
      <w:r>
        <w:t xml:space="preserve">, June 2016; Ofgem (UK), </w:t>
      </w:r>
      <w:r w:rsidRPr="00A164C0">
        <w:rPr>
          <w:rStyle w:val="Emphasis"/>
        </w:rPr>
        <w:t>RIIO-ED1</w:t>
      </w:r>
      <w:r>
        <w:t xml:space="preserve">, November 2014; FERC (US), </w:t>
      </w:r>
      <w:r w:rsidRPr="00A164C0">
        <w:rPr>
          <w:rStyle w:val="Emphasis"/>
        </w:rPr>
        <w:t>Baltimore Gas et al</w:t>
      </w:r>
      <w:r>
        <w:t>, February 2016.</w:t>
      </w:r>
    </w:p>
  </w:footnote>
  <w:footnote w:id="486">
    <w:p w:rsidR="00484671" w:rsidRDefault="0048467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30–31,65-73 see AER, Jemena distribution determination 2016-2020: Rate of Return Attachment, May 2016 P60 where this was considered previously</w:t>
      </w:r>
    </w:p>
  </w:footnote>
  <w:footnote w:id="487">
    <w:p w:rsidR="00484671" w:rsidRDefault="0048467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 see AER, Jemena distribution determination 2016-2020:</w:t>
      </w:r>
      <w:r w:rsidRPr="00560539">
        <w:t xml:space="preserve"> </w:t>
      </w:r>
      <w:r>
        <w:t>Rate of Return Attachment, May 2016 P88 where this was considered previously</w:t>
      </w:r>
    </w:p>
  </w:footnote>
  <w:footnote w:id="488">
    <w:p w:rsidR="00484671" w:rsidRDefault="00484671" w:rsidP="007C54F1">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489">
    <w:p w:rsidR="00484671" w:rsidRDefault="00484671" w:rsidP="007C54F1">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490">
    <w:p w:rsidR="00484671" w:rsidRDefault="00484671" w:rsidP="007C54F1">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491">
    <w:p w:rsidR="00484671" w:rsidRDefault="00484671" w:rsidP="007C54F1">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492">
    <w:p w:rsidR="00484671" w:rsidRDefault="00484671" w:rsidP="007C54F1">
      <w:pPr>
        <w:pStyle w:val="FootnoteText"/>
      </w:pPr>
      <w:r>
        <w:rPr>
          <w:rStyle w:val="FootnoteReference"/>
        </w:rPr>
        <w:footnoteRef/>
      </w:r>
      <w:r>
        <w:t xml:space="preserve"> </w:t>
      </w:r>
      <w:r>
        <w:tab/>
        <w:t>Partington &amp; Satchell,</w:t>
      </w:r>
      <w:r w:rsidRPr="00740003">
        <w:rPr>
          <w:rStyle w:val="Emphasis"/>
        </w:rPr>
        <w:t xml:space="preserve"> Report to the AER: Cost of equity issues–Final decisions for the VIC DNSPs</w:t>
      </w:r>
      <w:r w:rsidRPr="00740003">
        <w:t>, April 2016,</w:t>
      </w:r>
      <w:r>
        <w:t xml:space="preserve"> , P31-32;</w:t>
      </w:r>
      <w:r w:rsidRPr="00740003">
        <w:t xml:space="preserve"> Partington, </w:t>
      </w:r>
      <w:r w:rsidRPr="00740003">
        <w:rPr>
          <w:rStyle w:val="AERtextitalic"/>
        </w:rPr>
        <w:t xml:space="preserve">Report to the AER: Return on equity (updated), </w:t>
      </w:r>
      <w:r w:rsidRPr="00740003">
        <w:t>April 2015</w:t>
      </w:r>
      <w:r>
        <w:t>, P32</w:t>
      </w:r>
    </w:p>
    <w:p w:rsidR="00484671" w:rsidRDefault="00484671" w:rsidP="007C54F1">
      <w:pPr>
        <w:pStyle w:val="FootnoteText"/>
      </w:pPr>
      <w:r>
        <w:tab/>
        <w:t>See P325 of the AER's decision on SAPN from October 2015 (Attachment 3) for further references</w:t>
      </w:r>
    </w:p>
  </w:footnote>
  <w:footnote w:id="493">
    <w:p w:rsidR="00484671" w:rsidRDefault="00484671" w:rsidP="007C54F1">
      <w:pPr>
        <w:pStyle w:val="FootnoteText"/>
      </w:pPr>
      <w:r>
        <w:rPr>
          <w:rStyle w:val="FootnoteReference"/>
        </w:rPr>
        <w:footnoteRef/>
      </w:r>
      <w:r>
        <w:t xml:space="preserve"> </w:t>
      </w:r>
      <w:r>
        <w:tab/>
        <w:t>Partington</w:t>
      </w:r>
      <w:r w:rsidRPr="00FA22CC">
        <w:t xml:space="preserve"> and Satchell,</w:t>
      </w:r>
      <w:r w:rsidRPr="00FA22CC">
        <w:rPr>
          <w:rStyle w:val="Emphasis"/>
        </w:rPr>
        <w:t xml:space="preserve"> Report to the AER: Discussion of estimates of the return on equity</w:t>
      </w:r>
      <w:r w:rsidRPr="00FA22CC">
        <w:t>, March 2017</w:t>
      </w:r>
      <w:r>
        <w:t>, p. 30.</w:t>
      </w:r>
    </w:p>
  </w:footnote>
  <w:footnote w:id="494">
    <w:p w:rsidR="00484671" w:rsidRDefault="00484671" w:rsidP="007C54F1">
      <w:pPr>
        <w:pStyle w:val="FootnoteText"/>
      </w:pPr>
      <w:r>
        <w:rPr>
          <w:rStyle w:val="FootnoteReference"/>
        </w:rPr>
        <w:footnoteRef/>
      </w:r>
      <w:r>
        <w:t xml:space="preserve"> </w:t>
      </w:r>
      <w:r>
        <w:tab/>
      </w:r>
      <w:r w:rsidRPr="00670F36">
        <w:t>APTPPL,</w:t>
      </w:r>
      <w:r w:rsidRPr="00670F36">
        <w:rPr>
          <w:rStyle w:val="Emphasis"/>
        </w:rPr>
        <w:t xml:space="preserve"> RBP Access Arrangement revision submission 2017–22</w:t>
      </w:r>
      <w:r w:rsidRPr="00670F36">
        <w:t>, 21 September 2016, p</w:t>
      </w:r>
      <w:r>
        <w:t>p</w:t>
      </w:r>
      <w:r w:rsidRPr="00670F36">
        <w:t>. 152</w:t>
      </w:r>
      <w:r>
        <w:t>-154</w:t>
      </w:r>
      <w:r w:rsidRPr="00670F36">
        <w:t>.</w:t>
      </w:r>
    </w:p>
  </w:footnote>
  <w:footnote w:id="495">
    <w:p w:rsidR="00484671" w:rsidRDefault="00484671" w:rsidP="007C54F1">
      <w:pPr>
        <w:pStyle w:val="FootnoteText"/>
      </w:pPr>
      <w:r>
        <w:rPr>
          <w:rStyle w:val="FootnoteReference"/>
        </w:rPr>
        <w:footnoteRef/>
      </w:r>
      <w:r>
        <w:t xml:space="preserve"> </w:t>
      </w:r>
      <w:r>
        <w:tab/>
        <w:t xml:space="preserve">Frontier, </w:t>
      </w:r>
      <w:r>
        <w:rPr>
          <w:i/>
        </w:rPr>
        <w:t xml:space="preserve">The Market Risk Premium, </w:t>
      </w:r>
      <w:r>
        <w:t>September 2016, pp31</w:t>
      </w:r>
    </w:p>
  </w:footnote>
  <w:footnote w:id="496">
    <w:p w:rsidR="00484671" w:rsidRDefault="00484671" w:rsidP="007C54F1">
      <w:pPr>
        <w:pStyle w:val="FootnoteText"/>
      </w:pPr>
      <w:r>
        <w:rPr>
          <w:rStyle w:val="FootnoteReference"/>
        </w:rPr>
        <w:footnoteRef/>
      </w:r>
      <w:r>
        <w:t xml:space="preserve"> </w:t>
      </w:r>
      <w:r>
        <w:tab/>
        <w:t xml:space="preserve">Frontier, </w:t>
      </w:r>
      <w:r>
        <w:rPr>
          <w:rStyle w:val="Emphasis"/>
        </w:rPr>
        <w:t>The relationship between government bond yields and the market risk premium</w:t>
      </w:r>
      <w:r>
        <w:t>, January 2016, p. 13.</w:t>
      </w:r>
    </w:p>
  </w:footnote>
  <w:footnote w:id="497">
    <w:p w:rsidR="00484671" w:rsidRDefault="00484671" w:rsidP="007C54F1">
      <w:pPr>
        <w:pStyle w:val="FootnoteText"/>
      </w:pPr>
      <w:r>
        <w:rPr>
          <w:rStyle w:val="FootnoteReference"/>
        </w:rPr>
        <w:footnoteRef/>
      </w:r>
      <w:r>
        <w:t xml:space="preserve">  </w:t>
      </w:r>
      <w:r>
        <w:tab/>
        <w:t xml:space="preserve">Frontier, </w:t>
      </w:r>
      <w:r>
        <w:rPr>
          <w:i/>
        </w:rPr>
        <w:t xml:space="preserve">The Market Risk Premium, </w:t>
      </w:r>
      <w:r>
        <w:t>September 2016, pp31–34</w:t>
      </w:r>
    </w:p>
  </w:footnote>
  <w:footnote w:id="498">
    <w:p w:rsidR="00484671" w:rsidRDefault="00484671" w:rsidP="007C54F1">
      <w:pPr>
        <w:pStyle w:val="FootnoteText"/>
      </w:pPr>
      <w:r>
        <w:rPr>
          <w:rStyle w:val="FootnoteReference"/>
        </w:rPr>
        <w:footnoteRef/>
      </w:r>
      <w:r>
        <w:t xml:space="preserve"> </w:t>
      </w:r>
      <w:r>
        <w:tab/>
        <w:t xml:space="preserve">APTPPL, </w:t>
      </w:r>
      <w:r>
        <w:rPr>
          <w:rStyle w:val="Emphasis"/>
        </w:rPr>
        <w:t>Roma to Brisbane Pipeline access arrangement submission 2017-2022</w:t>
      </w:r>
      <w:r>
        <w:t xml:space="preserve">, September 2016, pp. 152-155; </w:t>
      </w:r>
    </w:p>
  </w:footnote>
  <w:footnote w:id="499">
    <w:p w:rsidR="00484671" w:rsidRDefault="00484671" w:rsidP="007C54F1">
      <w:pPr>
        <w:pStyle w:val="FootnoteText"/>
      </w:pPr>
      <w:r>
        <w:rPr>
          <w:rStyle w:val="FootnoteReference"/>
        </w:rPr>
        <w:footnoteRef/>
      </w:r>
      <w:r>
        <w:t xml:space="preserve"> </w:t>
      </w:r>
      <w:r>
        <w:tab/>
      </w:r>
      <w:r w:rsidRPr="00D6679E">
        <w:t xml:space="preserve">Lally found the standard deviation of average real market returns is 1.5 per cent. The standard deviation for the average real government bond yield is 1.4 per cent. For the estimate MRP time series, it is 0.9 per cent. These standard deviations imply the average real market return is considerably more volatile than that for the estimated MRP. Lally, Review of the AER’s methodology, March 2013, pp. 12–16. </w:t>
      </w:r>
      <w:r>
        <w:t xml:space="preserve"> </w:t>
      </w:r>
    </w:p>
  </w:footnote>
  <w:footnote w:id="500">
    <w:p w:rsidR="00484671" w:rsidRDefault="0048467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P26</w:t>
      </w:r>
    </w:p>
  </w:footnote>
  <w:footnote w:id="501">
    <w:p w:rsidR="00484671" w:rsidRDefault="00484671" w:rsidP="007C54F1">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502">
    <w:p w:rsidR="00484671" w:rsidRDefault="0048467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46–47. </w:t>
      </w:r>
    </w:p>
  </w:footnote>
  <w:footnote w:id="503">
    <w:p w:rsidR="00484671" w:rsidRDefault="0048467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47-50</w:t>
      </w:r>
    </w:p>
  </w:footnote>
  <w:footnote w:id="504">
    <w:p w:rsidR="00484671" w:rsidRDefault="00484671" w:rsidP="007C54F1">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 Deloitte, CFO Survey: Beyond the clouds, Q3 2014, P19 Chart 17: Frequency of hurdle rate updates</w:t>
      </w:r>
    </w:p>
  </w:footnote>
  <w:footnote w:id="505">
    <w:p w:rsidR="00484671" w:rsidRDefault="00484671" w:rsidP="007C54F1">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506">
    <w:p w:rsidR="00484671" w:rsidRDefault="00484671" w:rsidP="007C54F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07">
    <w:p w:rsidR="00484671" w:rsidRDefault="00484671" w:rsidP="007C54F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508">
    <w:p w:rsidR="00484671" w:rsidRDefault="00484671" w:rsidP="007C54F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09">
    <w:p w:rsidR="00484671" w:rsidRDefault="00484671" w:rsidP="007C54F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510">
    <w:p w:rsidR="00484671" w:rsidRDefault="00484671" w:rsidP="007C54F1">
      <w:pPr>
        <w:pStyle w:val="FootnoteText"/>
      </w:pPr>
      <w:r>
        <w:rPr>
          <w:rStyle w:val="FootnoteReference"/>
        </w:rPr>
        <w:footnoteRef/>
      </w:r>
      <w:r>
        <w:t xml:space="preserve"> </w:t>
      </w:r>
      <w:r>
        <w:tab/>
        <w:t>Multinet, Rate of return overview, December 2016, pp. 38–39.</w:t>
      </w:r>
    </w:p>
  </w:footnote>
  <w:footnote w:id="511">
    <w:p w:rsidR="00484671" w:rsidRDefault="00484671" w:rsidP="007C54F1">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512">
    <w:p w:rsidR="00484671" w:rsidRDefault="00484671" w:rsidP="007C54F1">
      <w:pPr>
        <w:pStyle w:val="FootnoteText"/>
      </w:pPr>
      <w:r>
        <w:rPr>
          <w:rStyle w:val="FootnoteReference"/>
        </w:rPr>
        <w:footnoteRef/>
      </w:r>
      <w:r>
        <w:t xml:space="preserve"> </w:t>
      </w:r>
      <w:r>
        <w:tab/>
        <w:t>Assuming rational, well-functioning markets.</w:t>
      </w:r>
    </w:p>
  </w:footnote>
  <w:footnote w:id="513">
    <w:p w:rsidR="00484671" w:rsidRDefault="00484671" w:rsidP="007C54F1">
      <w:pPr>
        <w:pStyle w:val="FootnoteText"/>
      </w:pPr>
      <w:r>
        <w:rPr>
          <w:rStyle w:val="FootnoteReference"/>
        </w:rPr>
        <w:footnoteRef/>
      </w:r>
      <w:r>
        <w:t xml:space="preserve"> </w:t>
      </w:r>
      <w:r>
        <w:tab/>
        <w:t xml:space="preserve">Frontier Economics, </w:t>
      </w:r>
      <w:r w:rsidRPr="00074148">
        <w:rPr>
          <w:rStyle w:val="Emphasis"/>
        </w:rPr>
        <w:t>The market risk premium</w:t>
      </w:r>
      <w:r>
        <w:t xml:space="preserve">, September 2016, p. 48-49; Frontier Economics, </w:t>
      </w:r>
      <w:r w:rsidRPr="00965F4A">
        <w:rPr>
          <w:rStyle w:val="Emphasis"/>
        </w:rPr>
        <w:t>The relationship between government bond yields and the market risk premium</w:t>
      </w:r>
      <w:r>
        <w:t>, January 2016 ,P21-23</w:t>
      </w:r>
    </w:p>
  </w:footnote>
  <w:footnote w:id="514">
    <w:p w:rsidR="00484671" w:rsidRDefault="00484671" w:rsidP="007C54F1">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515">
    <w:p w:rsidR="00484671" w:rsidRDefault="0048467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P18</w:t>
      </w:r>
    </w:p>
  </w:footnote>
  <w:footnote w:id="516">
    <w:p w:rsidR="00484671" w:rsidRDefault="0048467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P20</w:t>
      </w:r>
    </w:p>
  </w:footnote>
  <w:footnote w:id="517">
    <w:p w:rsidR="00484671" w:rsidRDefault="0048467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P19</w:t>
      </w:r>
    </w:p>
  </w:footnote>
  <w:footnote w:id="518">
    <w:p w:rsidR="00484671" w:rsidRDefault="00484671" w:rsidP="007C54F1">
      <w:pPr>
        <w:pStyle w:val="FootnoteText"/>
      </w:pPr>
      <w:r>
        <w:rPr>
          <w:rStyle w:val="FootnoteReference"/>
        </w:rPr>
        <w:footnoteRef/>
      </w:r>
      <w:r>
        <w:t xml:space="preserve"> </w:t>
      </w:r>
      <w:r>
        <w:tab/>
        <w:t xml:space="preserve"> AusNet Services, p. 154</w:t>
      </w:r>
      <w:r w:rsidRPr="00C36099">
        <w:t>.</w:t>
      </w:r>
    </w:p>
  </w:footnote>
  <w:footnote w:id="519">
    <w:p w:rsidR="00484671" w:rsidRDefault="00484671" w:rsidP="007C54F1">
      <w:pPr>
        <w:pStyle w:val="FootnoteText"/>
      </w:pPr>
      <w:r>
        <w:rPr>
          <w:rStyle w:val="FootnoteReference"/>
        </w:rPr>
        <w:footnoteRef/>
      </w:r>
      <w:r>
        <w:t xml:space="preserve"> </w:t>
      </w:r>
      <w:r>
        <w:tab/>
        <w:t xml:space="preserve">Multinet, </w:t>
      </w:r>
      <w:r>
        <w:rPr>
          <w:rStyle w:val="Emphasis"/>
        </w:rPr>
        <w:t>Rate of Return Overview</w:t>
      </w:r>
      <w:r>
        <w:t>, 16 December 2016, p. 38</w:t>
      </w:r>
    </w:p>
  </w:footnote>
  <w:footnote w:id="520">
    <w:p w:rsidR="00484671" w:rsidRDefault="00484671" w:rsidP="007C54F1">
      <w:pPr>
        <w:pStyle w:val="FootnoteText"/>
      </w:pPr>
      <w:r>
        <w:rPr>
          <w:rStyle w:val="FootnoteReference"/>
        </w:rPr>
        <w:footnoteRef/>
      </w:r>
      <w:r>
        <w:t xml:space="preserve"> </w:t>
      </w:r>
      <w:r>
        <w:tab/>
        <w:t xml:space="preserve">Ontario Energy Board, </w:t>
      </w:r>
      <w:r w:rsidRPr="005E5B01">
        <w:rPr>
          <w:rStyle w:val="Emphasis"/>
        </w:rPr>
        <w:t>OEB Staff Report on Cost of Capital Review</w:t>
      </w:r>
      <w:r>
        <w:t>, 14 January 2016, p.3</w:t>
      </w:r>
    </w:p>
  </w:footnote>
  <w:footnote w:id="521">
    <w:p w:rsidR="00484671" w:rsidRDefault="00484671" w:rsidP="007C54F1">
      <w:pPr>
        <w:pStyle w:val="FootnoteText"/>
      </w:pPr>
      <w:r>
        <w:rPr>
          <w:rStyle w:val="FootnoteReference"/>
        </w:rPr>
        <w:footnoteRef/>
      </w:r>
      <w:r>
        <w:t xml:space="preserve"> </w:t>
      </w:r>
      <w:r>
        <w:tab/>
        <w:t>Partington</w:t>
      </w:r>
      <w:r w:rsidRPr="005D13D4">
        <w:t xml:space="preserve"> and Satchell,</w:t>
      </w:r>
      <w:r w:rsidRPr="005D13D4">
        <w:rPr>
          <w:rStyle w:val="Emphasis"/>
        </w:rPr>
        <w:t xml:space="preserve"> Report to the AER: Discussion of estimates of the return on equity</w:t>
      </w:r>
      <w:r w:rsidRPr="005D13D4">
        <w:t>, March 2017</w:t>
      </w:r>
      <w:r>
        <w:t xml:space="preserve"> p. 26.</w:t>
      </w:r>
    </w:p>
  </w:footnote>
  <w:footnote w:id="522">
    <w:p w:rsidR="00484671" w:rsidRDefault="00484671" w:rsidP="007C54F1">
      <w:pPr>
        <w:pStyle w:val="FootnoteText"/>
      </w:pPr>
      <w:r>
        <w:rPr>
          <w:rStyle w:val="FootnoteReference"/>
        </w:rPr>
        <w:footnoteRef/>
      </w:r>
      <w:r>
        <w:t xml:space="preserve"> </w:t>
      </w:r>
      <w:r>
        <w:tab/>
        <w:t xml:space="preserve">Multinet, </w:t>
      </w:r>
      <w:r>
        <w:rPr>
          <w:rStyle w:val="Emphasis"/>
        </w:rPr>
        <w:t>Rate of Return Overview</w:t>
      </w:r>
      <w:r>
        <w:t>, 16 December 2016, p. 38, figure 12</w:t>
      </w:r>
    </w:p>
  </w:footnote>
  <w:footnote w:id="523">
    <w:p w:rsidR="00484671" w:rsidRDefault="00484671" w:rsidP="003E0A44">
      <w:pPr>
        <w:pStyle w:val="FootnoteText"/>
      </w:pPr>
      <w:r>
        <w:rPr>
          <w:rStyle w:val="FootnoteReference"/>
        </w:rPr>
        <w:footnoteRef/>
      </w:r>
      <w:r>
        <w:t xml:space="preserve"> </w:t>
      </w:r>
      <w:r>
        <w:tab/>
      </w:r>
      <w:r w:rsidRPr="003C0B51">
        <w:t xml:space="preserve">RBP, </w:t>
      </w:r>
      <w:r w:rsidRPr="0067629A">
        <w:rPr>
          <w:rStyle w:val="AERtextitalic"/>
        </w:rPr>
        <w:t>Access arrangement submission 2017-22</w:t>
      </w:r>
      <w:r w:rsidRPr="003C0B51">
        <w:t>, 16 September 2016, p.16</w:t>
      </w:r>
      <w:r>
        <w:t>0.</w:t>
      </w:r>
    </w:p>
  </w:footnote>
  <w:footnote w:id="524">
    <w:p w:rsidR="00484671" w:rsidRDefault="00484671" w:rsidP="00327D21">
      <w:pPr>
        <w:pStyle w:val="FootnoteText"/>
      </w:pPr>
      <w:r>
        <w:rPr>
          <w:rStyle w:val="FootnoteReference"/>
        </w:rPr>
        <w:footnoteRef/>
      </w:r>
      <w:r>
        <w:t xml:space="preserve"> </w:t>
      </w:r>
      <w:r>
        <w:tab/>
        <w:t>For clarity, that is 100% of the base rate and DRP components of the allowed return on debt.</w:t>
      </w:r>
    </w:p>
  </w:footnote>
  <w:footnote w:id="525">
    <w:p w:rsidR="00484671" w:rsidRDefault="00484671" w:rsidP="00327D21">
      <w:pPr>
        <w:pStyle w:val="FootnoteText"/>
      </w:pPr>
      <w:r>
        <w:rPr>
          <w:rStyle w:val="FootnoteReference"/>
        </w:rPr>
        <w:footnoteRef/>
      </w:r>
      <w:r>
        <w:t xml:space="preserve"> </w:t>
      </w:r>
      <w:r>
        <w:tab/>
      </w:r>
      <w:r w:rsidRPr="0039163B">
        <w:rPr>
          <w:rStyle w:val="AERtextitalic"/>
        </w:rPr>
        <w:t>Better regulation—Rate of return guideline</w:t>
      </w:r>
      <w:r w:rsidRPr="0039163B">
        <w:t>, December 2013, chapters 3,</w:t>
      </w:r>
      <w:r>
        <w:t xml:space="preserve"> </w:t>
      </w:r>
      <w:r w:rsidRPr="0039163B">
        <w:t>6 and appendix B</w:t>
      </w:r>
    </w:p>
  </w:footnote>
  <w:footnote w:id="526">
    <w:p w:rsidR="00484671" w:rsidRDefault="00484671">
      <w:pPr>
        <w:pStyle w:val="FootnoteText"/>
      </w:pPr>
      <w:r>
        <w:rPr>
          <w:rStyle w:val="FootnoteReference"/>
        </w:rPr>
        <w:footnoteRef/>
      </w:r>
      <w:r>
        <w:t xml:space="preserve"> </w:t>
      </w:r>
      <w:r>
        <w:tab/>
      </w:r>
      <w:r w:rsidRPr="003C0B51">
        <w:t xml:space="preserve">RBP, </w:t>
      </w:r>
      <w:r w:rsidRPr="0067629A">
        <w:rPr>
          <w:rStyle w:val="AERtextitalic"/>
        </w:rPr>
        <w:t>Access arrangement submission 2017-22</w:t>
      </w:r>
      <w:r w:rsidRPr="003C0B51">
        <w:t>, 16 September 2016, p.16</w:t>
      </w:r>
      <w:r>
        <w:t>0;</w:t>
      </w:r>
      <w:r w:rsidRPr="003C0B51">
        <w:t xml:space="preserve"> APA</w:t>
      </w:r>
      <w:r>
        <w:t xml:space="preserve"> VTS</w:t>
      </w:r>
      <w:r w:rsidRPr="003C0B51">
        <w:t xml:space="preserve">, </w:t>
      </w:r>
      <w:r w:rsidRPr="0067629A">
        <w:rPr>
          <w:rStyle w:val="AERtextitalic"/>
        </w:rPr>
        <w:t>Victorian Transmission System Access Arrangement Submission</w:t>
      </w:r>
      <w:r w:rsidRPr="003C0B51">
        <w:t>, January 2017, p.180.</w:t>
      </w:r>
    </w:p>
  </w:footnote>
  <w:footnote w:id="527">
    <w:p w:rsidR="00484671" w:rsidRDefault="00484671" w:rsidP="00327D21">
      <w:pPr>
        <w:pStyle w:val="FootnoteText"/>
      </w:pPr>
      <w:r>
        <w:rPr>
          <w:rStyle w:val="FootnoteReference"/>
        </w:rPr>
        <w:footnoteRef/>
      </w:r>
      <w:r>
        <w:t xml:space="preserve">    CEG, </w:t>
      </w:r>
      <w:r w:rsidRPr="00222160">
        <w:rPr>
          <w:i/>
        </w:rPr>
        <w:t>The AER’s current interpretation of the ARORO</w:t>
      </w:r>
      <w:r>
        <w:t>, September 2016.</w:t>
      </w:r>
    </w:p>
  </w:footnote>
  <w:footnote w:id="528">
    <w:p w:rsidR="00484671" w:rsidRDefault="00484671" w:rsidP="00327D21">
      <w:pPr>
        <w:pStyle w:val="FootnoteText"/>
      </w:pPr>
      <w:r>
        <w:rPr>
          <w:rStyle w:val="FootnoteReference"/>
        </w:rPr>
        <w:footnoteRef/>
      </w:r>
      <w:r>
        <w:t xml:space="preserve"> </w:t>
      </w:r>
      <w:r>
        <w:tab/>
      </w:r>
      <w:r w:rsidRPr="002125E1">
        <w:t xml:space="preserve"> </w:t>
      </w:r>
      <w:r>
        <w:t>That is AusNet Services Gas Distribution, APA, Multinet and AGN.</w:t>
      </w:r>
    </w:p>
  </w:footnote>
  <w:footnote w:id="529">
    <w:p w:rsidR="00484671" w:rsidRDefault="00484671" w:rsidP="00327D21">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xml:space="preserve">, December, p. 121; </w:t>
      </w:r>
      <w:r w:rsidRPr="000F63D2">
        <w:t>AusNet</w:t>
      </w:r>
      <w:r>
        <w:t xml:space="preserve"> Services</w:t>
      </w:r>
      <w:r w:rsidRPr="000F63D2">
        <w:t xml:space="preserve"> Gas</w:t>
      </w:r>
      <w:r>
        <w:t xml:space="preserve"> Distribution</w:t>
      </w:r>
      <w:r w:rsidRPr="000F63D2">
        <w:t xml:space="preserve">, </w:t>
      </w:r>
      <w:r w:rsidRPr="00970545">
        <w:rPr>
          <w:rStyle w:val="AERtextitalic"/>
        </w:rPr>
        <w:t>Access Arrangement Review 2018-22</w:t>
      </w:r>
      <w:r>
        <w:t>, December 2016, p. 6;</w:t>
      </w:r>
      <w:r w:rsidRPr="007C1C16">
        <w:t xml:space="preserve"> Multinet, </w:t>
      </w:r>
      <w:r w:rsidRPr="00970545">
        <w:rPr>
          <w:rStyle w:val="AERtextitalic"/>
        </w:rPr>
        <w:t>2018 to 2022 Access Arrangement Information</w:t>
      </w:r>
      <w:r>
        <w:t xml:space="preserve">, December 2016, p. 128; </w:t>
      </w:r>
      <w:r w:rsidRPr="00474448">
        <w:t xml:space="preserve">RBP, </w:t>
      </w:r>
      <w:r w:rsidRPr="00970545">
        <w:rPr>
          <w:rStyle w:val="AERtextitalic"/>
        </w:rPr>
        <w:t>Access arrangement submission 2017-22</w:t>
      </w:r>
      <w:r>
        <w:t xml:space="preserve">, 16 September 2016, p. 160; </w:t>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footnote>
  <w:footnote w:id="530">
    <w:p w:rsidR="00484671" w:rsidRDefault="00484671" w:rsidP="00327D21">
      <w:pPr>
        <w:pStyle w:val="FootnoteText"/>
      </w:pPr>
      <w:r>
        <w:rPr>
          <w:rStyle w:val="FootnoteReference"/>
        </w:rPr>
        <w:footnoteRef/>
      </w:r>
      <w:r>
        <w:t xml:space="preserve"> </w:t>
      </w:r>
      <w:r>
        <w:tab/>
        <w:t>AusNet Services</w:t>
      </w:r>
      <w:r w:rsidRPr="0038384D">
        <w:t xml:space="preserve">, </w:t>
      </w:r>
      <w:r w:rsidRPr="00287E46">
        <w:rPr>
          <w:rStyle w:val="AERtextitalic"/>
        </w:rPr>
        <w:t>Revised revenue proposal</w:t>
      </w:r>
      <w:r w:rsidRPr="0038384D">
        <w:t>, 21 September 2016</w:t>
      </w:r>
      <w:r>
        <w:t>, p.137.</w:t>
      </w:r>
    </w:p>
  </w:footnote>
  <w:footnote w:id="531">
    <w:p w:rsidR="00484671" w:rsidRDefault="00484671" w:rsidP="00327D21">
      <w:pPr>
        <w:pStyle w:val="FootnoteText"/>
      </w:pPr>
      <w:r>
        <w:rPr>
          <w:rStyle w:val="FootnoteReference"/>
        </w:rPr>
        <w:footnoteRef/>
      </w:r>
      <w:r>
        <w:t xml:space="preserve"> </w:t>
      </w:r>
      <w:r>
        <w:tab/>
      </w:r>
      <w:r w:rsidRPr="0038384D">
        <w:t xml:space="preserve">CEG, </w:t>
      </w:r>
      <w:r w:rsidRPr="00287E46">
        <w:rPr>
          <w:rStyle w:val="AERtextitalic"/>
        </w:rPr>
        <w:t>The AER’s current interpretation of the ARORO</w:t>
      </w:r>
      <w:r w:rsidRPr="0038384D">
        <w:t>, September 2016.</w:t>
      </w:r>
    </w:p>
  </w:footnote>
  <w:footnote w:id="532">
    <w:p w:rsidR="00484671" w:rsidRDefault="00484671" w:rsidP="00327D21">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533">
    <w:p w:rsidR="00484671" w:rsidRDefault="00484671" w:rsidP="00327D21">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534">
    <w:p w:rsidR="00484671" w:rsidRDefault="00484671" w:rsidP="00327D21">
      <w:pPr>
        <w:pStyle w:val="FootnoteText"/>
      </w:pPr>
      <w:r>
        <w:rPr>
          <w:rStyle w:val="FootnoteReference"/>
        </w:rPr>
        <w:footnoteRef/>
      </w:r>
      <w:r>
        <w:t xml:space="preserve"> </w:t>
      </w:r>
      <w:r>
        <w:tab/>
      </w:r>
      <w:r w:rsidRPr="000938BF">
        <w:t>NER cl. 6.5.2(l) and cl. 6A.6.2(l)</w:t>
      </w:r>
      <w:r>
        <w:t xml:space="preserve"> 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_Ref479168996 \r \h </w:instrText>
      </w:r>
      <w:r>
        <w:rPr>
          <w:rStyle w:val="AERbody"/>
          <w:sz w:val="16"/>
        </w:rPr>
      </w:r>
      <w:r>
        <w:rPr>
          <w:rStyle w:val="AERbody"/>
          <w:sz w:val="16"/>
        </w:rPr>
        <w:fldChar w:fldCharType="separate"/>
      </w:r>
      <w:r w:rsidR="002C24D6">
        <w:rPr>
          <w:rStyle w:val="AERbody"/>
          <w:sz w:val="16"/>
        </w:rPr>
        <w:t>L</w:t>
      </w:r>
      <w:r>
        <w:rPr>
          <w:rStyle w:val="AERbody"/>
          <w:sz w:val="16"/>
        </w:rPr>
        <w:fldChar w:fldCharType="end"/>
      </w:r>
      <w:r>
        <w:rPr>
          <w:rStyle w:val="AERbody"/>
        </w:rPr>
        <w:t xml:space="preserve"> </w:t>
      </w:r>
      <w:r>
        <w:t>of this attachment 3.</w:t>
      </w:r>
    </w:p>
  </w:footnote>
  <w:footnote w:id="535">
    <w:p w:rsidR="00484671" w:rsidRDefault="00484671" w:rsidP="00327D21">
      <w:pPr>
        <w:pStyle w:val="FootnoteText"/>
      </w:pPr>
      <w:r>
        <w:rPr>
          <w:rStyle w:val="FootnoteReference"/>
        </w:rPr>
        <w:footnoteRef/>
      </w:r>
      <w:r>
        <w:t xml:space="preserve"> </w:t>
      </w:r>
      <w:r>
        <w:tab/>
      </w:r>
      <w:r w:rsidRPr="003C0B51">
        <w:t xml:space="preserve">RBP, </w:t>
      </w:r>
      <w:r w:rsidRPr="0067629A">
        <w:rPr>
          <w:rStyle w:val="AERtextitalic"/>
        </w:rPr>
        <w:t>Access arrangement submission 2017-22</w:t>
      </w:r>
      <w:r w:rsidRPr="003C0B51">
        <w:t>, 16 September 2016, p.16</w:t>
      </w:r>
      <w:r>
        <w:t>0.</w:t>
      </w:r>
    </w:p>
  </w:footnote>
  <w:footnote w:id="536">
    <w:p w:rsidR="00484671" w:rsidRDefault="00484671" w:rsidP="00327D21">
      <w:pPr>
        <w:pStyle w:val="FootnoteText"/>
      </w:pPr>
      <w:r>
        <w:rPr>
          <w:rStyle w:val="FootnoteReference"/>
        </w:rPr>
        <w:footnoteRef/>
      </w:r>
      <w:r>
        <w:t xml:space="preserve"> </w:t>
      </w:r>
      <w:r>
        <w:tab/>
        <w:t xml:space="preserve">CCP (Panel 5), </w:t>
      </w:r>
      <w:r w:rsidRPr="006E5878">
        <w:rPr>
          <w:rStyle w:val="AERtextitalic"/>
        </w:rPr>
        <w:t>Submission to the AER: Transmission for the Generations III, Response to: Revised revenue proposal by AusNet Services For: Transmission Revenue Review 2017-22</w:t>
      </w:r>
      <w:r>
        <w:t>, October 2016, p.12</w:t>
      </w:r>
    </w:p>
  </w:footnote>
  <w:footnote w:id="537">
    <w:p w:rsidR="00484671" w:rsidRDefault="00484671" w:rsidP="00327D21">
      <w:pPr>
        <w:pStyle w:val="FootnoteText"/>
      </w:pPr>
      <w:r>
        <w:rPr>
          <w:rStyle w:val="FootnoteReference"/>
        </w:rPr>
        <w:footnoteRef/>
      </w:r>
      <w:r>
        <w:t xml:space="preserve"> </w:t>
      </w:r>
      <w:r>
        <w:tab/>
      </w:r>
      <w:r w:rsidRPr="00EB6EAE">
        <w:t xml:space="preserve">CCP (Panel 5), </w:t>
      </w:r>
      <w:r w:rsidRPr="006E5878">
        <w:rPr>
          <w:rStyle w:val="AERtextitalic"/>
        </w:rPr>
        <w:t>Submission to the AER: Transmission for the Generations III, Response to: Revised revenue proposal by AusNet Services For: Transmission Revenue Review 2017-22</w:t>
      </w:r>
      <w:r w:rsidRPr="00EB6EAE">
        <w:t>, October 2016, p.12</w:t>
      </w:r>
    </w:p>
  </w:footnote>
  <w:footnote w:id="538">
    <w:p w:rsidR="00484671" w:rsidRDefault="00484671" w:rsidP="00327D21">
      <w:pPr>
        <w:pStyle w:val="FootnoteText"/>
      </w:pPr>
      <w:r>
        <w:rPr>
          <w:rStyle w:val="FootnoteReference"/>
        </w:rPr>
        <w:footnoteRef/>
      </w:r>
      <w:r>
        <w:t xml:space="preserve"> </w:t>
      </w:r>
      <w:r>
        <w:tab/>
      </w:r>
      <w:r w:rsidRPr="00EB6EAE">
        <w:t>CCP (Panel 5</w:t>
      </w:r>
      <w:r w:rsidRPr="006E5878">
        <w:rPr>
          <w:rStyle w:val="AERtextitalic"/>
        </w:rPr>
        <w:t>), Submission to the AER: Transmission for the Generations III, Response to: Revised revenue proposal by AusNet Services For: Transmission Revenue Review 2017-22</w:t>
      </w:r>
      <w:r w:rsidRPr="00EB6EAE">
        <w:t>, October 2016, p.12</w:t>
      </w:r>
    </w:p>
  </w:footnote>
  <w:footnote w:id="539">
    <w:p w:rsidR="00484671" w:rsidRDefault="00484671" w:rsidP="00327D21">
      <w:pPr>
        <w:pStyle w:val="FootnoteText"/>
      </w:pPr>
      <w:r>
        <w:rPr>
          <w:rStyle w:val="FootnoteReference"/>
        </w:rPr>
        <w:footnoteRef/>
      </w:r>
      <w:r>
        <w:t xml:space="preserve"> </w:t>
      </w:r>
      <w:r>
        <w:tab/>
      </w:r>
      <w:r w:rsidRPr="00D40AFA">
        <w:t>AusNet Services</w:t>
      </w:r>
      <w:r>
        <w:t xml:space="preserve">, </w:t>
      </w:r>
      <w:r w:rsidRPr="006E5878">
        <w:rPr>
          <w:rStyle w:val="AERtextitalic"/>
        </w:rPr>
        <w:t>Letter to the AER: Removing uncertainty on the Cost of Debt transition</w:t>
      </w:r>
      <w:r>
        <w:t>, 9 December 2016</w:t>
      </w:r>
    </w:p>
  </w:footnote>
  <w:footnote w:id="540">
    <w:p w:rsidR="00484671" w:rsidRDefault="00484671" w:rsidP="00327D21">
      <w:pPr>
        <w:pStyle w:val="FootnoteText"/>
        <w:tabs>
          <w:tab w:val="clear" w:pos="340"/>
          <w:tab w:val="left" w:pos="776"/>
        </w:tabs>
      </w:pPr>
      <w:r>
        <w:rPr>
          <w:rStyle w:val="FootnoteReference"/>
        </w:rPr>
        <w:footnoteRef/>
      </w:r>
      <w:r>
        <w:t xml:space="preserve"> </w:t>
      </w:r>
      <w:r>
        <w:tab/>
        <w:t>AusNet Services</w:t>
      </w:r>
      <w:r w:rsidRPr="006E5878">
        <w:rPr>
          <w:rStyle w:val="AERtextitalic"/>
        </w:rPr>
        <w:t>, Submission to the AER: AusNet Services’ Transmission- Revised Revenue Proposal</w:t>
      </w:r>
      <w:r w:rsidRPr="00EB6EAE">
        <w:t>,  20 December 2016</w:t>
      </w:r>
    </w:p>
  </w:footnote>
  <w:footnote w:id="541">
    <w:p w:rsidR="00484671" w:rsidRDefault="00484671" w:rsidP="00327D21">
      <w:pPr>
        <w:pStyle w:val="FootnoteText"/>
      </w:pPr>
      <w:r>
        <w:rPr>
          <w:rStyle w:val="FootnoteReference"/>
        </w:rPr>
        <w:footnoteRef/>
      </w:r>
      <w:r>
        <w:t xml:space="preserve"> </w:t>
      </w:r>
      <w:r>
        <w:tab/>
        <w:t xml:space="preserve">CCP (Panel 11), </w:t>
      </w:r>
      <w:r w:rsidRPr="00013867">
        <w:rPr>
          <w:rStyle w:val="AERtextitalic"/>
        </w:rPr>
        <w:t>Submission to the AER: Response to proposal from APA VTS for the 2018-22 access arrangement</w:t>
      </w:r>
      <w:r>
        <w:t xml:space="preserve">, 3 March 2017, p. 29.  </w:t>
      </w:r>
    </w:p>
  </w:footnote>
  <w:footnote w:id="542">
    <w:p w:rsidR="00484671" w:rsidRDefault="00484671" w:rsidP="00327D21">
      <w:pPr>
        <w:pStyle w:val="FootnoteText"/>
      </w:pPr>
      <w:r>
        <w:rPr>
          <w:rStyle w:val="FootnoteReference"/>
        </w:rPr>
        <w:footnoteRef/>
      </w:r>
      <w:r>
        <w:t xml:space="preserve"> </w:t>
      </w:r>
      <w:r>
        <w:tab/>
        <w:t xml:space="preserve">CCP (Panel 11), </w:t>
      </w:r>
      <w:r w:rsidRPr="00BA533F">
        <w:rPr>
          <w:rStyle w:val="AERtextitalic"/>
        </w:rPr>
        <w:t>Submission to the AER: Response to proposal from APA VTS for the 2018-22 access arrangement</w:t>
      </w:r>
      <w:r>
        <w:t xml:space="preserve">, 3 March 2017, p. 29.  </w:t>
      </w:r>
    </w:p>
  </w:footnote>
  <w:footnote w:id="543">
    <w:p w:rsidR="00484671" w:rsidRDefault="00484671" w:rsidP="00327D21">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reference</w:t>
      </w:r>
      <w:r w:rsidRPr="00F21B32">
        <w:t xml:space="preserve"> services</w:t>
      </w:r>
      <w:r>
        <w:t>.</w:t>
      </w:r>
    </w:p>
  </w:footnote>
  <w:footnote w:id="544">
    <w:p w:rsidR="00484671" w:rsidRDefault="00484671" w:rsidP="00327D2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45">
    <w:p w:rsidR="00484671" w:rsidRDefault="00484671" w:rsidP="00327D21">
      <w:pPr>
        <w:pStyle w:val="FootnoteText"/>
      </w:pPr>
      <w:r>
        <w:rPr>
          <w:rStyle w:val="FootnoteReference"/>
        </w:rPr>
        <w:footnoteRef/>
      </w:r>
      <w:r>
        <w:t xml:space="preserve"> </w:t>
      </w:r>
      <w:r>
        <w:tab/>
        <w:t>For the RPPs see NEL, s. 7A; NGL, s. 24.</w:t>
      </w:r>
    </w:p>
  </w:footnote>
  <w:footnote w:id="546">
    <w:p w:rsidR="00484671" w:rsidRPr="00B57A7C" w:rsidRDefault="00484671" w:rsidP="00327D2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547">
    <w:p w:rsidR="00484671" w:rsidRDefault="00484671" w:rsidP="00327D21">
      <w:pPr>
        <w:pStyle w:val="FootnoteText"/>
      </w:pPr>
      <w:r>
        <w:rPr>
          <w:rStyle w:val="FootnoteReference"/>
        </w:rPr>
        <w:footnoteRef/>
      </w:r>
      <w:r>
        <w:t xml:space="preserve"> </w:t>
      </w:r>
      <w:r>
        <w:tab/>
      </w:r>
      <w:r w:rsidRPr="00FA6FCE">
        <w:t>Partington, G., Satchell, S</w:t>
      </w:r>
      <w:r w:rsidRPr="006E5878">
        <w:rPr>
          <w:rStyle w:val="AERtextitalic"/>
        </w:rPr>
        <w:t>., Report to the AER: Issues in relation to the cost of debt</w:t>
      </w:r>
      <w:r w:rsidRPr="00FA6FCE">
        <w:t>,</w:t>
      </w:r>
      <w:r w:rsidRPr="006E5878">
        <w:t>9 April 2017</w:t>
      </w:r>
    </w:p>
  </w:footnote>
  <w:footnote w:id="548">
    <w:p w:rsidR="00484671" w:rsidRDefault="00484671" w:rsidP="00327D2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549">
    <w:p w:rsidR="00484671" w:rsidRDefault="00484671" w:rsidP="00327D21">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550">
    <w:p w:rsidR="00484671" w:rsidRDefault="00484671" w:rsidP="00327D21">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551">
    <w:p w:rsidR="00484671" w:rsidRDefault="00484671" w:rsidP="00327D2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552">
    <w:p w:rsidR="00484671" w:rsidRDefault="00484671" w:rsidP="00327D21">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_Ref479169214 \r \h </w:instrText>
      </w:r>
      <w:r>
        <w:fldChar w:fldCharType="separate"/>
      </w:r>
      <w:r w:rsidR="002C24D6">
        <w:t>I</w:t>
      </w:r>
      <w:r>
        <w:fldChar w:fldCharType="end"/>
      </w:r>
      <w:r>
        <w:t xml:space="preserve">). </w:t>
      </w:r>
    </w:p>
  </w:footnote>
  <w:footnote w:id="553">
    <w:p w:rsidR="00484671" w:rsidRDefault="00484671" w:rsidP="00327D21">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554">
    <w:p w:rsidR="00484671" w:rsidRDefault="00484671" w:rsidP="00327D21">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555">
    <w:p w:rsidR="00484671" w:rsidRDefault="00484671" w:rsidP="00327D21">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556">
    <w:p w:rsidR="00484671" w:rsidRDefault="00484671" w:rsidP="00327D2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557">
    <w:p w:rsidR="00484671" w:rsidRDefault="00484671" w:rsidP="00327D21">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21 September 2016, p.166.</w:t>
      </w:r>
      <w:r w:rsidRPr="004956D2">
        <w:t xml:space="preserve"> </w:t>
      </w:r>
      <w:r>
        <w:t xml:space="preserve">RBP, </w:t>
      </w:r>
      <w:r w:rsidRPr="00013867">
        <w:rPr>
          <w:rStyle w:val="AERtextitalic"/>
        </w:rPr>
        <w:t>Access arrangement revision submission 2017-22</w:t>
      </w:r>
      <w:r>
        <w:t xml:space="preserve">, 16 September 2016, p.160; </w:t>
      </w:r>
      <w:r w:rsidRPr="004956D2">
        <w:t xml:space="preserve">APA, </w:t>
      </w:r>
      <w:r w:rsidRPr="00013867">
        <w:rPr>
          <w:rStyle w:val="AERtextitalic"/>
        </w:rPr>
        <w:t>Victorian Transmission System Access Arrangement Submission</w:t>
      </w:r>
      <w:r>
        <w:t>, January 2017, p.181</w:t>
      </w:r>
      <w:r w:rsidRPr="004956D2">
        <w:t>.</w:t>
      </w:r>
    </w:p>
  </w:footnote>
  <w:footnote w:id="558">
    <w:p w:rsidR="00484671" w:rsidRDefault="00484671" w:rsidP="00327D21">
      <w:pPr>
        <w:pStyle w:val="FootnoteText"/>
      </w:pPr>
      <w:r>
        <w:rPr>
          <w:rStyle w:val="FootnoteReference"/>
        </w:rPr>
        <w:footnoteRef/>
      </w:r>
      <w:r>
        <w:t xml:space="preserve">     CEG, </w:t>
      </w:r>
      <w:r w:rsidRPr="00E70998">
        <w:rPr>
          <w:i/>
        </w:rPr>
        <w:t>The AER’s current interpretation of the ARORO</w:t>
      </w:r>
      <w:r>
        <w:t>, September 2016, p.3.</w:t>
      </w:r>
    </w:p>
  </w:footnote>
  <w:footnote w:id="559">
    <w:p w:rsidR="00484671" w:rsidRDefault="00484671" w:rsidP="00327D21">
      <w:pPr>
        <w:pStyle w:val="FootnoteText"/>
      </w:pPr>
      <w:r>
        <w:rPr>
          <w:rStyle w:val="FootnoteReference"/>
        </w:rPr>
        <w:footnoteRef/>
      </w:r>
      <w:r>
        <w:t xml:space="preserve"> </w:t>
      </w:r>
      <w:r>
        <w:tab/>
        <w:t>As required under NER, cl. 5.5.2(h); NER, cl. 6A.6.2(h); NGR, cl. 87(8).</w:t>
      </w:r>
    </w:p>
  </w:footnote>
  <w:footnote w:id="560">
    <w:p w:rsidR="00484671" w:rsidRDefault="00484671" w:rsidP="00327D21">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xml:space="preserve">, 21 September 2016, p.166; CEG, </w:t>
      </w:r>
      <w:r w:rsidRPr="00E70998">
        <w:rPr>
          <w:i/>
        </w:rPr>
        <w:t>The AER’s current interpretation of the ARORO</w:t>
      </w:r>
      <w:r>
        <w:t xml:space="preserve">, September 2016; RBP, </w:t>
      </w:r>
      <w:r w:rsidRPr="00013867">
        <w:rPr>
          <w:rStyle w:val="AERtextitalic"/>
        </w:rPr>
        <w:t>Access arrangement revision submission 2017-22, 16 September 2016</w:t>
      </w:r>
      <w:r>
        <w:t>, p.160;</w:t>
      </w:r>
      <w:r w:rsidRPr="008318DF">
        <w:t xml:space="preserve"> </w:t>
      </w:r>
      <w:r w:rsidRPr="004956D2">
        <w:t xml:space="preserve">APA, </w:t>
      </w:r>
      <w:r w:rsidRPr="002730EA">
        <w:rPr>
          <w:rStyle w:val="AERtextitalic"/>
        </w:rPr>
        <w:t>Victorian Transmission System Access Arrangement Submission</w:t>
      </w:r>
      <w:r>
        <w:t>, January 2017, p.181</w:t>
      </w:r>
      <w:r w:rsidRPr="004956D2">
        <w:t>.</w:t>
      </w:r>
    </w:p>
  </w:footnote>
  <w:footnote w:id="561">
    <w:p w:rsidR="00484671" w:rsidRDefault="00484671" w:rsidP="00327D21">
      <w:pPr>
        <w:pStyle w:val="FootnoteText"/>
      </w:pPr>
      <w:r>
        <w:rPr>
          <w:rStyle w:val="FootnoteReference"/>
        </w:rPr>
        <w:footnoteRef/>
      </w:r>
      <w:r>
        <w:t xml:space="preserve"> </w:t>
      </w:r>
      <w:r>
        <w:tab/>
      </w:r>
      <w:r w:rsidRPr="000C0E6D">
        <w:t xml:space="preserve">CEG, </w:t>
      </w:r>
      <w:r w:rsidRPr="000C0E6D">
        <w:rPr>
          <w:i/>
        </w:rPr>
        <w:t>The AER’s current interpretation of the ARORO</w:t>
      </w:r>
      <w:r w:rsidRPr="000C0E6D">
        <w:t>, September 2016</w:t>
      </w:r>
      <w:r>
        <w:t>, p. 36.</w:t>
      </w:r>
    </w:p>
  </w:footnote>
  <w:footnote w:id="562">
    <w:p w:rsidR="00484671" w:rsidRDefault="00484671" w:rsidP="004B4659">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In relation to the cost of debt</w:t>
      </w:r>
      <w:r>
        <w:t>, 9 April 2017, p. 29.</w:t>
      </w:r>
    </w:p>
  </w:footnote>
  <w:footnote w:id="563">
    <w:p w:rsidR="00484671" w:rsidRDefault="00484671" w:rsidP="00327D21">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564">
    <w:p w:rsidR="00484671" w:rsidRDefault="00484671" w:rsidP="00327D21">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565">
    <w:p w:rsidR="00484671" w:rsidRDefault="00484671" w:rsidP="00327D21">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566">
    <w:p w:rsidR="00484671" w:rsidRDefault="00484671" w:rsidP="00327D21">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567">
    <w:p w:rsidR="00484671" w:rsidRDefault="00484671" w:rsidP="00327D2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68">
    <w:p w:rsidR="00484671" w:rsidRDefault="00484671" w:rsidP="00327D21">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569">
    <w:p w:rsidR="00484671" w:rsidRDefault="00484671" w:rsidP="00327D21">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570">
    <w:p w:rsidR="00484671" w:rsidRDefault="00484671" w:rsidP="00327D2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571">
    <w:p w:rsidR="00484671" w:rsidRDefault="00484671" w:rsidP="00327D21">
      <w:pPr>
        <w:pStyle w:val="FootnoteText"/>
      </w:pPr>
      <w:r>
        <w:rPr>
          <w:rStyle w:val="FootnoteReference"/>
        </w:rPr>
        <w:footnoteRef/>
      </w:r>
      <w:r>
        <w:t xml:space="preserve"> </w:t>
      </w:r>
      <w:r>
        <w:tab/>
        <w:t>The RPPs require we have regard to this effect on incentives. See NEL, s. 7A(3)(b); NGL, s. 24(3)(b).</w:t>
      </w:r>
    </w:p>
  </w:footnote>
  <w:footnote w:id="572">
    <w:p w:rsidR="00484671" w:rsidRDefault="00484671" w:rsidP="00327D21">
      <w:pPr>
        <w:pStyle w:val="FootnoteText"/>
      </w:pPr>
      <w:r>
        <w:rPr>
          <w:rStyle w:val="FootnoteReference"/>
        </w:rPr>
        <w:footnoteRef/>
      </w:r>
      <w:r>
        <w:t xml:space="preserve">    This was proposed by ActewAGL, AGN, Amadeus, CitiPower, JEN and United Energy</w:t>
      </w:r>
    </w:p>
  </w:footnote>
  <w:footnote w:id="573">
    <w:p w:rsidR="00484671" w:rsidRDefault="00484671" w:rsidP="00327D21">
      <w:pPr>
        <w:pStyle w:val="FootnoteText"/>
      </w:pPr>
      <w:r>
        <w:rPr>
          <w:rStyle w:val="FootnoteReference"/>
        </w:rPr>
        <w:footnoteRef/>
      </w:r>
      <w:r>
        <w:t xml:space="preserve">    This was proposed by ActewAGL, AGN, Amadeus, CitiPower, JEN and United Energy</w:t>
      </w:r>
    </w:p>
  </w:footnote>
  <w:footnote w:id="574">
    <w:p w:rsidR="00484671" w:rsidRDefault="00484671" w:rsidP="00327D21">
      <w:pPr>
        <w:pStyle w:val="FootnoteText"/>
      </w:pPr>
      <w:r>
        <w:rPr>
          <w:rStyle w:val="FootnoteReference"/>
        </w:rPr>
        <w:footnoteRef/>
      </w:r>
      <w:r>
        <w:t xml:space="preserve"> </w:t>
      </w:r>
      <w:r>
        <w:tab/>
      </w:r>
      <w:r w:rsidRPr="0046271E">
        <w:t>ActewAGL, Access arrangement information, January 2016, p. 35; AGN, Attachment 10.26 response to draft decision: Rate of return, January 2016, p. 3; AusNet Electricity Services, Revised regulatory proposal, January 2016, p. 7-33;  CitiPower, Revised Regulatory Proposal 2016—2020, January 2016, p. 266; JEN, Attachment 6-1 rate of return, gamma, forecast inflation, and debt and equity raising costs, January 2016, p. 28; Powercor, Revised regulatory proposal 2016–20, January 2016, p. 260; United Energy, 2016 to 2020 revised regulatory proposal, January 2016, p. 79.</w:t>
      </w:r>
      <w:r>
        <w:t xml:space="preserve"> </w:t>
      </w:r>
    </w:p>
  </w:footnote>
  <w:footnote w:id="575">
    <w:p w:rsidR="00484671" w:rsidRDefault="00484671" w:rsidP="00327D21">
      <w:pPr>
        <w:pStyle w:val="FootnoteText"/>
      </w:pPr>
      <w:r>
        <w:rPr>
          <w:rStyle w:val="FootnoteReference"/>
        </w:rPr>
        <w:footnoteRef/>
      </w:r>
      <w:r>
        <w:t xml:space="preserve"> </w:t>
      </w:r>
      <w:r>
        <w:tab/>
      </w:r>
      <w:r w:rsidRPr="0046271E">
        <w:t xml:space="preserve">In the revised proposals that put Option 5 before us, </w:t>
      </w:r>
      <m:oMath>
        <m:r>
          <m:rPr>
            <m:sty m:val="p"/>
          </m:rPr>
          <w:rPr>
            <w:rFonts w:ascii="Cambria Math" w:hAnsi="Cambria Math"/>
          </w:rPr>
          <m:t>x=1/3</m:t>
        </m:r>
      </m:oMath>
      <w:r w:rsidRPr="0046271E">
        <w:t xml:space="preserve"> based on CEG, Critique of the AER's approach to transition, January 2016, p. 2.</w:t>
      </w:r>
    </w:p>
  </w:footnote>
  <w:footnote w:id="576">
    <w:p w:rsidR="00484671" w:rsidRDefault="00484671" w:rsidP="00327D21">
      <w:pPr>
        <w:pStyle w:val="FootnoteText"/>
      </w:pPr>
      <w:r>
        <w:rPr>
          <w:rStyle w:val="FootnoteReference"/>
        </w:rPr>
        <w:footnoteRef/>
      </w:r>
      <w:r>
        <w:t xml:space="preserve"> </w:t>
      </w:r>
      <w:r>
        <w:tab/>
      </w:r>
      <w:r w:rsidRPr="00E82AD9">
        <w:t xml:space="preserve">See AER final decision for CitiPower distribution determination, AER final decision for </w:t>
      </w:r>
      <w:r>
        <w:t xml:space="preserve">Australian gas networks access </w:t>
      </w:r>
      <w:r w:rsidRPr="00E82AD9">
        <w:t xml:space="preserve">arrangement. AER final decision for ActewAGL distribution access arrangement </w:t>
      </w:r>
    </w:p>
  </w:footnote>
  <w:footnote w:id="577">
    <w:p w:rsidR="00484671" w:rsidRDefault="00484671" w:rsidP="00327D21">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578">
    <w:p w:rsidR="00484671" w:rsidRDefault="00484671" w:rsidP="00327D21">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579">
    <w:p w:rsidR="00484671" w:rsidRDefault="00484671" w:rsidP="00327D21">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580">
    <w:p w:rsidR="00484671" w:rsidRDefault="00484671" w:rsidP="00327D21">
      <w:pPr>
        <w:pStyle w:val="FootnoteText"/>
      </w:pPr>
      <w:r>
        <w:rPr>
          <w:rStyle w:val="FootnoteReference"/>
        </w:rPr>
        <w:footnoteRef/>
      </w:r>
      <w:r>
        <w:t xml:space="preserve"> </w:t>
      </w:r>
      <w:r>
        <w:tab/>
      </w:r>
      <w:r w:rsidRPr="00C85FC8">
        <w:t>That is CitiPower, Powercor, Jemena, United Energy and AusNet Serices</w:t>
      </w:r>
    </w:p>
  </w:footnote>
  <w:footnote w:id="581">
    <w:p w:rsidR="00484671" w:rsidRDefault="00484671" w:rsidP="00327D21">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–16</w:t>
      </w:r>
      <w:r>
        <w:t>7.</w:t>
      </w:r>
    </w:p>
  </w:footnote>
  <w:footnote w:id="582">
    <w:p w:rsidR="00484671" w:rsidRDefault="00484671"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xml:space="preserve">, p. 267; AusNet Transmission Group Pty Ltd, </w:t>
      </w:r>
      <w:r w:rsidRPr="002E3613">
        <w:t>Transmission Revenue Review 2017–2022 regulatory proposal</w:t>
      </w:r>
      <w:r>
        <w:t xml:space="preserve">, 21 September 2016, pp. 159, 168; </w:t>
      </w:r>
      <w:r w:rsidRPr="009521D0">
        <w:t xml:space="preserve">TasNetworks, </w:t>
      </w:r>
      <w:r w:rsidRPr="009F6D5D">
        <w:rPr>
          <w:rStyle w:val="AERtextitalic"/>
        </w:rPr>
        <w:t>Tasmanian Distribution Regulatory Proposal 2017-2019</w:t>
      </w:r>
      <w:r w:rsidRPr="009521D0">
        <w:t>, 29 January</w:t>
      </w:r>
      <w:r>
        <w:t xml:space="preserve"> 2016</w:t>
      </w:r>
      <w:r w:rsidRPr="009521D0">
        <w:t xml:space="preserve">, </w:t>
      </w:r>
      <w:r>
        <w:t>p. 1</w:t>
      </w:r>
      <w:r w:rsidRPr="009521D0">
        <w:t>17.</w:t>
      </w:r>
      <w:r>
        <w:t xml:space="preserve"> Powerlink</w:t>
      </w:r>
      <w:r w:rsidRPr="009F6D5D">
        <w:rPr>
          <w:rStyle w:val="AERtextitalic"/>
        </w:rPr>
        <w:t>, 2018-2022 Revenue Proposal</w:t>
      </w:r>
      <w:r>
        <w:t>, January 2016, p. 91.</w:t>
      </w:r>
    </w:p>
  </w:footnote>
  <w:footnote w:id="583">
    <w:p w:rsidR="00484671" w:rsidRDefault="00484671" w:rsidP="00C04C58">
      <w:pPr>
        <w:pStyle w:val="FootnoteText"/>
      </w:pPr>
      <w:r>
        <w:rPr>
          <w:rStyle w:val="FootnoteReference"/>
        </w:rPr>
        <w:footnoteRef/>
      </w:r>
      <w:r>
        <w:t xml:space="preserve"> </w:t>
      </w:r>
      <w:r>
        <w:tab/>
        <w:t xml:space="preserve">For example, see AER, final decision-TransGrid Transmission determination 2015-16 to 2017-18, Attachment 3 - Rate of return, April 2015, p. 12-13;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xml:space="preserve">, May 2016, p. 11; AER, </w:t>
      </w:r>
      <w:r w:rsidRPr="00D94B89">
        <w:t xml:space="preserve">Attachment 3 – </w:t>
      </w:r>
      <w:r>
        <w:t>Rate of return, d</w:t>
      </w:r>
      <w:r w:rsidRPr="00D94B89">
        <w:t>raft decision: AusNet Ser</w:t>
      </w:r>
      <w:r>
        <w:t>v</w:t>
      </w:r>
      <w:r w:rsidRPr="00D94B89">
        <w:t>ices transmission determination 2017–22</w:t>
      </w:r>
      <w:r>
        <w:t xml:space="preserve"> to 2021-2022, July 2016, p. 13.</w:t>
      </w:r>
    </w:p>
  </w:footnote>
  <w:footnote w:id="584">
    <w:p w:rsidR="00484671" w:rsidRDefault="00484671" w:rsidP="00C04C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585">
    <w:p w:rsidR="00484671" w:rsidRDefault="00484671"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586">
    <w:p w:rsidR="00484671" w:rsidRDefault="00484671" w:rsidP="00AA374F">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587">
    <w:p w:rsidR="00484671" w:rsidRDefault="00484671" w:rsidP="00AA374F">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 AusNet Transmission Group Pty Ltd, Transmission Revenue Review 2017</w:t>
      </w:r>
      <w:r w:rsidRPr="00883E95">
        <w:t>–</w:t>
      </w:r>
      <w:r>
        <w:t>2022 regulatory proposal, 30 October 2015, pp. 191, 196; AusNet Transmission Group Pty Ltd, Transmission Revenue Review 2017</w:t>
      </w:r>
      <w:r w:rsidRPr="00883E95">
        <w:t>–</w:t>
      </w:r>
      <w:r>
        <w:t>2022 revised regulatory proposal, 21 September 2016, pp. 137, 167.</w:t>
      </w:r>
    </w:p>
  </w:footnote>
  <w:footnote w:id="588">
    <w:p w:rsidR="00484671" w:rsidRDefault="00484671" w:rsidP="00CB2CF7">
      <w:pPr>
        <w:pStyle w:val="FootnoteText"/>
      </w:pPr>
      <w:r>
        <w:rPr>
          <w:rStyle w:val="FootnoteReference"/>
        </w:rPr>
        <w:footnoteRef/>
      </w:r>
      <w:r>
        <w:t xml:space="preserve"> </w:t>
      </w:r>
      <w:r>
        <w:tab/>
        <w:t xml:space="preserve">AGN, </w:t>
      </w:r>
      <w:r>
        <w:rPr>
          <w:rStyle w:val="AERtextitalic"/>
        </w:rPr>
        <w:t>Final Plan: Access Arrangement Information for our Victorian and Albury natural gas distribution networks 2018-22</w:t>
      </w:r>
      <w:r>
        <w:t>, December, p. 146-147.</w:t>
      </w:r>
    </w:p>
  </w:footnote>
  <w:footnote w:id="589">
    <w:p w:rsidR="00484671" w:rsidRDefault="00484671" w:rsidP="00AA374F">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 159.</w:t>
      </w:r>
    </w:p>
  </w:footnote>
  <w:footnote w:id="590">
    <w:p w:rsidR="00484671" w:rsidRDefault="00484671" w:rsidP="00AA374F">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591">
    <w:p w:rsidR="00484671" w:rsidRDefault="00484671" w:rsidP="00AA374F">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592">
    <w:p w:rsidR="00484671" w:rsidRDefault="00484671" w:rsidP="00AA374F">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593">
    <w:p w:rsidR="00484671" w:rsidRDefault="00484671" w:rsidP="00AA374F">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594">
    <w:p w:rsidR="00484671" w:rsidRDefault="00484671" w:rsidP="00AA374F">
      <w:pPr>
        <w:pStyle w:val="FootnoteText"/>
      </w:pPr>
      <w:r>
        <w:rPr>
          <w:rStyle w:val="FootnoteReference"/>
        </w:rPr>
        <w:footnoteRef/>
      </w:r>
      <w:r>
        <w:t xml:space="preserve"> </w:t>
      </w:r>
      <w:r>
        <w:tab/>
        <w:t>CCP4, David Headberry, Submission to the Australian Energy Regulator,  Response to the Proposal from Tasmania's Electricity Distribution Network Service provider (TasNetworks - TND) for a revenue reset for the 2017-19 regulatory period, 4 May 2016, p. 44.</w:t>
      </w:r>
    </w:p>
  </w:footnote>
  <w:footnote w:id="595">
    <w:p w:rsidR="00484671" w:rsidRDefault="00484671" w:rsidP="00AA374F">
      <w:pPr>
        <w:pStyle w:val="FootnoteText"/>
      </w:pPr>
      <w:r>
        <w:rPr>
          <w:rStyle w:val="FootnoteReference"/>
        </w:rPr>
        <w:footnoteRef/>
      </w:r>
      <w:r>
        <w:t xml:space="preserve"> </w:t>
      </w:r>
      <w:r>
        <w:tab/>
        <w:t>CCP4, Hugh Grant and David Headberry, Submission to the AER, Powerlink Queensland 2018- 22 Revenue Proposal, June 2016, pp. 4, 34, 46.</w:t>
      </w:r>
    </w:p>
  </w:footnote>
  <w:footnote w:id="596">
    <w:p w:rsidR="00484671" w:rsidRDefault="00484671" w:rsidP="00AA374F">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597">
    <w:p w:rsidR="00484671" w:rsidRDefault="00484671" w:rsidP="00AA374F">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598">
    <w:p w:rsidR="00484671" w:rsidRDefault="00484671" w:rsidP="00AA374F">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599">
    <w:p w:rsidR="00484671" w:rsidRDefault="00484671" w:rsidP="00AA374F">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rPr>
        <w:t>, January 2016.</w:t>
      </w:r>
    </w:p>
  </w:footnote>
  <w:footnote w:id="600">
    <w:p w:rsidR="00484671" w:rsidRDefault="00484671" w:rsidP="00AA374F">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601">
    <w:p w:rsidR="00484671" w:rsidRDefault="00484671" w:rsidP="00AA374F">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602">
    <w:p w:rsidR="00484671" w:rsidRDefault="00484671" w:rsidP="00AA374F">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rPr>
        <w:t>, July 2015, p. 8</w:t>
      </w:r>
      <w:r>
        <w:rPr>
          <w:rStyle w:val="AERtextitalic"/>
        </w:rPr>
        <w:t>.</w:t>
      </w:r>
    </w:p>
  </w:footnote>
  <w:footnote w:id="603">
    <w:p w:rsidR="00484671" w:rsidRDefault="00484671" w:rsidP="00AA374F">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604">
    <w:p w:rsidR="00484671" w:rsidRDefault="00484671" w:rsidP="009925EE">
      <w:pPr>
        <w:pStyle w:val="FootnoteText"/>
      </w:pPr>
      <w:r>
        <w:rPr>
          <w:rStyle w:val="FootnoteReference"/>
        </w:rPr>
        <w:footnoteRef/>
      </w:r>
      <w:r>
        <w:t xml:space="preserve"> </w:t>
      </w:r>
      <w:r>
        <w:tab/>
        <w:t xml:space="preserve">APTPPL, </w:t>
      </w:r>
      <w:r w:rsidRPr="00F83DAA">
        <w:rPr>
          <w:rStyle w:val="AERtextitalic"/>
        </w:rPr>
        <w:t>2017 - 2022 RBP Access Arrangement revision submission</w:t>
      </w:r>
      <w:r>
        <w:t>, 16 September, 2016, p. 132,</w:t>
      </w:r>
    </w:p>
  </w:footnote>
  <w:footnote w:id="605">
    <w:p w:rsidR="00484671" w:rsidRDefault="00484671">
      <w:pPr>
        <w:pStyle w:val="FootnoteText"/>
      </w:pPr>
      <w:r>
        <w:rPr>
          <w:rStyle w:val="FootnoteReference"/>
        </w:rPr>
        <w:footnoteRef/>
      </w:r>
      <w:r>
        <w:t xml:space="preserve"> </w:t>
      </w:r>
      <w:r>
        <w:tab/>
        <w:t xml:space="preserve">APTPPL, </w:t>
      </w:r>
      <w:r w:rsidRPr="00F83DAA">
        <w:rPr>
          <w:rStyle w:val="AERtextitalic"/>
        </w:rPr>
        <w:t>2017 - 2022 RBP Access Arrangement revision submission</w:t>
      </w:r>
      <w:r>
        <w:t>, 16 September, 2016, p. 132,</w:t>
      </w:r>
    </w:p>
  </w:footnote>
  <w:footnote w:id="606">
    <w:p w:rsidR="00484671" w:rsidRDefault="00484671">
      <w:pPr>
        <w:pStyle w:val="FootnoteText"/>
      </w:pPr>
      <w:r>
        <w:rPr>
          <w:rStyle w:val="FootnoteReference"/>
        </w:rPr>
        <w:footnoteRef/>
      </w:r>
      <w:r>
        <w:t xml:space="preserve"> </w:t>
      </w:r>
      <w:r>
        <w:tab/>
        <w:t xml:space="preserve">AusNet Transmission, </w:t>
      </w:r>
      <w:r w:rsidRPr="00E867C9">
        <w:rPr>
          <w:rStyle w:val="AERtextitalic"/>
        </w:rPr>
        <w:t>Transmission Revenue Review 2017–2022 revised regulatory proposal</w:t>
      </w:r>
      <w:r>
        <w:t>, 21 September 2016, p. 347-352.</w:t>
      </w:r>
    </w:p>
  </w:footnote>
  <w:footnote w:id="607">
    <w:p w:rsidR="00484671" w:rsidRDefault="00484671" w:rsidP="00AA374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608">
    <w:p w:rsidR="00484671" w:rsidRDefault="00484671" w:rsidP="00AA374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609">
    <w:p w:rsidR="00484671" w:rsidRDefault="00484671" w:rsidP="004C4A72">
      <w:pPr>
        <w:pStyle w:val="FootnoteText"/>
      </w:pPr>
      <w:r>
        <w:rPr>
          <w:rStyle w:val="FootnoteReference"/>
        </w:rPr>
        <w:footnoteRef/>
      </w:r>
      <w:r>
        <w:t xml:space="preserve"> </w:t>
      </w:r>
      <w:r>
        <w:tab/>
        <w:t xml:space="preserve">The RBA data series is available on the RBA's website in Statistical Table F3: </w:t>
      </w:r>
      <w:hyperlink r:id="rId13" w:anchor="interest-rates" w:history="1">
        <w:r w:rsidRPr="00A452ED">
          <w:rPr>
            <w:rStyle w:val="Hyperlink"/>
            <w:sz w:val="16"/>
            <w:szCs w:val="16"/>
          </w:rPr>
          <w:t>http://www.rba.gov.au/statistics/tables/index.html#interest-rates</w:t>
        </w:r>
      </w:hyperlink>
    </w:p>
  </w:footnote>
  <w:footnote w:id="610">
    <w:p w:rsidR="00484671" w:rsidRDefault="00484671" w:rsidP="004C4A72">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611">
    <w:p w:rsidR="00484671" w:rsidRDefault="00484671" w:rsidP="004C4A72">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612">
    <w:p w:rsidR="00484671" w:rsidRDefault="00484671" w:rsidP="004C4A72">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613">
    <w:p w:rsidR="00484671" w:rsidRPr="00B85376" w:rsidRDefault="00484671" w:rsidP="004C4A72">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614">
    <w:p w:rsidR="00484671" w:rsidRDefault="00484671" w:rsidP="004C4A72">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615">
    <w:p w:rsidR="00484671" w:rsidRDefault="00484671" w:rsidP="004C4A72">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616">
    <w:p w:rsidR="00484671" w:rsidRDefault="00484671" w:rsidP="004C4A72">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617">
    <w:p w:rsidR="00484671" w:rsidRDefault="00484671" w:rsidP="004C4A72">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618">
    <w:p w:rsidR="00484671" w:rsidRDefault="00484671" w:rsidP="004C4A72">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19">
    <w:p w:rsidR="00484671" w:rsidRPr="00465D99" w:rsidRDefault="00484671"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620">
    <w:p w:rsidR="00484671" w:rsidRPr="00465D99" w:rsidRDefault="00484671"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621">
    <w:p w:rsidR="00484671" w:rsidRDefault="00484671" w:rsidP="004C4A72">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622">
    <w:p w:rsidR="00484671" w:rsidRDefault="00484671" w:rsidP="004C4A72">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623">
    <w:p w:rsidR="00484671" w:rsidRDefault="00484671"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624">
    <w:p w:rsidR="00484671" w:rsidRDefault="00484671" w:rsidP="004C4A72">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25">
    <w:p w:rsidR="00484671" w:rsidRDefault="00484671" w:rsidP="004C4A72">
      <w:pPr>
        <w:pStyle w:val="FootnoteText"/>
      </w:pPr>
      <w:r>
        <w:rPr>
          <w:rStyle w:val="FootnoteReference"/>
        </w:rPr>
        <w:footnoteRef/>
      </w:r>
      <w:r>
        <w:t xml:space="preserve"> </w:t>
      </w:r>
      <w:r>
        <w:tab/>
        <w:t>[2016] ACompT 1 at 263.</w:t>
      </w:r>
    </w:p>
  </w:footnote>
  <w:footnote w:id="626">
    <w:p w:rsidR="00484671" w:rsidRDefault="00484671" w:rsidP="004C4A72">
      <w:pPr>
        <w:pStyle w:val="FootnoteText"/>
      </w:pPr>
      <w:r>
        <w:rPr>
          <w:rStyle w:val="FootnoteReference"/>
        </w:rPr>
        <w:footnoteRef/>
      </w:r>
      <w:r>
        <w:t xml:space="preserve"> </w:t>
      </w:r>
      <w:r>
        <w:tab/>
        <w:t>[2016] ACompT 1 at 265.</w:t>
      </w:r>
    </w:p>
  </w:footnote>
  <w:footnote w:id="627">
    <w:p w:rsidR="00484671" w:rsidRDefault="00484671" w:rsidP="004C4A72">
      <w:pPr>
        <w:pStyle w:val="FootnoteText"/>
      </w:pPr>
      <w:r>
        <w:rPr>
          <w:rStyle w:val="FootnoteReference"/>
        </w:rPr>
        <w:footnoteRef/>
      </w:r>
      <w:r>
        <w:t xml:space="preserve"> </w:t>
      </w:r>
      <w:r>
        <w:tab/>
        <w:t>[2016] ACompT 1 at 265-6.</w:t>
      </w:r>
    </w:p>
  </w:footnote>
  <w:footnote w:id="628">
    <w:p w:rsidR="00484671" w:rsidRDefault="00484671" w:rsidP="004C4A72">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629">
    <w:p w:rsidR="00484671" w:rsidRDefault="00484671" w:rsidP="004C4A72">
      <w:pPr>
        <w:pStyle w:val="FootnoteText"/>
      </w:pPr>
      <w:r>
        <w:rPr>
          <w:rStyle w:val="FootnoteReference"/>
        </w:rPr>
        <w:footnoteRef/>
      </w:r>
      <w:r>
        <w:t xml:space="preserve"> </w:t>
      </w:r>
      <w:r>
        <w:tab/>
        <w:t xml:space="preserve">Gas draft proposals— AusNet Services Group, </w:t>
      </w:r>
      <w:r w:rsidRPr="00013867">
        <w:rPr>
          <w:rStyle w:val="AERtextitalic"/>
        </w:rPr>
        <w:t>Gas Access Arangement Review 2018-2022</w:t>
      </w:r>
      <w:r>
        <w:rPr>
          <w:rStyle w:val="AERtextitalic"/>
        </w:rPr>
        <w:t>: Access Arrangement Information</w:t>
      </w:r>
      <w:r>
        <w:rPr>
          <w:i/>
        </w:rPr>
        <w:t xml:space="preserve">, </w:t>
      </w:r>
      <w:r>
        <w:t xml:space="preserve">December 2016, pp. 210-219; Multinet Gas, </w:t>
      </w:r>
      <w:r w:rsidRPr="00013867">
        <w:rPr>
          <w:rStyle w:val="AERtextitalic"/>
        </w:rPr>
        <w:t>2018 to 2022 Access Arrangement Information</w:t>
      </w:r>
      <w:r>
        <w:t xml:space="preserve">, December 2016, p. 128; Roma to Brisbane pipeline, </w:t>
      </w:r>
      <w:r w:rsidRPr="00013867">
        <w:rPr>
          <w:rStyle w:val="Emphasis"/>
        </w:rPr>
        <w:t>Access Arrangement Submission</w:t>
      </w:r>
      <w:r>
        <w:t xml:space="preserve">, September 2016, pp. 159-161; Victorian Transmission System, </w:t>
      </w:r>
      <w:r w:rsidRPr="00013867">
        <w:rPr>
          <w:rStyle w:val="Emphasis"/>
        </w:rPr>
        <w:t>Access Arrangement Submission</w:t>
      </w:r>
      <w:r w:rsidRPr="00703832">
        <w:t>, 3 January 2017, pp. 182-183</w:t>
      </w:r>
      <w:r>
        <w:t xml:space="preserve">; Australian Gas Networks, </w:t>
      </w:r>
      <w:r w:rsidRPr="00013867">
        <w:rPr>
          <w:rStyle w:val="Emphasis"/>
        </w:rPr>
        <w:t>Final Plan Attachment 10.1</w:t>
      </w:r>
      <w:r>
        <w:t xml:space="preserve">, December 2016, p. 21. </w:t>
      </w:r>
    </w:p>
  </w:footnote>
  <w:footnote w:id="630">
    <w:p w:rsidR="00484671" w:rsidRDefault="00484671" w:rsidP="004C4A72">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631">
    <w:p w:rsidR="00484671" w:rsidRDefault="00484671" w:rsidP="004C4A72">
      <w:pPr>
        <w:pStyle w:val="FootnoteText"/>
      </w:pPr>
      <w:r>
        <w:rPr>
          <w:rStyle w:val="FootnoteReference"/>
        </w:rPr>
        <w:footnoteRef/>
      </w:r>
      <w:r>
        <w:t xml:space="preserve"> </w:t>
      </w:r>
      <w:r>
        <w:tab/>
        <w:t xml:space="preserve">ACCC REU, </w:t>
      </w:r>
      <w:r w:rsidRPr="00C442AD">
        <w:rPr>
          <w:i/>
        </w:rPr>
        <w:t>Thomson Reuters Credit Curve Methodology</w:t>
      </w:r>
      <w:r>
        <w:t>, April 2017.</w:t>
      </w:r>
    </w:p>
  </w:footnote>
  <w:footnote w:id="632">
    <w:p w:rsidR="00484671" w:rsidRDefault="00484671" w:rsidP="004C4A72">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633">
    <w:p w:rsidR="00484671" w:rsidRDefault="00484671" w:rsidP="004C4A72">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634">
    <w:p w:rsidR="00484671" w:rsidRDefault="00484671" w:rsidP="0082114E">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635">
    <w:p w:rsidR="00484671" w:rsidRDefault="00484671" w:rsidP="0082114E">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36">
    <w:p w:rsidR="00484671" w:rsidRDefault="00484671" w:rsidP="0082114E">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4"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37">
    <w:p w:rsidR="00484671" w:rsidRDefault="00484671" w:rsidP="0082114E">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38">
    <w:p w:rsidR="00484671" w:rsidRDefault="00484671" w:rsidP="0082114E">
      <w:pPr>
        <w:pStyle w:val="FootnoteText"/>
      </w:pPr>
      <w:r>
        <w:rPr>
          <w:rStyle w:val="FootnoteReference"/>
        </w:rPr>
        <w:footnoteRef/>
      </w:r>
      <w:r>
        <w:t xml:space="preserve"> </w:t>
      </w:r>
      <w:r>
        <w:tab/>
        <w:t>Specifically, from 15 September 2014 to 3 November 2014.</w:t>
      </w:r>
    </w:p>
  </w:footnote>
  <w:footnote w:id="639">
    <w:p w:rsidR="00484671" w:rsidRDefault="00484671" w:rsidP="0082114E">
      <w:pPr>
        <w:pStyle w:val="FootnoteText"/>
      </w:pPr>
      <w:r>
        <w:rPr>
          <w:rStyle w:val="FootnoteReference"/>
        </w:rPr>
        <w:footnoteRef/>
      </w:r>
      <w:r>
        <w:t xml:space="preserve"> </w:t>
      </w:r>
      <w:r>
        <w:tab/>
        <w:t>Specifically, 14 April 2015.</w:t>
      </w:r>
    </w:p>
  </w:footnote>
  <w:footnote w:id="640">
    <w:p w:rsidR="00484671" w:rsidRDefault="00484671" w:rsidP="0082114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41">
    <w:p w:rsidR="00484671" w:rsidRDefault="00484671" w:rsidP="0082114E">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42">
    <w:p w:rsidR="00484671" w:rsidRDefault="00484671" w:rsidP="00245D0E">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643">
    <w:p w:rsidR="00484671" w:rsidRDefault="00484671" w:rsidP="00245D0E">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644">
    <w:p w:rsidR="00484671" w:rsidRDefault="00484671" w:rsidP="00245D0E">
      <w:pPr>
        <w:pStyle w:val="FootnoteText"/>
      </w:pPr>
      <w:r>
        <w:rPr>
          <w:rStyle w:val="FootnoteReference"/>
        </w:rPr>
        <w:footnoteRef/>
      </w:r>
      <w:r>
        <w:t xml:space="preserve"> </w:t>
      </w:r>
      <w:r>
        <w:tab/>
        <w:t>NER, cl. 6.5.2(l) and cl. 6A.6.2(l).</w:t>
      </w:r>
    </w:p>
  </w:footnote>
  <w:footnote w:id="645">
    <w:p w:rsidR="00484671" w:rsidRDefault="00484671" w:rsidP="00245D0E">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646">
    <w:p w:rsidR="00484671" w:rsidRDefault="00484671" w:rsidP="00245D0E">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647">
    <w:p w:rsidR="00484671" w:rsidRDefault="00484671" w:rsidP="00245D0E">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648">
    <w:p w:rsidR="00484671" w:rsidRDefault="00484671" w:rsidP="00245D0E">
      <w:pPr>
        <w:pStyle w:val="FootnoteText"/>
      </w:pPr>
      <w:r>
        <w:rPr>
          <w:rStyle w:val="FootnoteReference"/>
        </w:rPr>
        <w:footnoteRef/>
      </w:r>
      <w:r>
        <w:t xml:space="preserve"> </w:t>
      </w:r>
      <w:r>
        <w:tab/>
        <w:t>Specifically, the spread to CGS.</w:t>
      </w:r>
    </w:p>
  </w:footnote>
  <w:footnote w:id="649">
    <w:p w:rsidR="00484671" w:rsidRDefault="00484671" w:rsidP="00245D0E">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50">
    <w:p w:rsidR="00484671" w:rsidRDefault="00484671" w:rsidP="00245D0E">
      <w:pPr>
        <w:pStyle w:val="FootnoteText"/>
      </w:pPr>
      <w:r>
        <w:rPr>
          <w:rStyle w:val="FootnoteReference"/>
        </w:rPr>
        <w:footnoteRef/>
      </w:r>
      <w:r>
        <w:t xml:space="preserve"> </w:t>
      </w:r>
      <w:r>
        <w:tab/>
        <w:t xml:space="preserve">AusNet Services, </w:t>
      </w:r>
      <w:r w:rsidRPr="00531745">
        <w:rPr>
          <w:rStyle w:val="AERtextitalic"/>
        </w:rPr>
        <w:t>Access arrangement information</w:t>
      </w:r>
      <w:r>
        <w:t>, December 2016, p. 219.</w:t>
      </w:r>
    </w:p>
  </w:footnote>
  <w:footnote w:id="651">
    <w:p w:rsidR="00484671" w:rsidRDefault="00484671" w:rsidP="00245D0E">
      <w:pPr>
        <w:pStyle w:val="FootnoteText"/>
      </w:pPr>
      <w:r>
        <w:rPr>
          <w:rStyle w:val="FootnoteReference"/>
        </w:rPr>
        <w:footnoteRef/>
      </w:r>
      <w:r>
        <w:t xml:space="preserve"> </w:t>
      </w:r>
      <w:r>
        <w:tab/>
        <w:t>AusNet characterises</w:t>
      </w:r>
      <w:r w:rsidRPr="0018148E">
        <w:t xml:space="preserve"> </w:t>
      </w:r>
      <w:r>
        <w:t xml:space="preserve">a new issue premium as ‘a cost "premium" to businesses issuing bonds into the primary debt market that is not accounted for in the data sources used by the AER to estimate the return on debt (being observations in the secondary debt market)' . See: AusNet Services, </w:t>
      </w:r>
      <w:r w:rsidRPr="00531745">
        <w:rPr>
          <w:rStyle w:val="AERtextitalic"/>
        </w:rPr>
        <w:t>Access arrangement information</w:t>
      </w:r>
      <w:r>
        <w:t>, December 2016, p. 219.</w:t>
      </w:r>
    </w:p>
  </w:footnote>
  <w:footnote w:id="652">
    <w:p w:rsidR="00484671" w:rsidRDefault="00484671" w:rsidP="00245D0E">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653">
    <w:p w:rsidR="00484671" w:rsidRDefault="00484671" w:rsidP="00245D0E">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654">
    <w:p w:rsidR="00484671" w:rsidRDefault="00484671" w:rsidP="00245D0E">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655">
    <w:p w:rsidR="00484671" w:rsidRDefault="00484671" w:rsidP="00245D0E">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656">
    <w:p w:rsidR="00484671" w:rsidRDefault="00484671" w:rsidP="00245D0E">
      <w:pPr>
        <w:pStyle w:val="FootnoteText"/>
      </w:pPr>
      <w:r>
        <w:rPr>
          <w:rStyle w:val="FootnoteReference"/>
        </w:rPr>
        <w:footnoteRef/>
      </w:r>
      <w:r>
        <w:t xml:space="preserve"> </w:t>
      </w:r>
      <w:r>
        <w:tab/>
        <w:t xml:space="preserve">APTPPL, </w:t>
      </w:r>
      <w:r w:rsidRPr="001F42C2">
        <w:rPr>
          <w:rStyle w:val="AERtextitalic"/>
        </w:rPr>
        <w:t>Roma to Brisbane pipeline access arrangement submission. confidential attachment 7-1 – cost of debt averaging periods</w:t>
      </w:r>
      <w:r>
        <w:t xml:space="preserve">, September; APTPPL, </w:t>
      </w:r>
      <w:r w:rsidRPr="001F42C2">
        <w:rPr>
          <w:rStyle w:val="AERtextitalic"/>
        </w:rPr>
        <w:t>Letter from Peter Bolding General Manager Strategy and Regulatory to Warwick Anderson General Manager AER - Roma to Brisbane Pipeline proposed revised Access Arrangement - rate of return averaging periods</w:t>
      </w:r>
      <w:r>
        <w:t>, 10 February 2017;</w:t>
      </w:r>
    </w:p>
  </w:footnote>
  <w:footnote w:id="657">
    <w:p w:rsidR="00484671" w:rsidRDefault="00484671" w:rsidP="00245D0E">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658">
    <w:p w:rsidR="00484671" w:rsidRDefault="00484671" w:rsidP="00245D0E">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659">
    <w:p w:rsidR="00484671" w:rsidRDefault="00484671" w:rsidP="00245D0E">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660">
    <w:p w:rsidR="00484671" w:rsidRDefault="00484671">
      <w:pPr>
        <w:pStyle w:val="FootnoteText"/>
      </w:pPr>
      <w:r>
        <w:rPr>
          <w:rStyle w:val="FootnoteReference"/>
        </w:rPr>
        <w:footnoteRef/>
      </w:r>
      <w:r>
        <w:t xml:space="preserve"> </w:t>
      </w:r>
      <w:r>
        <w:tab/>
      </w:r>
      <w:r w:rsidRPr="0084079E">
        <w:t xml:space="preserve">AER, </w:t>
      </w:r>
      <w:r w:rsidRPr="00185FF8">
        <w:rPr>
          <w:rStyle w:val="Emphasis"/>
        </w:rPr>
        <w:t>Rate of return guideline</w:t>
      </w:r>
      <w:r w:rsidRPr="0084079E">
        <w:t xml:space="preserve">, December 2013, p. 9. </w:t>
      </w:r>
      <w:r>
        <w:t xml:space="preserve">APTPPL, </w:t>
      </w:r>
      <w:r w:rsidRPr="00272584">
        <w:rPr>
          <w:rStyle w:val="AERtextitalic"/>
        </w:rPr>
        <w:t>Access arrangement submission 2017-22</w:t>
      </w:r>
      <w:r>
        <w:t>, September 2016, p. 132.</w:t>
      </w:r>
      <w:r w:rsidRPr="0084079E">
        <w:t xml:space="preserve"> </w:t>
      </w:r>
      <w:r>
        <w:t xml:space="preserve"> </w:t>
      </w:r>
    </w:p>
  </w:footnote>
  <w:footnote w:id="661">
    <w:p w:rsidR="00484671" w:rsidRDefault="00484671">
      <w:pPr>
        <w:pStyle w:val="FootnoteText"/>
      </w:pPr>
      <w:r>
        <w:rPr>
          <w:rStyle w:val="FootnoteReference"/>
        </w:rPr>
        <w:footnoteRef/>
      </w:r>
      <w:r>
        <w:t xml:space="preserve"> </w:t>
      </w:r>
      <w:r>
        <w:tab/>
        <w:t xml:space="preserve">That is if a service provider had a gearing ratio that was significantly different to the benchmark gearing ratio, then we would consider any implications of this for including that service provider within the sample used to estimate the industry median credit rating. </w:t>
      </w:r>
    </w:p>
  </w:footnote>
  <w:footnote w:id="662">
    <w:p w:rsidR="00484671" w:rsidRDefault="00484671" w:rsidP="00E71256">
      <w:pPr>
        <w:pStyle w:val="FootnoteText"/>
      </w:pPr>
      <w:r>
        <w:rPr>
          <w:rStyle w:val="FootnoteReference"/>
        </w:rPr>
        <w:footnoteRef/>
      </w:r>
      <w:r>
        <w:t xml:space="preserve"> </w:t>
      </w:r>
      <w:r>
        <w:tab/>
        <w:t>For this draft decision, only the first annual rate is based on an RBA inflation forecast. By the time we make our final decision, an RBA forecast for the second annual rate will be available and will be used.</w:t>
      </w:r>
    </w:p>
  </w:footnote>
  <w:footnote w:id="663">
    <w:p w:rsidR="00484671" w:rsidRDefault="00484671" w:rsidP="00985825">
      <w:pPr>
        <w:pStyle w:val="FootnoteText"/>
      </w:pPr>
      <w:r>
        <w:rPr>
          <w:rStyle w:val="FootnoteReference"/>
        </w:rPr>
        <w:footnoteRef/>
      </w:r>
      <w:r>
        <w:t xml:space="preserve"> </w:t>
      </w:r>
      <w:r>
        <w:tab/>
        <w:t xml:space="preserve">Calculated over a 20-day averaging period, using our return on equity risk free rate averaging period. </w:t>
      </w:r>
    </w:p>
  </w:footnote>
  <w:footnote w:id="664">
    <w:p w:rsidR="00484671" w:rsidRDefault="00484671" w:rsidP="00985825">
      <w:pPr>
        <w:pStyle w:val="FootnoteText"/>
      </w:pPr>
      <w:r>
        <w:rPr>
          <w:rStyle w:val="FootnoteReference"/>
        </w:rPr>
        <w:footnoteRef/>
      </w:r>
      <w:r>
        <w:t xml:space="preserve"> </w:t>
      </w:r>
      <w:r>
        <w:tab/>
        <w:t>With a similar degree of risk as that which applies to the service provider in the provision of regulated energy network services.</w:t>
      </w:r>
    </w:p>
  </w:footnote>
  <w:footnote w:id="665">
    <w:p w:rsidR="00484671" w:rsidRDefault="00484671" w:rsidP="00254472">
      <w:pPr>
        <w:pStyle w:val="FootnoteText"/>
      </w:pPr>
      <w:r>
        <w:rPr>
          <w:rStyle w:val="FootnoteReference"/>
        </w:rPr>
        <w:footnoteRef/>
      </w:r>
      <w:r>
        <w:t xml:space="preserve"> </w:t>
      </w:r>
      <w:r>
        <w:tab/>
        <w:t>Including</w:t>
      </w:r>
      <w:r w:rsidRPr="00DA54AC">
        <w:t xml:space="preserve"> </w:t>
      </w:r>
      <w:r>
        <w:t xml:space="preserve">ActewAGL, </w:t>
      </w:r>
      <w:r>
        <w:rPr>
          <w:rStyle w:val="AERtextitalic"/>
        </w:rPr>
        <w:t>Appendix 5.01: Detailed response to rate of return, gamma and inflation</w:t>
      </w:r>
      <w:r>
        <w:t xml:space="preserve">, January 2016, p. 135; AusNet Transmission Group Pty Ltd, </w:t>
      </w:r>
      <w:r w:rsidRPr="00A51CD5">
        <w:rPr>
          <w:rStyle w:val="AERtextitalic"/>
        </w:rPr>
        <w:t>Transmission Revenue Review 2017-2022 Revised Revenue Proposal</w:t>
      </w:r>
      <w:r>
        <w:t xml:space="preserve">, 21 September 2016, pp. 178-194; AusNet Services, </w:t>
      </w:r>
      <w:r w:rsidRPr="005C2943">
        <w:rPr>
          <w:rStyle w:val="AERtextitalic"/>
        </w:rPr>
        <w:t>R</w:t>
      </w:r>
      <w:r>
        <w:rPr>
          <w:rStyle w:val="AERtextitalic"/>
        </w:rPr>
        <w:t>evised regulatory p</w:t>
      </w:r>
      <w:r w:rsidRPr="005C2943">
        <w:rPr>
          <w:rStyle w:val="AERtextitalic"/>
        </w:rPr>
        <w:t>roposal</w:t>
      </w:r>
      <w:r w:rsidRPr="00EC24CF">
        <w:t xml:space="preserve">, </w:t>
      </w:r>
      <w:r>
        <w:t>January 2016, pp. 7-96</w:t>
      </w:r>
      <w:r w:rsidRPr="000641C7">
        <w:t>–</w:t>
      </w:r>
      <w:r>
        <w:t>7-102;</w:t>
      </w:r>
      <w:r w:rsidRPr="00DA54AC">
        <w:t xml:space="preserve"> </w:t>
      </w:r>
      <w:r>
        <w:t xml:space="preserve">AGN, </w:t>
      </w:r>
      <w:r>
        <w:rPr>
          <w:rStyle w:val="AERtextitalic"/>
        </w:rPr>
        <w:t>Attachment 9.3 Response to draft decision: Inflation</w:t>
      </w:r>
      <w:r>
        <w:t xml:space="preserve">, January 2016, p. 6.; JEN, </w:t>
      </w:r>
      <w:r w:rsidRPr="00086BBC">
        <w:rPr>
          <w:rStyle w:val="AERtextitalic"/>
        </w:rPr>
        <w:t>Revocation and substitution submission, Attachment 6-1 Rate of return, gamma, forecast inflation, and debt and equity raising costs</w:t>
      </w:r>
      <w:r>
        <w:t xml:space="preserve">, January 2016, p. 111; SA Power Networks, </w:t>
      </w:r>
      <w:r w:rsidRPr="004C08AC">
        <w:rPr>
          <w:rStyle w:val="AERtextitalic"/>
        </w:rPr>
        <w:t>Revised Regulatory Proposal 2015-20</w:t>
      </w:r>
      <w:r>
        <w:t xml:space="preserve">, 3 July 2015, pp. 393-399; </w:t>
      </w:r>
      <w:r w:rsidRPr="00EC24CF">
        <w:t xml:space="preserve">United Energy, </w:t>
      </w:r>
      <w:r w:rsidRPr="005C2943">
        <w:rPr>
          <w:rStyle w:val="AERtextitalic"/>
        </w:rPr>
        <w:t>Regulatory Proposal</w:t>
      </w:r>
      <w:r w:rsidRPr="00EC24CF">
        <w:t xml:space="preserve">, </w:t>
      </w:r>
      <w:r>
        <w:t xml:space="preserve">April 2015, </w:t>
      </w:r>
      <w:r w:rsidRPr="00EC24CF">
        <w:t>p. 105</w:t>
      </w:r>
      <w:r>
        <w:t xml:space="preserve">; United Energy, </w:t>
      </w:r>
      <w:r w:rsidRPr="00572480">
        <w:rPr>
          <w:rStyle w:val="AERtextitalic"/>
        </w:rPr>
        <w:t>Response to AER preliminary decision re: rate of return and gamma</w:t>
      </w:r>
      <w:r>
        <w:t>, 6 January 2016, p. 103.</w:t>
      </w:r>
    </w:p>
    <w:p w:rsidR="00484671" w:rsidRDefault="00484671" w:rsidP="00254472">
      <w:pPr>
        <w:pStyle w:val="FootnoteText"/>
      </w:pPr>
      <w:r>
        <w:tab/>
        <w:t>CitiPower and Powercor</w:t>
      </w:r>
      <w:r w:rsidDel="008F2186">
        <w:t xml:space="preserve"> </w:t>
      </w:r>
      <w:r>
        <w:t xml:space="preserve">proposed the RBA forecasts and target band approach, but also submitted that the break-even approach would be 'superior' and would result in the 'best estimate' (CitiPower, </w:t>
      </w:r>
      <w:r w:rsidRPr="000B2E88">
        <w:rPr>
          <w:rStyle w:val="AERtextitalic"/>
        </w:rPr>
        <w:t>Revised regulatory proposal</w:t>
      </w:r>
      <w:r>
        <w:t>, January 2016, pp. 376</w:t>
      </w:r>
      <w:r w:rsidRPr="000641C7">
        <w:t>–</w:t>
      </w:r>
      <w:r>
        <w:t xml:space="preserve">383; Powercor, </w:t>
      </w:r>
      <w:r w:rsidRPr="000B2E88">
        <w:rPr>
          <w:rStyle w:val="AERtextitalic"/>
        </w:rPr>
        <w:t>Revised regulatory proposal</w:t>
      </w:r>
      <w:r>
        <w:t>, January 2016, p. 377).</w:t>
      </w:r>
    </w:p>
  </w:footnote>
  <w:footnote w:id="666">
    <w:p w:rsidR="00484671" w:rsidRDefault="00484671" w:rsidP="00254472">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xml:space="preserve">, 29 January 2016, p. 117; 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667">
    <w:p w:rsidR="00484671" w:rsidRDefault="00484671" w:rsidP="00254472">
      <w:pPr>
        <w:pStyle w:val="FootnoteText"/>
      </w:pPr>
      <w:r>
        <w:rPr>
          <w:rStyle w:val="FootnoteReference"/>
        </w:rPr>
        <w:footnoteRef/>
      </w:r>
      <w:r>
        <w:t xml:space="preserve"> </w:t>
      </w:r>
      <w:r>
        <w:tab/>
        <w:t>See: Application by SA Power Networks [2016] ACompT 11, para 614.</w:t>
      </w:r>
    </w:p>
  </w:footnote>
  <w:footnote w:id="668">
    <w:p w:rsidR="00484671" w:rsidRDefault="00484671" w:rsidP="00254472">
      <w:pPr>
        <w:pStyle w:val="FootnoteText"/>
      </w:pPr>
      <w:r>
        <w:rPr>
          <w:rStyle w:val="FootnoteReference"/>
        </w:rPr>
        <w:footnoteRef/>
      </w:r>
      <w:r>
        <w:t xml:space="preserve"> </w:t>
      </w:r>
      <w:r>
        <w:tab/>
        <w:t xml:space="preserve">CCP, </w:t>
      </w:r>
      <w:r w:rsidRPr="00BE38F0">
        <w:rPr>
          <w:rStyle w:val="AERtextitalic"/>
        </w:rPr>
        <w:t>Response to AusNet Services Revised Revenue Proposal for 2017-2022</w:t>
      </w:r>
      <w:r>
        <w:t>, October 2016, p.17.</w:t>
      </w:r>
    </w:p>
  </w:footnote>
  <w:footnote w:id="669">
    <w:p w:rsidR="00484671" w:rsidRDefault="00484671" w:rsidP="00254472">
      <w:pPr>
        <w:pStyle w:val="FootnoteText"/>
      </w:pPr>
      <w:r>
        <w:rPr>
          <w:rStyle w:val="FootnoteReference"/>
        </w:rPr>
        <w:footnoteRef/>
      </w:r>
      <w:r>
        <w:t xml:space="preserve"> </w:t>
      </w:r>
      <w:r>
        <w:tab/>
        <w:t xml:space="preserve">AusNet Services electricity transmission, Submission on AusNet Services' Transmission Revised Revenue Proposal, 20 December 2016, p. 2; AusNet Services gas distribution, </w:t>
      </w:r>
      <w:r w:rsidRPr="00BE38F0">
        <w:rPr>
          <w:rStyle w:val="AERtextitalic"/>
        </w:rPr>
        <w:t>Gas Access Arrangement Review 2018-</w:t>
      </w:r>
      <w:r>
        <w:rPr>
          <w:rStyle w:val="AERtextitalic"/>
        </w:rPr>
        <w:t>20</w:t>
      </w:r>
      <w:r w:rsidRPr="00BE38F0">
        <w:rPr>
          <w:rStyle w:val="AERtextitalic"/>
        </w:rPr>
        <w:t>22: Access Arrangement Information</w:t>
      </w:r>
      <w:r>
        <w:t xml:space="preserve">, 16 December 2016, p. 233; Australian Gas Networks, </w:t>
      </w:r>
      <w:r w:rsidRPr="00A816FE">
        <w:rPr>
          <w:rStyle w:val="AERtextitalic"/>
        </w:rPr>
        <w:t>Final Plan: Access Arrangement Information for our Victoria and Albury natural gas distribution networks 2018:2022</w:t>
      </w:r>
      <w:r>
        <w:t xml:space="preserve">, December 2016, p. 112; Multinet Gas, </w:t>
      </w:r>
      <w:r w:rsidRPr="00A816FE">
        <w:rPr>
          <w:rStyle w:val="AERtextitalic"/>
        </w:rPr>
        <w:t>2018-22 Access Arrangement Information: rate of return overview</w:t>
      </w:r>
      <w:r>
        <w:t>, December 2016, p. 46.</w:t>
      </w:r>
    </w:p>
  </w:footnote>
  <w:footnote w:id="670">
    <w:p w:rsidR="00484671" w:rsidRDefault="00484671" w:rsidP="00254472">
      <w:pPr>
        <w:pStyle w:val="FootnoteText"/>
      </w:pPr>
      <w:r>
        <w:rPr>
          <w:rStyle w:val="FootnoteReference"/>
        </w:rPr>
        <w:footnoteRef/>
      </w:r>
      <w:r>
        <w:t xml:space="preserve"> </w:t>
      </w:r>
      <w:r>
        <w:tab/>
        <w:t xml:space="preserve">CCP sub-panel 11, Response to proposals from AGN, AusNet and Multinet for a revenue reset / access arrangement for the period 2018 to 2022, 3 March 2017, pp. 71-72; Uniting Communities, No Shocks AA Proposal, 19 April 2017, pp. 8-9; Red Energy and Lumo, </w:t>
      </w:r>
      <w:r w:rsidRPr="007E064D">
        <w:t>Re: Australian Gas Networks Access Arrangement</w:t>
      </w:r>
      <w:r>
        <w:t xml:space="preserve">, 6 March 2017, p. 3. </w:t>
      </w:r>
    </w:p>
  </w:footnote>
  <w:footnote w:id="671">
    <w:p w:rsidR="00484671" w:rsidRDefault="00484671" w:rsidP="00254472">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 5.</w:t>
      </w:r>
    </w:p>
  </w:footnote>
  <w:footnote w:id="672">
    <w:p w:rsidR="00484671" w:rsidRDefault="00484671" w:rsidP="00254472">
      <w:pPr>
        <w:pStyle w:val="FootnoteText"/>
      </w:pPr>
      <w:r w:rsidRPr="004D069F">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paragraphs 200-204.</w:t>
      </w:r>
    </w:p>
  </w:footnote>
  <w:footnote w:id="673">
    <w:p w:rsidR="00484671" w:rsidRDefault="0048467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paragraphs 214-221.</w:t>
      </w:r>
    </w:p>
  </w:footnote>
  <w:footnote w:id="674">
    <w:p w:rsidR="00484671" w:rsidRDefault="0048467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21</w:t>
      </w:r>
      <w:r>
        <w:t>3</w:t>
      </w:r>
      <w:r w:rsidRPr="00C371CA">
        <w:t>.</w:t>
      </w:r>
    </w:p>
  </w:footnote>
  <w:footnote w:id="675">
    <w:p w:rsidR="00484671" w:rsidRDefault="0048467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w:t>
      </w:r>
      <w:r>
        <w:t>22</w:t>
      </w:r>
      <w:r w:rsidRPr="00C371CA">
        <w:t>-22</w:t>
      </w:r>
      <w:r>
        <w:t>3</w:t>
      </w:r>
      <w:r w:rsidRPr="00C371CA">
        <w:t>.</w:t>
      </w:r>
    </w:p>
  </w:footnote>
  <w:footnote w:id="676">
    <w:p w:rsidR="00484671" w:rsidRDefault="00484671" w:rsidP="00254472">
      <w:pPr>
        <w:pStyle w:val="FootnoteText"/>
      </w:pPr>
      <w:r w:rsidRPr="004D069F">
        <w:rPr>
          <w:rStyle w:val="FootnoteReference"/>
        </w:rPr>
        <w:footnoteRef/>
      </w:r>
      <w:r>
        <w:rPr>
          <w:rFonts w:eastAsia="Arial Unicode MS" w:cs="Arial Unicode MS"/>
        </w:rPr>
        <w:t xml:space="preserve"> </w:t>
      </w:r>
      <w:r>
        <w:rPr>
          <w:rFonts w:eastAsia="Arial Unicode MS" w:cs="Arial Unicode MS"/>
        </w:rPr>
        <w:tab/>
        <w:t>Carolin Pflueger and Luis Viceira (2015), ‘Return Predictability in the Treasury Market: Real Rates, Inflation, and Liquidity’, Working Paper, p. 12 and p. 16, Table IIA; Matthias Fleckenstein, Francis Longstaff and Hanno Lustig (2014), ‘The TIPS-Treasury Bonds Puzzle’, The Journal of Finance, 69(5), October, pp. 2151-2197; Zhuoshi Liu, Elisabeth Vangelista, Iryna Kaminski and Jon Relleen (2015), ‘The informational content of market-based measures of inflation expectations derived from government bonds and inflation swaps in the United Kingdom’, Staff Working Paper No. 551, Bank of England, pp. 1-36;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677">
    <w:p w:rsidR="00484671" w:rsidRDefault="00484671" w:rsidP="00254472">
      <w:pPr>
        <w:pStyle w:val="FootnoteText"/>
      </w:pPr>
      <w:r>
        <w:rPr>
          <w:rStyle w:val="FootnoteReference"/>
        </w:rPr>
        <w:footnoteRef/>
      </w:r>
      <w:r>
        <w:t xml:space="preserve"> </w:t>
      </w:r>
      <w:r>
        <w:tab/>
        <w:t xml:space="preserve">This point is also noted by CEG, see: CEG, </w:t>
      </w:r>
      <w:r w:rsidRPr="00A51CD5">
        <w:rPr>
          <w:rStyle w:val="AERtextitalic"/>
        </w:rPr>
        <w:t>Best Estimate of Expected Inflation</w:t>
      </w:r>
      <w:r>
        <w:t>,</w:t>
      </w:r>
      <w:r w:rsidRPr="00215774">
        <w:t xml:space="preserve"> September 2016</w:t>
      </w:r>
      <w:r>
        <w:t>, p. 45.</w:t>
      </w:r>
    </w:p>
  </w:footnote>
  <w:footnote w:id="678">
    <w:p w:rsidR="00484671" w:rsidRDefault="0048467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#11, April 2017, paragraph 213, 219-220.</w:t>
      </w:r>
    </w:p>
  </w:footnote>
  <w:footnote w:id="679">
    <w:p w:rsidR="00484671" w:rsidRDefault="00484671" w:rsidP="00254472">
      <w:pPr>
        <w:pStyle w:val="FootnoteText"/>
      </w:pPr>
      <w:r>
        <w:rPr>
          <w:vertAlign w:val="superscript"/>
        </w:rPr>
        <w:footnoteRef/>
      </w:r>
      <w:r>
        <w:rPr>
          <w:rFonts w:eastAsia="Arial Unicode MS" w:cs="Arial Unicode MS"/>
        </w:rPr>
        <w:t xml:space="preserve"> </w:t>
      </w:r>
      <w:r>
        <w:rPr>
          <w:rFonts w:eastAsia="Arial Unicode MS" w:cs="Arial Unicode MS"/>
        </w:rPr>
        <w:tab/>
        <w:t>Stefania D’Amico, Don Kim and Min Wei (2016), ‘Tips from TIPS: The informational content of Treasury Inflation-Protected Security prices’, Finance and Economics Discussion Series, Divisions of Research and Statistics and Monetary Affairs, Federal Reserve Board, 2014-24, p. 37.</w:t>
      </w:r>
    </w:p>
  </w:footnote>
  <w:footnote w:id="680">
    <w:p w:rsidR="00484671" w:rsidRDefault="00484671" w:rsidP="00254472">
      <w:pPr>
        <w:pStyle w:val="FootnoteText"/>
      </w:pPr>
      <w:r w:rsidRPr="00FD18B1">
        <w:rPr>
          <w:rStyle w:val="FootnoteReference"/>
        </w:rPr>
        <w:footnoteRef/>
      </w:r>
      <w:r>
        <w:t xml:space="preserve"> </w:t>
      </w:r>
      <w:r>
        <w:tab/>
        <w:t>In practice, only one cash payment is actually made, being the difference between the pre-determined fixed rate and the actual CPI.</w:t>
      </w:r>
    </w:p>
  </w:footnote>
  <w:footnote w:id="681">
    <w:p w:rsidR="00484671" w:rsidRPr="00EE5409" w:rsidRDefault="00484671" w:rsidP="00254472">
      <w:pPr>
        <w:pStyle w:val="FootnoteText"/>
      </w:pPr>
      <w:r w:rsidRPr="00BB271E">
        <w:rPr>
          <w:rStyle w:val="FootnoteReference"/>
          <w:rFonts w:asciiTheme="minorHAnsi" w:hAnsiTheme="minorHAnsi" w:cstheme="minorHAnsi"/>
          <w:sz w:val="17"/>
          <w:szCs w:val="17"/>
        </w:rPr>
        <w:footnoteRef/>
      </w:r>
      <w:r w:rsidRPr="00BB271E">
        <w:t xml:space="preserve"> </w:t>
      </w:r>
      <w:r>
        <w:tab/>
      </w:r>
      <w:r w:rsidRPr="00DD24C5">
        <w:t>Charles Howard and Louis D’Antonio (1994), ‘The Cost of Hedging and the Optimal Hedge Ratio’, The Journal of Futures Markets, 14(2), pp. 237-238.</w:t>
      </w:r>
    </w:p>
  </w:footnote>
  <w:footnote w:id="682">
    <w:p w:rsidR="00484671" w:rsidRPr="00EE5409" w:rsidRDefault="00484671"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Kieran Davies, Felicity Emmett and Denise Wong (2010), ‘Submission to the 16th Series Consumer Price Review’ Australia/NZ Strategy and Economics, The Royal Bank of Scotland, 12 March, p. 9.</w:t>
      </w:r>
    </w:p>
  </w:footnote>
  <w:footnote w:id="683">
    <w:p w:rsidR="00484671" w:rsidRPr="0046733A" w:rsidRDefault="00484671"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 xml:space="preserve">Arroub Zine-eddine (2014), OpenGamma Quantitative Research, ‘Inflation: Instruments and curve construction’, January, p. 2. </w:t>
      </w:r>
    </w:p>
  </w:footnote>
  <w:footnote w:id="684">
    <w:p w:rsidR="00484671" w:rsidRPr="0046733A" w:rsidRDefault="00484671"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Matthew Hurd and Jon Relleen (2006), ‘New information from inflation swaps and index-linked bonds’, Bank of England Quarterly Bulletin, Spring, p. 27.</w:t>
      </w:r>
    </w:p>
  </w:footnote>
  <w:footnote w:id="685">
    <w:p w:rsidR="00484671" w:rsidRDefault="00484671" w:rsidP="00254472">
      <w:pPr>
        <w:pStyle w:val="FootnoteText"/>
      </w:pPr>
      <w:r>
        <w:rPr>
          <w:rStyle w:val="FootnoteReference"/>
        </w:rPr>
        <w:footnoteRef/>
      </w:r>
      <w:r>
        <w:t xml:space="preserve"> </w:t>
      </w:r>
      <w:r>
        <w:tab/>
        <w:t xml:space="preserve">See Mathysen, </w:t>
      </w:r>
      <w:r w:rsidRPr="009B20F9">
        <w:rPr>
          <w:rStyle w:val="AERtextitalic"/>
        </w:rPr>
        <w:t>Best estimates of expected inflation: a comparative assessment of four methods</w:t>
      </w:r>
      <w:r>
        <w:t xml:space="preserve">, ACCC Working Paper #11, April 2017, paragraphs 174-178. </w:t>
      </w:r>
    </w:p>
  </w:footnote>
  <w:footnote w:id="686">
    <w:p w:rsidR="00484671" w:rsidRDefault="00484671" w:rsidP="00254472">
      <w:pPr>
        <w:pStyle w:val="FootnoteText"/>
      </w:pPr>
      <w:r w:rsidRPr="00272C0C">
        <w:rPr>
          <w:rStyle w:val="FootnoteReference"/>
        </w:rPr>
        <w:footnoteRef/>
      </w:r>
      <w:r>
        <w:rPr>
          <w:rFonts w:eastAsia="Arial Unicode MS" w:cs="Arial Unicode MS"/>
        </w:rPr>
        <w:t xml:space="preserve"> </w:t>
      </w:r>
      <w:r>
        <w:rPr>
          <w:rFonts w:eastAsia="Arial Unicode MS" w:cs="Arial Unicode MS"/>
        </w:rPr>
        <w:tab/>
        <w:t>See also: Richard Finlay and David Olivan (2012), ‘Extracting Information from Financial Market Instruments’, RBA Bulletin, March Quarter, pp. 45-46; Reserve Bank of Australia (2015), Statement on Monetary Policy, February, p. 50; Joseph Haubrich, George Pennachi and Peter Ritchken (2012), ‘Inflation Expectations, Real Rates, and Risk Premia: Evidence from Inflation Swaps’, The Review of Financial Studies, 25(2), p. 1590; Zhuoshi Liu, Elisabeth Vangelista, Iryna Kaminski and Jon Relleen (2015), ‘The informational content of market-based measures of inflation expectations derived from government bonds and inflation swaps in the United Kingdom’, Staff Working Paper No. 551, Bank of England, p. 2; Carolin Pflueger and Luis Viceira (2015), ‘Return Predictability in the Treasury Market: Real Rates, Inflation, and Liquidity’, Working Paper, p. 12, p. 16 and Table IIA;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687">
    <w:p w:rsidR="00484671" w:rsidRDefault="00484671">
      <w:pPr>
        <w:pStyle w:val="FootnoteText"/>
      </w:pPr>
      <w:r>
        <w:rPr>
          <w:rStyle w:val="FootnoteReference"/>
        </w:rPr>
        <w:footnoteRef/>
      </w:r>
      <w:r>
        <w:t xml:space="preserve"> </w:t>
      </w:r>
      <w:r>
        <w:tab/>
        <w:t xml:space="preserve">AGN, </w:t>
      </w:r>
      <w:r w:rsidRPr="00013867">
        <w:rPr>
          <w:rStyle w:val="AERtextitalic"/>
        </w:rPr>
        <w:t xml:space="preserve">Final Plan </w:t>
      </w:r>
      <w:r>
        <w:rPr>
          <w:rStyle w:val="AERtextitalic"/>
        </w:rPr>
        <w:t>Access arrangement information for our Victorian and Albury natural gas distribution networks: 2018 to 2022–</w:t>
      </w:r>
      <w:r w:rsidRPr="00013867">
        <w:rPr>
          <w:rStyle w:val="AERtextitalic"/>
        </w:rPr>
        <w:t>Attachment 10.1: Financing Costs</w:t>
      </w:r>
      <w:r>
        <w:t>, December 2016,  pp. 5, 17.</w:t>
      </w:r>
    </w:p>
  </w:footnote>
  <w:footnote w:id="688">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187;  APA VTS, </w:t>
      </w:r>
      <w:r w:rsidRPr="000C05A5">
        <w:rPr>
          <w:rStyle w:val="AERtextitalic"/>
        </w:rPr>
        <w:t>Victoraian transmission system access arrangement submission</w:t>
      </w:r>
      <w:r>
        <w:t xml:space="preserve">, 3 January 2017, p. 132; APTPPL, </w:t>
      </w:r>
      <w:r w:rsidRPr="001D7859">
        <w:rPr>
          <w:rStyle w:val="AERtextitalic"/>
        </w:rPr>
        <w:t>2017 - 2022 RBP Access Arrangement revision submission</w:t>
      </w:r>
      <w:r>
        <w:t>, 16 September 2016, p. 133.</w:t>
      </w:r>
    </w:p>
  </w:footnote>
  <w:footnote w:id="689">
    <w:p w:rsidR="00484671" w:rsidRDefault="00484671" w:rsidP="000A0378">
      <w:pPr>
        <w:pStyle w:val="FootnoteText"/>
      </w:pPr>
      <w:r>
        <w:rPr>
          <w:rStyle w:val="FootnoteReference"/>
        </w:rPr>
        <w:footnoteRef/>
      </w:r>
      <w:r>
        <w:t xml:space="preserve"> </w:t>
      </w:r>
      <w:r>
        <w:tab/>
        <w:t xml:space="preserve">AER, </w:t>
      </w:r>
      <w:r w:rsidRPr="00013867">
        <w:rPr>
          <w:rStyle w:val="AERtextitalic"/>
        </w:rPr>
        <w:t>Better regulation Rate of Return Guideline: Explanatory Statement</w:t>
      </w:r>
      <w:r>
        <w:t>, December 2013, p. 62.</w:t>
      </w:r>
    </w:p>
  </w:footnote>
  <w:footnote w:id="690">
    <w:p w:rsidR="00484671" w:rsidRDefault="00484671" w:rsidP="000A0378">
      <w:pPr>
        <w:pStyle w:val="FootnoteText"/>
      </w:pPr>
      <w:r>
        <w:rPr>
          <w:rStyle w:val="FootnoteReference"/>
        </w:rPr>
        <w:footnoteRef/>
      </w:r>
      <w:r>
        <w:t xml:space="preserve"> </w:t>
      </w:r>
      <w:r>
        <w:tab/>
        <w:t>[2016] ACT 1 at 180–222.</w:t>
      </w:r>
    </w:p>
  </w:footnote>
  <w:footnote w:id="691">
    <w:p w:rsidR="00484671" w:rsidRDefault="00484671" w:rsidP="000A0378">
      <w:pPr>
        <w:pStyle w:val="FootnoteText"/>
      </w:pPr>
      <w:r>
        <w:rPr>
          <w:rStyle w:val="FootnoteReference"/>
        </w:rPr>
        <w:footnoteRef/>
      </w:r>
      <w:r>
        <w:t xml:space="preserve"> </w:t>
      </w:r>
      <w:r>
        <w:tab/>
        <w:t>[2016] ACT 1 at pp. 200–201</w:t>
      </w:r>
    </w:p>
  </w:footnote>
  <w:footnote w:id="692">
    <w:p w:rsidR="00484671" w:rsidRDefault="00484671" w:rsidP="000A0378">
      <w:pPr>
        <w:pStyle w:val="FootnoteText"/>
      </w:pPr>
      <w:r>
        <w:rPr>
          <w:rStyle w:val="FootnoteReference"/>
        </w:rPr>
        <w:footnoteRef/>
      </w:r>
      <w:r>
        <w:t xml:space="preserve"> </w:t>
      </w:r>
      <w:r>
        <w:tab/>
        <w:t>[2016] ACT 1 at 219–221</w:t>
      </w:r>
    </w:p>
  </w:footnote>
  <w:footnote w:id="693">
    <w:p w:rsidR="00484671" w:rsidRDefault="00484671" w:rsidP="00A210B3">
      <w:pPr>
        <w:pStyle w:val="FootnoteText"/>
      </w:pPr>
      <w:r>
        <w:rPr>
          <w:rStyle w:val="FootnoteReference"/>
        </w:rPr>
        <w:footnoteRef/>
      </w:r>
      <w:r>
        <w:t xml:space="preserve"> </w:t>
      </w:r>
      <w:r>
        <w:tab/>
        <w:t>AusNet Services, Multinet, AGN, APA VTS, APTPPL.</w:t>
      </w:r>
    </w:p>
  </w:footnote>
  <w:footnote w:id="694">
    <w:p w:rsidR="00484671" w:rsidRDefault="00484671" w:rsidP="00CD6F98">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14–26.</w:t>
      </w:r>
    </w:p>
  </w:footnote>
  <w:footnote w:id="695">
    <w:p w:rsidR="00484671" w:rsidRDefault="00484671" w:rsidP="00A210B3">
      <w:pPr>
        <w:pStyle w:val="FootnoteText"/>
      </w:pPr>
      <w:r>
        <w:rPr>
          <w:rStyle w:val="FootnoteReference"/>
        </w:rPr>
        <w:footnoteRef/>
      </w:r>
      <w:r>
        <w:t xml:space="preserve"> </w:t>
      </w:r>
      <w:r>
        <w:tab/>
        <w:t>For example see: 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xml:space="preserve">; </w:t>
      </w:r>
      <w:r w:rsidRPr="007520DA">
        <w:t xml:space="preserve">CitiPower, </w:t>
      </w:r>
      <w:r w:rsidRPr="007520DA">
        <w:rPr>
          <w:rStyle w:val="Emphasis"/>
        </w:rPr>
        <w:t>Revised regulatory proposal 2016–2020</w:t>
      </w:r>
      <w:r w:rsidRPr="007520DA">
        <w:t>, January 2016, pp. 267, 281–326</w:t>
      </w:r>
      <w:r>
        <w:t>.</w:t>
      </w:r>
    </w:p>
  </w:footnote>
  <w:footnote w:id="696">
    <w:p w:rsidR="00484671" w:rsidRDefault="00484671" w:rsidP="00A210B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97">
    <w:p w:rsidR="00484671" w:rsidRDefault="00484671" w:rsidP="00A210B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rsidR="002C24D6">
        <w:t>3.4.1</w:t>
      </w:r>
      <w:r>
        <w:fldChar w:fldCharType="end"/>
      </w:r>
      <w:r>
        <w:t>.</w:t>
      </w:r>
    </w:p>
  </w:footnote>
  <w:footnote w:id="698">
    <w:p w:rsidR="00484671" w:rsidRDefault="00484671" w:rsidP="00A210B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99">
    <w:p w:rsidR="00484671" w:rsidRDefault="00484671" w:rsidP="00A210B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00">
    <w:p w:rsidR="00484671" w:rsidRDefault="00484671" w:rsidP="00A210B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01">
    <w:p w:rsidR="00484671" w:rsidRDefault="00484671" w:rsidP="00A210B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02">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03">
    <w:p w:rsidR="00484671" w:rsidRDefault="00484671"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704">
    <w:p w:rsidR="00484671" w:rsidRDefault="00484671" w:rsidP="00A210B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705">
    <w:p w:rsidR="00484671" w:rsidRDefault="00484671" w:rsidP="00A210B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706">
    <w:p w:rsidR="00484671" w:rsidRDefault="0048467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07">
    <w:p w:rsidR="00484671" w:rsidRDefault="0048467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08">
    <w:p w:rsidR="00484671" w:rsidRDefault="00484671"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709">
    <w:p w:rsidR="00484671" w:rsidRDefault="00484671" w:rsidP="00A210B3">
      <w:pPr>
        <w:pStyle w:val="FootnoteText"/>
      </w:pPr>
      <w:r>
        <w:rPr>
          <w:rStyle w:val="FootnoteReference"/>
        </w:rPr>
        <w:footnoteRef/>
      </w:r>
      <w:r>
        <w:t xml:space="preserve"> </w:t>
      </w:r>
      <w:r>
        <w:tab/>
        <w:t xml:space="preserve">For example, see: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30 April 2015, p. 331;</w:t>
      </w:r>
      <w:r>
        <w:tab/>
      </w:r>
      <w:r w:rsidRPr="007520DA">
        <w:t xml:space="preserve">CitiPower, </w:t>
      </w:r>
      <w:r w:rsidRPr="007520DA">
        <w:rPr>
          <w:rStyle w:val="Emphasis"/>
        </w:rPr>
        <w:t>Revised regulatory proposal 2016–2020</w:t>
      </w:r>
      <w:r w:rsidRPr="007520DA">
        <w:t>, January 2016, pp. 267, 286–326;</w:t>
      </w:r>
      <w:r>
        <w:tab/>
        <w:t>AusNet Services</w:t>
      </w:r>
      <w:r w:rsidRPr="00DC0445">
        <w:rPr>
          <w:rStyle w:val="AERtextitalic"/>
        </w:rPr>
        <w:t>, AusNet Transmission Group Pty Ltd transmission revenue review 2017–2022</w:t>
      </w:r>
      <w:r>
        <w:t>, 30 October 2015, pp. 239–266.</w:t>
      </w:r>
    </w:p>
  </w:footnote>
  <w:footnote w:id="710">
    <w:p w:rsidR="00484671" w:rsidRDefault="00484671" w:rsidP="00A210B3">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711">
    <w:p w:rsidR="00484671" w:rsidRDefault="00484671" w:rsidP="00A210B3">
      <w:pPr>
        <w:pStyle w:val="FootnoteText"/>
      </w:pPr>
      <w:r>
        <w:rPr>
          <w:rStyle w:val="FootnoteReference"/>
        </w:rPr>
        <w:footnoteRef/>
      </w:r>
      <w:r>
        <w:t xml:space="preserve"> </w:t>
      </w:r>
      <w:r>
        <w:tab/>
        <w:t xml:space="preserve">For example, see: 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712">
    <w:p w:rsidR="00484671" w:rsidRDefault="00484671" w:rsidP="00A210B3">
      <w:pPr>
        <w:pStyle w:val="FootnoteText"/>
      </w:pPr>
      <w:r>
        <w:rPr>
          <w:rStyle w:val="FootnoteReference"/>
        </w:rPr>
        <w:footnoteRef/>
      </w:r>
      <w:r>
        <w:t xml:space="preserve"> </w:t>
      </w:r>
      <w:r>
        <w:tab/>
        <w:t xml:space="preserve">For example, see: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w:t>
      </w:r>
      <w:r w:rsidRPr="0083726D">
        <w:t>CitiPower</w:t>
      </w:r>
      <w:r w:rsidRPr="0083726D">
        <w:rPr>
          <w:rStyle w:val="Emphasis"/>
        </w:rPr>
        <w:t>, Revised regulatory proposal 2016–2020</w:t>
      </w:r>
      <w:r w:rsidRPr="0083726D">
        <w:t xml:space="preserve">, January 2016, pp. 286–292APTNT, </w:t>
      </w:r>
      <w:r w:rsidRPr="0083726D">
        <w:rPr>
          <w:rStyle w:val="Emphasis"/>
        </w:rPr>
        <w:t>Amadeus Gas Pipeline access arrangement revision proposal</w:t>
      </w:r>
      <w:r w:rsidRPr="0083726D">
        <w:t>, August 2015, p. 130.</w:t>
      </w:r>
    </w:p>
    <w:p w:rsidR="00484671" w:rsidRDefault="00484671" w:rsidP="00A210B3">
      <w:pPr>
        <w:pStyle w:val="FootnoteText"/>
      </w:pPr>
      <w:r>
        <w:tab/>
        <w:t>AusNet Services</w:t>
      </w:r>
      <w:r w:rsidRPr="00DC0445">
        <w:rPr>
          <w:rStyle w:val="AERtextitalic"/>
        </w:rPr>
        <w:t>, AusNet Transmission Group Pty Ltd transmission revenue review 2017–2022</w:t>
      </w:r>
      <w:r>
        <w:t>, 30 October 2015, pp. 195, 230–231; AusNet Services</w:t>
      </w:r>
      <w:r w:rsidRPr="00DC0445">
        <w:rPr>
          <w:rStyle w:val="AERtextitalic"/>
        </w:rPr>
        <w:t>, AusNet Transmission Group Pty Ltd transmission revenue review 2017–2022</w:t>
      </w:r>
      <w:r>
        <w:rPr>
          <w:rStyle w:val="AERtextitalic"/>
        </w:rPr>
        <w:t>: Revised Revenue Proposal</w:t>
      </w:r>
      <w:r>
        <w:t xml:space="preserve">, 21 September 2016, pp. 143 &amp; 146; </w:t>
      </w:r>
    </w:p>
  </w:footnote>
  <w:footnote w:id="713">
    <w:p w:rsidR="00484671" w:rsidRDefault="00484671" w:rsidP="00A210B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714">
    <w:p w:rsidR="00484671" w:rsidRDefault="00484671" w:rsidP="00A210B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715">
    <w:p w:rsidR="00484671" w:rsidRDefault="00484671" w:rsidP="003C78BA">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716">
    <w:p w:rsidR="00484671" w:rsidRDefault="00484671" w:rsidP="00A210B3">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717">
    <w:p w:rsidR="00484671" w:rsidRDefault="00484671" w:rsidP="00A210B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718">
    <w:p w:rsidR="00484671" w:rsidRDefault="00484671" w:rsidP="00A210B3">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719">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16–19, 21–22; HoustonKemp, </w:t>
      </w:r>
      <w:r>
        <w:rPr>
          <w:rStyle w:val="AERtextitalic"/>
        </w:rPr>
        <w:t xml:space="preserve">The Cost of Equity and the Low-Beta Bias, </w:t>
      </w:r>
      <w:r>
        <w:t>November 2016, pp. 3–17, 35–51.</w:t>
      </w:r>
    </w:p>
  </w:footnote>
  <w:footnote w:id="720">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21">
    <w:p w:rsidR="00484671" w:rsidRDefault="0048467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22">
    <w:p w:rsidR="00484671" w:rsidRDefault="00484671"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723">
    <w:p w:rsidR="00484671" w:rsidRDefault="00484671" w:rsidP="00A210B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724">
    <w:p w:rsidR="00484671" w:rsidRDefault="00484671" w:rsidP="00A210B3">
      <w:pPr>
        <w:pStyle w:val="FootnoteText"/>
      </w:pPr>
      <w:r>
        <w:rPr>
          <w:rStyle w:val="FootnoteReference"/>
        </w:rPr>
        <w:footnoteRef/>
      </w:r>
      <w:r>
        <w:t xml:space="preserve"> </w:t>
      </w:r>
      <w:r>
        <w:tab/>
        <w:t>CCP5, Transmission for the Generations III–Response to: Revised revenue proposal by AusNet Services for Transmission Revenue Review 2017–22, October 2016, p. 18.</w:t>
      </w:r>
    </w:p>
  </w:footnote>
  <w:footnote w:id="725">
    <w:p w:rsidR="00484671" w:rsidRDefault="00484671" w:rsidP="00A210B3">
      <w:pPr>
        <w:pStyle w:val="FootnoteText"/>
      </w:pPr>
      <w:r>
        <w:rPr>
          <w:rStyle w:val="FootnoteReference"/>
        </w:rPr>
        <w:footnoteRef/>
      </w:r>
      <w:r>
        <w:t xml:space="preserve"> </w:t>
      </w:r>
      <w:r>
        <w:tab/>
        <w:t>CCP5, Transmission for the Generations III–Response to: AER draft decision for AusNet Services’ Transmission Revenue Review 2017–22, October 2016, pp. 20–21.</w:t>
      </w:r>
    </w:p>
  </w:footnote>
  <w:footnote w:id="726">
    <w:p w:rsidR="00484671" w:rsidRDefault="00484671" w:rsidP="00EF3C65">
      <w:pPr>
        <w:pStyle w:val="FootnoteText"/>
      </w:pPr>
      <w:r>
        <w:rPr>
          <w:rStyle w:val="FootnoteReference"/>
        </w:rPr>
        <w:footnoteRef/>
      </w:r>
      <w:r>
        <w:t xml:space="preserve"> </w:t>
      </w:r>
      <w:r>
        <w:tab/>
      </w:r>
      <w:r w:rsidRPr="00EF3C65">
        <w:t xml:space="preserve">CCP4 (David Headberry), </w:t>
      </w:r>
      <w:r w:rsidRPr="00786193">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w:t>
      </w:r>
    </w:p>
  </w:footnote>
  <w:footnote w:id="727">
    <w:p w:rsidR="00484671" w:rsidRDefault="00484671" w:rsidP="00EF3C65">
      <w:pPr>
        <w:pStyle w:val="FootnoteText"/>
      </w:pPr>
      <w:r>
        <w:rPr>
          <w:rStyle w:val="FootnoteReference"/>
        </w:rPr>
        <w:footnoteRef/>
      </w:r>
      <w:r>
        <w:t xml:space="preserve"> </w:t>
      </w:r>
      <w:r>
        <w:tab/>
        <w:t xml:space="preserve">Queensland farmers’ federation, </w:t>
      </w:r>
      <w:r w:rsidRPr="00786193">
        <w:rPr>
          <w:rStyle w:val="AERtextitalic"/>
        </w:rPr>
        <w:t>Re: Response on Australian Energy Regulator (AER) Draft Decision on Powerlink's revenue proposal for the 2017/18 –2021/22 regulatory period</w:t>
      </w:r>
      <w:r>
        <w:t>, 30 November 2016.</w:t>
      </w:r>
    </w:p>
  </w:footnote>
  <w:footnote w:id="728">
    <w:p w:rsidR="00484671" w:rsidRDefault="00484671" w:rsidP="00BB39A8">
      <w:pPr>
        <w:pStyle w:val="FootnoteText"/>
      </w:pPr>
      <w:r>
        <w:rPr>
          <w:rStyle w:val="FootnoteReference"/>
        </w:rPr>
        <w:footnoteRef/>
      </w:r>
      <w:r>
        <w:t xml:space="preserve"> </w:t>
      </w:r>
      <w:r>
        <w:tab/>
        <w:t xml:space="preserve">CCP11, </w:t>
      </w:r>
      <w:r w:rsidRPr="00013867">
        <w:rPr>
          <w:rStyle w:val="AERtextitalic"/>
        </w:rPr>
        <w:t>Victorian Gas Networks (AGN),</w:t>
      </w:r>
      <w:r>
        <w:t xml:space="preserve"> </w:t>
      </w:r>
      <w:r w:rsidRPr="00013867">
        <w:rPr>
          <w:rStyle w:val="AERtextitalic"/>
        </w:rPr>
        <w:t>AusNet Services and MultiNet: Supplementary Advice on the proposed Return on Equity by Victorian Gas Distribution Network Service Providers</w:t>
      </w:r>
      <w:r>
        <w:t>, 22 March 2017, p. 9.</w:t>
      </w:r>
    </w:p>
  </w:footnote>
  <w:footnote w:id="729">
    <w:p w:rsidR="00484671" w:rsidRDefault="00484671" w:rsidP="00136452">
      <w:pPr>
        <w:pStyle w:val="FootnoteText"/>
      </w:pPr>
      <w:r>
        <w:rPr>
          <w:rStyle w:val="FootnoteReference"/>
        </w:rPr>
        <w:footnoteRef/>
      </w:r>
      <w:r>
        <w:t xml:space="preserve"> </w:t>
      </w:r>
      <w:r>
        <w:tab/>
        <w:t xml:space="preserve">Origin Energy,  </w:t>
      </w:r>
      <w:r w:rsidRPr="00013867">
        <w:rPr>
          <w:rStyle w:val="AERtextitalic"/>
        </w:rPr>
        <w:t>Victorian Gas Access Arrangement Review- 2018-22 Response to Gas Distribution Business’ proposals</w:t>
      </w:r>
      <w:r>
        <w:t>, 17 February 2017</w:t>
      </w:r>
    </w:p>
  </w:footnote>
  <w:footnote w:id="730">
    <w:p w:rsidR="00484671" w:rsidRDefault="00484671" w:rsidP="00136452">
      <w:pPr>
        <w:pStyle w:val="FootnoteText"/>
      </w:pPr>
      <w:r>
        <w:rPr>
          <w:rStyle w:val="FootnoteReference"/>
        </w:rPr>
        <w:footnoteRef/>
      </w:r>
      <w:r>
        <w:t xml:space="preserve"> </w:t>
      </w:r>
      <w:r>
        <w:tab/>
      </w:r>
      <w:r w:rsidRPr="00136452">
        <w:t xml:space="preserve">Red and Lumo Energy, </w:t>
      </w:r>
      <w:r w:rsidRPr="00013867">
        <w:rPr>
          <w:rStyle w:val="AERtextitalic"/>
        </w:rPr>
        <w:t>Re: Australian Gas Networks Access Arrangement</w:t>
      </w:r>
      <w:r w:rsidRPr="00013867">
        <w:t>, 6 March 2017</w:t>
      </w:r>
    </w:p>
  </w:footnote>
  <w:footnote w:id="731">
    <w:p w:rsidR="00484671" w:rsidRDefault="00484671" w:rsidP="00A210B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484671" w:rsidRDefault="00484671" w:rsidP="00A210B3">
      <w:pPr>
        <w:pStyle w:val="FootnoteText"/>
      </w:pPr>
      <w:r>
        <w:tab/>
        <w:t>AusNet Services</w:t>
      </w:r>
      <w:r w:rsidRPr="00DC0445">
        <w:rPr>
          <w:rStyle w:val="AERtextitalic"/>
        </w:rPr>
        <w:t>, AusNet Transmission Group Pty Ltd transmission revenue review 2017–2022</w:t>
      </w:r>
      <w:r>
        <w:t>, 30 October 2015, pp. 214, 250–260.</w:t>
      </w:r>
    </w:p>
  </w:footnote>
  <w:footnote w:id="732">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33">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34">
    <w:p w:rsidR="00484671" w:rsidRPr="00892F96" w:rsidRDefault="00484671" w:rsidP="00A210B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35">
    <w:p w:rsidR="00484671" w:rsidRDefault="0048467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736">
    <w:p w:rsidR="00484671" w:rsidRPr="00892F96" w:rsidRDefault="00484671" w:rsidP="00A210B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37">
    <w:p w:rsidR="00484671" w:rsidRDefault="00484671" w:rsidP="00A210B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38">
    <w:p w:rsidR="00484671" w:rsidRDefault="0048467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39">
    <w:p w:rsidR="00484671" w:rsidRDefault="00484671" w:rsidP="00A210B3">
      <w:pPr>
        <w:pStyle w:val="FootnoteText"/>
      </w:pPr>
      <w:r>
        <w:rPr>
          <w:rStyle w:val="FootnoteReference"/>
        </w:rPr>
        <w:footnoteRef/>
      </w:r>
      <w:r>
        <w:t xml:space="preserve"> </w:t>
      </w:r>
      <w:r>
        <w:tab/>
        <w:t>Generalised least squares,</w:t>
      </w:r>
    </w:p>
  </w:footnote>
  <w:footnote w:id="740">
    <w:p w:rsidR="00484671" w:rsidRDefault="00484671" w:rsidP="00A210B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41">
    <w:p w:rsidR="00484671" w:rsidRDefault="00484671" w:rsidP="00A210B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42">
    <w:p w:rsidR="00484671" w:rsidRDefault="00484671" w:rsidP="00A210B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43">
    <w:p w:rsidR="00484671" w:rsidRDefault="00484671" w:rsidP="00A210B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44">
    <w:p w:rsidR="00484671" w:rsidRDefault="0048467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745">
    <w:p w:rsidR="00484671" w:rsidRDefault="0048467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46">
    <w:p w:rsidR="00484671" w:rsidRDefault="00484671"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47">
    <w:p w:rsidR="00484671" w:rsidRDefault="00484671" w:rsidP="00A210B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48">
    <w:p w:rsidR="00484671" w:rsidRDefault="00484671"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49">
    <w:p w:rsidR="00484671" w:rsidRDefault="00484671"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750">
    <w:p w:rsidR="00484671" w:rsidRDefault="00484671" w:rsidP="00A210B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751">
    <w:p w:rsidR="00484671" w:rsidRDefault="00484671" w:rsidP="00A210B3">
      <w:pPr>
        <w:pStyle w:val="FootnoteText"/>
      </w:pPr>
      <w:r>
        <w:rPr>
          <w:rStyle w:val="FootnoteReference"/>
        </w:rPr>
        <w:footnoteRef/>
      </w:r>
      <w:r>
        <w:t xml:space="preserve"> </w:t>
      </w:r>
      <w:r>
        <w:tab/>
        <w:t xml:space="preserve">Partington and Satchell, </w:t>
      </w:r>
      <w:r w:rsidRPr="00013867">
        <w:rPr>
          <w:rStyle w:val="AERtextitalic"/>
        </w:rPr>
        <w:t>Report to the AER: Cost of equity issues 2016 electricity and gas determinations</w:t>
      </w:r>
      <w:r>
        <w:t>, April 2016, p. 51</w:t>
      </w:r>
    </w:p>
  </w:footnote>
  <w:footnote w:id="752">
    <w:p w:rsidR="00484671" w:rsidRDefault="00484671" w:rsidP="00A210B3">
      <w:pPr>
        <w:pStyle w:val="FootnoteText"/>
      </w:pPr>
      <w:r>
        <w:rPr>
          <w:rStyle w:val="FootnoteReference"/>
        </w:rPr>
        <w:footnoteRef/>
      </w:r>
      <w:r>
        <w:t xml:space="preserve"> </w:t>
      </w:r>
      <w:r>
        <w:tab/>
        <w:t xml:space="preserve">Partington and Satchell, </w:t>
      </w:r>
      <w:r w:rsidRPr="001D7859">
        <w:rPr>
          <w:rStyle w:val="AERtextitalic"/>
        </w:rPr>
        <w:t>Report to the AER: Cost of equity issues 2016 electricity and gas determinations</w:t>
      </w:r>
      <w:r>
        <w:t>, April 2016, p. 51.</w:t>
      </w:r>
    </w:p>
  </w:footnote>
  <w:footnote w:id="753">
    <w:p w:rsidR="00484671" w:rsidRDefault="0048467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54">
    <w:p w:rsidR="00484671" w:rsidRDefault="00484671"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55">
    <w:p w:rsidR="00484671" w:rsidRDefault="00484671" w:rsidP="00D647EB">
      <w:pPr>
        <w:pStyle w:val="FootnoteText"/>
      </w:pPr>
      <w:r>
        <w:rPr>
          <w:rStyle w:val="FootnoteReference"/>
        </w:rPr>
        <w:footnoteRef/>
      </w:r>
      <w:r>
        <w:t xml:space="preserve"> </w:t>
      </w:r>
      <w:r>
        <w:tab/>
        <w:t xml:space="preserve">Partington and Satchell, </w:t>
      </w:r>
      <w:r w:rsidRPr="001D7859">
        <w:rPr>
          <w:rStyle w:val="AERtextitalic"/>
        </w:rPr>
        <w:t>Report to the AER: Cost of equity issues 2016 electricity and gas determinations</w:t>
      </w:r>
      <w:r>
        <w:t>, April 2016, pp. 45–46.</w:t>
      </w:r>
    </w:p>
  </w:footnote>
  <w:footnote w:id="756">
    <w:p w:rsidR="00484671" w:rsidRDefault="00484671"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16–19, 21–22; HoustonKemp, </w:t>
      </w:r>
      <w:r>
        <w:rPr>
          <w:rStyle w:val="AERtextitalic"/>
        </w:rPr>
        <w:t xml:space="preserve">The Cost of Equity and the Low-Beta Bias, </w:t>
      </w:r>
      <w:r>
        <w:t>November 2016, pp. 3–17, 35–51.</w:t>
      </w:r>
    </w:p>
  </w:footnote>
  <w:footnote w:id="757">
    <w:p w:rsidR="00484671" w:rsidRDefault="00484671"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58">
    <w:p w:rsidR="00484671" w:rsidRDefault="00484671"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59">
    <w:p w:rsidR="00484671" w:rsidRDefault="00484671" w:rsidP="00BB296E">
      <w:pPr>
        <w:pStyle w:val="FootnoteText"/>
      </w:pPr>
      <w:r>
        <w:rPr>
          <w:rStyle w:val="FootnoteReference"/>
        </w:rPr>
        <w:footnoteRef/>
      </w:r>
      <w:r>
        <w:t xml:space="preserve"> </w:t>
      </w:r>
      <w:r>
        <w:tab/>
        <w:t xml:space="preserve">For example, see: 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60">
    <w:p w:rsidR="00484671" w:rsidRDefault="00484671" w:rsidP="00BB296E">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484671" w:rsidRDefault="00484671" w:rsidP="00BB296E">
      <w:pPr>
        <w:pStyle w:val="FootnoteText"/>
      </w:pPr>
      <w:r>
        <w:tab/>
        <w:t>HoustonKemp also uses ex-post return on equity to estimate an 'alpha' term to include in the Sharpe-Lintner CAPM.</w:t>
      </w:r>
    </w:p>
  </w:footnote>
  <w:footnote w:id="761">
    <w:p w:rsidR="00484671" w:rsidRDefault="00484671" w:rsidP="00CF3FC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62">
    <w:p w:rsidR="00484671" w:rsidRDefault="00484671" w:rsidP="00CF3FCC">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63">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19.</w:t>
      </w:r>
    </w:p>
  </w:footnote>
  <w:footnote w:id="764">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65">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66">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18.</w:t>
      </w:r>
    </w:p>
  </w:footnote>
  <w:footnote w:id="767">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18.</w:t>
      </w:r>
    </w:p>
  </w:footnote>
  <w:footnote w:id="768">
    <w:p w:rsidR="00484671" w:rsidRDefault="00484671" w:rsidP="000611DB">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769">
    <w:p w:rsidR="00484671" w:rsidRDefault="00484671" w:rsidP="000611DB">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30.</w:t>
      </w:r>
    </w:p>
  </w:footnote>
  <w:footnote w:id="770">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23.</w:t>
      </w:r>
    </w:p>
  </w:footnote>
  <w:footnote w:id="771">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36.</w:t>
      </w:r>
    </w:p>
  </w:footnote>
  <w:footnote w:id="772">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773">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23.</w:t>
      </w:r>
    </w:p>
  </w:footnote>
  <w:footnote w:id="774">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36–37.</w:t>
      </w:r>
    </w:p>
  </w:footnote>
  <w:footnote w:id="775">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39.</w:t>
      </w:r>
    </w:p>
  </w:footnote>
  <w:footnote w:id="776">
    <w:p w:rsidR="00484671" w:rsidRDefault="00484671">
      <w:pPr>
        <w:pStyle w:val="FootnoteText"/>
      </w:pPr>
      <w:r>
        <w:rPr>
          <w:rStyle w:val="FootnoteReference"/>
        </w:rPr>
        <w:footnoteRef/>
      </w:r>
      <w:r>
        <w:t xml:space="preserve"> </w:t>
      </w:r>
      <w:r>
        <w:tab/>
        <w:t xml:space="preserve">HoustonKemp, </w:t>
      </w:r>
      <w:r>
        <w:rPr>
          <w:rStyle w:val="AERtextitalic"/>
        </w:rPr>
        <w:t xml:space="preserve">The Cost of Equity and the Low-Beta Bias, </w:t>
      </w:r>
      <w:r>
        <w:t>November 2016, pp. 39–40.</w:t>
      </w:r>
    </w:p>
  </w:footnote>
  <w:footnote w:id="777">
    <w:p w:rsidR="00484671" w:rsidRDefault="00484671" w:rsidP="00AE2773">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27–29.</w:t>
      </w:r>
    </w:p>
  </w:footnote>
  <w:footnote w:id="778">
    <w:p w:rsidR="00484671" w:rsidRDefault="00484671">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27.</w:t>
      </w:r>
    </w:p>
  </w:footnote>
  <w:footnote w:id="779">
    <w:p w:rsidR="00484671" w:rsidRDefault="00484671">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27.</w:t>
      </w:r>
    </w:p>
  </w:footnote>
  <w:footnote w:id="780">
    <w:p w:rsidR="00484671" w:rsidRDefault="00484671" w:rsidP="00CF3FCC">
      <w:pPr>
        <w:pStyle w:val="FootnoteText"/>
      </w:pPr>
      <w:r>
        <w:rPr>
          <w:rStyle w:val="FootnoteReference"/>
        </w:rPr>
        <w:footnoteRef/>
      </w:r>
      <w:r>
        <w:t xml:space="preserve"> </w:t>
      </w:r>
      <w:r>
        <w:tab/>
        <w:t xml:space="preserve">Partington and Satchell, </w:t>
      </w:r>
      <w:r w:rsidRPr="004602C4">
        <w:rPr>
          <w:rStyle w:val="AERtextitalic"/>
        </w:rPr>
        <w:t>Report to the ERA: the cost of equity and asset pricing models</w:t>
      </w:r>
      <w:r>
        <w:t>, 15 May 2016, p. 18.</w:t>
      </w:r>
    </w:p>
  </w:footnote>
  <w:footnote w:id="781">
    <w:p w:rsidR="00484671" w:rsidRDefault="00484671" w:rsidP="00CF3FCC">
      <w:pPr>
        <w:pStyle w:val="FootnoteText"/>
      </w:pPr>
      <w:r>
        <w:rPr>
          <w:rStyle w:val="FootnoteReference"/>
        </w:rPr>
        <w:footnoteRef/>
      </w:r>
      <w:r>
        <w:t xml:space="preserve"> </w:t>
      </w:r>
      <w:r>
        <w:tab/>
        <w:t>We use Professor Olan Henry's 2014 report to inform empirical Australian estimates.</w:t>
      </w:r>
    </w:p>
  </w:footnote>
  <w:footnote w:id="782">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783">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784">
    <w:p w:rsidR="00484671" w:rsidRDefault="00484671" w:rsidP="00CF3FCC">
      <w:pPr>
        <w:pStyle w:val="FootnoteText"/>
      </w:pPr>
      <w:r>
        <w:rPr>
          <w:rStyle w:val="FootnoteReference"/>
        </w:rPr>
        <w:footnoteRef/>
      </w:r>
      <w:r>
        <w:t xml:space="preserve"> </w:t>
      </w:r>
      <w:r>
        <w:tab/>
        <w:t xml:space="preserve">ERA, </w:t>
      </w:r>
      <w:r w:rsidRPr="004602C4">
        <w:rPr>
          <w:rStyle w:val="AERtextitalic"/>
        </w:rPr>
        <w:t>Final Decision on Proposed Revisions to the Access Arrangement for the Dampier to Bunbury Natural Gas Pipeline 2016–2020: Appendix 4 Rate of Return</w:t>
      </w:r>
      <w:r>
        <w:t>, June 2016, p. 65.</w:t>
      </w:r>
    </w:p>
  </w:footnote>
  <w:footnote w:id="785">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786">
    <w:p w:rsidR="00484671" w:rsidRDefault="00484671" w:rsidP="00CF3FCC">
      <w:pPr>
        <w:pStyle w:val="FootnoteText"/>
      </w:pPr>
      <w:r>
        <w:rPr>
          <w:rStyle w:val="FootnoteReference"/>
        </w:rPr>
        <w:footnoteRef/>
      </w:r>
      <w:r>
        <w:t xml:space="preserve"> </w:t>
      </w:r>
      <w:r>
        <w:tab/>
        <w:t xml:space="preserve">HoustonKemp, </w:t>
      </w:r>
      <w:r>
        <w:rPr>
          <w:rStyle w:val="AERtextitalic"/>
        </w:rPr>
        <w:t xml:space="preserve">The Cost of Equity and the Low-Beta Bias, </w:t>
      </w:r>
      <w:r>
        <w:t>November 2016, pp.  .</w:t>
      </w:r>
    </w:p>
  </w:footnote>
  <w:footnote w:id="787">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32–35.</w:t>
      </w:r>
    </w:p>
  </w:footnote>
  <w:footnote w:id="788">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89">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90">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91">
    <w:p w:rsidR="00484671" w:rsidRDefault="0048467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31–32.</w:t>
      </w:r>
    </w:p>
  </w:footnote>
  <w:footnote w:id="792">
    <w:p w:rsidR="00484671" w:rsidRDefault="00484671"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93">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94">
    <w:p w:rsidR="00484671" w:rsidRDefault="00484671" w:rsidP="00A210B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95">
    <w:p w:rsidR="00484671" w:rsidRDefault="00484671"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96">
    <w:p w:rsidR="00484671" w:rsidRDefault="00484671" w:rsidP="00A210B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97">
    <w:p w:rsidR="00484671" w:rsidRDefault="00484671" w:rsidP="00A210B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98">
    <w:p w:rsidR="00484671" w:rsidRDefault="00484671" w:rsidP="00A210B3">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799">
    <w:p w:rsidR="00484671" w:rsidRDefault="00484671" w:rsidP="00A210B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800">
    <w:p w:rsidR="00484671" w:rsidRDefault="0048467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801">
    <w:p w:rsidR="00484671" w:rsidRDefault="00484671" w:rsidP="00A210B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802">
    <w:p w:rsidR="00484671" w:rsidRDefault="00484671" w:rsidP="00A210B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803">
    <w:p w:rsidR="00484671" w:rsidRDefault="00484671" w:rsidP="00A210B3">
      <w:pPr>
        <w:pStyle w:val="FootnoteText"/>
      </w:pPr>
      <w:r>
        <w:rPr>
          <w:rStyle w:val="FootnoteReference"/>
        </w:rPr>
        <w:footnoteRef/>
      </w:r>
      <w:r>
        <w:tab/>
        <w:t xml:space="preserve">For example, see: </w:t>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APTNT, </w:t>
      </w:r>
      <w:r w:rsidRPr="00BC555B">
        <w:rPr>
          <w:rStyle w:val="Emphasis"/>
        </w:rPr>
        <w:t>Amadeus Gas Pipeline Access arrangement revised proposal: response to Draft Decision,</w:t>
      </w:r>
      <w:r w:rsidRPr="00BC555B">
        <w:t xml:space="preserve"> January 2016, pp. 73, 75–77.</w:t>
      </w:r>
    </w:p>
    <w:p w:rsidR="00484671" w:rsidRDefault="00484671" w:rsidP="00A210B3">
      <w:pPr>
        <w:pStyle w:val="FootnoteText"/>
      </w:pPr>
      <w:r>
        <w:tab/>
        <w:t>AusNet Services</w:t>
      </w:r>
      <w:r w:rsidRPr="00DC0445">
        <w:rPr>
          <w:rStyle w:val="AERtextitalic"/>
        </w:rPr>
        <w:t>, AusNet Transmission Group Pty Ltd transmission revenue review 2017–2022</w:t>
      </w:r>
      <w:r>
        <w:t>, 30 October 2015, pp. 263–266</w:t>
      </w:r>
    </w:p>
  </w:footnote>
  <w:footnote w:id="804">
    <w:p w:rsidR="00484671" w:rsidRDefault="00484671" w:rsidP="00A210B3">
      <w:pPr>
        <w:pStyle w:val="FootnoteText"/>
      </w:pPr>
      <w:r>
        <w:rPr>
          <w:rStyle w:val="FootnoteReference"/>
        </w:rPr>
        <w:footnoteRef/>
      </w:r>
      <w:r>
        <w:t xml:space="preserve"> </w:t>
      </w:r>
      <w:r>
        <w:tab/>
        <w:t xml:space="preserve">For example, see: </w:t>
      </w:r>
      <w:r w:rsidRPr="003061B8">
        <w:t xml:space="preserve">CitiPower, </w:t>
      </w:r>
      <w:r>
        <w:t>Revised r</w:t>
      </w:r>
      <w:r w:rsidRPr="003061B8">
        <w:rPr>
          <w:rStyle w:val="AERtextitalic"/>
        </w:rPr>
        <w:t>egulatory proposal 2016-2020</w:t>
      </w:r>
      <w:r>
        <w:t>, January 2016, p. 286–289;</w:t>
      </w:r>
      <w:r w:rsidRPr="00BC555B">
        <w:t xml:space="preserve"> APTNT, </w:t>
      </w:r>
      <w:r w:rsidRPr="00BC555B">
        <w:rPr>
          <w:rStyle w:val="Emphasis"/>
        </w:rPr>
        <w:t>Amadeus Gas Pipeline access arrangement revision proposal</w:t>
      </w:r>
      <w:r w:rsidRPr="00BC555B">
        <w:t>, August 2015, pp. 115–120</w:t>
      </w:r>
      <w:r>
        <w:t>.</w:t>
      </w:r>
    </w:p>
    <w:p w:rsidR="00484671" w:rsidRDefault="00484671" w:rsidP="00A210B3">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805">
    <w:p w:rsidR="00484671" w:rsidRDefault="00484671" w:rsidP="00A210B3">
      <w:pPr>
        <w:pStyle w:val="FootnoteText"/>
      </w:pPr>
      <w:r>
        <w:rPr>
          <w:rStyle w:val="FootnoteReference"/>
        </w:rPr>
        <w:footnoteRef/>
      </w:r>
      <w:r>
        <w:t xml:space="preserve"> </w:t>
      </w:r>
      <w:r>
        <w:tab/>
        <w:t xml:space="preserve">For example, see: </w:t>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806">
    <w:p w:rsidR="00484671" w:rsidRDefault="00484671" w:rsidP="00A210B3">
      <w:pPr>
        <w:pStyle w:val="FootnoteText"/>
      </w:pPr>
      <w:r>
        <w:rPr>
          <w:rStyle w:val="FootnoteReference"/>
        </w:rPr>
        <w:footnoteRef/>
      </w:r>
      <w:r>
        <w:t xml:space="preserve"> </w:t>
      </w:r>
      <w:r>
        <w:tab/>
        <w:t>For example see: AusNet Services</w:t>
      </w:r>
      <w:r w:rsidRPr="00172CD0">
        <w:rPr>
          <w:rStyle w:val="AERtextitalic"/>
        </w:rPr>
        <w:t>, AusNet Transmission Group Pty Ltd transmission revenue review 2017–2022</w:t>
      </w:r>
      <w:r>
        <w:t>, 30 October 2015, p. 257.</w:t>
      </w:r>
    </w:p>
  </w:footnote>
  <w:footnote w:id="807">
    <w:p w:rsidR="00484671" w:rsidRDefault="00484671" w:rsidP="00A210B3">
      <w:pPr>
        <w:pStyle w:val="FootnoteText"/>
      </w:pPr>
      <w:r>
        <w:rPr>
          <w:rStyle w:val="FootnoteReference"/>
        </w:rPr>
        <w:footnoteRef/>
      </w:r>
      <w:r>
        <w:t xml:space="preserve"> </w:t>
      </w:r>
      <w:r>
        <w:tab/>
        <w:t xml:space="preserve">For example see: </w:t>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APTNT, </w:t>
      </w:r>
      <w:r w:rsidRPr="00BC555B">
        <w:rPr>
          <w:rStyle w:val="Emphasis"/>
        </w:rPr>
        <w:t>Amadeus Gas Pipeline Access arrangement revised proposal: response to Draft Decision,</w:t>
      </w:r>
      <w:r w:rsidRPr="00BC555B">
        <w:t xml:space="preserve"> January 2016, pp. 73–77</w:t>
      </w:r>
      <w:r>
        <w:t>.</w:t>
      </w:r>
    </w:p>
    <w:p w:rsidR="00484671" w:rsidRDefault="00484671" w:rsidP="00A210B3">
      <w:pPr>
        <w:pStyle w:val="FootnoteText"/>
      </w:pPr>
      <w:r>
        <w:tab/>
        <w:t>AusNet Services</w:t>
      </w:r>
      <w:r w:rsidRPr="00172CD0">
        <w:rPr>
          <w:rStyle w:val="AERtextitalic"/>
        </w:rPr>
        <w:t>, AusNet Transmission Group Pty Ltd transmission revenue review 2017–2022</w:t>
      </w:r>
      <w:r>
        <w:t>, 30 October 2015, p. 239.</w:t>
      </w:r>
    </w:p>
  </w:footnote>
  <w:footnote w:id="808">
    <w:p w:rsidR="00484671" w:rsidRDefault="00484671" w:rsidP="00A210B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t>, 6 January 2016, p. 50; AusNet Services</w:t>
      </w:r>
      <w:r w:rsidRPr="00172CD0">
        <w:rPr>
          <w:rStyle w:val="AERtextitalic"/>
        </w:rPr>
        <w:t>, AusNet Transmission Group Pty Ltd transmission revenue review 2017–2022</w:t>
      </w:r>
      <w:r>
        <w:t xml:space="preserve">, 30 October 2015, pp. 257–259. </w:t>
      </w:r>
    </w:p>
  </w:footnote>
  <w:footnote w:id="809">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810">
    <w:p w:rsidR="00484671" w:rsidRDefault="0048467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811">
    <w:p w:rsidR="00484671" w:rsidRDefault="0048467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812">
    <w:p w:rsidR="00484671" w:rsidRDefault="0048467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813">
    <w:p w:rsidR="00484671" w:rsidRDefault="0048467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14">
    <w:p w:rsidR="00484671" w:rsidRDefault="0048467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15">
    <w:p w:rsidR="00484671" w:rsidRDefault="0048467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16">
    <w:p w:rsidR="00484671" w:rsidRDefault="00484671" w:rsidP="00A210B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817">
    <w:p w:rsidR="00484671" w:rsidRDefault="0048467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18">
    <w:p w:rsidR="00484671" w:rsidRDefault="0048467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819">
    <w:p w:rsidR="00484671" w:rsidRDefault="00484671" w:rsidP="00A210B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820">
    <w:p w:rsidR="00484671" w:rsidRDefault="00484671"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21">
    <w:p w:rsidR="00484671" w:rsidRDefault="00484671"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22">
    <w:p w:rsidR="00484671" w:rsidRDefault="00484671"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23">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824">
    <w:p w:rsidR="00484671" w:rsidRDefault="00484671" w:rsidP="00A210B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825">
    <w:p w:rsidR="00484671" w:rsidRDefault="0048467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26">
    <w:p w:rsidR="00484671" w:rsidRDefault="00484671" w:rsidP="00A210B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827">
    <w:p w:rsidR="00484671" w:rsidRDefault="00484671" w:rsidP="0062145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828">
    <w:p w:rsidR="00484671" w:rsidRDefault="00484671"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29">
    <w:p w:rsidR="00484671" w:rsidRDefault="00484671" w:rsidP="0062145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830">
    <w:p w:rsidR="00484671" w:rsidRDefault="00484671"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831">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32">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833">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834">
    <w:p w:rsidR="00484671" w:rsidRDefault="00484671"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835">
    <w:p w:rsidR="00484671" w:rsidRDefault="00484671"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836">
    <w:p w:rsidR="00484671" w:rsidRDefault="00484671" w:rsidP="00A210B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837">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838">
    <w:p w:rsidR="00484671" w:rsidRDefault="00484671"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839">
    <w:p w:rsidR="00484671" w:rsidRDefault="00484671" w:rsidP="00A210B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840">
    <w:p w:rsidR="00484671" w:rsidRDefault="00484671" w:rsidP="00A210B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841">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842">
    <w:p w:rsidR="00484671" w:rsidRDefault="00484671"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843">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844">
    <w:p w:rsidR="00484671" w:rsidRDefault="00484671" w:rsidP="00A210B3">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w:t>
      </w:r>
      <w:r>
        <w:t>015, pp. 115–120, 129–130; AusNet Services</w:t>
      </w:r>
      <w:r w:rsidRPr="00172CD0">
        <w:rPr>
          <w:rStyle w:val="AERtextitalic"/>
        </w:rPr>
        <w:t>, AusNet Transmission Group Pty Ltd transmission revenue review 2017–2022</w:t>
      </w:r>
      <w:r>
        <w:t>, 30 October 2015, pp. 222–223, 250–255.</w:t>
      </w:r>
    </w:p>
  </w:footnote>
  <w:footnote w:id="845">
    <w:p w:rsidR="00484671" w:rsidRDefault="0048467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46">
    <w:p w:rsidR="00484671" w:rsidRDefault="0048467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47">
    <w:p w:rsidR="00484671" w:rsidRDefault="00484671" w:rsidP="00A210B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848">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49">
    <w:p w:rsidR="00484671" w:rsidRDefault="0048467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50">
    <w:p w:rsidR="00484671" w:rsidRDefault="0048467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851">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52">
    <w:p w:rsidR="00484671" w:rsidRDefault="0048467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853">
    <w:p w:rsidR="00484671" w:rsidRDefault="00484671" w:rsidP="009A1A4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854">
    <w:p w:rsidR="00484671" w:rsidRDefault="00484671" w:rsidP="009A1A4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rsidR="002C24D6">
        <w:t>3.4.1</w:t>
      </w:r>
      <w:r>
        <w:fldChar w:fldCharType="end"/>
      </w:r>
      <w:r>
        <w:t>.</w:t>
      </w:r>
    </w:p>
  </w:footnote>
  <w:footnote w:id="855">
    <w:p w:rsidR="00484671" w:rsidRDefault="00484671" w:rsidP="009A1A4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856">
    <w:p w:rsidR="00484671" w:rsidRDefault="00484671"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857">
    <w:p w:rsidR="00484671" w:rsidRDefault="00484671"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858">
    <w:p w:rsidR="00484671" w:rsidRDefault="00484671" w:rsidP="009A1A4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859">
    <w:p w:rsidR="00484671" w:rsidRDefault="00484671" w:rsidP="009A1A4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r>
        <w:t>; AusNet Services</w:t>
      </w:r>
      <w:r w:rsidRPr="00172CD0">
        <w:rPr>
          <w:rStyle w:val="AERtextitalic"/>
        </w:rPr>
        <w:t>, AusNet Transmission Group Pty Ltd transmission revenue review 2017–2022</w:t>
      </w:r>
      <w:r>
        <w:t>, 30 October 2015, p. 223.</w:t>
      </w:r>
    </w:p>
  </w:footnote>
  <w:footnote w:id="860">
    <w:p w:rsidR="00484671" w:rsidRDefault="00484671" w:rsidP="009A1A4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861">
    <w:p w:rsidR="00484671" w:rsidRDefault="00484671" w:rsidP="009A1A4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862">
    <w:p w:rsidR="00484671" w:rsidRDefault="00484671" w:rsidP="009A1A4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863">
    <w:p w:rsidR="00484671" w:rsidRDefault="00484671" w:rsidP="009A1A4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864">
    <w:p w:rsidR="00484671" w:rsidRDefault="00484671" w:rsidP="009A1A4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865">
    <w:p w:rsidR="00484671" w:rsidRDefault="00484671"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866">
    <w:p w:rsidR="00484671" w:rsidRDefault="00484671"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867">
    <w:p w:rsidR="00484671" w:rsidRDefault="00484671" w:rsidP="009A1A4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868">
    <w:p w:rsidR="00484671" w:rsidRDefault="00484671" w:rsidP="009A1A4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869">
    <w:p w:rsidR="00484671" w:rsidRDefault="00484671" w:rsidP="009A1A4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70">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71">
    <w:p w:rsidR="00484671" w:rsidRDefault="00484671" w:rsidP="009A1A4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72">
    <w:p w:rsidR="00484671" w:rsidRDefault="00484671" w:rsidP="009A1A4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73">
    <w:p w:rsidR="00484671" w:rsidRDefault="00484671" w:rsidP="009A1A4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874">
    <w:p w:rsidR="00484671" w:rsidRDefault="00484671" w:rsidP="009A1A4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875">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76">
    <w:p w:rsidR="00484671" w:rsidRDefault="00484671" w:rsidP="009A1A4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77">
    <w:p w:rsidR="00484671" w:rsidRDefault="00484671" w:rsidP="009A1A4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878">
    <w:p w:rsidR="00484671" w:rsidRDefault="00484671" w:rsidP="009A1A4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879">
    <w:p w:rsidR="00484671" w:rsidRDefault="00484671" w:rsidP="009A1A4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880">
    <w:p w:rsidR="00484671" w:rsidRDefault="0048467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484671" w:rsidRDefault="00484671" w:rsidP="009A1A4E">
      <w:pPr>
        <w:pStyle w:val="FootnoteText"/>
      </w:pPr>
      <w:r>
        <w:tab/>
        <w:t>AusNet Services</w:t>
      </w:r>
      <w:r w:rsidRPr="00172CD0">
        <w:rPr>
          <w:rStyle w:val="AERtextitalic"/>
        </w:rPr>
        <w:t>, AusNet Transmission Group Pty Ltd transmission revenue review 2017–2022</w:t>
      </w:r>
      <w:r>
        <w:t>, 30 October 2015, pp. 204–223.</w:t>
      </w:r>
    </w:p>
  </w:footnote>
  <w:footnote w:id="881">
    <w:p w:rsidR="00484671" w:rsidRDefault="00484671" w:rsidP="009A1A4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882">
    <w:p w:rsidR="00484671" w:rsidRDefault="00484671"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883">
    <w:p w:rsidR="00484671" w:rsidRDefault="00484671"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84">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885">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86">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87">
    <w:p w:rsidR="00484671" w:rsidRDefault="00484671"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88">
    <w:p w:rsidR="00484671" w:rsidRDefault="00484671"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89">
    <w:p w:rsidR="00484671" w:rsidRDefault="00484671" w:rsidP="009A1A4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890">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891">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92">
    <w:p w:rsidR="00484671" w:rsidRDefault="00484671"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93">
    <w:p w:rsidR="00484671" w:rsidRDefault="00484671"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94">
    <w:p w:rsidR="00484671" w:rsidRDefault="00484671" w:rsidP="009A1A4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95">
    <w:p w:rsidR="00484671" w:rsidRDefault="00484671"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96">
    <w:p w:rsidR="00484671" w:rsidRDefault="00484671" w:rsidP="009A1A4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97">
    <w:p w:rsidR="00484671" w:rsidRDefault="00484671" w:rsidP="009A1A4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98">
    <w:p w:rsidR="00484671" w:rsidRDefault="00484671"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99">
    <w:p w:rsidR="00484671" w:rsidRDefault="00484671" w:rsidP="009A1A4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900">
    <w:p w:rsidR="00484671" w:rsidRDefault="00484671" w:rsidP="009A1A4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901">
    <w:p w:rsidR="00484671" w:rsidRDefault="00484671" w:rsidP="009A1A4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902">
    <w:p w:rsidR="00484671" w:rsidRDefault="00484671"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903">
    <w:p w:rsidR="00484671" w:rsidRDefault="00484671" w:rsidP="009A1A4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904">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05">
    <w:p w:rsidR="00484671" w:rsidRDefault="00484671" w:rsidP="009A1A4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906">
    <w:p w:rsidR="00484671" w:rsidRDefault="00484671"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07">
    <w:p w:rsidR="00484671" w:rsidRDefault="00484671" w:rsidP="009A1A4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908">
    <w:p w:rsidR="00484671" w:rsidRDefault="00484671" w:rsidP="009A1A4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909">
    <w:p w:rsidR="00484671" w:rsidRDefault="00484671" w:rsidP="009A1A4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910">
    <w:p w:rsidR="00484671" w:rsidRDefault="0048467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484671" w:rsidRDefault="00484671" w:rsidP="009A1A4E">
      <w:pPr>
        <w:pStyle w:val="FootnoteText"/>
      </w:pPr>
      <w:r>
        <w:tab/>
        <w:t>AusNet Services</w:t>
      </w:r>
      <w:r w:rsidRPr="00172CD0">
        <w:rPr>
          <w:rStyle w:val="AERtextitalic"/>
        </w:rPr>
        <w:t>, AusNet Transmission Group Pty Ltd transmission revenue review 2017–2022</w:t>
      </w:r>
      <w:r>
        <w:t>, 30 October 2015, pp. 210–211.</w:t>
      </w:r>
    </w:p>
  </w:footnote>
  <w:footnote w:id="911">
    <w:p w:rsidR="00484671" w:rsidRDefault="00484671"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912">
    <w:p w:rsidR="00484671" w:rsidRDefault="0048467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484671" w:rsidRDefault="00484671" w:rsidP="009A1A4E">
      <w:pPr>
        <w:pStyle w:val="FootnoteText"/>
      </w:pPr>
      <w:r>
        <w:tab/>
        <w:t>AusNet Services</w:t>
      </w:r>
      <w:r w:rsidRPr="00172CD0">
        <w:rPr>
          <w:rStyle w:val="AERtextitalic"/>
        </w:rPr>
        <w:t>, AusNet Transmission Group Pty Ltd transmission revenue review 2017–2022</w:t>
      </w:r>
      <w:r>
        <w:t>, 30 October 2015, pp. 214–215, 217, 250–263.</w:t>
      </w:r>
    </w:p>
  </w:footnote>
  <w:footnote w:id="913">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914">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915">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916">
    <w:p w:rsidR="00484671" w:rsidRDefault="00484671" w:rsidP="009A1A4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17">
    <w:p w:rsidR="00484671" w:rsidRDefault="00484671"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18">
    <w:p w:rsidR="00484671" w:rsidRDefault="00484671"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19">
    <w:p w:rsidR="00484671" w:rsidRDefault="00484671" w:rsidP="009A1A4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20">
    <w:p w:rsidR="00484671" w:rsidRDefault="00484671" w:rsidP="009A1A4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21">
    <w:p w:rsidR="00484671" w:rsidRDefault="00484671" w:rsidP="009A1A4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22">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23">
    <w:p w:rsidR="00484671" w:rsidRDefault="00484671" w:rsidP="009A1A4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24">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25">
    <w:p w:rsidR="00484671" w:rsidRDefault="00484671" w:rsidP="009A1A4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26">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27">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928">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929">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930">
    <w:p w:rsidR="00484671" w:rsidRDefault="00484671" w:rsidP="009A1A4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931">
    <w:p w:rsidR="00484671" w:rsidRDefault="00484671"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932">
    <w:p w:rsidR="00484671" w:rsidRDefault="00484671"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933">
    <w:p w:rsidR="00484671" w:rsidRDefault="00484671"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34">
    <w:p w:rsidR="00484671" w:rsidRDefault="00484671"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35">
    <w:p w:rsidR="00484671" w:rsidRDefault="0048467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rsidR="002C24D6">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rsidR="002C24D6">
        <w:t>B.4.1</w:t>
      </w:r>
      <w:r>
        <w:fldChar w:fldCharType="end"/>
      </w:r>
      <w:r>
        <w:t>.</w:t>
      </w:r>
    </w:p>
    <w:p w:rsidR="00484671" w:rsidRDefault="00484671" w:rsidP="009A1A4E">
      <w:pPr>
        <w:pStyle w:val="FootnoteText"/>
      </w:pPr>
      <w:r>
        <w:tab/>
        <w:t>AusNet Services</w:t>
      </w:r>
      <w:r w:rsidRPr="00172CD0">
        <w:rPr>
          <w:rStyle w:val="AERtextitalic"/>
        </w:rPr>
        <w:t>, AusNet Transmission Group Pty Ltd transmission revenue review 2017–2022</w:t>
      </w:r>
      <w:r>
        <w:t>, 30 October 2015, pp. 200–223, 244–250.</w:t>
      </w:r>
    </w:p>
  </w:footnote>
  <w:footnote w:id="936">
    <w:p w:rsidR="00484671" w:rsidRDefault="00484671" w:rsidP="0089007A">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rPr>
          <w:rStyle w:val="AERtextitalic"/>
        </w:rPr>
        <w:t>: Revised revenue proposal</w:t>
      </w:r>
      <w:r>
        <w:t>, 21 September 2016, pp. 147–154.</w:t>
      </w:r>
    </w:p>
  </w:footnote>
  <w:footnote w:id="937">
    <w:p w:rsidR="00484671" w:rsidRDefault="0048467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938">
    <w:p w:rsidR="00484671" w:rsidRDefault="00484671" w:rsidP="009A1A4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39">
    <w:p w:rsidR="00484671" w:rsidRDefault="00484671" w:rsidP="009A1A4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484671" w:rsidRDefault="00484671" w:rsidP="009A1A4E">
      <w:pPr>
        <w:pStyle w:val="FootnoteText"/>
      </w:pPr>
      <w:r>
        <w:tab/>
        <w:t>AusNet Services</w:t>
      </w:r>
      <w:r w:rsidRPr="00172CD0">
        <w:rPr>
          <w:rStyle w:val="AERtextitalic"/>
        </w:rPr>
        <w:t>, AusNet Transmission Group Pty Ltd transmission revenue review 2017–2022</w:t>
      </w:r>
      <w:r>
        <w:t>, 30 October 2015, pp. 196–223.</w:t>
      </w:r>
    </w:p>
  </w:footnote>
  <w:footnote w:id="940">
    <w:p w:rsidR="00484671" w:rsidRDefault="00484671"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941">
    <w:p w:rsidR="00484671" w:rsidRDefault="00484671"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942">
    <w:p w:rsidR="00484671" w:rsidRDefault="00484671"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943">
    <w:p w:rsidR="00484671" w:rsidRDefault="00484671"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944">
    <w:p w:rsidR="00484671" w:rsidRDefault="0048467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945">
    <w:p w:rsidR="00484671" w:rsidRDefault="00484671"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946">
    <w:p w:rsidR="00484671" w:rsidRDefault="00484671" w:rsidP="009A1A4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947">
    <w:p w:rsidR="00484671" w:rsidRDefault="00484671" w:rsidP="009A1A4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948">
    <w:p w:rsidR="00484671" w:rsidRDefault="00484671" w:rsidP="00C33F1F">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949">
    <w:p w:rsidR="00484671" w:rsidRDefault="00484671" w:rsidP="008B296E">
      <w:pPr>
        <w:pStyle w:val="FootnoteText"/>
      </w:pPr>
      <w:r>
        <w:rPr>
          <w:rStyle w:val="FootnoteReference"/>
        </w:rPr>
        <w:footnoteRef/>
      </w:r>
      <w:r>
        <w:t xml:space="preserve"> </w:t>
      </w:r>
      <w:r>
        <w:tab/>
        <w:t>APTPPL</w:t>
      </w:r>
      <w:r w:rsidRPr="00C91846">
        <w:t xml:space="preserve">, </w:t>
      </w:r>
      <w:r>
        <w:rPr>
          <w:rStyle w:val="AERtextitalic"/>
        </w:rPr>
        <w:t>2017-22 RBP Access Arrangement revision submission</w:t>
      </w:r>
      <w:r w:rsidRPr="00C91846">
        <w:t xml:space="preserve">, </w:t>
      </w:r>
      <w:r>
        <w:t>September 2016</w:t>
      </w:r>
      <w:r w:rsidRPr="00C91846">
        <w:t>, p.</w:t>
      </w:r>
      <w:r>
        <w:t xml:space="preserve"> 156-157; </w:t>
      </w:r>
    </w:p>
  </w:footnote>
  <w:footnote w:id="950">
    <w:p w:rsidR="00484671" w:rsidRDefault="00484671" w:rsidP="008B296E">
      <w:pPr>
        <w:pStyle w:val="FootnoteText"/>
      </w:pPr>
      <w:r>
        <w:rPr>
          <w:rStyle w:val="FootnoteReference"/>
        </w:rPr>
        <w:footnoteRef/>
      </w:r>
      <w:r>
        <w:t xml:space="preserve"> </w:t>
      </w:r>
      <w:r>
        <w:tab/>
        <w:t xml:space="preserve">APTPPL stated that the ERA found stationarity in the market return on equity series. However, the ERA actually found the series to be mean reverting. APTPPL, </w:t>
      </w:r>
      <w:r>
        <w:rPr>
          <w:rStyle w:val="Emphasis"/>
        </w:rPr>
        <w:t>Roma to Brisbane Pipeline access arrangement submission 2017-2022</w:t>
      </w:r>
      <w:r>
        <w:t xml:space="preserve">, September 2016, pp. 157; ERA, </w:t>
      </w:r>
    </w:p>
  </w:footnote>
  <w:footnote w:id="951">
    <w:p w:rsidR="00484671" w:rsidRDefault="00484671">
      <w:pPr>
        <w:pStyle w:val="FootnoteText"/>
      </w:pPr>
      <w:r>
        <w:rPr>
          <w:rStyle w:val="FootnoteReference"/>
        </w:rPr>
        <w:footnoteRef/>
      </w:r>
      <w:r>
        <w:t xml:space="preserve"> </w:t>
      </w:r>
      <w:r>
        <w:tab/>
        <w:t xml:space="preserve">For example, the inverse relationship between the equity risk premium and the interest rate and assuming stability of the return on the market over time. Partington and Satchell, </w:t>
      </w:r>
      <w:r w:rsidRPr="00440833">
        <w:rPr>
          <w:rStyle w:val="Emphasis"/>
        </w:rPr>
        <w:t xml:space="preserve">Report to the AER: Discussion of </w:t>
      </w:r>
      <w:r>
        <w:rPr>
          <w:rStyle w:val="Emphasis"/>
        </w:rPr>
        <w:t>submission on the cost of equity,</w:t>
      </w:r>
      <w:r>
        <w:t xml:space="preserve"> 8 June 2017, pp. 45–47.</w:t>
      </w:r>
    </w:p>
  </w:footnote>
  <w:footnote w:id="952">
    <w:p w:rsidR="00484671" w:rsidRDefault="00484671" w:rsidP="008B296E">
      <w:pPr>
        <w:pStyle w:val="FootnoteText"/>
      </w:pPr>
      <w:r>
        <w:rPr>
          <w:rStyle w:val="FootnoteReference"/>
        </w:rPr>
        <w:footnoteRef/>
      </w:r>
      <w:r>
        <w:t xml:space="preserve"> </w:t>
      </w:r>
      <w:r>
        <w:tab/>
        <w:t xml:space="preserve">For example, see: </w:t>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 APTPPL</w:t>
      </w:r>
      <w:r w:rsidRPr="00C91846">
        <w:t xml:space="preserve">, </w:t>
      </w:r>
      <w:r>
        <w:rPr>
          <w:rStyle w:val="AERtextitalic"/>
        </w:rPr>
        <w:t>2017-22 RBP Access Arrangement revision submission</w:t>
      </w:r>
      <w:r w:rsidRPr="00C91846">
        <w:t xml:space="preserve">, </w:t>
      </w:r>
      <w:r>
        <w:t>September 2016; Frontier Economics</w:t>
      </w:r>
      <w:r w:rsidRPr="00F85FCC">
        <w:t xml:space="preserve">, </w:t>
      </w:r>
      <w:r>
        <w:rPr>
          <w:rStyle w:val="AERtextitalic"/>
        </w:rPr>
        <w:t>The Market Risk Premium</w:t>
      </w:r>
      <w:r>
        <w:t>, September</w:t>
      </w:r>
      <w:r w:rsidRPr="00F85FCC">
        <w:t xml:space="preserve"> 201</w:t>
      </w:r>
      <w:r>
        <w:t>6;</w:t>
      </w:r>
      <w:r w:rsidRPr="00670B76">
        <w:t xml:space="preserve"> </w:t>
      </w:r>
      <w:r>
        <w:t xml:space="preserve">AusNet Services, </w:t>
      </w:r>
      <w:r>
        <w:rPr>
          <w:rStyle w:val="Emphasis"/>
        </w:rPr>
        <w:t>AusNet Transmission Group Pty Ltd Transmission revenue review</w:t>
      </w:r>
      <w:r w:rsidRPr="00D325AA">
        <w:rPr>
          <w:rStyle w:val="Emphasis"/>
        </w:rPr>
        <w:t xml:space="preserve"> 2017–22</w:t>
      </w:r>
      <w:r>
        <w:t>, 21 September 2016</w:t>
      </w:r>
    </w:p>
  </w:footnote>
  <w:footnote w:id="953">
    <w:p w:rsidR="00484671" w:rsidRDefault="00484671" w:rsidP="00C33F1F">
      <w:pPr>
        <w:pStyle w:val="FootnoteText"/>
      </w:pPr>
      <w:r>
        <w:t xml:space="preserve">** </w:t>
      </w:r>
      <w:r>
        <w:tab/>
        <w:t xml:space="preserve">Bringham and Daves state, 'The CAPM is an ex-ante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954">
    <w:p w:rsidR="00484671" w:rsidRDefault="00484671" w:rsidP="00C33F1F">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55">
    <w:p w:rsidR="00484671" w:rsidRDefault="00484671" w:rsidP="00C33F1F">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956">
    <w:p w:rsidR="00484671" w:rsidRDefault="00484671" w:rsidP="00C33F1F">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957">
    <w:p w:rsidR="00484671" w:rsidRDefault="00484671" w:rsidP="00C33F1F">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958">
    <w:p w:rsidR="00484671" w:rsidRDefault="00484671" w:rsidP="00C33F1F">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959">
    <w:p w:rsidR="00484671" w:rsidRDefault="00484671" w:rsidP="00C33F1F">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960">
    <w:p w:rsidR="00484671" w:rsidRDefault="00484671" w:rsidP="00C33F1F">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961">
    <w:p w:rsidR="00484671" w:rsidRDefault="00484671" w:rsidP="00C33F1F">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962">
    <w:p w:rsidR="00484671" w:rsidRDefault="00484671" w:rsidP="001043A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484671" w:rsidRDefault="00484671" w:rsidP="001043A2">
      <w:pPr>
        <w:pStyle w:val="FootnoteText"/>
      </w:pPr>
      <w:r>
        <w:tab/>
        <w:t>AusNet Services</w:t>
      </w:r>
      <w:r w:rsidRPr="00172CD0">
        <w:rPr>
          <w:rStyle w:val="AERtextitalic"/>
        </w:rPr>
        <w:t>, AusNet Transmission Group Pty Ltd transmission revenue review 2017–2022</w:t>
      </w:r>
      <w:r>
        <w:t>, 30 October 2015, pp. 226, 232, 250, 252, 254 &amp; 263.</w:t>
      </w:r>
    </w:p>
    <w:p w:rsidR="00484671" w:rsidRDefault="00484671" w:rsidP="001043A2">
      <w:pPr>
        <w:pStyle w:val="FootnoteText"/>
      </w:pPr>
      <w:r>
        <w:tab/>
        <w:t xml:space="preserve">AusNet Services, </w:t>
      </w:r>
      <w:r w:rsidRPr="00172CD0">
        <w:rPr>
          <w:rStyle w:val="AERtextitalic"/>
        </w:rPr>
        <w:t>AusNet Transmission Group Pty Ltd transmission revenue review 2017–2022</w:t>
      </w:r>
      <w:r>
        <w:rPr>
          <w:rStyle w:val="AERtextitalic"/>
        </w:rPr>
        <w:t xml:space="preserve">: Revised revenue proposal, </w:t>
      </w:r>
      <w:r>
        <w:t>21 September 2016, p. 151</w:t>
      </w:r>
    </w:p>
  </w:footnote>
  <w:footnote w:id="963">
    <w:p w:rsidR="00484671" w:rsidRDefault="00484671" w:rsidP="001043A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964">
    <w:p w:rsidR="00484671" w:rsidRDefault="00484671" w:rsidP="001043A2">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estimates of the return on equity, </w:t>
      </w:r>
      <w:r>
        <w:t>12 April 2017, p. 28.</w:t>
      </w:r>
    </w:p>
  </w:footnote>
  <w:footnote w:id="965">
    <w:p w:rsidR="00484671" w:rsidRDefault="00484671">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w:t>
      </w:r>
      <w:r>
        <w:rPr>
          <w:rStyle w:val="Emphasis"/>
        </w:rPr>
        <w:t>submission on the cost of equity,</w:t>
      </w:r>
      <w:r>
        <w:t xml:space="preserve"> 8 June 2017, pp. 45–47.</w:t>
      </w:r>
    </w:p>
  </w:footnote>
  <w:footnote w:id="966">
    <w:p w:rsidR="00484671" w:rsidRDefault="00484671" w:rsidP="00BB18D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967">
    <w:p w:rsidR="00484671" w:rsidRDefault="00484671" w:rsidP="00BB18D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968">
    <w:p w:rsidR="00484671" w:rsidRDefault="00484671" w:rsidP="005143A8">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969">
    <w:p w:rsidR="00484671" w:rsidRDefault="00484671" w:rsidP="005143A8">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970">
    <w:p w:rsidR="00484671" w:rsidRDefault="00484671" w:rsidP="005143A8">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rsidR="002C24D6">
        <w:t>B.5</w:t>
      </w:r>
      <w:r>
        <w:fldChar w:fldCharType="end"/>
      </w:r>
      <w:r>
        <w:t xml:space="preserve"> for details on the Wright CAPM.</w:t>
      </w:r>
    </w:p>
  </w:footnote>
  <w:footnote w:id="971">
    <w:p w:rsidR="00484671" w:rsidRDefault="00484671" w:rsidP="005143A8">
      <w:pPr>
        <w:pStyle w:val="FootnoteText"/>
      </w:pPr>
      <w:r>
        <w:rPr>
          <w:rStyle w:val="FootnoteReference"/>
        </w:rPr>
        <w:footnoteRef/>
      </w:r>
      <w:r>
        <w:t xml:space="preserve"> </w:t>
      </w:r>
      <w:r>
        <w:tab/>
        <w:t>Our risk free rate estimate is 2.52 per cent.</w:t>
      </w:r>
    </w:p>
  </w:footnote>
  <w:footnote w:id="972">
    <w:p w:rsidR="00484671" w:rsidRDefault="00484671" w:rsidP="005143A8">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rsidR="002C24D6">
        <w:t>3.4.1</w:t>
      </w:r>
      <w:r>
        <w:fldChar w:fldCharType="end"/>
      </w:r>
      <w:r>
        <w:t>.</w:t>
      </w:r>
    </w:p>
  </w:footnote>
  <w:footnote w:id="973">
    <w:p w:rsidR="00484671" w:rsidRDefault="00484671" w:rsidP="00BB18D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974">
    <w:p w:rsidR="00484671" w:rsidRDefault="00484671" w:rsidP="00BB18D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75">
    <w:p w:rsidR="00484671" w:rsidRDefault="00484671"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76">
    <w:p w:rsidR="00484671" w:rsidRDefault="00484671" w:rsidP="00BB18D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977">
    <w:p w:rsidR="00484671" w:rsidRDefault="00484671" w:rsidP="00BB18D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978">
    <w:p w:rsidR="00484671" w:rsidRDefault="00484671" w:rsidP="00BB18D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979">
    <w:p w:rsidR="00484671" w:rsidRDefault="00484671" w:rsidP="00BB18D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80">
    <w:p w:rsidR="00484671" w:rsidRDefault="00484671" w:rsidP="00BB18D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81">
    <w:p w:rsidR="00484671" w:rsidRDefault="00484671" w:rsidP="00BB18D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82">
    <w:p w:rsidR="00484671" w:rsidRDefault="00484671"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83">
    <w:p w:rsidR="00484671" w:rsidRDefault="00484671"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84">
    <w:p w:rsidR="00484671" w:rsidRDefault="00484671"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85">
    <w:p w:rsidR="00484671" w:rsidRDefault="00484671" w:rsidP="00BB18D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86">
    <w:p w:rsidR="00484671" w:rsidRDefault="00484671"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87">
    <w:p w:rsidR="00484671" w:rsidRDefault="00484671"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88">
    <w:p w:rsidR="00484671" w:rsidRDefault="00484671"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89">
    <w:p w:rsidR="00484671" w:rsidRDefault="00484671"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90">
    <w:p w:rsidR="00484671" w:rsidRDefault="00484671"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91">
    <w:p w:rsidR="00484671" w:rsidRDefault="00484671"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992">
    <w:p w:rsidR="00484671" w:rsidRDefault="00484671"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p.74;</w:t>
      </w:r>
      <w:r w:rsidRPr="00F13BF7">
        <w:t xml:space="preserve"> </w:t>
      </w:r>
      <w:r>
        <w:t>AusNet, AusNet transmission Revised Revenue Proposal, 21 September 2016, p 147</w:t>
      </w:r>
    </w:p>
  </w:footnote>
  <w:footnote w:id="993">
    <w:p w:rsidR="00484671" w:rsidRDefault="00484671" w:rsidP="00BB18D4">
      <w:pPr>
        <w:pStyle w:val="FootnoteText"/>
      </w:pPr>
      <w:r>
        <w:rPr>
          <w:rStyle w:val="FootnoteReference"/>
        </w:rPr>
        <w:footnoteRef/>
      </w:r>
      <w:r>
        <w:t xml:space="preserve">     Frontier Economics</w:t>
      </w:r>
      <w:r w:rsidRPr="00F85FCC">
        <w:t xml:space="preserve">, </w:t>
      </w:r>
      <w:r>
        <w:rPr>
          <w:rStyle w:val="AERtextitalic"/>
        </w:rPr>
        <w:t>The Market Risk Premium</w:t>
      </w:r>
      <w:r>
        <w:t>, September</w:t>
      </w:r>
      <w:r w:rsidRPr="00F85FCC">
        <w:t xml:space="preserve"> 201</w:t>
      </w:r>
      <w:r>
        <w:t>6, P27-28,74</w:t>
      </w:r>
    </w:p>
  </w:footnote>
  <w:footnote w:id="994">
    <w:p w:rsidR="00484671" w:rsidRDefault="00484671" w:rsidP="00BB18D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xml:space="preserve">, June 2015, pp. 333–338.; 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995">
    <w:p w:rsidR="00484671" w:rsidRDefault="00484671"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P27-28,</w:t>
      </w:r>
    </w:p>
  </w:footnote>
  <w:footnote w:id="996">
    <w:p w:rsidR="00484671" w:rsidRDefault="00484671" w:rsidP="00BB18D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997">
    <w:p w:rsidR="00484671" w:rsidRDefault="00484671" w:rsidP="00BB18D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98">
    <w:p w:rsidR="00484671" w:rsidRDefault="00484671" w:rsidP="009F0858">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99">
    <w:p w:rsidR="00484671" w:rsidRDefault="00484671" w:rsidP="009F0858">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00">
    <w:p w:rsidR="00484671" w:rsidRDefault="00484671" w:rsidP="009F085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01">
    <w:p w:rsidR="00484671" w:rsidRDefault="00484671"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1002">
    <w:p w:rsidR="00484671" w:rsidRDefault="00484671" w:rsidP="009F085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1003">
    <w:p w:rsidR="00484671" w:rsidRDefault="00484671" w:rsidP="009F0858">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1004">
    <w:p w:rsidR="00484671" w:rsidRDefault="00484671"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1005">
    <w:p w:rsidR="00484671" w:rsidRDefault="00484671" w:rsidP="009F085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06">
    <w:p w:rsidR="00484671" w:rsidRDefault="00484671">
      <w:pPr>
        <w:pStyle w:val="FootnoteText"/>
      </w:pPr>
      <w:r>
        <w:rPr>
          <w:rStyle w:val="FootnoteReference"/>
        </w:rPr>
        <w:footnoteRef/>
      </w:r>
      <w:r>
        <w:t xml:space="preserve"> </w:t>
      </w:r>
      <w:r>
        <w:tab/>
        <w:t>Partington and Satchell, pp. 23–25.</w:t>
      </w:r>
    </w:p>
  </w:footnote>
  <w:footnote w:id="1007">
    <w:p w:rsidR="00484671" w:rsidRDefault="00484671" w:rsidP="009F085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08">
    <w:p w:rsidR="00484671" w:rsidRDefault="00484671" w:rsidP="009F085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09">
    <w:p w:rsidR="00484671" w:rsidRDefault="00484671" w:rsidP="009F0858">
      <w:pPr>
        <w:pStyle w:val="FootnoteText"/>
      </w:pPr>
      <w:r>
        <w:rPr>
          <w:rStyle w:val="FootnoteReference"/>
        </w:rPr>
        <w:footnoteRef/>
      </w:r>
      <w:r>
        <w:t xml:space="preserve"> </w:t>
      </w:r>
      <w:r>
        <w:tab/>
        <w:t>Rather than target prices.</w:t>
      </w:r>
    </w:p>
  </w:footnote>
  <w:footnote w:id="1010">
    <w:p w:rsidR="00484671" w:rsidRDefault="00484671" w:rsidP="009F0858">
      <w:pPr>
        <w:pStyle w:val="FootnoteText"/>
      </w:pPr>
      <w:r>
        <w:rPr>
          <w:rStyle w:val="FootnoteReference"/>
        </w:rPr>
        <w:footnoteRef/>
      </w:r>
      <w:r>
        <w:t xml:space="preserve"> </w:t>
      </w:r>
      <w:r>
        <w:tab/>
        <w:t>Assumed to be 2.5 per cent, which is the mid-point of the RBA's target inflation band.</w:t>
      </w:r>
    </w:p>
  </w:footnote>
  <w:footnote w:id="1011">
    <w:p w:rsidR="00484671" w:rsidRDefault="00484671" w:rsidP="009F085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12">
    <w:p w:rsidR="00484671" w:rsidRDefault="00484671" w:rsidP="009F085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13">
    <w:p w:rsidR="00484671" w:rsidRDefault="00484671" w:rsidP="009F085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14">
    <w:p w:rsidR="00484671" w:rsidRDefault="00484671" w:rsidP="009F085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15">
    <w:p w:rsidR="00484671" w:rsidRDefault="00484671" w:rsidP="009F085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16">
    <w:p w:rsidR="00484671" w:rsidRDefault="00484671" w:rsidP="009F0858">
      <w:pPr>
        <w:pStyle w:val="FootnoteText"/>
      </w:pPr>
      <w:r>
        <w:rPr>
          <w:rStyle w:val="FootnoteReference"/>
        </w:rPr>
        <w:footnoteRef/>
      </w:r>
      <w:r>
        <w:t xml:space="preserve"> </w:t>
      </w:r>
      <w:r>
        <w:tab/>
        <w:t>Although it used a different value for the assumed utilisation rate of imputation credits.</w:t>
      </w:r>
    </w:p>
  </w:footnote>
  <w:footnote w:id="1017">
    <w:p w:rsidR="00484671" w:rsidRDefault="00484671" w:rsidP="009F0858">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1018">
    <w:p w:rsidR="00484671" w:rsidRDefault="00484671" w:rsidP="009F0858">
      <w:pPr>
        <w:pStyle w:val="FootnoteText"/>
      </w:pPr>
      <w:r>
        <w:rPr>
          <w:rStyle w:val="FootnoteReference"/>
        </w:rPr>
        <w:footnoteRef/>
      </w:r>
      <w:r>
        <w:t xml:space="preserve"> </w:t>
      </w:r>
      <w:r>
        <w:tab/>
        <w:t>Frontier Economics, The market risk premium, September 2016, p. 76.</w:t>
      </w:r>
    </w:p>
  </w:footnote>
  <w:footnote w:id="1019">
    <w:p w:rsidR="00484671" w:rsidRDefault="00484671" w:rsidP="009F085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20">
    <w:p w:rsidR="00484671" w:rsidRDefault="00484671" w:rsidP="009F0858">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21">
    <w:p w:rsidR="00484671" w:rsidRDefault="00484671" w:rsidP="009F0858">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1022">
    <w:p w:rsidR="00484671" w:rsidRDefault="0048467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23">
    <w:p w:rsidR="00484671" w:rsidRDefault="00484671" w:rsidP="009F0858">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1024">
    <w:p w:rsidR="00484671" w:rsidRDefault="00484671" w:rsidP="009F0858">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1025">
    <w:p w:rsidR="00484671" w:rsidRDefault="00484671"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26">
    <w:p w:rsidR="00484671" w:rsidRDefault="00484671" w:rsidP="00EC583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027">
    <w:p w:rsidR="00484671" w:rsidRDefault="00484671"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28">
    <w:p w:rsidR="00484671" w:rsidRDefault="00484671" w:rsidP="00EC5833">
      <w:pPr>
        <w:pStyle w:val="FootnoteText"/>
      </w:pPr>
      <w:r>
        <w:rPr>
          <w:rStyle w:val="FootnoteReference"/>
        </w:rPr>
        <w:footnoteRef/>
      </w:r>
      <w:r>
        <w:t xml:space="preserve"> </w:t>
      </w:r>
      <w:r>
        <w:tab/>
        <w:t xml:space="preserve">Damodaran, </w:t>
      </w:r>
      <w:hyperlink r:id="rId15" w:history="1">
        <w:r w:rsidRPr="00007302">
          <w:rPr>
            <w:rStyle w:val="Hyperlink"/>
            <w:sz w:val="16"/>
          </w:rPr>
          <w:t>http://pages.stern.nyu.edu/~adamodar/New_Home_Page/lectures/pe.html</w:t>
        </w:r>
      </w:hyperlink>
      <w:r>
        <w:t xml:space="preserve">, </w:t>
      </w:r>
    </w:p>
  </w:footnote>
  <w:footnote w:id="1029">
    <w:p w:rsidR="00484671" w:rsidRDefault="0048467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30">
    <w:p w:rsidR="00484671" w:rsidRDefault="0048467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31">
    <w:p w:rsidR="00484671" w:rsidRDefault="00484671">
      <w:pPr>
        <w:pStyle w:val="FootnoteText"/>
      </w:pPr>
      <w:r>
        <w:rPr>
          <w:rStyle w:val="FootnoteReference"/>
        </w:rPr>
        <w:footnoteRef/>
      </w:r>
      <w:r>
        <w:t xml:space="preserve"> </w:t>
      </w:r>
      <w:r>
        <w:tab/>
        <w:t>Frontier, The market risk premium, September 2016, p. 63.</w:t>
      </w:r>
    </w:p>
  </w:footnote>
  <w:footnote w:id="1032">
    <w:p w:rsidR="00484671" w:rsidRDefault="00484671" w:rsidP="009F0858">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1033">
    <w:p w:rsidR="00484671" w:rsidRDefault="00484671" w:rsidP="009F0858">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1034">
    <w:p w:rsidR="00484671" w:rsidRDefault="00484671" w:rsidP="00B60505">
      <w:pPr>
        <w:pStyle w:val="FootnoteText"/>
      </w:pPr>
      <w:r>
        <w:rPr>
          <w:rStyle w:val="FootnoteReference"/>
        </w:rPr>
        <w:footnoteRef/>
      </w:r>
      <w:r>
        <w:t xml:space="preserve"> </w:t>
      </w:r>
      <w:r>
        <w:tab/>
        <w:t xml:space="preserve">Partington and Satchell, </w:t>
      </w:r>
      <w:r w:rsidRPr="00440833">
        <w:rPr>
          <w:rStyle w:val="Emphasis"/>
        </w:rPr>
        <w:t>Report to the AER: Discussion of estimates of the return o</w:t>
      </w:r>
      <w:r>
        <w:rPr>
          <w:rStyle w:val="Emphasis"/>
        </w:rPr>
        <w:t xml:space="preserve">n equity, March </w:t>
      </w:r>
      <w:r>
        <w:t>12 April 2017, p. 32.</w:t>
      </w:r>
    </w:p>
  </w:footnote>
  <w:footnote w:id="1035">
    <w:p w:rsidR="00484671" w:rsidRDefault="00484671" w:rsidP="0048197D">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036">
    <w:p w:rsidR="00484671" w:rsidRDefault="00484671" w:rsidP="00827E36">
      <w:pPr>
        <w:pStyle w:val="FootnoteText"/>
      </w:pPr>
      <w:r>
        <w:rPr>
          <w:rStyle w:val="FootnoteReference"/>
        </w:rPr>
        <w:footnoteRef/>
      </w:r>
      <w:r>
        <w:t xml:space="preserve"> </w:t>
      </w:r>
      <w:r>
        <w:tab/>
      </w:r>
      <w:r w:rsidRPr="00827E36">
        <w:t xml:space="preserve">Partington and Satchell, </w:t>
      </w:r>
      <w:r w:rsidRPr="006E5878">
        <w:rPr>
          <w:rStyle w:val="AERtextitalic"/>
        </w:rPr>
        <w:t>Report to the AER: Discussion of estimates of the return on equity</w:t>
      </w:r>
      <w:r w:rsidRPr="00827E36">
        <w:t xml:space="preserve">, </w:t>
      </w:r>
      <w:r>
        <w:t>12 April</w:t>
      </w:r>
      <w:r w:rsidRPr="00827E36">
        <w:t xml:space="preserve"> 2017, pp. 1</w:t>
      </w:r>
      <w:r>
        <w:t>7–18</w:t>
      </w:r>
      <w:r w:rsidRPr="00827E36">
        <w:t>, 3</w:t>
      </w:r>
      <w:r>
        <w:t>2</w:t>
      </w:r>
      <w:r w:rsidRPr="00827E36">
        <w:t>.</w:t>
      </w:r>
    </w:p>
  </w:footnote>
  <w:footnote w:id="1037">
    <w:p w:rsidR="00484671" w:rsidRDefault="00484671" w:rsidP="0048197D">
      <w:pPr>
        <w:pStyle w:val="FootnoteText"/>
        <w:tabs>
          <w:tab w:val="clear" w:pos="340"/>
          <w:tab w:val="left" w:pos="284"/>
        </w:tabs>
        <w:ind w:left="142" w:hanging="142"/>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38">
    <w:p w:rsidR="00484671" w:rsidRDefault="0048467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39">
    <w:p w:rsidR="00484671" w:rsidRDefault="00484671" w:rsidP="00EC5833">
      <w:pPr>
        <w:pStyle w:val="FootnoteText"/>
      </w:pPr>
      <w:r>
        <w:rPr>
          <w:rStyle w:val="FootnoteReference"/>
        </w:rPr>
        <w:footnoteRef/>
      </w:r>
      <w:r>
        <w:t xml:space="preserve"> </w:t>
      </w:r>
      <w:r>
        <w:tab/>
        <w:t xml:space="preserve">Partington and Satchell, </w:t>
      </w:r>
      <w:r w:rsidRPr="006E5878">
        <w:rPr>
          <w:rStyle w:val="AERtextitalic"/>
        </w:rPr>
        <w:t>Report to the AER: Discussion of estimates of the return on equity</w:t>
      </w:r>
      <w:r>
        <w:t>, 12 April 2017, p. 29.</w:t>
      </w:r>
    </w:p>
  </w:footnote>
  <w:footnote w:id="1040">
    <w:p w:rsidR="00484671" w:rsidRDefault="00484671" w:rsidP="009F085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041">
    <w:p w:rsidR="00484671" w:rsidRDefault="00484671" w:rsidP="009F085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42">
    <w:p w:rsidR="00484671" w:rsidRDefault="00484671" w:rsidP="00E4541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1043">
    <w:p w:rsidR="00484671" w:rsidRDefault="00484671" w:rsidP="00E4541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044">
    <w:p w:rsidR="00484671" w:rsidRDefault="00484671" w:rsidP="00E4541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1045">
    <w:p w:rsidR="00484671" w:rsidRDefault="00484671" w:rsidP="00E45414">
      <w:pPr>
        <w:pStyle w:val="FootnoteText"/>
      </w:pPr>
      <w:r>
        <w:rPr>
          <w:rStyle w:val="FootnoteReference"/>
        </w:rPr>
        <w:footnoteRef/>
      </w:r>
      <w:r>
        <w:t xml:space="preserve"> </w:t>
      </w:r>
      <w:r>
        <w:tab/>
        <w:t xml:space="preserve">APTPPL, </w:t>
      </w:r>
      <w:r w:rsidRPr="00272584">
        <w:rPr>
          <w:rStyle w:val="Emphasis"/>
        </w:rPr>
        <w:t>2017-2022 RBP Access Arrangement revision submission</w:t>
      </w:r>
      <w:r>
        <w:t>, September 2016, pp.138-146</w:t>
      </w:r>
    </w:p>
  </w:footnote>
  <w:footnote w:id="1046">
    <w:p w:rsidR="00484671" w:rsidRDefault="00484671" w:rsidP="00E45414">
      <w:pPr>
        <w:pStyle w:val="FootnoteText"/>
      </w:pPr>
      <w:r>
        <w:rPr>
          <w:rStyle w:val="FootnoteReference"/>
        </w:rPr>
        <w:footnoteRef/>
      </w:r>
      <w:r>
        <w:t xml:space="preserve"> </w:t>
      </w:r>
      <w:r>
        <w:tab/>
        <w:t xml:space="preserve">See, Figure 3-7: Dividends yields; Figure 3-8 Australian bond spreads over government yields. </w:t>
      </w:r>
    </w:p>
  </w:footnote>
  <w:footnote w:id="1047">
    <w:p w:rsidR="00484671" w:rsidRDefault="00484671" w:rsidP="00E4541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1048">
    <w:p w:rsidR="00484671" w:rsidRDefault="00484671" w:rsidP="00E45414">
      <w:pPr>
        <w:pStyle w:val="FootnoteText"/>
      </w:pPr>
      <w:r>
        <w:rPr>
          <w:rStyle w:val="FootnoteReference"/>
        </w:rPr>
        <w:footnoteRef/>
      </w:r>
      <w:r>
        <w:t xml:space="preserve"> </w:t>
      </w:r>
      <w:r>
        <w:tab/>
        <w:t>See, Figure 3-6: Implied volatility (VIX) over time</w:t>
      </w:r>
    </w:p>
  </w:footnote>
  <w:footnote w:id="1049">
    <w:p w:rsidR="00484671" w:rsidRDefault="00484671" w:rsidP="00E45414">
      <w:pPr>
        <w:pStyle w:val="FootnoteText"/>
      </w:pPr>
      <w:r>
        <w:rPr>
          <w:rStyle w:val="FootnoteReference"/>
        </w:rPr>
        <w:footnoteRef/>
      </w:r>
      <w:r>
        <w:t xml:space="preserve"> </w:t>
      </w:r>
      <w:r>
        <w:tab/>
        <w:t xml:space="preserve">This was based on Merton, R.C., 'On Estimating the Expected Return on the Market: An Exploratory Investigation', </w:t>
      </w:r>
      <w:r>
        <w:rPr>
          <w:rStyle w:val="AERtextitalic"/>
        </w:rPr>
        <w:t>Journal of Financial Economics</w:t>
      </w:r>
      <w:r>
        <w:t>, 1980, Vol. 8, pp. 323</w:t>
      </w:r>
      <w:r>
        <w:rPr>
          <w:rFonts w:cs="Gautami"/>
        </w:rPr>
        <w:t>–</w:t>
      </w:r>
      <w:r>
        <w:t>361.</w:t>
      </w:r>
    </w:p>
  </w:footnote>
  <w:footnote w:id="1050">
    <w:p w:rsidR="00484671" w:rsidRDefault="00484671" w:rsidP="00E45414">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1051">
    <w:p w:rsidR="00484671" w:rsidRDefault="00484671" w:rsidP="008B3AE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052">
    <w:p w:rsidR="00484671" w:rsidRDefault="00484671" w:rsidP="008B3AE9">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053">
    <w:p w:rsidR="00484671" w:rsidRDefault="00484671" w:rsidP="008B3AE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054">
    <w:p w:rsidR="00484671" w:rsidRDefault="00484671" w:rsidP="008B3AE9">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(prescribed transmission services or reference services). See: NER, cl. 6.5.2(c); NER, cl. 6A.6.2(c); NGR, r.87(3).</w:t>
      </w:r>
    </w:p>
  </w:footnote>
  <w:footnote w:id="1055">
    <w:p w:rsidR="00484671" w:rsidRDefault="00484671" w:rsidP="008B3AE9">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1056">
    <w:p w:rsidR="00484671" w:rsidRDefault="00484671" w:rsidP="008B3AE9">
      <w:pPr>
        <w:pStyle w:val="FootnoteText"/>
      </w:pPr>
      <w:r>
        <w:rPr>
          <w:rStyle w:val="FootnoteReference"/>
        </w:rPr>
        <w:footnoteRef/>
      </w:r>
      <w:r>
        <w:t xml:space="preserve"> </w:t>
      </w:r>
      <w:r>
        <w:tab/>
        <w:t xml:space="preserve">Based on a proposed MRP of 8.06 per cent and a beta of 0.8. </w:t>
      </w:r>
    </w:p>
  </w:footnote>
  <w:footnote w:id="1057">
    <w:p w:rsidR="00484671" w:rsidRDefault="00484671" w:rsidP="008B3AE9">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058">
    <w:p w:rsidR="00484671" w:rsidRDefault="00484671" w:rsidP="008B3AE9">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059">
    <w:p w:rsidR="00484671" w:rsidRDefault="00484671" w:rsidP="008B3AE9">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1060">
    <w:p w:rsidR="00484671" w:rsidRDefault="00484671" w:rsidP="008B3AE9">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p>
  </w:footnote>
  <w:footnote w:id="1061">
    <w:p w:rsidR="00484671" w:rsidRDefault="00484671" w:rsidP="008B3AE9">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1062">
    <w:p w:rsidR="00484671" w:rsidRDefault="00484671" w:rsidP="008B3AE9">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rsidR="002C24D6">
        <w:t>F.5</w:t>
      </w:r>
      <w:r>
        <w:fldChar w:fldCharType="end"/>
      </w:r>
      <w:r>
        <w:t xml:space="preserve"> for more detail). Therefore, we do not consider that removing the risk free rate and examining the equity risk premium will bias the results.</w:t>
      </w:r>
    </w:p>
  </w:footnote>
  <w:footnote w:id="1063">
    <w:p w:rsidR="00484671" w:rsidRDefault="00484671" w:rsidP="008B3AE9">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 xml:space="preserve">78–79; Frontier Economics, </w:t>
      </w:r>
      <w:r w:rsidRPr="00074148">
        <w:rPr>
          <w:rStyle w:val="Emphasis"/>
        </w:rPr>
        <w:t>The market risk premium</w:t>
      </w:r>
      <w:r>
        <w:t xml:space="preserve">, September 2016, p32. </w:t>
      </w:r>
    </w:p>
    <w:p w:rsidR="00484671" w:rsidRDefault="00484671" w:rsidP="008B3AE9">
      <w:pPr>
        <w:pStyle w:val="FootnoteText"/>
      </w:pPr>
      <w:r>
        <w:tab/>
      </w:r>
    </w:p>
  </w:footnote>
  <w:footnote w:id="1064">
    <w:p w:rsidR="00484671" w:rsidRDefault="00484671" w:rsidP="008B3AE9">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1065">
    <w:p w:rsidR="00484671" w:rsidRDefault="00484671" w:rsidP="008B3AE9">
      <w:pPr>
        <w:pStyle w:val="FootnoteText"/>
      </w:pPr>
      <w:r>
        <w:rPr>
          <w:rStyle w:val="FootnoteReference"/>
        </w:rPr>
        <w:footnoteRef/>
      </w:r>
      <w:r>
        <w:t xml:space="preserve"> </w:t>
      </w:r>
      <w:r>
        <w:tab/>
        <w:t>Fernandez, Ortiz, Acín, M</w:t>
      </w:r>
      <w:r>
        <w:rPr>
          <w:rStyle w:val="AERtextitalic"/>
        </w:rPr>
        <w:t>arket risk premium used in 71 countries in 2016</w:t>
      </w:r>
      <w:r w:rsidRPr="00280362">
        <w:rPr>
          <w:rStyle w:val="AERtextitalic"/>
        </w:rPr>
        <w:t>: a survey</w:t>
      </w:r>
      <w:r>
        <w:t xml:space="preserve">, May 2016; 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 xml:space="preserve">uary 2013; Asher and Carruther , </w:t>
      </w:r>
      <w:r w:rsidRPr="006665F9">
        <w:rPr>
          <w:rStyle w:val="Emphasis"/>
        </w:rPr>
        <w:t>Equity Risk Premium Survey 2015, Actuaries Digital</w:t>
      </w:r>
      <w:r>
        <w:t xml:space="preserve">, May 26 2016; David Carruthers, </w:t>
      </w:r>
      <w:r w:rsidRPr="00813684">
        <w:t xml:space="preserve">Equity Risk Premium Survey 2016, </w:t>
      </w:r>
      <w:r>
        <w:t>8 March 2017</w:t>
      </w:r>
    </w:p>
  </w:footnote>
  <w:footnote w:id="1066">
    <w:p w:rsidR="00484671" w:rsidRDefault="00484671" w:rsidP="008B3AE9">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067">
    <w:p w:rsidR="00484671" w:rsidRDefault="00484671" w:rsidP="008B3AE9">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68">
    <w:p w:rsidR="00484671" w:rsidRDefault="00484671" w:rsidP="008B3AE9">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69">
    <w:p w:rsidR="00484671" w:rsidRDefault="00484671" w:rsidP="008B3AE9">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070">
    <w:p w:rsidR="00484671" w:rsidRDefault="00484671" w:rsidP="008B3AE9">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071">
    <w:p w:rsidR="00484671" w:rsidRDefault="00484671" w:rsidP="008B3AE9">
      <w:pPr>
        <w:pStyle w:val="FootnoteText"/>
      </w:pPr>
      <w:r>
        <w:rPr>
          <w:rStyle w:val="FootnoteReference"/>
        </w:rPr>
        <w:footnoteRef/>
      </w:r>
      <w:r>
        <w:tab/>
        <w:t xml:space="preserve">AusNet, AusNet Transmission Revised revenue proposal 2017-2022, 21 September 2016; </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27 March 2015, p. 7).</w:t>
      </w:r>
    </w:p>
  </w:footnote>
  <w:footnote w:id="1072">
    <w:p w:rsidR="00484671" w:rsidRDefault="00484671" w:rsidP="008B3AE9">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1073">
    <w:p w:rsidR="00484671" w:rsidRDefault="00484671" w:rsidP="008B3AE9">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002C24D6" w:rsidRPr="003C2547">
        <w:t xml:space="preserve">Table </w:t>
      </w:r>
      <w:r w:rsidR="002C24D6">
        <w:rPr>
          <w:noProof/>
        </w:rPr>
        <w:t>3</w:t>
      </w:r>
      <w:r w:rsidR="002C24D6">
        <w:noBreakHyphen/>
      </w:r>
      <w:r w:rsidR="002C24D6">
        <w:rPr>
          <w:noProof/>
        </w:rPr>
        <w:t>27</w:t>
      </w:r>
      <w:r>
        <w:fldChar w:fldCharType="end"/>
      </w:r>
      <w:r>
        <w:t xml:space="preserve"> capture the most recent report from each broker on each of the stated companies in this time period.</w:t>
      </w:r>
    </w:p>
  </w:footnote>
  <w:footnote w:id="1074">
    <w:p w:rsidR="00484671" w:rsidRDefault="00484671" w:rsidP="008B3AE9">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1075">
    <w:p w:rsidR="00484671" w:rsidRDefault="00484671" w:rsidP="008B3AE9">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1076">
    <w:p w:rsidR="00484671" w:rsidRDefault="00484671" w:rsidP="008B3AE9">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1077">
    <w:p w:rsidR="00484671" w:rsidRDefault="00484671" w:rsidP="008B3AE9">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078">
    <w:p w:rsidR="00484671" w:rsidRDefault="00484671" w:rsidP="008B3AE9">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79">
    <w:p w:rsidR="00484671" w:rsidRDefault="00484671" w:rsidP="008B3AE9">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6 January 2016, p</w:t>
      </w:r>
      <w:r>
        <w:t>p. 7</w:t>
      </w:r>
      <w:r w:rsidRPr="00273F0E">
        <w:t xml:space="preserve">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80">
    <w:p w:rsidR="00484671" w:rsidRDefault="00484671" w:rsidP="008B3AE9">
      <w:pPr>
        <w:pStyle w:val="FootnoteText"/>
      </w:pPr>
      <w:r>
        <w:rPr>
          <w:rStyle w:val="FootnoteReference"/>
        </w:rPr>
        <w:footnoteRef/>
      </w:r>
      <w:r>
        <w:t xml:space="preserve"> </w:t>
      </w:r>
      <w:r>
        <w:tab/>
      </w:r>
      <w:r w:rsidRPr="00B67D24">
        <w:rPr>
          <w:lang w:eastAsia="en-AU"/>
        </w:rPr>
        <w:t xml:space="preserve">Australian Competition and Consumer Commission, </w:t>
      </w:r>
      <w:r w:rsidRPr="002656D9">
        <w:rPr>
          <w:rStyle w:val="Emphasis"/>
        </w:rPr>
        <w:t>NBN Co Special Access Undertaking: Long Term Revenue Constraint Methodology 2014–15 - Draft Determination</w:t>
      </w:r>
      <w:r w:rsidRPr="00B67D24">
        <w:rPr>
          <w:lang w:eastAsia="en-AU"/>
        </w:rPr>
        <w:t>, March 2016</w:t>
      </w:r>
      <w:r w:rsidRPr="00B67D24">
        <w:t xml:space="preserve">; </w:t>
      </w:r>
      <w:r w:rsidRPr="00B67D24">
        <w:rPr>
          <w:lang w:eastAsia="en-AU"/>
        </w:rPr>
        <w:t xml:space="preserve">Essential Services Commission of Victoria, </w:t>
      </w:r>
      <w:r w:rsidRPr="002656D9">
        <w:rPr>
          <w:rStyle w:val="Emphasis"/>
        </w:rPr>
        <w:t>Melbourne Water Price Review 2016: Draft Decision</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Sydney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Hunter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Australian Competition and Consumer Commission, W</w:t>
      </w:r>
      <w:r w:rsidRPr="002656D9">
        <w:rPr>
          <w:rStyle w:val="Emphasis"/>
        </w:rPr>
        <w:t>aterNSW: Annual review of regulated charges 2016-17 - Draft decision</w:t>
      </w:r>
      <w:r w:rsidRPr="00B67D24">
        <w:rPr>
          <w:lang w:eastAsia="en-AU"/>
        </w:rPr>
        <w:t>,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Draft decision DBCT Management's 2015 draft access undertaking</w:t>
      </w:r>
      <w:r w:rsidRPr="00B67D24">
        <w:rPr>
          <w:lang w:eastAsia="en-AU"/>
        </w:rPr>
        <w:t>, 19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Final decision Aurizon Network 2014 Access Undertaking-Volume IV-Maximum allowable revenue</w:t>
      </w:r>
      <w:r w:rsidRPr="00B67D24">
        <w:rPr>
          <w:lang w:eastAsia="en-AU"/>
        </w:rPr>
        <w:t>, 28 April 2016</w:t>
      </w:r>
      <w:r w:rsidRPr="00B67D24">
        <w:t xml:space="preserve">; </w:t>
      </w:r>
      <w:r w:rsidRPr="00B67D24">
        <w:rPr>
          <w:lang w:eastAsia="en-AU"/>
        </w:rPr>
        <w:t xml:space="preserve">IPART, </w:t>
      </w:r>
      <w:r w:rsidRPr="002656D9">
        <w:rPr>
          <w:rStyle w:val="Emphasis"/>
        </w:rPr>
        <w:t>Weighted average cost of capital (WACC) Final report - information paper 10</w:t>
      </w:r>
      <w:r w:rsidRPr="00B67D24">
        <w:rPr>
          <w:lang w:eastAsia="en-AU"/>
        </w:rPr>
        <w:t>, 10 May 2016</w:t>
      </w:r>
      <w:r w:rsidRPr="00B67D24">
        <w:t xml:space="preserve">; </w:t>
      </w:r>
      <w:r w:rsidRPr="00B67D24">
        <w:rPr>
          <w:lang w:eastAsia="en-AU"/>
        </w:rPr>
        <w:t xml:space="preserve">Australian Competition and Consumer Commission, </w:t>
      </w:r>
      <w:r w:rsidRPr="002656D9">
        <w:rPr>
          <w:rStyle w:val="Emphasis"/>
        </w:rPr>
        <w:t>WaterNSW: Annual review of regulated charges 2016-17 -Final decision</w:t>
      </w:r>
      <w:r w:rsidRPr="00B67D24">
        <w:rPr>
          <w:lang w:eastAsia="en-AU"/>
        </w:rPr>
        <w:t>, May 2016</w:t>
      </w:r>
      <w:r w:rsidRPr="00B67D24">
        <w:t xml:space="preserve">; </w:t>
      </w:r>
      <w:r w:rsidRPr="00B67D24">
        <w:rPr>
          <w:lang w:eastAsia="en-AU"/>
        </w:rPr>
        <w:t xml:space="preserve">QCA, </w:t>
      </w:r>
      <w:r w:rsidRPr="002656D9">
        <w:rPr>
          <w:rStyle w:val="Emphasis"/>
        </w:rPr>
        <w:t>Regulated retail electricity prices for 2016-17, Final determination</w:t>
      </w:r>
      <w:r w:rsidRPr="00B67D24">
        <w:rPr>
          <w:lang w:eastAsia="en-AU"/>
        </w:rPr>
        <w:t>, 31 May 2016</w:t>
      </w:r>
      <w:r w:rsidRPr="00B67D24">
        <w:t xml:space="preserve">; </w:t>
      </w:r>
      <w:r w:rsidRPr="00B67D24">
        <w:rPr>
          <w:lang w:eastAsia="en-AU"/>
        </w:rPr>
        <w:t xml:space="preserve">ESCOSA, </w:t>
      </w:r>
      <w:r w:rsidRPr="002656D9">
        <w:rPr>
          <w:rStyle w:val="Emphasis"/>
        </w:rPr>
        <w:t>SA Water Regulatory Determination 2016 Final Decision</w:t>
      </w:r>
      <w:r w:rsidRPr="00B67D24">
        <w:rPr>
          <w:lang w:eastAsia="en-AU"/>
        </w:rPr>
        <w:t>, June 2016</w:t>
      </w:r>
      <w:r w:rsidRPr="00B67D24">
        <w:t xml:space="preserve">; </w:t>
      </w:r>
      <w:r w:rsidRPr="00B67D24">
        <w:rPr>
          <w:lang w:eastAsia="en-AU"/>
        </w:rPr>
        <w:t xml:space="preserve">IPART, </w:t>
      </w:r>
      <w:r w:rsidRPr="002656D9">
        <w:rPr>
          <w:rStyle w:val="Emphasis"/>
        </w:rPr>
        <w:t>Review of prices for the Water Administration Ministerial Corporation</w:t>
      </w:r>
      <w:r w:rsidRPr="00B67D24">
        <w:rPr>
          <w:lang w:eastAsia="en-AU"/>
        </w:rPr>
        <w:t>, 7 June 2016</w:t>
      </w:r>
      <w:r w:rsidRPr="00B67D24">
        <w:t xml:space="preserve">; </w:t>
      </w:r>
      <w:r w:rsidRPr="00B67D24">
        <w:rPr>
          <w:lang w:eastAsia="en-AU"/>
        </w:rPr>
        <w:t xml:space="preserve">IPART, </w:t>
      </w:r>
      <w:r w:rsidRPr="002656D9">
        <w:rPr>
          <w:rStyle w:val="Emphasis"/>
        </w:rPr>
        <w:t>Review of prices for Sydney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Hunter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WaterNSW, Final Report</w:t>
      </w:r>
      <w:r w:rsidRPr="00B67D24">
        <w:rPr>
          <w:lang w:eastAsia="en-AU"/>
        </w:rPr>
        <w:t>, 14 June 2016</w:t>
      </w:r>
      <w:r w:rsidRPr="00B67D24">
        <w:t xml:space="preserve">; </w:t>
      </w:r>
      <w:r w:rsidRPr="00B67D24">
        <w:rPr>
          <w:lang w:eastAsia="en-AU"/>
        </w:rPr>
        <w:t xml:space="preserve">ESCV, </w:t>
      </w:r>
      <w:r w:rsidRPr="002656D9">
        <w:rPr>
          <w:rStyle w:val="Emphasis"/>
        </w:rPr>
        <w:t>Goulbourn-Murray Water Price Review 2016</w:t>
      </w:r>
      <w:r w:rsidRPr="00B67D24">
        <w:rPr>
          <w:lang w:eastAsia="en-AU"/>
        </w:rPr>
        <w:t>, 16 June 2016</w:t>
      </w:r>
      <w:r w:rsidRPr="00B67D24">
        <w:t xml:space="preserve">; </w:t>
      </w:r>
      <w:r w:rsidRPr="00B67D24">
        <w:rPr>
          <w:lang w:eastAsia="en-AU"/>
        </w:rPr>
        <w:t xml:space="preserve">ESCV, </w:t>
      </w:r>
      <w:r w:rsidRPr="002656D9">
        <w:rPr>
          <w:rStyle w:val="Emphasis"/>
        </w:rPr>
        <w:t>Melbourne Water Price Review 2016 final decision</w:t>
      </w:r>
      <w:r w:rsidRPr="00B67D24">
        <w:rPr>
          <w:lang w:eastAsia="en-AU"/>
        </w:rPr>
        <w:t>, 16 June 2016</w:t>
      </w:r>
      <w:r w:rsidRPr="00B67D24">
        <w:t xml:space="preserve">; </w:t>
      </w:r>
      <w:r w:rsidRPr="00B67D24">
        <w:rPr>
          <w:lang w:eastAsia="en-AU"/>
        </w:rPr>
        <w:t xml:space="preserve">QCA, </w:t>
      </w:r>
      <w:r w:rsidRPr="002656D9">
        <w:rPr>
          <w:rStyle w:val="Emphasis"/>
        </w:rPr>
        <w:t>Queensland Rail's Draft Access Undertaking, Decision</w:t>
      </w:r>
      <w:r w:rsidRPr="00B67D24">
        <w:rPr>
          <w:lang w:eastAsia="en-AU"/>
        </w:rPr>
        <w:t>, 17 June 2016</w:t>
      </w:r>
      <w:r w:rsidRPr="00B67D24">
        <w:t xml:space="preserve">; </w:t>
      </w:r>
      <w:r w:rsidRPr="00B67D24">
        <w:rPr>
          <w:lang w:eastAsia="en-AU"/>
        </w:rPr>
        <w:t xml:space="preserve">ACCC, </w:t>
      </w:r>
      <w:r w:rsidRPr="002656D9">
        <w:rPr>
          <w:rStyle w:val="Emphasis"/>
        </w:rPr>
        <w:t>Australian Rail Track Corporation's application to vary the 2011 Hunter Valley Access Undertaking - extension of term</w:t>
      </w:r>
      <w:r w:rsidRPr="00B67D24">
        <w:rPr>
          <w:lang w:eastAsia="en-AU"/>
        </w:rPr>
        <w:t>, 22 June 2016</w:t>
      </w:r>
      <w:r w:rsidRPr="00B67D24">
        <w:t xml:space="preserve">; </w:t>
      </w:r>
      <w:r w:rsidRPr="00B67D24">
        <w:rPr>
          <w:lang w:eastAsia="en-AU"/>
        </w:rPr>
        <w:t xml:space="preserve">ERA, </w:t>
      </w:r>
      <w:r w:rsidRPr="002656D9">
        <w:rPr>
          <w:rStyle w:val="Emphasis"/>
        </w:rPr>
        <w:t>Final Decision on Proposed Revisions to the Access Arrangement for the Dampier to Bunbury Natural Gas Pipeline 2016 – 2020</w:t>
      </w:r>
      <w:r w:rsidRPr="00B67D24">
        <w:rPr>
          <w:lang w:eastAsia="en-AU"/>
        </w:rPr>
        <w:t>, Appendix 4 Rate of Return, 30 June 2016</w:t>
      </w:r>
      <w:r w:rsidRPr="00B67D24">
        <w:t xml:space="preserve">; </w:t>
      </w:r>
      <w:r w:rsidRPr="00B67D24">
        <w:rPr>
          <w:lang w:eastAsia="en-AU"/>
        </w:rPr>
        <w:t xml:space="preserve">ERA, </w:t>
      </w:r>
      <w:r w:rsidRPr="002656D9">
        <w:rPr>
          <w:rStyle w:val="Emphasis"/>
        </w:rPr>
        <w:t>Final Decision on Proposed Revisions to the Access Arrangement for the Goldfields Gas Pipeline</w:t>
      </w:r>
      <w:r w:rsidRPr="00B67D24">
        <w:rPr>
          <w:lang w:eastAsia="en-AU"/>
        </w:rPr>
        <w:t>, 30 June 2016</w:t>
      </w:r>
      <w:r w:rsidRPr="00B67D24">
        <w:t xml:space="preserve">; </w:t>
      </w:r>
      <w:r w:rsidRPr="00B67D24">
        <w:rPr>
          <w:lang w:eastAsia="en-AU"/>
        </w:rPr>
        <w:t xml:space="preserve">IPART, </w:t>
      </w:r>
      <w:r w:rsidRPr="002656D9">
        <w:rPr>
          <w:rStyle w:val="Emphasis"/>
        </w:rPr>
        <w:t>Maximum fees and charges for cruise ships in Sydney Harbour Draft decision</w:t>
      </w:r>
      <w:r w:rsidRPr="00B67D24">
        <w:rPr>
          <w:lang w:eastAsia="en-AU"/>
        </w:rPr>
        <w:t>, 26 July 2016</w:t>
      </w:r>
      <w:r w:rsidRPr="00B67D24">
        <w:t xml:space="preserve">; </w:t>
      </w:r>
      <w:r w:rsidRPr="00B67D24">
        <w:rPr>
          <w:lang w:eastAsia="en-AU"/>
        </w:rPr>
        <w:t xml:space="preserve">IPART, </w:t>
      </w:r>
      <w:r w:rsidRPr="002656D9">
        <w:rPr>
          <w:rStyle w:val="Emphasis"/>
        </w:rPr>
        <w:t>WACC biannual update</w:t>
      </w:r>
      <w:r w:rsidRPr="00B67D24">
        <w:rPr>
          <w:lang w:eastAsia="en-AU"/>
        </w:rPr>
        <w:t>, August 2016</w:t>
      </w:r>
      <w:r w:rsidRPr="00B67D24">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B67D24">
        <w:rPr>
          <w:lang w:eastAsia="en-AU"/>
        </w:rPr>
        <w:t xml:space="preserve">QCA, </w:t>
      </w:r>
      <w:r w:rsidRPr="002656D9">
        <w:rPr>
          <w:rStyle w:val="Emphasis"/>
        </w:rPr>
        <w:t>DBCT 2015 Draft Access Undertaking Final decision</w:t>
      </w:r>
      <w:r w:rsidRPr="00B67D24">
        <w:rPr>
          <w:lang w:eastAsia="en-AU"/>
        </w:rPr>
        <w:t>, 21 November 2016</w:t>
      </w:r>
      <w:r w:rsidRPr="00B67D24">
        <w:t xml:space="preserve">; </w:t>
      </w:r>
      <w:r w:rsidRPr="00B67D24">
        <w:rPr>
          <w:lang w:eastAsia="en-AU"/>
        </w:rPr>
        <w:t xml:space="preserve">IPART, </w:t>
      </w:r>
      <w:r w:rsidRPr="002656D9">
        <w:rPr>
          <w:rStyle w:val="Emphasis"/>
        </w:rPr>
        <w:t>Maximum fees and charges for cruise ships in Sydney Harbour Final decision</w:t>
      </w:r>
      <w:r w:rsidRPr="00B67D24">
        <w:rPr>
          <w:lang w:eastAsia="en-AU"/>
        </w:rPr>
        <w:t>, 25 November 2016</w:t>
      </w:r>
      <w:r>
        <w:t xml:space="preserve">; </w:t>
      </w:r>
      <w:r w:rsidRPr="00577909">
        <w:t xml:space="preserve">IPART, </w:t>
      </w:r>
      <w:r w:rsidRPr="00C20662">
        <w:rPr>
          <w:rStyle w:val="Emphasis"/>
        </w:rPr>
        <w:t>Review of Prices for Sydney desalination plant ltd</w:t>
      </w:r>
      <w:r>
        <w:t xml:space="preserve">, 1 March 2017; </w:t>
      </w:r>
      <w:r w:rsidRPr="00577909">
        <w:t xml:space="preserve">IPART, </w:t>
      </w:r>
      <w:r w:rsidRPr="00C20662">
        <w:rPr>
          <w:rStyle w:val="Emphasis"/>
        </w:rPr>
        <w:t>Review of Prices for rural bulk water services from 1 July 2017 to 30 June 2021</w:t>
      </w:r>
      <w:r>
        <w:t>, 1 March 2017</w:t>
      </w:r>
    </w:p>
  </w:footnote>
  <w:footnote w:id="1081">
    <w:p w:rsidR="00484671" w:rsidRDefault="00484671" w:rsidP="008B3AE9">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82">
    <w:p w:rsidR="00484671" w:rsidRDefault="00484671" w:rsidP="008B3AE9">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083">
    <w:p w:rsidR="00484671" w:rsidRDefault="00484671" w:rsidP="005661F5">
      <w:pPr>
        <w:pStyle w:val="FootnoteText"/>
      </w:pPr>
      <w:r>
        <w:rPr>
          <w:rStyle w:val="FootnoteReference"/>
        </w:rPr>
        <w:footnoteRef/>
      </w:r>
      <w:r>
        <w:t xml:space="preserve"> </w:t>
      </w:r>
      <w:r>
        <w:tab/>
      </w:r>
      <w:r w:rsidRPr="00977DEE">
        <w:rPr>
          <w:lang w:eastAsia="en-AU"/>
        </w:rPr>
        <w:t xml:space="preserve">Australian Competition and Consumer Commission, </w:t>
      </w:r>
      <w:r w:rsidRPr="002656D9">
        <w:rPr>
          <w:rStyle w:val="Emphasis"/>
        </w:rPr>
        <w:t>NBN Co Special Access Undertaking: Long Term Revenue Constraint Methodology 2014–15 - Draft Determination</w:t>
      </w:r>
      <w:r w:rsidRPr="00977DEE">
        <w:rPr>
          <w:lang w:eastAsia="en-AU"/>
        </w:rPr>
        <w:t>, March 2016</w:t>
      </w:r>
      <w:r w:rsidRPr="00977DEE">
        <w:t xml:space="preserve">; </w:t>
      </w:r>
      <w:r w:rsidRPr="00977DEE">
        <w:rPr>
          <w:lang w:eastAsia="en-AU"/>
        </w:rPr>
        <w:t xml:space="preserve">Essential Services Commission of Victoria, </w:t>
      </w:r>
      <w:r w:rsidRPr="002656D9">
        <w:rPr>
          <w:rStyle w:val="Emphasis"/>
        </w:rPr>
        <w:t>Melbourne Water Price Review 2016: Draft Decision</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Sydney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Hunter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WaterNSW from 1 July 2016 to 30 June 2020 - Draft report</w:t>
      </w:r>
      <w:r w:rsidRPr="00977DEE">
        <w:rPr>
          <w:lang w:eastAsia="en-AU"/>
        </w:rPr>
        <w:t>, March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 Draft decision</w:t>
      </w:r>
      <w:r w:rsidRPr="00977DEE">
        <w:rPr>
          <w:lang w:eastAsia="en-AU"/>
        </w:rPr>
        <w:t>,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Draft decision DBCT Management's 2015 draft access undertaking</w:t>
      </w:r>
      <w:r w:rsidRPr="00977DEE">
        <w:rPr>
          <w:lang w:eastAsia="en-AU"/>
        </w:rPr>
        <w:t>, 19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Final decision Aurizon Network 2014 Access Undertaking-Volume IV-Maximum allowable revenue</w:t>
      </w:r>
      <w:r w:rsidRPr="00977DEE">
        <w:rPr>
          <w:lang w:eastAsia="en-AU"/>
        </w:rPr>
        <w:t>, 28 April 2016</w:t>
      </w:r>
      <w:r w:rsidRPr="00977DEE">
        <w:t xml:space="preserve">; </w:t>
      </w:r>
      <w:r w:rsidRPr="00977DEE">
        <w:rPr>
          <w:lang w:eastAsia="en-AU"/>
        </w:rPr>
        <w:t xml:space="preserve">IPART, </w:t>
      </w:r>
      <w:r w:rsidRPr="002656D9">
        <w:rPr>
          <w:rStyle w:val="Emphasis"/>
        </w:rPr>
        <w:t>Weighted average cost of capital (WACC) Final report - information paper 10</w:t>
      </w:r>
      <w:r w:rsidRPr="00977DEE">
        <w:rPr>
          <w:lang w:eastAsia="en-AU"/>
        </w:rPr>
        <w:t>, 10 May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2016-17 -Final decision</w:t>
      </w:r>
      <w:r w:rsidRPr="00977DEE">
        <w:rPr>
          <w:lang w:eastAsia="en-AU"/>
        </w:rPr>
        <w:t>, May 2016</w:t>
      </w:r>
      <w:r w:rsidRPr="00977DEE">
        <w:t xml:space="preserve">; </w:t>
      </w:r>
      <w:r w:rsidRPr="00977DEE">
        <w:rPr>
          <w:lang w:eastAsia="en-AU"/>
        </w:rPr>
        <w:t xml:space="preserve">QCA, </w:t>
      </w:r>
      <w:r w:rsidRPr="002656D9">
        <w:rPr>
          <w:rStyle w:val="Emphasis"/>
        </w:rPr>
        <w:t>Regulated retail electricity prices for 2016-17, Final determination</w:t>
      </w:r>
      <w:r w:rsidRPr="00977DEE">
        <w:rPr>
          <w:lang w:eastAsia="en-AU"/>
        </w:rPr>
        <w:t>, 31 May 2016</w:t>
      </w:r>
      <w:r w:rsidRPr="00977DEE">
        <w:t xml:space="preserve">; </w:t>
      </w:r>
      <w:r w:rsidRPr="00977DEE">
        <w:rPr>
          <w:lang w:eastAsia="en-AU"/>
        </w:rPr>
        <w:t xml:space="preserve">ESCOSA, </w:t>
      </w:r>
      <w:r w:rsidRPr="002656D9">
        <w:rPr>
          <w:rStyle w:val="Emphasis"/>
        </w:rPr>
        <w:t>SA Water Regulatory Determination 2016 Final Decision</w:t>
      </w:r>
      <w:r w:rsidRPr="00977DEE">
        <w:rPr>
          <w:lang w:eastAsia="en-AU"/>
        </w:rPr>
        <w:t>, June 2016</w:t>
      </w:r>
      <w:r w:rsidRPr="00977DEE">
        <w:t xml:space="preserve">; </w:t>
      </w:r>
      <w:r w:rsidRPr="00977DEE">
        <w:rPr>
          <w:lang w:eastAsia="en-AU"/>
        </w:rPr>
        <w:t xml:space="preserve">IPART, </w:t>
      </w:r>
      <w:r w:rsidRPr="002656D9">
        <w:rPr>
          <w:rStyle w:val="Emphasis"/>
        </w:rPr>
        <w:t>Review of prices for the Water Administration Ministerial Corporation</w:t>
      </w:r>
      <w:r w:rsidRPr="00977DEE">
        <w:rPr>
          <w:lang w:eastAsia="en-AU"/>
        </w:rPr>
        <w:t>, 7 June 2016</w:t>
      </w:r>
      <w:r w:rsidRPr="00977DEE">
        <w:t xml:space="preserve">; </w:t>
      </w:r>
      <w:r w:rsidRPr="00977DEE">
        <w:rPr>
          <w:lang w:eastAsia="en-AU"/>
        </w:rPr>
        <w:t xml:space="preserve">IPART, </w:t>
      </w:r>
      <w:r w:rsidRPr="002656D9">
        <w:rPr>
          <w:rStyle w:val="Emphasis"/>
        </w:rPr>
        <w:t>Review of prices for Sydney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Hunter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WaterNSW, Final Report</w:t>
      </w:r>
      <w:r w:rsidRPr="00977DEE">
        <w:rPr>
          <w:lang w:eastAsia="en-AU"/>
        </w:rPr>
        <w:t>, 14 June 2016</w:t>
      </w:r>
      <w:r w:rsidRPr="00977DEE">
        <w:t xml:space="preserve">; </w:t>
      </w:r>
      <w:r w:rsidRPr="00977DEE">
        <w:rPr>
          <w:lang w:eastAsia="en-AU"/>
        </w:rPr>
        <w:t xml:space="preserve">ESCV, </w:t>
      </w:r>
      <w:r w:rsidRPr="002656D9">
        <w:rPr>
          <w:rStyle w:val="Emphasis"/>
        </w:rPr>
        <w:t>Goulbourn-Murray Water Price Review 2016</w:t>
      </w:r>
      <w:r w:rsidRPr="00977DEE">
        <w:rPr>
          <w:lang w:eastAsia="en-AU"/>
        </w:rPr>
        <w:t>, 16 June 2016</w:t>
      </w:r>
      <w:r w:rsidRPr="00977DEE">
        <w:t xml:space="preserve">; </w:t>
      </w:r>
      <w:r w:rsidRPr="00977DEE">
        <w:rPr>
          <w:lang w:eastAsia="en-AU"/>
        </w:rPr>
        <w:t xml:space="preserve">ESCV, </w:t>
      </w:r>
      <w:r w:rsidRPr="002656D9">
        <w:rPr>
          <w:rStyle w:val="Emphasis"/>
        </w:rPr>
        <w:t>Melbourne Water Price Review 2016 final decision</w:t>
      </w:r>
      <w:r w:rsidRPr="00977DEE">
        <w:rPr>
          <w:lang w:eastAsia="en-AU"/>
        </w:rPr>
        <w:t>, 16 June 2016</w:t>
      </w:r>
      <w:r w:rsidRPr="00977DEE">
        <w:t xml:space="preserve">; </w:t>
      </w:r>
      <w:r w:rsidRPr="00977DEE">
        <w:rPr>
          <w:lang w:eastAsia="en-AU"/>
        </w:rPr>
        <w:t xml:space="preserve">QCA, </w:t>
      </w:r>
      <w:r w:rsidRPr="002656D9">
        <w:rPr>
          <w:rStyle w:val="Emphasis"/>
        </w:rPr>
        <w:t>Queensland Rail's Draft Access Undertaking, Decision</w:t>
      </w:r>
      <w:r w:rsidRPr="00977DEE">
        <w:rPr>
          <w:lang w:eastAsia="en-AU"/>
        </w:rPr>
        <w:t>, 17 June 2016</w:t>
      </w:r>
      <w:r w:rsidRPr="00977DEE">
        <w:t xml:space="preserve">; </w:t>
      </w:r>
      <w:r w:rsidRPr="00977DEE">
        <w:rPr>
          <w:lang w:eastAsia="en-AU"/>
        </w:rPr>
        <w:t xml:space="preserve">ACCC, </w:t>
      </w:r>
      <w:r w:rsidRPr="002656D9">
        <w:rPr>
          <w:rStyle w:val="Emphasis"/>
        </w:rPr>
        <w:t>Australian Rail Track Corporation's application to vary the 2011 Hunter Valley Access Undertaking - extension of term</w:t>
      </w:r>
      <w:r w:rsidRPr="00977DEE">
        <w:rPr>
          <w:lang w:eastAsia="en-AU"/>
        </w:rPr>
        <w:t>, 22 June 2016</w:t>
      </w:r>
      <w:r w:rsidRPr="00977DEE">
        <w:t xml:space="preserve">; </w:t>
      </w:r>
      <w:r w:rsidRPr="00977DEE">
        <w:rPr>
          <w:lang w:eastAsia="en-AU"/>
        </w:rPr>
        <w:t xml:space="preserve">ERA, </w:t>
      </w:r>
      <w:r w:rsidRPr="002656D9">
        <w:rPr>
          <w:rStyle w:val="Emphasis"/>
        </w:rPr>
        <w:t>Final Decision on Proposed Revisions to the Access Arrangement for the Dampier to Bunbury Natural Gas Pipeline 2016 – 2020</w:t>
      </w:r>
      <w:r w:rsidRPr="00977DEE">
        <w:rPr>
          <w:lang w:eastAsia="en-AU"/>
        </w:rPr>
        <w:t>, Appendix 4 Rate of Return, 30 June 2016</w:t>
      </w:r>
      <w:r w:rsidRPr="00977DEE">
        <w:t xml:space="preserve">; </w:t>
      </w:r>
      <w:r w:rsidRPr="00977DEE">
        <w:rPr>
          <w:lang w:eastAsia="en-AU"/>
        </w:rPr>
        <w:t xml:space="preserve">ERA, </w:t>
      </w:r>
      <w:r w:rsidRPr="002656D9">
        <w:rPr>
          <w:rStyle w:val="Emphasis"/>
        </w:rPr>
        <w:t>Final Decision on Proposed Revisions to the Access Arrangement for the Goldfields Gas Pipeline</w:t>
      </w:r>
      <w:r w:rsidRPr="00977DEE">
        <w:rPr>
          <w:lang w:eastAsia="en-AU"/>
        </w:rPr>
        <w:t>, 30 June 2016</w:t>
      </w:r>
      <w:r w:rsidRPr="00977DEE">
        <w:t xml:space="preserve">; </w:t>
      </w:r>
      <w:r w:rsidRPr="00977DEE">
        <w:rPr>
          <w:lang w:eastAsia="en-AU"/>
        </w:rPr>
        <w:t xml:space="preserve">IPART, </w:t>
      </w:r>
      <w:r w:rsidRPr="002656D9">
        <w:rPr>
          <w:rStyle w:val="Emphasis"/>
        </w:rPr>
        <w:t>Maximum fees and charges for cruise ships in Sydney Harbour Draft decision</w:t>
      </w:r>
      <w:r w:rsidRPr="00977DEE">
        <w:rPr>
          <w:lang w:eastAsia="en-AU"/>
        </w:rPr>
        <w:t>, 26 July 2016</w:t>
      </w:r>
      <w:r w:rsidRPr="00977DEE">
        <w:t xml:space="preserve">; </w:t>
      </w:r>
      <w:r w:rsidRPr="00977DEE">
        <w:rPr>
          <w:lang w:eastAsia="en-AU"/>
        </w:rPr>
        <w:t xml:space="preserve">IPART, </w:t>
      </w:r>
      <w:r w:rsidRPr="002656D9">
        <w:rPr>
          <w:rStyle w:val="Emphasis"/>
        </w:rPr>
        <w:t>WACC biannual update</w:t>
      </w:r>
      <w:r w:rsidRPr="00977DEE">
        <w:rPr>
          <w:lang w:eastAsia="en-AU"/>
        </w:rPr>
        <w:t>, August 2016</w:t>
      </w:r>
      <w:r w:rsidRPr="00977DEE">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977DEE">
        <w:rPr>
          <w:lang w:eastAsia="en-AU"/>
        </w:rPr>
        <w:t xml:space="preserve">QCA, </w:t>
      </w:r>
      <w:r w:rsidRPr="002656D9">
        <w:rPr>
          <w:rStyle w:val="Emphasis"/>
        </w:rPr>
        <w:t>DBCT 2015 Draft Access Undertaking Final decision</w:t>
      </w:r>
      <w:r w:rsidRPr="00977DEE">
        <w:rPr>
          <w:lang w:eastAsia="en-AU"/>
        </w:rPr>
        <w:t>, 21 November 2016</w:t>
      </w:r>
      <w:r w:rsidRPr="00977DEE">
        <w:t xml:space="preserve">; </w:t>
      </w:r>
      <w:r w:rsidRPr="00977DEE">
        <w:rPr>
          <w:lang w:eastAsia="en-AU"/>
        </w:rPr>
        <w:t xml:space="preserve">IPART, </w:t>
      </w:r>
      <w:r w:rsidRPr="002656D9">
        <w:rPr>
          <w:rStyle w:val="Emphasis"/>
        </w:rPr>
        <w:t>Maximum fees and charges for cruise ships in Sydney Harbour Final decision</w:t>
      </w:r>
      <w:r w:rsidRPr="00977DEE">
        <w:rPr>
          <w:lang w:eastAsia="en-AU"/>
        </w:rPr>
        <w:t>, 25 November 2016</w:t>
      </w:r>
      <w:r>
        <w:t>;</w:t>
      </w:r>
      <w:r w:rsidRPr="00812C28">
        <w:t xml:space="preserve"> IPART, </w:t>
      </w:r>
      <w:r w:rsidRPr="00812C28">
        <w:rPr>
          <w:rStyle w:val="Emphasis"/>
        </w:rPr>
        <w:t>Review of Prices for Sydney desalination plant ltd</w:t>
      </w:r>
      <w:r w:rsidRPr="00812C28">
        <w:t xml:space="preserve">, 1 March 2017; IPART, </w:t>
      </w:r>
      <w:r w:rsidRPr="00812C28">
        <w:rPr>
          <w:rStyle w:val="Emphasis"/>
        </w:rPr>
        <w:t>Review of Prices for rural bulk water services from 1 July 2017 to 30 June 2021</w:t>
      </w:r>
      <w:r w:rsidRPr="00812C28">
        <w:t>, 1 March 2017</w:t>
      </w:r>
    </w:p>
  </w:footnote>
  <w:footnote w:id="1084">
    <w:p w:rsidR="00484671" w:rsidRDefault="00484671" w:rsidP="005661F5">
      <w:pPr>
        <w:pStyle w:val="FootnoteText"/>
      </w:pPr>
      <w:r>
        <w:rPr>
          <w:rStyle w:val="FootnoteReference"/>
        </w:rPr>
        <w:footnoteRef/>
      </w:r>
      <w:r>
        <w:t xml:space="preserve"> </w:t>
      </w:r>
      <w:r>
        <w:tab/>
        <w:t xml:space="preserve">CitiPower, </w:t>
      </w:r>
      <w:r>
        <w:rPr>
          <w:rStyle w:val="Emphasis"/>
        </w:rPr>
        <w:t>Revised regulatory proposal 2016–2020</w:t>
      </w:r>
      <w:r>
        <w:t xml:space="preserve">, January 2016, pp. 307, 316; Powercor, </w:t>
      </w:r>
      <w:r>
        <w:rPr>
          <w:rStyle w:val="AERtextitalic"/>
        </w:rPr>
        <w:t>Revised regulatory proposal 2016–2020</w:t>
      </w:r>
      <w:r>
        <w:t xml:space="preserve">, January  2016, pp. 301, 310; ActewAGL, </w:t>
      </w:r>
      <w:r>
        <w:rPr>
          <w:rStyle w:val="Emphasis"/>
        </w:rPr>
        <w:t>Revised 2016–21 access arrangement proposal Response to the AER's draft decision, Appendix 5.01 Detailed response to rate of return, gamma and inflation</w:t>
      </w:r>
      <w:r>
        <w:t xml:space="preserve">, January 2016, pp. 73–74, 83–84; United Energy, </w:t>
      </w:r>
      <w:r>
        <w:rPr>
          <w:rStyle w:val="Emphasis"/>
        </w:rPr>
        <w:t>Response to AER preliminary determination–Re: rate of return and gamma</w:t>
      </w:r>
      <w:r>
        <w:t xml:space="preserve">, 6 January 2016, pp. 53–54,61–62; AGN, </w:t>
      </w:r>
      <w:r>
        <w:rPr>
          <w:rStyle w:val="Emphasis"/>
        </w:rPr>
        <w:t>2016–17 to 2020/21 Access Arrangement information response to draft decision: Attachment 10.26 Response to draft decision: rate of return</w:t>
      </w:r>
      <w:r>
        <w:t xml:space="preserve">, January 2016, pp. 67 ; JEN (Vic), </w:t>
      </w:r>
      <w:r>
        <w:rPr>
          <w:rStyle w:val="Emphasis"/>
        </w:rPr>
        <w:t>2016–20 Electricity distribution price review regulatory proposal revocation and substitution submission: Attachment 6–1 Rate of return, gamma, forecast inflation, and debt and equity raising costs,</w:t>
      </w:r>
      <w:r>
        <w:t xml:space="preserve"> 6 January 2016, pp. 58–59, 67–68; AusNet Services, </w:t>
      </w:r>
      <w:r>
        <w:rPr>
          <w:rStyle w:val="Emphasis"/>
        </w:rPr>
        <w:t>Electricity distribution price review 2016–20 Revised regulatory proposal: Chapter 7 Rate of return &amp; gamma</w:t>
      </w:r>
      <w:r>
        <w:t>, 6 January 2016, pp. 53, 70–73.</w:t>
      </w:r>
    </w:p>
  </w:footnote>
  <w:footnote w:id="1085">
    <w:p w:rsidR="00484671" w:rsidRDefault="00484671" w:rsidP="005661F5">
      <w:pPr>
        <w:pStyle w:val="FootnoteText"/>
      </w:pPr>
      <w:r>
        <w:rPr>
          <w:rStyle w:val="FootnoteReference"/>
        </w:rPr>
        <w:footnoteRef/>
      </w:r>
      <w:r>
        <w:t xml:space="preserve"> </w:t>
      </w:r>
      <w:r>
        <w:tab/>
        <w:t xml:space="preserve">HoustonKemp, </w:t>
      </w:r>
      <w:r>
        <w:rPr>
          <w:rStyle w:val="AERtextitalic"/>
        </w:rPr>
        <w:t>The cost of equity: Response to the AER's draft decisions for the Victorian electricity distributors, ActewAGL Distribution and Australian Gas Networks</w:t>
      </w:r>
      <w:r>
        <w:t xml:space="preserve">, January 2016, pp. xiii–xiv. </w:t>
      </w:r>
    </w:p>
  </w:footnote>
  <w:footnote w:id="1086">
    <w:p w:rsidR="00484671" w:rsidRDefault="00484671" w:rsidP="005661F5">
      <w:pPr>
        <w:pStyle w:val="FootnoteText"/>
      </w:pPr>
      <w:r>
        <w:rPr>
          <w:rStyle w:val="FootnoteReference"/>
        </w:rPr>
        <w:footnoteRef/>
      </w:r>
      <w:r>
        <w:t xml:space="preserve"> </w:t>
      </w:r>
      <w:r>
        <w:tab/>
        <w:t xml:space="preserve">Partington, </w:t>
      </w:r>
      <w:r>
        <w:rPr>
          <w:rStyle w:val="AERtextitalic"/>
        </w:rPr>
        <w:t>Report to the AER: Return on equity (Updated)</w:t>
      </w:r>
      <w:r>
        <w:t xml:space="preserve">, April 2015, p. 28; Partington &amp; Satchell, </w:t>
      </w:r>
      <w:r>
        <w:rPr>
          <w:rStyle w:val="AERtextitalic"/>
        </w:rPr>
        <w:t>Report to the AER: Analysis of criticism of 2015 determinations</w:t>
      </w:r>
      <w:r>
        <w:t>, October 2015, p. 36.</w:t>
      </w:r>
    </w:p>
  </w:footnote>
  <w:footnote w:id="1087">
    <w:p w:rsidR="00484671" w:rsidRDefault="00484671" w:rsidP="0035222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88">
    <w:p w:rsidR="00484671" w:rsidRDefault="00484671" w:rsidP="001537E5">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6; AusNet Services, </w:t>
      </w:r>
      <w:r w:rsidRPr="000C05A5">
        <w:rPr>
          <w:rStyle w:val="AERtextitalic"/>
        </w:rPr>
        <w:t>Gas Access Arrangement Review 2018–2022: Access Arrangement Information</w:t>
      </w:r>
      <w:r>
        <w:t xml:space="preserve">, 16 December 2016, p. 202; AGN, </w:t>
      </w:r>
      <w:r w:rsidRPr="001D7859">
        <w:rPr>
          <w:rStyle w:val="AERtextitalic"/>
        </w:rPr>
        <w:t xml:space="preserve">Final Plan </w:t>
      </w:r>
      <w:r>
        <w:rPr>
          <w:rStyle w:val="AERtextitalic"/>
        </w:rPr>
        <w:t>Access arrangement information for our Victorian and Albury natural gas distribution networks: 2018 to 2022–</w:t>
      </w:r>
      <w:r w:rsidRPr="001D7859">
        <w:rPr>
          <w:rStyle w:val="AERtextitalic"/>
        </w:rPr>
        <w:t>Attachment 10.1: Financing Costs</w:t>
      </w:r>
      <w:r>
        <w:t>, December 2016,  pp. 5, 17..</w:t>
      </w:r>
    </w:p>
  </w:footnote>
  <w:footnote w:id="1089">
    <w:p w:rsidR="00484671" w:rsidRDefault="00484671" w:rsidP="00352220">
      <w:pPr>
        <w:pStyle w:val="FootnoteText"/>
      </w:pPr>
      <w:r>
        <w:rPr>
          <w:rStyle w:val="FootnoteReference"/>
        </w:rPr>
        <w:footnoteRef/>
      </w:r>
      <w:r>
        <w:t xml:space="preserve"> </w:t>
      </w:r>
      <w:r>
        <w:tab/>
        <w:t xml:space="preserve">AusNet submitted a September 2016 version of the report: CEG, </w:t>
      </w:r>
      <w:r w:rsidRPr="006E5878">
        <w:rPr>
          <w:rStyle w:val="AERtextitalic"/>
        </w:rPr>
        <w:t>Replication and extension of Henry’s beta analysis</w:t>
      </w:r>
      <w:r>
        <w:t xml:space="preserve">, 21 September 2016. Multinet submitted a November 2016 version of the report: CEG, </w:t>
      </w:r>
      <w:r w:rsidRPr="006E5878">
        <w:rPr>
          <w:rStyle w:val="AERtextitalic"/>
        </w:rPr>
        <w:t>Replication and extension of Henry’s beta analysis</w:t>
      </w:r>
      <w:r>
        <w:t xml:space="preserve">, November 2016 </w:t>
      </w:r>
    </w:p>
  </w:footnote>
  <w:footnote w:id="1090">
    <w:p w:rsidR="00484671" w:rsidRDefault="00484671" w:rsidP="00FD0D38">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1091">
    <w:p w:rsidR="00484671" w:rsidRDefault="00484671" w:rsidP="0035222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92">
    <w:p w:rsidR="00484671" w:rsidRDefault="00484671" w:rsidP="0035222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93">
    <w:p w:rsidR="00484671" w:rsidRDefault="00484671" w:rsidP="0035222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94">
    <w:p w:rsidR="00484671" w:rsidRDefault="00484671" w:rsidP="0035222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p>
  </w:footnote>
  <w:footnote w:id="1095">
    <w:p w:rsidR="00484671" w:rsidRDefault="00484671" w:rsidP="00352220">
      <w:pPr>
        <w:pStyle w:val="FootnoteText"/>
      </w:pPr>
      <w:r>
        <w:rPr>
          <w:rStyle w:val="FootnoteReference"/>
        </w:rPr>
        <w:footnoteRef/>
      </w:r>
      <w:r>
        <w:t xml:space="preserve"> </w:t>
      </w:r>
      <w:r>
        <w:tab/>
        <w:t>R</w:t>
      </w:r>
      <w:r w:rsidRPr="00D20501">
        <w:t>aw equity beta estimates are those that are observed from the initial regression</w:t>
      </w:r>
    </w:p>
  </w:footnote>
  <w:footnote w:id="1096">
    <w:p w:rsidR="00484671" w:rsidRDefault="00484671" w:rsidP="0035222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97">
    <w:p w:rsidR="00484671" w:rsidRDefault="00484671" w:rsidP="0035222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98">
    <w:p w:rsidR="00484671" w:rsidRDefault="00484671" w:rsidP="0035222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99">
    <w:p w:rsidR="00484671" w:rsidRDefault="00484671" w:rsidP="0035222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100">
    <w:p w:rsidR="00484671" w:rsidRDefault="00484671" w:rsidP="0035222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101">
    <w:p w:rsidR="00484671" w:rsidRDefault="00484671" w:rsidP="0035222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02">
    <w:p w:rsidR="00484671" w:rsidRDefault="00484671" w:rsidP="0035222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03">
    <w:p w:rsidR="00484671" w:rsidRDefault="00484671" w:rsidP="0035222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04">
    <w:p w:rsidR="00484671" w:rsidRDefault="00484671" w:rsidP="0035222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105">
    <w:p w:rsidR="00484671" w:rsidRDefault="00484671" w:rsidP="00352220">
      <w:pPr>
        <w:pStyle w:val="FootnoteText"/>
      </w:pPr>
      <w:r>
        <w:rPr>
          <w:rStyle w:val="FootnoteReference"/>
        </w:rPr>
        <w:footnoteRef/>
      </w:r>
      <w:r>
        <w:t xml:space="preserve"> </w:t>
      </w:r>
      <w:r>
        <w:tab/>
        <w:t>A</w:t>
      </w:r>
      <w:r w:rsidRPr="00354781">
        <w:t xml:space="preserve">s set out in section D.2.2 of Attachment 3 to </w:t>
      </w:r>
      <w:r>
        <w:t>AusNet Services'</w:t>
      </w:r>
      <w:r w:rsidRPr="00354781">
        <w:t xml:space="preserve"> preliminary decision</w:t>
      </w:r>
      <w:r>
        <w:t>.</w:t>
      </w:r>
    </w:p>
  </w:footnote>
  <w:footnote w:id="1106">
    <w:p w:rsidR="00484671" w:rsidRDefault="00484671" w:rsidP="0035222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xml:space="preserve">, April 2014; SFG, </w:t>
      </w:r>
      <w:r w:rsidRPr="00B85B84">
        <w:rPr>
          <w:i/>
        </w:rPr>
        <w:t>Beta and the Black capital asset pricing model</w:t>
      </w:r>
      <w:r>
        <w:t xml:space="preserve">, 13 February, 2015; ERA, </w:t>
      </w:r>
      <w:r w:rsidRPr="006E5878">
        <w:rPr>
          <w:rStyle w:val="AERtextitalic"/>
        </w:rPr>
        <w:t>Draft decision on proposed revisions to the Access Arrangement for the Dampier to Bunbury Natural Gas Pipeline 2016–2020: Appendix 4 Rate of Return</w:t>
      </w:r>
      <w:r w:rsidRPr="00672B79">
        <w:t xml:space="preserve">, </w:t>
      </w:r>
      <w:r>
        <w:t xml:space="preserve">22 December 2015, p.192; ERA, </w:t>
      </w:r>
      <w:r w:rsidRPr="006E5878">
        <w:rPr>
          <w:rStyle w:val="AERtextitalic"/>
        </w:rPr>
        <w:t>Final decision on proposed revisions to the Access Arrangement for the Dampier to Bunbury Natural Gas Pipeline 2016–2020: Appendix 4 Rate of Return</w:t>
      </w:r>
      <w:r>
        <w:t xml:space="preserve">, 30 June 2016, p. 193; CEG, </w:t>
      </w:r>
      <w:r w:rsidRPr="00B85B84">
        <w:rPr>
          <w:i/>
        </w:rPr>
        <w:t>Replication and extension of Henry’s beta analysis</w:t>
      </w:r>
      <w:r>
        <w:t>, September 2016, pp. 7, 9, 15, 20-1;</w:t>
      </w:r>
    </w:p>
  </w:footnote>
  <w:footnote w:id="1107">
    <w:p w:rsidR="00484671" w:rsidRDefault="00484671" w:rsidP="00352220">
      <w:pPr>
        <w:pStyle w:val="FootnoteText"/>
      </w:pPr>
      <w:r>
        <w:rPr>
          <w:rStyle w:val="FootnoteReference"/>
        </w:rPr>
        <w:footnoteRef/>
      </w:r>
      <w:r>
        <w:t xml:space="preserve"> </w:t>
      </w:r>
      <w:r>
        <w:tab/>
        <w:t xml:space="preserve">CEG, </w:t>
      </w:r>
      <w:r w:rsidRPr="000C309D">
        <w:rPr>
          <w:i/>
        </w:rPr>
        <w:t>Replication and extension of Henry’s beta analysis</w:t>
      </w:r>
      <w:r>
        <w:t>, 21 September 2016.</w:t>
      </w:r>
    </w:p>
  </w:footnote>
  <w:footnote w:id="1108">
    <w:p w:rsidR="00484671" w:rsidRDefault="00484671">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November 2016.</w:t>
      </w:r>
    </w:p>
  </w:footnote>
  <w:footnote w:id="1109">
    <w:p w:rsidR="00484671" w:rsidRDefault="00484671" w:rsidP="00114468">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21 September 2016.</w:t>
      </w:r>
    </w:p>
  </w:footnote>
  <w:footnote w:id="1110">
    <w:p w:rsidR="00484671" w:rsidRDefault="00484671">
      <w:pPr>
        <w:pStyle w:val="FootnoteText"/>
      </w:pPr>
      <w:r>
        <w:rPr>
          <w:rStyle w:val="FootnoteReference"/>
        </w:rPr>
        <w:footnoteRef/>
      </w:r>
      <w:r>
        <w:t xml:space="preserve"> </w:t>
      </w:r>
      <w:r>
        <w:tab/>
        <w:t xml:space="preserve">CEG, </w:t>
      </w:r>
      <w:r w:rsidRPr="005C0523">
        <w:rPr>
          <w:rStyle w:val="AERtextitalic"/>
        </w:rPr>
        <w:t>Replication and extension of Henry’s beta analysis</w:t>
      </w:r>
      <w:r>
        <w:t>, November 2016.</w:t>
      </w:r>
    </w:p>
  </w:footnote>
  <w:footnote w:id="1111">
    <w:p w:rsidR="00484671" w:rsidRDefault="0048467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 21 September 2016,   p. 7.</w:t>
      </w:r>
    </w:p>
  </w:footnote>
  <w:footnote w:id="1112">
    <w:p w:rsidR="00484671" w:rsidRDefault="00484671" w:rsidP="006C5D3A">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pp. 11–12.</w:t>
      </w:r>
    </w:p>
  </w:footnote>
  <w:footnote w:id="1113">
    <w:p w:rsidR="00484671" w:rsidRDefault="00484671" w:rsidP="00692747">
      <w:pPr>
        <w:pStyle w:val="FootnoteText"/>
      </w:pPr>
      <w:r>
        <w:rPr>
          <w:rStyle w:val="FootnoteReference"/>
        </w:rPr>
        <w:footnoteRef/>
      </w:r>
      <w:r>
        <w:t xml:space="preserve"> </w:t>
      </w:r>
      <w:r>
        <w:tab/>
        <w:t xml:space="preserve">CEG, </w:t>
      </w:r>
      <w:r w:rsidRPr="00A609AC">
        <w:rPr>
          <w:i/>
        </w:rPr>
        <w:t>Replication and extension of Henry’s beta analysis</w:t>
      </w:r>
      <w:r>
        <w:t>, 21 September 2016,   p. 10.</w:t>
      </w:r>
    </w:p>
  </w:footnote>
  <w:footnote w:id="1114">
    <w:p w:rsidR="00484671" w:rsidRDefault="00484671" w:rsidP="006C5D3A">
      <w:pPr>
        <w:pStyle w:val="FootnoteText"/>
      </w:pPr>
      <w:r>
        <w:rPr>
          <w:rStyle w:val="FootnoteReference"/>
        </w:rPr>
        <w:footnoteRef/>
      </w:r>
      <w:r>
        <w:t xml:space="preserve"> </w:t>
      </w:r>
      <w:r>
        <w:tab/>
        <w:t xml:space="preserve">CEG, </w:t>
      </w:r>
      <w:r w:rsidRPr="00A609AC">
        <w:rPr>
          <w:i/>
        </w:rPr>
        <w:t>Replication and extension of Henry’s beta analysis</w:t>
      </w:r>
      <w:r>
        <w:t>, 21 September 2016,   p. 12.</w:t>
      </w:r>
    </w:p>
  </w:footnote>
  <w:footnote w:id="1115">
    <w:p w:rsidR="00484671" w:rsidRDefault="0048467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9.</w:t>
      </w:r>
    </w:p>
  </w:footnote>
  <w:footnote w:id="1116">
    <w:p w:rsidR="00484671" w:rsidRDefault="00484671" w:rsidP="00DA5217">
      <w:pPr>
        <w:pStyle w:val="FootnoteText"/>
      </w:pPr>
      <w:r>
        <w:rPr>
          <w:rStyle w:val="FootnoteReference"/>
        </w:rPr>
        <w:footnoteRef/>
      </w:r>
      <w:r>
        <w:t xml:space="preserve"> </w:t>
      </w:r>
      <w:r>
        <w:tab/>
        <w:t xml:space="preserve">AER, </w:t>
      </w:r>
      <w:r w:rsidRPr="005C0523">
        <w:rPr>
          <w:rStyle w:val="AERtextitalic"/>
        </w:rPr>
        <w:t>Better Regualtion Explanatory Statement Rate of Return Guideline (Appendices),</w:t>
      </w:r>
      <w:r>
        <w:t xml:space="preserve"> December 2013, p. 49.</w:t>
      </w:r>
    </w:p>
  </w:footnote>
  <w:footnote w:id="1117">
    <w:p w:rsidR="00484671" w:rsidRDefault="00484671" w:rsidP="00DA5217">
      <w:pPr>
        <w:pStyle w:val="FootnoteText"/>
      </w:pPr>
      <w:r>
        <w:rPr>
          <w:rStyle w:val="FootnoteReference"/>
        </w:rPr>
        <w:footnoteRef/>
      </w:r>
      <w:r>
        <w:t xml:space="preserve"> </w:t>
      </w:r>
      <w:r>
        <w:tab/>
        <w:t>The average of Henry's re-levered equity beta for firm-level estimates was 0.52. CEG's replication (0.554) is different from Henry's result would be driven by the method we use for gearing to account for cross-holding. We compare CEG's extension with its replication of Henry's estimates to allow a like-for-like comparison.</w:t>
      </w:r>
    </w:p>
  </w:footnote>
  <w:footnote w:id="1118">
    <w:p w:rsidR="00484671" w:rsidRDefault="0048467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12.</w:t>
      </w:r>
    </w:p>
  </w:footnote>
  <w:footnote w:id="1119">
    <w:p w:rsidR="00484671" w:rsidRDefault="0048467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16.</w:t>
      </w:r>
    </w:p>
  </w:footnote>
  <w:footnote w:id="1120">
    <w:p w:rsidR="00484671" w:rsidRDefault="00484671" w:rsidP="00812CD4">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12.</w:t>
      </w:r>
    </w:p>
  </w:footnote>
  <w:footnote w:id="1121">
    <w:p w:rsidR="00484671" w:rsidRDefault="00484671" w:rsidP="003F5321">
      <w:pPr>
        <w:pStyle w:val="FootnoteText"/>
      </w:pPr>
      <w:r>
        <w:rPr>
          <w:rStyle w:val="FootnoteReference"/>
        </w:rPr>
        <w:footnoteRef/>
      </w:r>
      <w:r>
        <w:t xml:space="preserve"> </w:t>
      </w:r>
      <w:r>
        <w:tab/>
      </w:r>
      <w:r>
        <w:rPr>
          <w:rStyle w:val="AERtextsize8"/>
        </w:rPr>
        <w:t>The discrepancy is because we adjust for related party transactions for SKI to Powercor, CitiPower and SAPN (formerly ETSA).</w:t>
      </w:r>
    </w:p>
  </w:footnote>
  <w:footnote w:id="1122">
    <w:p w:rsidR="00484671" w:rsidRDefault="00484671" w:rsidP="00662E2D">
      <w:pPr>
        <w:pStyle w:val="FootnoteText"/>
      </w:pPr>
      <w:r>
        <w:rPr>
          <w:rStyle w:val="FootnoteReference"/>
        </w:rPr>
        <w:footnoteRef/>
      </w:r>
      <w:r>
        <w:t xml:space="preserve"> </w:t>
      </w:r>
      <w:r>
        <w:tab/>
        <w:t xml:space="preserve">CEG, </w:t>
      </w:r>
      <w:r w:rsidRPr="00A609AC">
        <w:rPr>
          <w:i/>
        </w:rPr>
        <w:t>Replication and extension of Henry’s beta analysis</w:t>
      </w:r>
      <w:r>
        <w:t xml:space="preserve">, 21 September 2016,   p. 6; CEG, </w:t>
      </w:r>
      <w:r w:rsidRPr="006E5878">
        <w:rPr>
          <w:rStyle w:val="AERtextitalic"/>
        </w:rPr>
        <w:t xml:space="preserve">Replication and extension of Henry’s beta analysis, </w:t>
      </w:r>
      <w:r>
        <w:t>November 2016, p. 8.</w:t>
      </w:r>
    </w:p>
  </w:footnote>
  <w:footnote w:id="1123">
    <w:p w:rsidR="00484671" w:rsidRDefault="00484671"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13.</w:t>
      </w:r>
    </w:p>
  </w:footnote>
  <w:footnote w:id="1124">
    <w:p w:rsidR="00484671" w:rsidRDefault="00484671"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8, 14.</w:t>
      </w:r>
    </w:p>
  </w:footnote>
  <w:footnote w:id="1125">
    <w:p w:rsidR="00484671" w:rsidRDefault="00484671" w:rsidP="000E1303">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1126">
    <w:p w:rsidR="00484671" w:rsidRDefault="00484671" w:rsidP="00352220">
      <w:pPr>
        <w:pStyle w:val="FootnoteText"/>
      </w:pPr>
      <w:r>
        <w:rPr>
          <w:rStyle w:val="FootnoteReference"/>
        </w:rPr>
        <w:footnoteRef/>
      </w:r>
      <w:r>
        <w:t xml:space="preserve"> </w:t>
      </w:r>
      <w:r>
        <w:tab/>
        <w:t xml:space="preserve">CEG, </w:t>
      </w:r>
      <w:r w:rsidRPr="00A609AC">
        <w:rPr>
          <w:i/>
        </w:rPr>
        <w:t>Replication and extension of Henry’s beta analysis</w:t>
      </w:r>
      <w:r>
        <w:t>, 21 September 2016, p. 13.</w:t>
      </w:r>
    </w:p>
  </w:footnote>
  <w:footnote w:id="1127">
    <w:p w:rsidR="00484671" w:rsidRDefault="00484671" w:rsidP="00352220">
      <w:pPr>
        <w:pStyle w:val="FootnoteText"/>
      </w:pPr>
      <w:r>
        <w:rPr>
          <w:rStyle w:val="FootnoteReference"/>
        </w:rPr>
        <w:footnoteRef/>
      </w:r>
      <w:r>
        <w:t xml:space="preserve"> </w:t>
      </w:r>
      <w:r>
        <w:tab/>
        <w:t xml:space="preserve">CEG, </w:t>
      </w:r>
      <w:r w:rsidRPr="00A609AC">
        <w:rPr>
          <w:i/>
        </w:rPr>
        <w:t>Replication and extension of Henry’s beta analysis</w:t>
      </w:r>
      <w:r>
        <w:t>, 21 September 2016,   p. 2.</w:t>
      </w:r>
    </w:p>
  </w:footnote>
  <w:footnote w:id="1128">
    <w:p w:rsidR="00484671" w:rsidRDefault="00484671"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w:t>
      </w:r>
    </w:p>
  </w:footnote>
  <w:footnote w:id="1129">
    <w:p w:rsidR="00484671" w:rsidRDefault="00484671"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3.</w:t>
      </w:r>
    </w:p>
  </w:footnote>
  <w:footnote w:id="1130">
    <w:p w:rsidR="00484671" w:rsidRDefault="00484671"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21.</w:t>
      </w:r>
    </w:p>
  </w:footnote>
  <w:footnote w:id="1131">
    <w:p w:rsidR="00484671" w:rsidRDefault="00484671" w:rsidP="00352220">
      <w:pPr>
        <w:pStyle w:val="FootnoteText"/>
      </w:pPr>
      <w:r>
        <w:rPr>
          <w:rStyle w:val="FootnoteReference"/>
        </w:rPr>
        <w:footnoteRef/>
      </w:r>
      <w:r>
        <w:t xml:space="preserve"> </w:t>
      </w:r>
      <w:r>
        <w:tab/>
        <w:t xml:space="preserve">AER, </w:t>
      </w:r>
      <w:r w:rsidRPr="00B62985">
        <w:t xml:space="preserve"> </w:t>
      </w:r>
      <w:r w:rsidRPr="00B62985">
        <w:rPr>
          <w:rStyle w:val="AERtextitalic"/>
        </w:rPr>
        <w:t xml:space="preserve">Better regulation: Explanatory statement rate of return guideline, </w:t>
      </w:r>
      <w:r w:rsidRPr="00B62985">
        <w:t>December 2013</w:t>
      </w:r>
      <w:r>
        <w:t>, p. 122.</w:t>
      </w:r>
    </w:p>
  </w:footnote>
  <w:footnote w:id="1132">
    <w:p w:rsidR="00484671" w:rsidRDefault="00484671">
      <w:pPr>
        <w:pStyle w:val="FootnoteText"/>
      </w:pPr>
      <w:r>
        <w:rPr>
          <w:rStyle w:val="FootnoteReference"/>
        </w:rPr>
        <w:footnoteRef/>
      </w:r>
      <w:r>
        <w:t xml:space="preserve"> </w:t>
      </w:r>
      <w:r>
        <w:tab/>
        <w:t>For still-listed firms.</w:t>
      </w:r>
    </w:p>
  </w:footnote>
  <w:footnote w:id="1133">
    <w:p w:rsidR="00484671" w:rsidRDefault="00484671" w:rsidP="00662E2D">
      <w:pPr>
        <w:pStyle w:val="FootnoteText"/>
      </w:pPr>
      <w:r>
        <w:rPr>
          <w:rStyle w:val="FootnoteReference"/>
        </w:rPr>
        <w:footnoteRef/>
      </w:r>
      <w:r>
        <w:t xml:space="preserve"> </w:t>
      </w:r>
      <w:r>
        <w:tab/>
        <w:t xml:space="preserve">CEG, </w:t>
      </w:r>
      <w:r w:rsidRPr="00A609AC">
        <w:rPr>
          <w:i/>
        </w:rPr>
        <w:t>Replication and extension of Henry’s beta analysis</w:t>
      </w:r>
      <w:r>
        <w:t xml:space="preserve">, 21 September 2016, p. 1; </w:t>
      </w:r>
      <w:r w:rsidRPr="00A107B3">
        <w:t xml:space="preserve">CEG, </w:t>
      </w:r>
      <w:r w:rsidRPr="00A107B3">
        <w:rPr>
          <w:rStyle w:val="AERtextitalic"/>
        </w:rPr>
        <w:t xml:space="preserve">Replication and extension of Henry’s beta analysis, </w:t>
      </w:r>
      <w:r w:rsidRPr="00A107B3">
        <w:t>November 2016, p. 21</w:t>
      </w:r>
      <w:r>
        <w:t>;</w:t>
      </w:r>
      <w:r w:rsidRPr="00B044FB">
        <w:t xml:space="preserve"> </w:t>
      </w:r>
      <w:r>
        <w:t xml:space="preserve">Partington and Satchell, </w:t>
      </w:r>
      <w:r w:rsidRPr="00AE3365">
        <w:rPr>
          <w:i/>
        </w:rPr>
        <w:t>Report to the AER: Discussion of the Estimates of the Return to Equity</w:t>
      </w:r>
      <w:r>
        <w:t>, 12 April 2017, pp. 11-13.</w:t>
      </w:r>
    </w:p>
  </w:footnote>
  <w:footnote w:id="1134">
    <w:p w:rsidR="00484671" w:rsidRDefault="00484671" w:rsidP="00201C6F">
      <w:pPr>
        <w:pStyle w:val="FootnoteText"/>
      </w:pPr>
      <w:r>
        <w:rPr>
          <w:rStyle w:val="FootnoteReference"/>
        </w:rPr>
        <w:footnoteRef/>
      </w:r>
      <w:r>
        <w:t xml:space="preserve"> </w:t>
      </w:r>
      <w:r>
        <w:tab/>
      </w:r>
      <w:hyperlink r:id="rId16" w:history="1">
        <w:r w:rsidRPr="00914418">
          <w:rPr>
            <w:rStyle w:val="Hyperlink"/>
            <w:sz w:val="16"/>
          </w:rPr>
          <w:t>https://www.apa.com.au/about-apa/our-history/</w:t>
        </w:r>
      </w:hyperlink>
      <w:r>
        <w:rPr>
          <w:rStyle w:val="Hyperlink"/>
          <w:sz w:val="16"/>
        </w:rPr>
        <w:t xml:space="preserve">; </w:t>
      </w:r>
      <w:hyperlink r:id="rId17"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1135">
    <w:p w:rsidR="00484671" w:rsidRDefault="00484671" w:rsidP="00662E2D">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1136">
    <w:p w:rsidR="00484671" w:rsidRDefault="00484671" w:rsidP="006C0FE7">
      <w:pPr>
        <w:pStyle w:val="FootnoteText"/>
      </w:pPr>
      <w:r>
        <w:rPr>
          <w:rStyle w:val="FootnoteReference"/>
        </w:rPr>
        <w:footnoteRef/>
      </w:r>
      <w:r>
        <w:t xml:space="preserve"> </w:t>
      </w:r>
      <w:r>
        <w:tab/>
      </w:r>
      <w:r w:rsidRPr="00926420">
        <w:t xml:space="preserve">CEG, </w:t>
      </w:r>
      <w:r w:rsidRPr="00926420">
        <w:rPr>
          <w:rStyle w:val="AERtextitalic"/>
        </w:rPr>
        <w:t xml:space="preserve">Replication and extension of Henry’s beta analysis, </w:t>
      </w:r>
      <w:r w:rsidRPr="00926420">
        <w:t>November 2016, p</w:t>
      </w:r>
      <w:r>
        <w:t>p</w:t>
      </w:r>
      <w:r w:rsidRPr="00926420">
        <w:t>. 2</w:t>
      </w:r>
      <w:r>
        <w:t xml:space="preserve">3–26, 36–43. </w:t>
      </w:r>
    </w:p>
  </w:footnote>
  <w:footnote w:id="1137">
    <w:p w:rsidR="00484671" w:rsidRPr="00E078E3" w:rsidRDefault="00484671" w:rsidP="00AB34D9">
      <w:pPr>
        <w:pStyle w:val="FootnoteText"/>
        <w:rPr>
          <w:szCs w:val="16"/>
        </w:rPr>
      </w:pPr>
      <w:r w:rsidRPr="00E078E3">
        <w:rPr>
          <w:rStyle w:val="FootnoteReference"/>
          <w:szCs w:val="16"/>
        </w:rPr>
        <w:footnoteRef/>
      </w:r>
      <w:r w:rsidRPr="00E078E3">
        <w:rPr>
          <w:szCs w:val="16"/>
          <w:vertAlign w:val="superscript"/>
        </w:rPr>
        <w:t xml:space="preserve"> </w:t>
      </w:r>
      <w:r w:rsidRPr="00E078E3">
        <w:rPr>
          <w:szCs w:val="16"/>
        </w:rPr>
        <w:tab/>
        <w:t>It is noted that Portfolio 6 is the only portfolio for which all of the constituents have data to October 2016.</w:t>
      </w:r>
    </w:p>
  </w:footnote>
  <w:footnote w:id="1138">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t xml:space="preserve">Competition Economists Group, 2016, </w:t>
      </w:r>
      <w:r w:rsidRPr="00E078E3">
        <w:rPr>
          <w:rStyle w:val="AERtextitalic"/>
        </w:rPr>
        <w:t>Replication and extension of Henry’s beta analysis</w:t>
      </w:r>
      <w:r w:rsidRPr="00E078E3">
        <w:rPr>
          <w:szCs w:val="16"/>
        </w:rPr>
        <w:t>, November 2016, page 4.</w:t>
      </w:r>
    </w:p>
  </w:footnote>
  <w:footnote w:id="1139">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t xml:space="preserve">Competition Economists Group, 2016, </w:t>
      </w:r>
      <w:r w:rsidRPr="00E078E3">
        <w:rPr>
          <w:rStyle w:val="AERtextitalic"/>
        </w:rPr>
        <w:t>Replication and extension of Henry’s beta analysis</w:t>
      </w:r>
      <w:r w:rsidRPr="00E078E3">
        <w:rPr>
          <w:szCs w:val="16"/>
        </w:rPr>
        <w:t>, November 2016, page 5.</w:t>
      </w:r>
    </w:p>
  </w:footnote>
  <w:footnote w:id="1140">
    <w:p w:rsidR="00484671" w:rsidRDefault="00484671" w:rsidP="001B51D7">
      <w:pPr>
        <w:pStyle w:val="FootnoteText"/>
      </w:pPr>
      <w:r>
        <w:rPr>
          <w:rStyle w:val="FootnoteReference"/>
        </w:rPr>
        <w:footnoteRef/>
      </w:r>
      <w:r>
        <w:t xml:space="preserve"> </w:t>
      </w:r>
      <w:r>
        <w:tab/>
        <w:t>Partington and Satchell</w:t>
      </w:r>
      <w:r w:rsidRPr="00B828E0">
        <w:t xml:space="preserve">, </w:t>
      </w:r>
      <w:r w:rsidRPr="00013867">
        <w:rPr>
          <w:rStyle w:val="AERtextitalic"/>
        </w:rPr>
        <w:t>Report to the AER: Discussion of Submissions on the Cost of Equity</w:t>
      </w:r>
      <w:r w:rsidRPr="00B828E0">
        <w:t>, May 2017, p</w:t>
      </w:r>
      <w:r>
        <w:t>.</w:t>
      </w:r>
      <w:r w:rsidRPr="00B828E0">
        <w:t xml:space="preserve"> </w:t>
      </w:r>
      <w:r>
        <w:t>13</w:t>
      </w:r>
      <w:r w:rsidRPr="00B828E0">
        <w:t>.</w:t>
      </w:r>
    </w:p>
  </w:footnote>
  <w:footnote w:id="1141">
    <w:p w:rsidR="00484671" w:rsidRDefault="00484671">
      <w:pPr>
        <w:pStyle w:val="FootnoteText"/>
      </w:pPr>
      <w:r>
        <w:rPr>
          <w:rStyle w:val="FootnoteReference"/>
        </w:rPr>
        <w:footnoteRef/>
      </w:r>
      <w:r>
        <w:t xml:space="preserve"> </w:t>
      </w:r>
      <w:r>
        <w:tab/>
      </w:r>
      <w:r w:rsidRPr="001B51D7">
        <w:t>Partington</w:t>
      </w:r>
      <w:r>
        <w:t xml:space="preserve"> </w:t>
      </w:r>
      <w:r w:rsidRPr="001B51D7">
        <w:t xml:space="preserve">and Satchell, </w:t>
      </w:r>
      <w:r w:rsidRPr="00013867">
        <w:rPr>
          <w:rStyle w:val="AERtextitalic"/>
        </w:rPr>
        <w:t>Report to the AER: Discussion of Submissions on the Cost of Equity</w:t>
      </w:r>
      <w:r w:rsidRPr="001B51D7">
        <w:t>, May 2017, p</w:t>
      </w:r>
      <w:r>
        <w:t>.</w:t>
      </w:r>
      <w:r w:rsidRPr="001B51D7">
        <w:t xml:space="preserve"> 1</w:t>
      </w:r>
      <w:r>
        <w:t>5</w:t>
      </w:r>
      <w:r w:rsidRPr="001B51D7">
        <w:t>.</w:t>
      </w:r>
    </w:p>
  </w:footnote>
  <w:footnote w:id="1142">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Pr>
          <w:szCs w:val="16"/>
        </w:rPr>
        <w:t>Partington</w:t>
      </w:r>
      <w:r>
        <w:t xml:space="preserve"> </w:t>
      </w:r>
      <w:r>
        <w:rPr>
          <w:szCs w:val="16"/>
        </w:rPr>
        <w:t xml:space="preserve">and Satchell, </w:t>
      </w:r>
      <w:r>
        <w:rPr>
          <w:i/>
          <w:szCs w:val="16"/>
        </w:rPr>
        <w:t>Report to the AER: Discussion of Submissions on the Cost of Equity</w:t>
      </w:r>
      <w:r w:rsidRPr="00E078E3">
        <w:rPr>
          <w:szCs w:val="16"/>
        </w:rPr>
        <w:t xml:space="preserve">, </w:t>
      </w:r>
      <w:r>
        <w:rPr>
          <w:szCs w:val="16"/>
        </w:rPr>
        <w:t>May 2017</w:t>
      </w:r>
      <w:r w:rsidRPr="00E078E3">
        <w:rPr>
          <w:szCs w:val="16"/>
        </w:rPr>
        <w:t>, p</w:t>
      </w:r>
      <w:r>
        <w:t>.</w:t>
      </w:r>
      <w:r w:rsidRPr="00E078E3">
        <w:rPr>
          <w:szCs w:val="16"/>
        </w:rPr>
        <w:t xml:space="preserve"> </w:t>
      </w:r>
      <w:r>
        <w:rPr>
          <w:szCs w:val="16"/>
        </w:rPr>
        <w:t>16</w:t>
      </w:r>
      <w:r w:rsidRPr="00E078E3">
        <w:rPr>
          <w:szCs w:val="16"/>
        </w:rPr>
        <w:t>.</w:t>
      </w:r>
    </w:p>
  </w:footnote>
  <w:footnote w:id="1143">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Malliaris &amp; Urrutia (1995)</w:t>
      </w:r>
      <w:r>
        <w:rPr>
          <w:szCs w:val="16"/>
        </w:rPr>
        <w:t>,</w:t>
      </w:r>
      <w:r w:rsidRPr="006A3384">
        <w:rPr>
          <w:szCs w:val="16"/>
        </w:rPr>
        <w:t xml:space="preserve"> The Impact of the Persian Gulf Crisis on National Equity</w:t>
      </w:r>
      <w:r>
        <w:rPr>
          <w:szCs w:val="16"/>
        </w:rPr>
        <w:t xml:space="preserve"> </w:t>
      </w:r>
      <w:r w:rsidRPr="006A3384">
        <w:rPr>
          <w:szCs w:val="16"/>
        </w:rPr>
        <w:t>Markets</w:t>
      </w:r>
      <w:r>
        <w:rPr>
          <w:szCs w:val="16"/>
        </w:rPr>
        <w:t>,</w:t>
      </w:r>
      <w:r w:rsidRPr="006A3384">
        <w:rPr>
          <w:szCs w:val="16"/>
        </w:rPr>
        <w:t xml:space="preserve"> </w:t>
      </w:r>
      <w:r w:rsidRPr="006A3384">
        <w:rPr>
          <w:i/>
          <w:szCs w:val="16"/>
        </w:rPr>
        <w:t>Advances in International Banking and Finance</w:t>
      </w:r>
      <w:r w:rsidRPr="006A3384">
        <w:rPr>
          <w:szCs w:val="16"/>
        </w:rPr>
        <w:t>, 1, 43-65</w:t>
      </w:r>
      <w:r w:rsidRPr="00E078E3">
        <w:rPr>
          <w:szCs w:val="16"/>
        </w:rPr>
        <w:t>.</w:t>
      </w:r>
    </w:p>
  </w:footnote>
  <w:footnote w:id="1144">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Nikkinen, J., Omran, M., P., Sahlstrom, P. &amp; Aijo, J. (2008) Stock Returns and Volatility</w:t>
      </w:r>
      <w:r>
        <w:rPr>
          <w:szCs w:val="16"/>
        </w:rPr>
        <w:t xml:space="preserve"> </w:t>
      </w:r>
      <w:r w:rsidRPr="006A3384">
        <w:rPr>
          <w:szCs w:val="16"/>
        </w:rPr>
        <w:t>Following the September 11 Attacks: Evidence from 53 Equity Markets</w:t>
      </w:r>
      <w:r>
        <w:rPr>
          <w:szCs w:val="16"/>
        </w:rPr>
        <w:t>,</w:t>
      </w:r>
      <w:r w:rsidRPr="006A3384">
        <w:rPr>
          <w:szCs w:val="16"/>
        </w:rPr>
        <w:t xml:space="preserve"> </w:t>
      </w:r>
      <w:r w:rsidRPr="006A3384">
        <w:rPr>
          <w:i/>
          <w:szCs w:val="16"/>
        </w:rPr>
        <w:t>International Review of Financial Analysis</w:t>
      </w:r>
      <w:r w:rsidRPr="006A3384">
        <w:rPr>
          <w:szCs w:val="16"/>
        </w:rPr>
        <w:t>, 17, 27-46</w:t>
      </w:r>
      <w:r w:rsidRPr="00E078E3">
        <w:rPr>
          <w:szCs w:val="16"/>
        </w:rPr>
        <w:t>.</w:t>
      </w:r>
    </w:p>
  </w:footnote>
  <w:footnote w:id="1145">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Hammoudeh, S. and Li, H. (2008)</w:t>
      </w:r>
      <w:r>
        <w:rPr>
          <w:szCs w:val="16"/>
        </w:rPr>
        <w:t xml:space="preserve">, </w:t>
      </w:r>
      <w:r w:rsidRPr="006A3384">
        <w:rPr>
          <w:szCs w:val="16"/>
        </w:rPr>
        <w:t>Sudden Changes in Volatility in Emerging Markets: The</w:t>
      </w:r>
      <w:r>
        <w:rPr>
          <w:szCs w:val="16"/>
        </w:rPr>
        <w:t xml:space="preserve"> </w:t>
      </w:r>
      <w:r w:rsidRPr="006A3384">
        <w:rPr>
          <w:szCs w:val="16"/>
        </w:rPr>
        <w:t>Case of Gulf Arab Stock Markets</w:t>
      </w:r>
      <w:r>
        <w:rPr>
          <w:szCs w:val="16"/>
        </w:rPr>
        <w:t>,</w:t>
      </w:r>
      <w:r w:rsidRPr="006A3384">
        <w:rPr>
          <w:szCs w:val="16"/>
        </w:rPr>
        <w:t xml:space="preserve"> </w:t>
      </w:r>
      <w:r w:rsidRPr="006A3384">
        <w:rPr>
          <w:i/>
          <w:szCs w:val="16"/>
        </w:rPr>
        <w:t>International Review of Financial Analysis</w:t>
      </w:r>
      <w:r w:rsidRPr="006A3384">
        <w:rPr>
          <w:szCs w:val="16"/>
        </w:rPr>
        <w:t>, 17, 47-63</w:t>
      </w:r>
      <w:r w:rsidRPr="00E078E3">
        <w:rPr>
          <w:szCs w:val="16"/>
        </w:rPr>
        <w:t>.</w:t>
      </w:r>
    </w:p>
  </w:footnote>
  <w:footnote w:id="1146">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Pr>
          <w:szCs w:val="16"/>
        </w:rPr>
        <w:t xml:space="preserve">For details, please visit </w:t>
      </w:r>
      <w:hyperlink r:id="rId18" w:history="1">
        <w:r w:rsidRPr="000F640F">
          <w:rPr>
            <w:rStyle w:val="Hyperlink"/>
            <w:sz w:val="16"/>
            <w:szCs w:val="16"/>
          </w:rPr>
          <w:t>http://www.onthisday.com/date/2014</w:t>
        </w:r>
      </w:hyperlink>
      <w:r>
        <w:rPr>
          <w:szCs w:val="16"/>
        </w:rPr>
        <w:t>, accessed on 25 May 2017.</w:t>
      </w:r>
    </w:p>
  </w:footnote>
  <w:footnote w:id="1147">
    <w:p w:rsidR="00484671" w:rsidRPr="00E078E3" w:rsidRDefault="0048467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F04282">
        <w:rPr>
          <w:szCs w:val="16"/>
        </w:rPr>
        <w:t>Ukrainian Revolution of 2014 begins as protesters, riot police and unknown shooters take part in violent events in the capital, Kiev, culminating after five days in the ouster of President Viktor Yanukovych</w:t>
      </w:r>
      <w:r>
        <w:rPr>
          <w:szCs w:val="16"/>
        </w:rPr>
        <w:t>.</w:t>
      </w:r>
    </w:p>
  </w:footnote>
  <w:footnote w:id="1148">
    <w:p w:rsidR="00484671" w:rsidRDefault="00484671">
      <w:pPr>
        <w:pStyle w:val="FootnoteText"/>
      </w:pPr>
      <w:r>
        <w:rPr>
          <w:rStyle w:val="FootnoteReference"/>
        </w:rPr>
        <w:footnoteRef/>
      </w:r>
      <w:r>
        <w:t xml:space="preserve"> </w:t>
      </w:r>
      <w:r>
        <w:tab/>
      </w:r>
      <w:r w:rsidRPr="00D84F19">
        <w:t>Partington, G. and Satchell, S. (2017), Report to the AER: Discussion of Submissions on the Cost of Equity, May 2017, page 15.</w:t>
      </w:r>
    </w:p>
  </w:footnote>
  <w:footnote w:id="1149">
    <w:p w:rsidR="00484671" w:rsidRDefault="00484671" w:rsidP="0070354B">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150">
    <w:p w:rsidR="00484671" w:rsidRDefault="00484671" w:rsidP="0070354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51">
    <w:p w:rsidR="00484671" w:rsidRDefault="00484671" w:rsidP="0070354B">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152">
    <w:p w:rsidR="00484671" w:rsidRDefault="00484671" w:rsidP="0070354B">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153">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154">
    <w:p w:rsidR="00484671" w:rsidRDefault="00484671" w:rsidP="0070354B">
      <w:pPr>
        <w:pStyle w:val="FootnoteText"/>
      </w:pPr>
      <w:r>
        <w:rPr>
          <w:rStyle w:val="FootnoteReference"/>
        </w:rPr>
        <w:footnoteRef/>
      </w:r>
      <w:r>
        <w:t xml:space="preserve"> </w:t>
      </w:r>
      <w:r>
        <w:tab/>
        <w:t>See, for example, sections D.2.1 and D.2.3 of Attachment 3 to our preliminary decision for AusNet Services. In these decisions we also responded to submissions from other stakeholders that suggested the equity beta estimates in Henry's 2014 report cluster around a range of 0.3 to 0.5.</w:t>
      </w:r>
    </w:p>
  </w:footnote>
  <w:footnote w:id="1155">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56">
    <w:p w:rsidR="00484671" w:rsidRDefault="00484671" w:rsidP="0070354B">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157">
    <w:p w:rsidR="00484671" w:rsidRDefault="00484671" w:rsidP="0070354B">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158">
    <w:p w:rsidR="00484671" w:rsidRDefault="00484671" w:rsidP="0070354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159">
    <w:p w:rsidR="00484671" w:rsidRDefault="00484671" w:rsidP="0070354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160">
    <w:p w:rsidR="00484671" w:rsidRDefault="00484671" w:rsidP="0070354B">
      <w:pPr>
        <w:pStyle w:val="FootnoteText"/>
      </w:pPr>
      <w:r>
        <w:rPr>
          <w:rStyle w:val="FootnoteReference"/>
        </w:rPr>
        <w:footnoteRef/>
      </w:r>
      <w:r>
        <w:t xml:space="preserve"> </w:t>
      </w:r>
      <w:r>
        <w:tab/>
        <w:t xml:space="preserve">See: </w:t>
      </w:r>
      <w:hyperlink r:id="rId19" w:history="1">
        <w:r w:rsidRPr="007C34AE">
          <w:rPr>
            <w:rStyle w:val="Hyperlink"/>
            <w:color w:val="auto"/>
            <w:sz w:val="16"/>
            <w:u w:val="none"/>
          </w:rPr>
          <w:t>http://www.asx.com.au/asx/statistics/announcements.do?by=asxCode&amp;asxCode=ENV&amp;timeframe=Y&amp;year=2014</w:t>
        </w:r>
      </w:hyperlink>
      <w:r>
        <w:t xml:space="preserve">. </w:t>
      </w:r>
    </w:p>
  </w:footnote>
  <w:footnote w:id="1161">
    <w:p w:rsidR="00484671" w:rsidRDefault="00484671" w:rsidP="0070354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162">
    <w:p w:rsidR="00484671" w:rsidRDefault="00484671" w:rsidP="0070354B">
      <w:pPr>
        <w:pStyle w:val="FootnoteText"/>
      </w:pPr>
      <w:r>
        <w:rPr>
          <w:rStyle w:val="FootnoteReference"/>
        </w:rPr>
        <w:footnoteRef/>
      </w:r>
      <w:r>
        <w:t xml:space="preserve"> </w:t>
      </w:r>
      <w:r>
        <w:tab/>
        <w:t xml:space="preserve">APA Group, </w:t>
      </w:r>
      <w:r>
        <w:rPr>
          <w:rStyle w:val="AERtextitalic"/>
        </w:rPr>
        <w:t>Annual report 2016: energy.connected.</w:t>
      </w:r>
      <w:r>
        <w:t>, pp. 16, 29.</w:t>
      </w:r>
    </w:p>
  </w:footnote>
  <w:footnote w:id="1163">
    <w:p w:rsidR="00484671" w:rsidRDefault="00484671"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164">
    <w:p w:rsidR="00484671" w:rsidRDefault="00484671"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 20; </w:t>
      </w:r>
    </w:p>
  </w:footnote>
  <w:footnote w:id="1165">
    <w:p w:rsidR="00484671" w:rsidRDefault="00484671"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pp. 10, 16.  </w:t>
      </w:r>
    </w:p>
  </w:footnote>
  <w:footnote w:id="1166">
    <w:p w:rsidR="00484671" w:rsidRDefault="00484671" w:rsidP="0070354B">
      <w:pPr>
        <w:pStyle w:val="FootnoteText"/>
      </w:pPr>
      <w:r>
        <w:rPr>
          <w:rStyle w:val="FootnoteReference"/>
        </w:rPr>
        <w:footnoteRef/>
      </w:r>
      <w:r>
        <w:t xml:space="preserve"> </w:t>
      </w:r>
      <w:r>
        <w:tab/>
        <w:t xml:space="preserve">AusNet Services, </w:t>
      </w:r>
      <w:r>
        <w:rPr>
          <w:rStyle w:val="AERtextitalic"/>
        </w:rPr>
        <w:t>Annual report 2016</w:t>
      </w:r>
      <w:r>
        <w:t>, p. 73.</w:t>
      </w:r>
    </w:p>
  </w:footnote>
  <w:footnote w:id="1167">
    <w:p w:rsidR="00484671" w:rsidRDefault="00484671" w:rsidP="0070354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20"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21"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22" w:history="1">
        <w:r w:rsidRPr="006558B8">
          <w:rPr>
            <w:rStyle w:val="Hyperlink"/>
            <w:color w:val="auto"/>
            <w:sz w:val="16"/>
            <w:u w:val="none"/>
          </w:rPr>
          <w:t>http://www.aer.gov.au/node/5219</w:t>
        </w:r>
      </w:hyperlink>
      <w:r>
        <w:t>.</w:t>
      </w:r>
    </w:p>
  </w:footnote>
  <w:footnote w:id="1168">
    <w:p w:rsidR="00484671" w:rsidRDefault="00484671" w:rsidP="0070354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169">
    <w:p w:rsidR="00484671" w:rsidRDefault="00484671" w:rsidP="0070354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170">
    <w:p w:rsidR="00484671" w:rsidRDefault="00484671" w:rsidP="0070354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171">
    <w:p w:rsidR="00484671" w:rsidRDefault="00484671" w:rsidP="0070354B">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172">
    <w:p w:rsidR="00484671" w:rsidRDefault="00484671" w:rsidP="0070354B">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173">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74">
    <w:p w:rsidR="00484671" w:rsidRDefault="00484671" w:rsidP="0070354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175">
    <w:p w:rsidR="00484671" w:rsidRDefault="00484671" w:rsidP="0070354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176">
    <w:p w:rsidR="00484671" w:rsidRDefault="00484671" w:rsidP="0070354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177">
    <w:p w:rsidR="00484671" w:rsidRDefault="00484671" w:rsidP="0070354B">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178">
    <w:p w:rsidR="00484671" w:rsidRDefault="00484671" w:rsidP="0070354B">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179">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180">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81">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182">
    <w:p w:rsidR="00484671" w:rsidRDefault="00484671" w:rsidP="0070354B">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183">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184">
    <w:p w:rsidR="00484671" w:rsidRDefault="00484671" w:rsidP="0070354B">
      <w:pPr>
        <w:pStyle w:val="FootnoteText"/>
      </w:pPr>
      <w:r>
        <w:rPr>
          <w:rStyle w:val="FootnoteReference"/>
        </w:rPr>
        <w:footnoteRef/>
      </w:r>
      <w:r>
        <w:t xml:space="preserve"> </w:t>
      </w:r>
      <w:r>
        <w:tab/>
        <w:t>NER, cll. 6.5.2(f) and 6A.6.2(f); NGR, rule 87(6).</w:t>
      </w:r>
    </w:p>
  </w:footnote>
  <w:footnote w:id="1185">
    <w:p w:rsidR="00484671" w:rsidRDefault="00484671" w:rsidP="0070354B">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186">
    <w:p w:rsidR="00484671" w:rsidRDefault="00484671" w:rsidP="0070354B">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187">
    <w:p w:rsidR="00484671" w:rsidRDefault="00484671" w:rsidP="0070354B">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188">
    <w:p w:rsidR="00484671" w:rsidRDefault="00484671" w:rsidP="0070354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189">
    <w:p w:rsidR="00484671" w:rsidRDefault="00484671" w:rsidP="0070354B">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190">
    <w:p w:rsidR="00484671" w:rsidRDefault="00484671"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191">
    <w:p w:rsidR="00484671" w:rsidRDefault="00484671" w:rsidP="0070354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192">
    <w:p w:rsidR="00484671" w:rsidRDefault="00484671" w:rsidP="0070354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193">
    <w:p w:rsidR="00484671" w:rsidRDefault="00484671" w:rsidP="0070354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194">
    <w:p w:rsidR="00484671" w:rsidRDefault="00484671" w:rsidP="0070354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195">
    <w:p w:rsidR="00484671" w:rsidRDefault="00484671" w:rsidP="0070354B">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196">
    <w:p w:rsidR="00484671" w:rsidRDefault="00484671" w:rsidP="0070354B">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197">
    <w:p w:rsidR="00484671" w:rsidRDefault="00484671" w:rsidP="0070354B">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rsidR="002C24D6">
        <w:t>G.4.2</w:t>
      </w:r>
      <w:r>
        <w:fldChar w:fldCharType="end"/>
      </w:r>
      <w:r>
        <w:t>)</w:t>
      </w:r>
      <w:r w:rsidRPr="00872992">
        <w:t>.</w:t>
      </w:r>
    </w:p>
  </w:footnote>
  <w:footnote w:id="1198">
    <w:p w:rsidR="00484671" w:rsidRDefault="00484671"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199">
    <w:p w:rsidR="00484671" w:rsidRDefault="00484671" w:rsidP="0070354B">
      <w:pPr>
        <w:pStyle w:val="FootnoteText"/>
      </w:pPr>
      <w:r>
        <w:rPr>
          <w:rStyle w:val="FootnoteReference"/>
        </w:rPr>
        <w:footnoteRef/>
      </w:r>
      <w:r>
        <w:t xml:space="preserve"> </w:t>
      </w:r>
      <w:r>
        <w:tab/>
        <w:t xml:space="preserve">See, for example, </w:t>
      </w:r>
      <w:r w:rsidRPr="00DC3465">
        <w:t xml:space="preserve"> </w:t>
      </w:r>
      <w:r>
        <w:t xml:space="preserve">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D.2.1 (under the heading 'International comparators').</w:t>
      </w:r>
    </w:p>
  </w:footnote>
  <w:footnote w:id="1200">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201">
    <w:p w:rsidR="00484671" w:rsidRDefault="00484671" w:rsidP="0070354B">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202">
    <w:p w:rsidR="00484671" w:rsidRDefault="00484671" w:rsidP="0070354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203">
    <w:p w:rsidR="00484671" w:rsidRDefault="00484671" w:rsidP="0070354B">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204">
    <w:p w:rsidR="00484671" w:rsidRDefault="00484671" w:rsidP="0070354B">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205">
    <w:p w:rsidR="00484671" w:rsidRDefault="00484671" w:rsidP="0070354B">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rsidR="002C24D6">
        <w:t>G.4.2</w:t>
      </w:r>
      <w:r>
        <w:fldChar w:fldCharType="end"/>
      </w:r>
      <w:r>
        <w:t>.</w:t>
      </w:r>
    </w:p>
  </w:footnote>
  <w:footnote w:id="1206">
    <w:p w:rsidR="00484671" w:rsidRDefault="00484671" w:rsidP="0070354B">
      <w:pPr>
        <w:pStyle w:val="FootnoteText"/>
      </w:pPr>
      <w:r>
        <w:rPr>
          <w:rStyle w:val="FootnoteReference"/>
        </w:rPr>
        <w:footnoteRef/>
      </w:r>
      <w:r>
        <w:t xml:space="preserve"> </w:t>
      </w:r>
      <w:r>
        <w:tab/>
        <w:t>That is, the National Electricity Law and Rules, and the National Gas Law and Rules.</w:t>
      </w:r>
    </w:p>
  </w:footnote>
  <w:footnote w:id="1207">
    <w:p w:rsidR="00484671" w:rsidRDefault="00484671" w:rsidP="0070354B">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23"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208">
    <w:p w:rsidR="00484671" w:rsidRDefault="00484671" w:rsidP="0070354B">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209">
    <w:p w:rsidR="00484671" w:rsidRDefault="00484671" w:rsidP="0070354B">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210">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211">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212">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213">
    <w:p w:rsidR="00484671" w:rsidRDefault="0048467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214">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215">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216">
    <w:p w:rsidR="00484671" w:rsidRDefault="0048467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217">
    <w:p w:rsidR="00484671" w:rsidRDefault="00484671" w:rsidP="0070354B">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218">
    <w:p w:rsidR="00484671" w:rsidRDefault="00484671" w:rsidP="007A06BC">
      <w:pPr>
        <w:pStyle w:val="FootnoteText"/>
      </w:pPr>
      <w:r>
        <w:rPr>
          <w:rStyle w:val="FootnoteReference"/>
        </w:rPr>
        <w:footnoteRef/>
      </w:r>
      <w:r>
        <w:t xml:space="preserve"> </w:t>
      </w:r>
      <w:r>
        <w:tab/>
        <w:t xml:space="preserve">While Multinet has proposed an equity beta of 0.7 for use in the CAPM, it has argued against the AER's empirical beta range as determined in the guideline. APAVTS, </w:t>
      </w:r>
      <w:r w:rsidRPr="002372F4">
        <w:rPr>
          <w:rStyle w:val="AERtextitalic"/>
        </w:rPr>
        <w:t>Access arrangement information submission</w:t>
      </w:r>
      <w:r>
        <w:t xml:space="preserve">, January 2017, pp. 136–144; Multinet Gas Network, </w:t>
      </w:r>
      <w:r w:rsidRPr="002372F4">
        <w:rPr>
          <w:rStyle w:val="AERtextitalic"/>
        </w:rPr>
        <w:t>Rate of return overview</w:t>
      </w:r>
      <w:r>
        <w:t>, December 2016, pp. 8–26; APTPPL, Access arrangement revision submission, pp. 135–140.</w:t>
      </w:r>
    </w:p>
  </w:footnote>
  <w:footnote w:id="1219">
    <w:p w:rsidR="00484671" w:rsidRDefault="00484671" w:rsidP="00304CC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for example: CitiPower, </w:t>
      </w:r>
      <w:r w:rsidRPr="0063316D">
        <w:rPr>
          <w:rStyle w:val="AERtextitalic"/>
        </w:rPr>
        <w:t>Revised proposal</w:t>
      </w:r>
      <w:r>
        <w:t xml:space="preserve">, January 2016, p. 311–312; AER Final decision, </w:t>
      </w:r>
      <w:r w:rsidRPr="006E5878">
        <w:rPr>
          <w:rStyle w:val="AERtextitalic"/>
        </w:rPr>
        <w:t>SA Power Networks determination 2015 -16 to 2019 - 20, Attachment 3 - Rate of return</w:t>
      </w:r>
      <w:r>
        <w:t>, October 2015, pp. 451-62, 473-79, 496; AER Final decision</w:t>
      </w:r>
      <w:r w:rsidRPr="006E5878">
        <w:rPr>
          <w:rStyle w:val="AERtextitalic"/>
        </w:rPr>
        <w:t>, Australian Gas Networks access arrangement 2016 to 2021, Attachment 3 - Rate of return</w:t>
      </w:r>
      <w:r>
        <w:t xml:space="preserve">, May 2016, pp. 41-87; AER Final decision, </w:t>
      </w:r>
      <w:r w:rsidRPr="006E5878">
        <w:rPr>
          <w:rStyle w:val="AERtextitalic"/>
        </w:rPr>
        <w:t>AusNet Services distribution determination 2016 to 2020, Attachment 3 - Rate of return</w:t>
      </w:r>
      <w:r>
        <w:t>, May 2016, pp. 264-75.</w:t>
      </w:r>
    </w:p>
  </w:footnote>
  <w:footnote w:id="1220">
    <w:p w:rsidR="00484671" w:rsidRDefault="00484671" w:rsidP="00304CCC">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41–42, 64–65; AER Final decision, </w:t>
      </w:r>
      <w:r w:rsidRPr="00EF131F">
        <w:rPr>
          <w:rStyle w:val="AERtextitalic"/>
        </w:rPr>
        <w:t>SA Power Networks determination 2015 -16 to 2019 - 20, Attachment 3 - Rate of return</w:t>
      </w:r>
      <w:r>
        <w:t xml:space="preserve">, October 2015, pp. 351-8, 501-5;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May 2016, pp. 44-90.</w:t>
      </w:r>
    </w:p>
  </w:footnote>
  <w:footnote w:id="1221">
    <w:p w:rsidR="00484671" w:rsidRDefault="00484671" w:rsidP="0087102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AER </w:t>
      </w:r>
      <w:r w:rsidRPr="00EF131F">
        <w:rPr>
          <w:rStyle w:val="AERtextitalic"/>
        </w:rPr>
        <w:t>Final decision, SA Power Networks determination 2015 -16 to 2019 - 20, Attachment 3 - Rate of return</w:t>
      </w:r>
      <w:r>
        <w:t xml:space="preserve">, October 2015, pp. 497-500;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xml:space="preserve"> May 2016, pp. 44-90.</w:t>
      </w:r>
    </w:p>
  </w:footnote>
  <w:footnote w:id="1222">
    <w:p w:rsidR="00484671" w:rsidRDefault="00484671" w:rsidP="0087102E">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1223">
    <w:p w:rsidR="00484671" w:rsidRDefault="00484671" w:rsidP="0087102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484671" w:rsidRDefault="00484671" w:rsidP="0087102E">
      <w:pPr>
        <w:pStyle w:val="FootnoteText"/>
      </w:pPr>
      <w:r>
        <w:tab/>
        <w:t xml:space="preserve">See for example: </w:t>
      </w:r>
      <w:r w:rsidRPr="00745914">
        <w:t xml:space="preserve">CitiPower, </w:t>
      </w:r>
      <w:r w:rsidRPr="00745914">
        <w:rPr>
          <w:rStyle w:val="AERtextitalic"/>
        </w:rPr>
        <w:t>Revised proposal</w:t>
      </w:r>
      <w:r w:rsidRPr="00745914">
        <w:t>, January 2016, pp. 311–313;</w:t>
      </w:r>
      <w:r>
        <w:tab/>
      </w:r>
    </w:p>
    <w:p w:rsidR="00484671" w:rsidRDefault="00484671" w:rsidP="0087102E">
      <w:pPr>
        <w:pStyle w:val="FootnoteText"/>
      </w:pPr>
      <w:r>
        <w:tab/>
        <w:t xml:space="preserve">Also see Frontier Economics, </w:t>
      </w:r>
      <w:r>
        <w:rPr>
          <w:rStyle w:val="AERtextitalic"/>
        </w:rPr>
        <w:t>The required return on equity under a foundation model approach</w:t>
      </w:r>
      <w:r>
        <w:t xml:space="preserve">, January 2016, p. 39; ; AER, </w:t>
      </w:r>
      <w:r w:rsidRPr="00EF131F">
        <w:rPr>
          <w:rStyle w:val="AERtextitalic"/>
        </w:rPr>
        <w:t>Final decision, SA Power Networks determination 2015 -16 to 2019 - 20, Attachment 3 - Rate of return</w:t>
      </w:r>
      <w:r>
        <w:t>, October 2015, pp. 501-5</w:t>
      </w:r>
      <w:r w:rsidRPr="00EC4749">
        <w:t>; AER</w:t>
      </w:r>
      <w:r>
        <w:t>,</w:t>
      </w:r>
      <w:r w:rsidRPr="00EC4749">
        <w:t xml:space="preserve"> </w:t>
      </w:r>
      <w:r w:rsidRPr="00EF131F">
        <w:rPr>
          <w:rStyle w:val="AERtextitalic"/>
        </w:rPr>
        <w:t>Final decision, Australian Gas Networks access arrangement 2016 to 2021, Attachment 3 - Rate of return</w:t>
      </w:r>
      <w:r w:rsidRPr="00EC4749">
        <w:t>, May 2016, pp. 41-87; AER</w:t>
      </w:r>
      <w:r>
        <w:t>,</w:t>
      </w:r>
      <w:r w:rsidRPr="00EC4749">
        <w:t xml:space="preserve"> </w:t>
      </w:r>
      <w:r w:rsidRPr="00EF131F">
        <w:rPr>
          <w:rStyle w:val="AERtextitalic"/>
        </w:rPr>
        <w:t>Final decision, AusNet Services distribution determination 2016 to 2020, Attachment 3 - Rate of return</w:t>
      </w:r>
      <w:r w:rsidRPr="00EC4749">
        <w:t>, May 2016, pp. 44-90</w:t>
      </w:r>
      <w:r>
        <w:t>.</w:t>
      </w:r>
    </w:p>
  </w:footnote>
  <w:footnote w:id="1224">
    <w:p w:rsidR="00484671" w:rsidRDefault="00484671">
      <w:pPr>
        <w:pStyle w:val="FootnoteText"/>
      </w:pPr>
      <w:r>
        <w:rPr>
          <w:rStyle w:val="FootnoteReference"/>
        </w:rPr>
        <w:footnoteRef/>
      </w:r>
      <w:r>
        <w:t xml:space="preserve"> </w:t>
      </w:r>
      <w:r>
        <w:tab/>
      </w:r>
    </w:p>
  </w:footnote>
  <w:footnote w:id="1225">
    <w:p w:rsidR="00484671" w:rsidRDefault="00484671" w:rsidP="0087102E">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for example: CitiPower, </w:t>
      </w:r>
      <w:r w:rsidRPr="00525CDC">
        <w:rPr>
          <w:rStyle w:val="AERtextitalic"/>
        </w:rPr>
        <w:t>Revised proposal</w:t>
      </w:r>
      <w:r>
        <w:t xml:space="preserve">, January 2016, p. 312–314; 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41-87</w:t>
      </w:r>
    </w:p>
  </w:footnote>
  <w:footnote w:id="1226">
    <w:p w:rsidR="00484671" w:rsidRDefault="00484671" w:rsidP="00C57061">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For example, also see CitiPower, </w:t>
      </w:r>
      <w:r w:rsidRPr="00525CDC">
        <w:rPr>
          <w:rStyle w:val="AERtextitalic"/>
        </w:rPr>
        <w:t>Revised proposal</w:t>
      </w:r>
      <w:r>
        <w:t xml:space="preserve">, January 2016, pp. 324–326; 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w:t>
      </w:r>
    </w:p>
  </w:footnote>
  <w:footnote w:id="1227">
    <w:p w:rsidR="00484671" w:rsidRDefault="00484671" w:rsidP="00DB561F">
      <w:pPr>
        <w:pStyle w:val="FootnoteText"/>
      </w:pPr>
      <w:r>
        <w:rPr>
          <w:rStyle w:val="FootnoteReference"/>
        </w:rPr>
        <w:footnoteRef/>
      </w:r>
      <w:r>
        <w:t xml:space="preserve"> </w:t>
      </w:r>
      <w:r>
        <w:tab/>
        <w:t xml:space="preserve">For example, see CitiPower, </w:t>
      </w:r>
      <w:r w:rsidRPr="00525CDC">
        <w:rPr>
          <w:rStyle w:val="AERtextitalic"/>
        </w:rPr>
        <w:t>Revised proposal</w:t>
      </w:r>
      <w:r>
        <w:t xml:space="preserve">, January 2016, p. 310. </w:t>
      </w:r>
    </w:p>
  </w:footnote>
  <w:footnote w:id="1228">
    <w:p w:rsidR="00484671" w:rsidRDefault="00484671" w:rsidP="007D1631">
      <w:pPr>
        <w:pStyle w:val="FootnoteText"/>
      </w:pPr>
      <w:r>
        <w:rPr>
          <w:rStyle w:val="FootnoteReference"/>
        </w:rPr>
        <w:footnoteRef/>
      </w:r>
      <w:r>
        <w:t xml:space="preserve"> </w:t>
      </w:r>
      <w:r>
        <w:tab/>
        <w:t xml:space="preserve">For example, see CitiPower, </w:t>
      </w:r>
      <w:r w:rsidRPr="00525CDC">
        <w:rPr>
          <w:rStyle w:val="AERtextitalic"/>
        </w:rPr>
        <w:t>Revised proposal</w:t>
      </w:r>
      <w:r>
        <w:t xml:space="preserve">, January 2016, pp. 310–311. </w:t>
      </w:r>
    </w:p>
  </w:footnote>
  <w:footnote w:id="1229">
    <w:p w:rsidR="00484671" w:rsidRDefault="00484671" w:rsidP="007D1631">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AER, </w:t>
      </w:r>
      <w:r w:rsidRPr="008C4977">
        <w:rPr>
          <w:rStyle w:val="AERtextitalic"/>
        </w:rPr>
        <w:t>Final decision, SA Power Networks determination 2015 -16 to 2019 - 20, Attachment 3 - Rate of return</w:t>
      </w:r>
      <w:r>
        <w:t xml:space="preserve">, October 2015, pp. 463-72;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44-90, 256-9. </w:t>
      </w:r>
    </w:p>
  </w:footnote>
  <w:footnote w:id="1230">
    <w:p w:rsidR="00484671" w:rsidRDefault="00484671" w:rsidP="00AC60C4">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46–58; AER, </w:t>
      </w:r>
      <w:r w:rsidRPr="00FE6698">
        <w:rPr>
          <w:rStyle w:val="AERtextitalic"/>
        </w:rPr>
        <w:t>Final decision, SA Power Networks determination 2015 -16 to 2019 - 20, Attachment 3 - Rate of return</w:t>
      </w:r>
      <w:r>
        <w:t xml:space="preserve">, October 2015, pp. 463-72;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w:t>
      </w:r>
      <w:r>
        <w:t xml:space="preserve">, Attachment 3 - Rate of return, May 2016, pp. 44-90. </w:t>
      </w:r>
    </w:p>
  </w:footnote>
  <w:footnote w:id="1231">
    <w:p w:rsidR="00484671" w:rsidRDefault="00484671" w:rsidP="00D0504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AER, </w:t>
      </w:r>
      <w:r w:rsidRPr="00FE6698">
        <w:rPr>
          <w:rStyle w:val="AERtextitalic"/>
        </w:rPr>
        <w:t>Final decision, SA Power Networks determination 2015 -16 to 2019 - 20, Attachment 3 - Rate of return, October 2015,</w:t>
      </w:r>
      <w:r>
        <w:t xml:space="preserve"> pp. 463-72; AER, Final decision, </w:t>
      </w:r>
      <w:r w:rsidRPr="00FE6698">
        <w:rPr>
          <w:rStyle w:val="AERtextitalic"/>
        </w:rPr>
        <w:t>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 </w:t>
      </w:r>
    </w:p>
  </w:footnote>
  <w:footnote w:id="1232">
    <w:p w:rsidR="00484671" w:rsidRDefault="00484671" w:rsidP="00D05040">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Also see Frontier Economics, </w:t>
      </w:r>
      <w:r w:rsidRPr="00331E87">
        <w:rPr>
          <w:rStyle w:val="AERtextitalic"/>
        </w:rPr>
        <w:t>Estimating the equity beta for the benchmark efficient entity</w:t>
      </w:r>
      <w:r>
        <w:t xml:space="preserve">, January 2016, pp. 5–6; AER, </w:t>
      </w:r>
      <w:r w:rsidRPr="00FE6698">
        <w:rPr>
          <w:rStyle w:val="AERtextitalic"/>
        </w:rPr>
        <w:t>Final decision, SA Power Networks determination 2015 -16 to 2019 - 20, Attachment 3 - Rate of return</w:t>
      </w:r>
      <w:r>
        <w:t xml:space="preserve">, October 2015, pp. 463-72, 483-90;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1233">
    <w:p w:rsidR="00484671" w:rsidRDefault="00484671" w:rsidP="00D0504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1234">
    <w:p w:rsidR="00484671" w:rsidRDefault="00484671" w:rsidP="0095792D">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1235">
    <w:p w:rsidR="00484671" w:rsidRDefault="00484671" w:rsidP="0095792D">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xml:space="preserve">, May 2014, pp. 79–81; AER, </w:t>
      </w:r>
      <w:r w:rsidRPr="00F34E7E">
        <w:rPr>
          <w:rStyle w:val="AERtextitalic"/>
        </w:rPr>
        <w:t>Final decision, SA Power Networks determination 2015 -16 to 2019 - 20, Attachment 3 - Rate of return</w:t>
      </w:r>
      <w:r>
        <w:t xml:space="preserve">, October 2015, pp. 463-72;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1236">
    <w:p w:rsidR="00484671" w:rsidRDefault="00484671" w:rsidP="0095792D">
      <w:pPr>
        <w:pStyle w:val="FootnoteText"/>
      </w:pPr>
      <w:r>
        <w:rPr>
          <w:rStyle w:val="FootnoteReference"/>
        </w:rPr>
        <w:footnoteRef/>
      </w:r>
      <w:r>
        <w:t xml:space="preserve"> </w:t>
      </w:r>
      <w:r>
        <w:tab/>
        <w:t xml:space="preserve">For example, see: CitiPower, </w:t>
      </w:r>
      <w:r w:rsidRPr="00525CDC">
        <w:rPr>
          <w:rStyle w:val="AERtextitalic"/>
        </w:rPr>
        <w:t>Revised proposal</w:t>
      </w:r>
      <w:r>
        <w:t>, January 2016, p. 314.</w:t>
      </w:r>
    </w:p>
  </w:footnote>
  <w:footnote w:id="1237">
    <w:p w:rsidR="00484671" w:rsidRDefault="00484671" w:rsidP="0095792D">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xml:space="preserve">, April 2014, p. 35; AER, </w:t>
      </w:r>
      <w:r w:rsidRPr="00F34E7E">
        <w:rPr>
          <w:rStyle w:val="AERtextitalic"/>
        </w:rPr>
        <w:t>Final decision, SA Power Networks determination 2015 -16 to 2019 - 20, Attachment 3 - Rate of return,</w:t>
      </w:r>
      <w:r>
        <w:t xml:space="preserve"> October 2015, pp. 33-143;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1238">
    <w:p w:rsidR="00484671" w:rsidRDefault="00484671" w:rsidP="0005025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January 2016, pp. 4–5; AER</w:t>
      </w:r>
      <w:r w:rsidRPr="006E5878">
        <w:rPr>
          <w:rStyle w:val="AERtextitalic"/>
        </w:rPr>
        <w:t>, Final decision, SA Power Networks determination 2015 -16 to 2019 - 20, Attachment 3 - Rate of return</w:t>
      </w:r>
      <w:r>
        <w:t xml:space="preserve">, October 2015, pp. 463-72;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1239">
    <w:p w:rsidR="00484671" w:rsidRDefault="00484671" w:rsidP="00A338E5">
      <w:pPr>
        <w:pStyle w:val="FootnoteText"/>
      </w:pPr>
      <w:r>
        <w:rPr>
          <w:rStyle w:val="FootnoteReference"/>
        </w:rPr>
        <w:footnoteRef/>
      </w:r>
      <w:r>
        <w:t xml:space="preserve"> </w:t>
      </w:r>
      <w:r>
        <w:tab/>
      </w:r>
      <w:r w:rsidRPr="003C4210">
        <w:t xml:space="preserve">Henry, </w:t>
      </w:r>
      <w:r w:rsidRPr="00A164C0">
        <w:rPr>
          <w:i/>
        </w:rPr>
        <w:t>Estimating β: An update</w:t>
      </w:r>
      <w:r w:rsidRPr="003C4210">
        <w:t>, April 2014, p. 35</w:t>
      </w:r>
      <w:r>
        <w:t xml:space="preserve">; CEG, </w:t>
      </w:r>
      <w:r w:rsidRPr="000C309D">
        <w:rPr>
          <w:i/>
        </w:rPr>
        <w:t>Replication and extension of Henry’s beta analysis</w:t>
      </w:r>
      <w:r>
        <w:t>, 21 September 2016, pp.  6, 9–12, 17.</w:t>
      </w:r>
    </w:p>
  </w:footnote>
  <w:footnote w:id="1240">
    <w:p w:rsidR="00484671" w:rsidRDefault="00484671" w:rsidP="00A338E5">
      <w:pPr>
        <w:pStyle w:val="FootnoteText"/>
      </w:pPr>
      <w:r>
        <w:rPr>
          <w:rStyle w:val="FootnoteReference"/>
        </w:rPr>
        <w:footnoteRef/>
      </w:r>
      <w:r>
        <w:t xml:space="preserve"> </w:t>
      </w:r>
      <w:r>
        <w:tab/>
        <w:t xml:space="preserve">CEG, </w:t>
      </w:r>
      <w:r w:rsidRPr="000C309D">
        <w:rPr>
          <w:i/>
        </w:rPr>
        <w:t>Replication and extension of Henry’s beta analysis</w:t>
      </w:r>
      <w:r>
        <w:t>, 21 September 2016, p.  6.</w:t>
      </w:r>
    </w:p>
  </w:footnote>
  <w:footnote w:id="1241">
    <w:p w:rsidR="00484671" w:rsidRDefault="00484671" w:rsidP="0012319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484671" w:rsidRDefault="00484671" w:rsidP="0012319B">
      <w:pPr>
        <w:pStyle w:val="FootnoteText"/>
      </w:pPr>
      <w:r>
        <w:tab/>
        <w:t xml:space="preserve">AER, </w:t>
      </w:r>
      <w:r w:rsidRPr="006E5878">
        <w:rPr>
          <w:rStyle w:val="AERtextitalic"/>
        </w:rPr>
        <w:t>Final decision, SA Power Networks determination 2015 -16 to 2019 - 20, Attachment 3 - Rate of return</w:t>
      </w:r>
      <w:r>
        <w:t xml:space="preserve">, October 2015, pp. 496; AER, </w:t>
      </w:r>
      <w:r w:rsidRPr="006E5878">
        <w:rPr>
          <w:rStyle w:val="AERtextitalic"/>
        </w:rPr>
        <w:t>Final decision, Australian Gas Networks access arrangement 2016 to 2021, Attachment 3 - Rate of return</w:t>
      </w:r>
      <w:r>
        <w:t>, May 2016, pp. 41-87</w:t>
      </w:r>
    </w:p>
  </w:footnote>
  <w:footnote w:id="1242">
    <w:p w:rsidR="00484671" w:rsidRDefault="00484671" w:rsidP="00754B64">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xml:space="preserve">, pp. 17–18; ; AER, </w:t>
      </w:r>
      <w:r w:rsidRPr="006E5878">
        <w:rPr>
          <w:rStyle w:val="AERtextitalic"/>
        </w:rPr>
        <w:t>Final decision, SA Power Networks determination 2015 -16 to 2019 - 20, Attachment 3 - Rate of return</w:t>
      </w:r>
      <w:r>
        <w:t xml:space="preserve">, October 2015, pp. 473-9;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265-6, 267-8</w:t>
      </w:r>
    </w:p>
  </w:footnote>
  <w:footnote w:id="1243">
    <w:p w:rsidR="00484671" w:rsidRDefault="00484671" w:rsidP="006935DE">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1244">
    <w:p w:rsidR="00484671" w:rsidRDefault="00484671" w:rsidP="006935DE">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AER, </w:t>
      </w:r>
      <w:r w:rsidRPr="006E5878">
        <w:rPr>
          <w:rStyle w:val="AERtextitalic"/>
        </w:rPr>
        <w:t>Final decision, SA Power Networks determination 2015 -16 to 2019 - 20, Attachment 3 - Rate of return</w:t>
      </w:r>
      <w:r>
        <w:t xml:space="preserve">, October 2015, pp. 495-505; AER, </w:t>
      </w:r>
      <w:r w:rsidRPr="006E5878">
        <w:rPr>
          <w:rStyle w:val="AERtextitalic"/>
        </w:rPr>
        <w:t>Final decision, Australian Gas Networks access arrangement 2016 to 2021, Attachment 3 - Rate of return</w:t>
      </w:r>
      <w:r>
        <w:t xml:space="preserve">, May 2016, pp. 41-87 </w:t>
      </w:r>
    </w:p>
  </w:footnote>
  <w:footnote w:id="1245">
    <w:p w:rsidR="00484671" w:rsidRDefault="00484671" w:rsidP="000F0455">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 ; AER</w:t>
      </w:r>
      <w:r w:rsidRPr="006E5878">
        <w:rPr>
          <w:rStyle w:val="AERtextitalic"/>
        </w:rPr>
        <w:t>, Final decision, SA Power Networks determination 2015 -16 to 2019 - 20, Attachment 3 - Rate of return</w:t>
      </w:r>
      <w:r>
        <w:t xml:space="preserve">, October 2015, pp. 480-2;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w:t>
      </w:r>
    </w:p>
  </w:footnote>
  <w:footnote w:id="1246">
    <w:p w:rsidR="00484671" w:rsidRDefault="00484671" w:rsidP="006D79D2">
      <w:pPr>
        <w:pStyle w:val="FootnoteText"/>
      </w:pPr>
      <w:r>
        <w:rPr>
          <w:rStyle w:val="FootnoteReference"/>
        </w:rPr>
        <w:footnoteRef/>
      </w:r>
      <w:r>
        <w:t xml:space="preserve"> </w:t>
      </w:r>
      <w:r>
        <w:tab/>
        <w:t xml:space="preserve">CCP5, </w:t>
      </w:r>
      <w:r w:rsidRPr="00AE3365">
        <w:rPr>
          <w:i/>
        </w:rPr>
        <w:t>Transmission for the Generations III–Response to: AER draft decision for AusNet Services’ Transmission Revenue Review 2017–22</w:t>
      </w:r>
      <w:r>
        <w:t>, October 2016, pp. 20–21.</w:t>
      </w:r>
    </w:p>
  </w:footnote>
  <w:footnote w:id="1247">
    <w:p w:rsidR="00484671" w:rsidRDefault="00484671" w:rsidP="006D79D2">
      <w:pPr>
        <w:pStyle w:val="FootnoteText"/>
      </w:pPr>
      <w:r>
        <w:rPr>
          <w:rStyle w:val="FootnoteReference"/>
        </w:rPr>
        <w:footnoteRef/>
      </w:r>
      <w:r>
        <w:t xml:space="preserve"> </w:t>
      </w:r>
      <w:r>
        <w:tab/>
        <w:t>AER</w:t>
      </w:r>
      <w:r w:rsidRPr="006E5878">
        <w:rPr>
          <w:rStyle w:val="AERtextitalic"/>
        </w:rPr>
        <w:t>, Better Regulation Explanatory Statement: Rate of return Guideline</w:t>
      </w:r>
      <w:r>
        <w:t xml:space="preserve">, December 2013, pp. 85–88.  </w:t>
      </w:r>
    </w:p>
  </w:footnote>
  <w:footnote w:id="1248">
    <w:p w:rsidR="00484671" w:rsidRDefault="00484671"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49">
    <w:p w:rsidR="00484671" w:rsidRDefault="00484671" w:rsidP="006D79D2">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w:t>
      </w:r>
    </w:p>
  </w:footnote>
  <w:footnote w:id="1250">
    <w:p w:rsidR="00484671" w:rsidRDefault="00484671" w:rsidP="006D79D2">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pp. 1, 6, 9, 13.</w:t>
      </w:r>
    </w:p>
  </w:footnote>
  <w:footnote w:id="1251">
    <w:p w:rsidR="00484671" w:rsidRDefault="00484671"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 6, 9, 13;</w:t>
      </w:r>
      <w:r w:rsidRPr="007929CD">
        <w:t xml:space="preserve"> </w:t>
      </w:r>
    </w:p>
  </w:footnote>
  <w:footnote w:id="1252">
    <w:p w:rsidR="00484671" w:rsidRDefault="00484671" w:rsidP="006D79D2">
      <w:pPr>
        <w:pStyle w:val="FootnoteText"/>
      </w:pPr>
      <w:r>
        <w:rPr>
          <w:rStyle w:val="FootnoteReference"/>
        </w:rPr>
        <w:footnoteRef/>
      </w:r>
      <w:r>
        <w:t xml:space="preserve"> </w:t>
      </w:r>
      <w:r>
        <w:tab/>
        <w:t xml:space="preserve">Partington and Satchell, </w:t>
      </w:r>
      <w:r w:rsidRPr="00E91B81">
        <w:rPr>
          <w:rStyle w:val="AERtextitalic"/>
        </w:rPr>
        <w:t>Report to the AER: Discussion of estimates of the return on equity</w:t>
      </w:r>
      <w:r>
        <w:t>, 12 April 2017, pp. 12–13.</w:t>
      </w:r>
    </w:p>
  </w:footnote>
  <w:footnote w:id="1253">
    <w:p w:rsidR="00484671" w:rsidRDefault="00484671"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13, 22.</w:t>
      </w:r>
    </w:p>
  </w:footnote>
  <w:footnote w:id="1254">
    <w:p w:rsidR="00484671" w:rsidRDefault="00484671"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15–16.</w:t>
      </w:r>
    </w:p>
  </w:footnote>
  <w:footnote w:id="1255">
    <w:p w:rsidR="00484671" w:rsidRDefault="00484671" w:rsidP="006D79D2">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xml:space="preserve">, 21 September 2016, p. 1; </w:t>
      </w:r>
      <w:r w:rsidRPr="00B044FB">
        <w:t xml:space="preserve"> </w:t>
      </w:r>
      <w:r>
        <w:t xml:space="preserve">Partington and Satchell, </w:t>
      </w:r>
      <w:r w:rsidRPr="00AE3365">
        <w:rPr>
          <w:i/>
        </w:rPr>
        <w:t>Report to the AER: Discussion of the Estimates of the Return to Equity</w:t>
      </w:r>
      <w:r>
        <w:t>, 12 April 2017, pp. 11-13.</w:t>
      </w:r>
    </w:p>
  </w:footnote>
  <w:footnote w:id="1256">
    <w:p w:rsidR="00484671" w:rsidRDefault="00484671" w:rsidP="006D79D2">
      <w:pPr>
        <w:pStyle w:val="FootnoteText"/>
      </w:pPr>
      <w:r>
        <w:rPr>
          <w:rStyle w:val="FootnoteReference"/>
        </w:rPr>
        <w:footnoteRef/>
      </w:r>
      <w:r>
        <w:t xml:space="preserve"> </w:t>
      </w:r>
      <w:r>
        <w:tab/>
      </w:r>
      <w:hyperlink r:id="rId24" w:history="1">
        <w:r w:rsidRPr="00914418">
          <w:rPr>
            <w:rStyle w:val="Hyperlink"/>
            <w:sz w:val="16"/>
          </w:rPr>
          <w:t>https://www.apa.com.au/about-apa/our-history/</w:t>
        </w:r>
      </w:hyperlink>
      <w:r>
        <w:rPr>
          <w:rStyle w:val="Hyperlink"/>
          <w:sz w:val="16"/>
        </w:rPr>
        <w:t xml:space="preserve">; </w:t>
      </w:r>
      <w:hyperlink r:id="rId25"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1257">
    <w:p w:rsidR="00484671" w:rsidRDefault="00484671" w:rsidP="006D79D2">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1258">
    <w:p w:rsidR="00484671" w:rsidRDefault="00484671" w:rsidP="00013867">
      <w:pPr>
        <w:pStyle w:val="FootnoteText"/>
      </w:pPr>
      <w:r>
        <w:rPr>
          <w:rStyle w:val="FootnoteReference"/>
        </w:rPr>
        <w:footnoteRef/>
      </w:r>
      <w:r>
        <w:t xml:space="preserve"> </w:t>
      </w:r>
      <w:r>
        <w:tab/>
        <w:t xml:space="preserve">CCP5, </w:t>
      </w:r>
      <w:r w:rsidRPr="00AE3365">
        <w:rPr>
          <w:i/>
        </w:rPr>
        <w:t>Transmission for the Generations III–Response to: Revised revenue proposal by AusNet Services for Transmission Revenue Review 2017–22</w:t>
      </w:r>
      <w:r>
        <w:t>, October 2016, pp. 10–11.</w:t>
      </w:r>
    </w:p>
  </w:footnote>
  <w:footnote w:id="1259">
    <w:p w:rsidR="00484671" w:rsidRDefault="00484671" w:rsidP="006D79D2">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xml:space="preserve">, June 2016, pp.45-6; CCP4(Hugh Grant),  </w:t>
      </w:r>
      <w:r w:rsidRPr="006E5878">
        <w:rPr>
          <w:rStyle w:val="AERtextitalic"/>
        </w:rPr>
        <w:t>Submission to the AER: AER draft 2018–22 revenue decision Powerlink Queensland revised 2018-22 revenue proposal</w:t>
      </w:r>
      <w:r>
        <w:t>, December 2016, pp.45-6</w:t>
      </w:r>
    </w:p>
  </w:footnote>
  <w:footnote w:id="1260">
    <w:p w:rsidR="00484671" w:rsidRDefault="00484671"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1261">
    <w:p w:rsidR="00484671" w:rsidRDefault="00484671"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62">
    <w:p w:rsidR="00484671" w:rsidRDefault="00484671" w:rsidP="00887E9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xml:space="preserve">, May 2016, pp. 260-1, 267-8. </w:t>
      </w:r>
    </w:p>
  </w:footnote>
  <w:footnote w:id="1263">
    <w:p w:rsidR="00484671" w:rsidRDefault="00484671" w:rsidP="00887E9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262-3. </w:t>
      </w:r>
    </w:p>
  </w:footnote>
  <w:footnote w:id="1264">
    <w:p w:rsidR="00484671" w:rsidRDefault="00484671" w:rsidP="00DF1E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AER, </w:t>
      </w:r>
      <w:r w:rsidRPr="006E5878">
        <w:rPr>
          <w:rStyle w:val="AERtextitalic"/>
        </w:rPr>
        <w:t>Final decision, SA Power Networks determination 2015 -16 to 2019 - 20, Attachment 3 - Rate of return</w:t>
      </w:r>
      <w:r>
        <w:t xml:space="preserve">, October 2015, pp. 263-70, 491-4, 501-5; AER, </w:t>
      </w:r>
      <w:r w:rsidRPr="006E5878">
        <w:rPr>
          <w:rStyle w:val="AERtextitalic"/>
        </w:rPr>
        <w:t>Final decision, Australian Gas Networks access</w:t>
      </w:r>
      <w:r>
        <w:t xml:space="preserve"> </w:t>
      </w:r>
      <w:r w:rsidRPr="006E5878">
        <w:rPr>
          <w:rStyle w:val="AERtextitalic"/>
        </w:rPr>
        <w:t>arrangement 2016 to 2021, Attachment 3 - Rate of return</w:t>
      </w:r>
      <w:r>
        <w:t>, May 2016, pp. 41-87.</w:t>
      </w:r>
    </w:p>
  </w:footnote>
  <w:footnote w:id="1265">
    <w:p w:rsidR="00484671" w:rsidRDefault="00484671">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for example CitiPower, </w:t>
      </w:r>
      <w:r w:rsidRPr="00525CDC">
        <w:rPr>
          <w:rStyle w:val="AERtextitalic"/>
        </w:rPr>
        <w:t>Revised proposal</w:t>
      </w:r>
      <w:r>
        <w:t>, January 2016, pp. 315–316.</w:t>
      </w:r>
    </w:p>
  </w:footnote>
  <w:footnote w:id="1266">
    <w:p w:rsidR="00484671" w:rsidRDefault="00484671" w:rsidP="00220B09">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xml:space="preserve">, January 2016, pp. 52–57); AER, </w:t>
      </w:r>
      <w:r w:rsidRPr="006E5878">
        <w:rPr>
          <w:rStyle w:val="AERtextitalic"/>
        </w:rPr>
        <w:t>Final decision, SA Power Networks determination 2015 -16 to 2019 - 20, Attachment 3 - Rate of return</w:t>
      </w:r>
      <w:r>
        <w:t xml:space="preserve">, October 2015, pp. 33-143;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1267">
    <w:p w:rsidR="00484671" w:rsidRDefault="00484671" w:rsidP="00220B09">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AER, </w:t>
      </w:r>
      <w:r w:rsidRPr="006E5878">
        <w:rPr>
          <w:rStyle w:val="AERtextitalic"/>
        </w:rPr>
        <w:t>Final decision, SA Power Networks determination 2015 -16 to 2019 - 20, Attachment 3 - Rate of return</w:t>
      </w:r>
      <w:r>
        <w:t>, October 2015, pp. 491-4; AER</w:t>
      </w:r>
      <w:r w:rsidRPr="006E5878">
        <w:rPr>
          <w:rStyle w:val="AERtextitalic"/>
        </w:rPr>
        <w:t>, 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256-9. </w:t>
      </w:r>
    </w:p>
  </w:footnote>
  <w:footnote w:id="1268">
    <w:p w:rsidR="00484671" w:rsidRDefault="00484671" w:rsidP="00220B09">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1269">
    <w:p w:rsidR="00484671" w:rsidRDefault="00484671" w:rsidP="00220B09">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1270">
    <w:p w:rsidR="00484671" w:rsidRDefault="00484671" w:rsidP="00E915BA">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CCP4 (Hugh Grant and David Headberry),  </w:t>
      </w:r>
      <w:r w:rsidRPr="004910A0">
        <w:rPr>
          <w:i/>
        </w:rPr>
        <w:t>Submission to the AER, Powerlink Queensland 2018-22 revenue proposal</w:t>
      </w:r>
      <w:r>
        <w:t>, June 2016, pp.45-6.</w:t>
      </w:r>
    </w:p>
  </w:footnote>
  <w:footnote w:id="1271">
    <w:p w:rsidR="00484671" w:rsidRDefault="00484671" w:rsidP="00E915BA">
      <w:pPr>
        <w:pStyle w:val="FootnoteText"/>
      </w:pPr>
      <w:r>
        <w:rPr>
          <w:rStyle w:val="FootnoteReference"/>
        </w:rPr>
        <w:footnoteRef/>
      </w:r>
      <w:r>
        <w:t xml:space="preserve"> </w:t>
      </w:r>
      <w:r>
        <w:tab/>
        <w:t xml:space="preserve">CCP4 (Hugh Grant and David Headberry),  </w:t>
      </w:r>
      <w:r w:rsidRPr="004910A0">
        <w:rPr>
          <w:i/>
        </w:rPr>
        <w:t>Submission to the AER, Powerlink Queensland 2018-22 revenue proposal</w:t>
      </w:r>
      <w:r>
        <w:t>, June 2016, pp.45-6.</w:t>
      </w:r>
    </w:p>
  </w:footnote>
  <w:footnote w:id="1272">
    <w:p w:rsidR="00484671" w:rsidRDefault="00484671" w:rsidP="00E915BA">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1273">
    <w:p w:rsidR="00484671" w:rsidRDefault="00484671" w:rsidP="00E915B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CitiPower, Powercor, United Energy, JEN, AGN and ActewAGL submitted this report during the decision process. AER, </w:t>
      </w:r>
      <w:r w:rsidRPr="006E5878">
        <w:rPr>
          <w:rStyle w:val="AERtextitalic"/>
        </w:rPr>
        <w:t>Final decision, SA Power Networks determination 2015 -16 to 2019 - 20, Attachment 3 - Rate of return</w:t>
      </w:r>
      <w:r>
        <w:t xml:space="preserve">, October 2015, pp. 434-49;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44-90.</w:t>
      </w:r>
    </w:p>
  </w:footnote>
  <w:footnote w:id="1274">
    <w:p w:rsidR="00484671" w:rsidRDefault="00484671" w:rsidP="00404838">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AER, </w:t>
      </w:r>
      <w:r w:rsidRPr="006E5878">
        <w:rPr>
          <w:rStyle w:val="AERtextitalic"/>
        </w:rPr>
        <w:t>Final decision, SA Power Networks determination 2015 -16 to 2019 - 20, Attachment 3 - Rate of return</w:t>
      </w:r>
      <w:r>
        <w:t xml:space="preserve">, October 2015, pp. 436-7, 438-46;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 262-3.</w:t>
      </w:r>
    </w:p>
  </w:footnote>
  <w:footnote w:id="1275">
    <w:p w:rsidR="00484671" w:rsidRDefault="00484671" w:rsidP="00A85DCD">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6–7; AER, </w:t>
      </w:r>
      <w:r w:rsidRPr="006E5878">
        <w:rPr>
          <w:rStyle w:val="AERtextitalic"/>
        </w:rPr>
        <w:t>Final decision, SA Power Networks determination 2015 -16 to 2019 - 20, Attachment 3 - Rate of return</w:t>
      </w:r>
      <w:r>
        <w:t xml:space="preserve">, October 2015, pp. 438-46;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1276">
    <w:p w:rsidR="00484671" w:rsidRDefault="00484671" w:rsidP="00A85DCD">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20–26;</w:t>
      </w:r>
      <w:r w:rsidRPr="00462CE9">
        <w:t xml:space="preserve"> </w:t>
      </w:r>
      <w:r>
        <w:t xml:space="preserve">AER, </w:t>
      </w:r>
      <w:r w:rsidRPr="006E5878">
        <w:rPr>
          <w:rStyle w:val="AERtextitalic"/>
        </w:rPr>
        <w:t>Final decision, SA Power Networks determination 2015 -16 to 2019 - 20, Attachment 3 - Rate of return</w:t>
      </w:r>
      <w:r>
        <w:t xml:space="preserve">, October 2015, pp. 447-9;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1277">
    <w:p w:rsidR="00484671" w:rsidRDefault="00484671" w:rsidP="00A85DCD">
      <w:pPr>
        <w:pStyle w:val="FootnoteText"/>
      </w:pPr>
      <w:r>
        <w:rPr>
          <w:rStyle w:val="FootnoteReference"/>
        </w:rPr>
        <w:footnoteRef/>
      </w:r>
      <w:r>
        <w:t xml:space="preserve"> </w:t>
      </w:r>
      <w:r>
        <w:tab/>
        <w:t>CCP4(DH</w:t>
      </w:r>
      <w:r w:rsidRPr="004910A0">
        <w:rPr>
          <w:i/>
        </w:rPr>
        <w:t>), Submission to the AER, Response to the proposal from Tasmania’s electricity distribution network service provider (Tas</w:t>
      </w:r>
      <w:r>
        <w:rPr>
          <w:i/>
        </w:rPr>
        <w:t>N</w:t>
      </w:r>
      <w:r w:rsidRPr="004910A0">
        <w:rPr>
          <w:i/>
        </w:rPr>
        <w:t>etworks – TND) for a revenue reset for the 2017-19 regulatory period</w:t>
      </w:r>
      <w:r>
        <w:t>, 4 May 2016, p. 47.</w:t>
      </w:r>
    </w:p>
  </w:footnote>
  <w:footnote w:id="1278">
    <w:p w:rsidR="00484671" w:rsidRDefault="00484671" w:rsidP="00A85DCD">
      <w:pPr>
        <w:pStyle w:val="FootnoteText"/>
      </w:pPr>
      <w:r>
        <w:rPr>
          <w:rStyle w:val="FootnoteReference"/>
        </w:rPr>
        <w:footnoteRef/>
      </w:r>
      <w:r>
        <w:t xml:space="preserve"> </w:t>
      </w:r>
      <w:r>
        <w:tab/>
        <w:t>AER</w:t>
      </w:r>
      <w:r w:rsidRPr="006E5878">
        <w:rPr>
          <w:rStyle w:val="AERtextitalic"/>
        </w:rPr>
        <w:t>, Draft decision, AusNet Services transmission determination 2017-18 to 2021-22, Attachment 3 - Rate of return</w:t>
      </w:r>
      <w:r>
        <w:t>, July 2016, p. 24</w:t>
      </w:r>
    </w:p>
  </w:footnote>
  <w:footnote w:id="1279">
    <w:p w:rsidR="00484671" w:rsidRDefault="00484671" w:rsidP="00A85DCD">
      <w:pPr>
        <w:pStyle w:val="FootnoteText"/>
      </w:pPr>
      <w:r>
        <w:rPr>
          <w:rStyle w:val="FootnoteReference"/>
        </w:rPr>
        <w:footnoteRef/>
      </w:r>
      <w:r>
        <w:t xml:space="preserve"> </w:t>
      </w:r>
      <w:r>
        <w:tab/>
        <w:t xml:space="preserve">Tasmanian Small Business Council, </w:t>
      </w:r>
      <w:r w:rsidRPr="00F44614">
        <w:rPr>
          <w:i/>
        </w:rPr>
        <w:t>Submission to the AER, TasNetworks’ electricity distribution regulatory proposal 1 July 2017 to 30 June 2019 and tariff structure proposal</w:t>
      </w:r>
      <w:r>
        <w:t>, May 2016, p.8; CCP4(DH</w:t>
      </w:r>
      <w:r w:rsidRPr="00F44614">
        <w:rPr>
          <w:i/>
        </w:rPr>
        <w:t>), Submission to the AER, Response to the proposal from Tasmania’s electricity distribution network service provider</w:t>
      </w:r>
      <w:r w:rsidRPr="0083127E">
        <w:rPr>
          <w:i/>
        </w:rPr>
        <w:t xml:space="preserve"> (Tas</w:t>
      </w:r>
      <w:r>
        <w:rPr>
          <w:i/>
        </w:rPr>
        <w:t>N</w:t>
      </w:r>
      <w:r w:rsidRPr="00F44614">
        <w:rPr>
          <w:i/>
        </w:rPr>
        <w:t>etworks – TND) for a revenue reset for the 2017-19 regulatory period</w:t>
      </w:r>
      <w:r>
        <w:t xml:space="preserve">, 4 May 2016, pp. 5, 44; Tasmanian Small Business Council, </w:t>
      </w:r>
      <w:r w:rsidRPr="004910A0">
        <w:rPr>
          <w:i/>
        </w:rPr>
        <w:t>Submission to the AER, TasNetworks’ electricity distribution regulatory proposal 1 July 2017 to 30 June 2019 and tariff structure proposal</w:t>
      </w:r>
      <w:r>
        <w:t xml:space="preserve">, May 2016, p.36; CCP4(DH), </w:t>
      </w:r>
      <w:r w:rsidRPr="00F44614">
        <w:rPr>
          <w:i/>
        </w:rPr>
        <w:t>Submission to the AER, Response to the AER draft decision and revised proposal to Powerlink’s electricity transmission</w:t>
      </w:r>
      <w:r>
        <w:t xml:space="preserve">, 19 December 2016, p. 21.  </w:t>
      </w:r>
    </w:p>
  </w:footnote>
  <w:footnote w:id="1280">
    <w:p w:rsidR="00484671" w:rsidRDefault="00484671" w:rsidP="00A85DCD">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1281">
    <w:p w:rsidR="00484671" w:rsidRDefault="00484671" w:rsidP="00A85DCD">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82">
    <w:p w:rsidR="00484671" w:rsidRDefault="00484671" w:rsidP="00A85DCD">
      <w:pPr>
        <w:pStyle w:val="FootnoteText"/>
      </w:pPr>
      <w:r>
        <w:rPr>
          <w:rStyle w:val="FootnoteReference"/>
        </w:rPr>
        <w:footnoteRef/>
      </w:r>
      <w:r>
        <w:t xml:space="preserve"> </w:t>
      </w:r>
      <w:r>
        <w:tab/>
        <w:t>Australian Competition Tribunal.</w:t>
      </w:r>
    </w:p>
  </w:footnote>
  <w:footnote w:id="1283">
    <w:p w:rsidR="00484671" w:rsidRDefault="00484671" w:rsidP="00892AAD">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June 2016, p.47.</w:t>
      </w:r>
    </w:p>
  </w:footnote>
  <w:footnote w:id="1284">
    <w:p w:rsidR="00484671" w:rsidRDefault="00484671" w:rsidP="00892AAD">
      <w:pPr>
        <w:pStyle w:val="FootnoteText"/>
      </w:pPr>
      <w:r>
        <w:rPr>
          <w:rStyle w:val="FootnoteReference"/>
        </w:rPr>
        <w:footnoteRef/>
      </w:r>
      <w:r>
        <w:t xml:space="preserve"> </w:t>
      </w:r>
      <w:r>
        <w:tab/>
        <w:t xml:space="preserve">CCP4(Hugh Grant and David Headberry),  </w:t>
      </w:r>
      <w:r w:rsidRPr="00F44614">
        <w:rPr>
          <w:i/>
        </w:rPr>
        <w:t>Submission to the AER, Powerlink Queensland 2018-22 revenue proposal</w:t>
      </w:r>
      <w:r>
        <w:t>, June 2016, p.3.</w:t>
      </w:r>
    </w:p>
  </w:footnote>
  <w:footnote w:id="1285">
    <w:p w:rsidR="00484671" w:rsidRDefault="00484671" w:rsidP="00A07066">
      <w:pPr>
        <w:pStyle w:val="FootnoteText"/>
        <w:tabs>
          <w:tab w:val="clear" w:pos="340"/>
          <w:tab w:val="left" w:pos="284"/>
        </w:tabs>
        <w:ind w:left="284" w:hanging="284"/>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w:t>
      </w:r>
    </w:p>
  </w:footnote>
  <w:footnote w:id="1286">
    <w:p w:rsidR="00484671" w:rsidRDefault="00484671" w:rsidP="00A07066">
      <w:pPr>
        <w:pStyle w:val="FootnoteText"/>
      </w:pPr>
      <w:r>
        <w:rPr>
          <w:rStyle w:val="FootnoteReference"/>
        </w:rPr>
        <w:footnoteRef/>
      </w:r>
      <w:r>
        <w:t xml:space="preserve"> </w:t>
      </w:r>
      <w:r>
        <w:tab/>
      </w:r>
      <w:r w:rsidRPr="00F56847">
        <w:t xml:space="preserve">AER, </w:t>
      </w:r>
      <w:r w:rsidRPr="00A164C0">
        <w:rPr>
          <w:rStyle w:val="Emphasis"/>
        </w:rPr>
        <w:t>Final Decision AusNet distribution determination - Attachment 3 - rate of return</w:t>
      </w:r>
      <w:r w:rsidRPr="00F56847">
        <w:t xml:space="preserve">, May 2016, </w:t>
      </w:r>
      <w:r>
        <w:t xml:space="preserve">p. </w:t>
      </w:r>
      <w:r w:rsidRPr="00F56847">
        <w:t>62</w:t>
      </w:r>
      <w:r>
        <w:t>;</w:t>
      </w:r>
    </w:p>
  </w:footnote>
  <w:footnote w:id="1287">
    <w:p w:rsidR="00484671" w:rsidRDefault="00484671"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147;</w:t>
      </w:r>
      <w:r w:rsidRPr="00835462">
        <w:t xml:space="preserve"> </w:t>
      </w:r>
      <w:r>
        <w:t>Multinet, Rate of Return Overview, 16 December 2016, p.26;</w:t>
      </w:r>
      <w:r w:rsidRPr="00441340">
        <w:t xml:space="preserve"> </w:t>
      </w:r>
      <w:r>
        <w:t xml:space="preserve">AusNet Services, </w:t>
      </w:r>
      <w:r>
        <w:rPr>
          <w:rStyle w:val="Emphasis"/>
        </w:rPr>
        <w:t>Access Arrangement Information 2018-2022</w:t>
      </w:r>
      <w:r>
        <w:t>, 21 December 2016, pp. 194-197;</w:t>
      </w:r>
      <w:r w:rsidRPr="00835462">
        <w:t xml:space="preserve"> </w:t>
      </w:r>
      <w:r>
        <w:t xml:space="preserve"> </w:t>
      </w:r>
    </w:p>
  </w:footnote>
  <w:footnote w:id="1288">
    <w:p w:rsidR="00484671" w:rsidRDefault="00484671" w:rsidP="00A07066">
      <w:pPr>
        <w:pStyle w:val="FootnoteText"/>
        <w:tabs>
          <w:tab w:val="clear" w:pos="340"/>
          <w:tab w:val="left" w:pos="284"/>
        </w:tabs>
        <w:ind w:left="284" w:hanging="284"/>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r w:rsidRPr="00957906">
        <w:t xml:space="preserve"> </w:t>
      </w:r>
      <w:r>
        <w:t xml:space="preserve">Partington and Satchell, </w:t>
      </w:r>
      <w:r w:rsidRPr="00024F5D">
        <w:rPr>
          <w:rStyle w:val="Emphasis"/>
        </w:rPr>
        <w:t>Report to the AER: Cost of equity issues–Final decisions for the VIC DNSPs</w:t>
      </w:r>
      <w:r>
        <w:t>, April 2016, pp. 49–52.</w:t>
      </w:r>
    </w:p>
  </w:footnote>
  <w:footnote w:id="1289">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74–75; AusNet Services, </w:t>
      </w:r>
      <w:r>
        <w:rPr>
          <w:rStyle w:val="Emphasis"/>
        </w:rPr>
        <w:t>Access Arrangement Information 2018-2022</w:t>
      </w:r>
      <w:r>
        <w:t>, 21 December 2016, pp. 196-197;</w:t>
      </w:r>
    </w:p>
  </w:footnote>
  <w:footnote w:id="1290">
    <w:p w:rsidR="00484671" w:rsidRDefault="00484671" w:rsidP="00A07066">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r>
        <w:t>;</w:t>
      </w:r>
    </w:p>
  </w:footnote>
  <w:footnote w:id="1291">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w:t>
      </w:r>
      <w:r w:rsidRPr="00F85FCC">
        <w:t>. 4</w:t>
      </w:r>
      <w:r>
        <w:t>;</w:t>
      </w:r>
    </w:p>
  </w:footnote>
  <w:footnote w:id="1292">
    <w:p w:rsidR="00484671" w:rsidRDefault="00484671" w:rsidP="00A07066">
      <w:pPr>
        <w:pStyle w:val="FootnoteText"/>
      </w:pPr>
      <w:r>
        <w:rPr>
          <w:rStyle w:val="FootnoteReference"/>
        </w:rPr>
        <w:footnoteRef/>
      </w:r>
      <w:r>
        <w:t xml:space="preserve"> </w:t>
      </w:r>
      <w:r>
        <w:tab/>
        <w:t>Partington and Satchell…</w:t>
      </w:r>
    </w:p>
  </w:footnote>
  <w:footnote w:id="1293">
    <w:p w:rsidR="00484671" w:rsidRDefault="00484671" w:rsidP="00A07066">
      <w:pPr>
        <w:pStyle w:val="FootnoteText"/>
      </w:pPr>
      <w:r>
        <w:rPr>
          <w:rStyle w:val="FootnoteReference"/>
        </w:rPr>
        <w:footnoteRef/>
      </w:r>
      <w:r>
        <w:t xml:space="preserve"> </w:t>
      </w:r>
      <w:r>
        <w:tab/>
        <w:t xml:space="preserve">Partington and Satchell, </w:t>
      </w:r>
      <w:r w:rsidRPr="00950EA8">
        <w:rPr>
          <w:rStyle w:val="AERtextitalic"/>
        </w:rPr>
        <w:t>Report to the AER: Cost of equity issues 2016 electricity and gas determinations</w:t>
      </w:r>
      <w:r>
        <w:t>, April 2016, pp. 23–26.</w:t>
      </w:r>
    </w:p>
  </w:footnote>
  <w:footnote w:id="1294">
    <w:p w:rsidR="00484671" w:rsidRDefault="00484671" w:rsidP="00A07066">
      <w:pPr>
        <w:pStyle w:val="FootnoteText"/>
      </w:pPr>
      <w:r>
        <w:rPr>
          <w:rStyle w:val="FootnoteReference"/>
        </w:rPr>
        <w:footnoteRef/>
      </w:r>
      <w:r>
        <w:t xml:space="preserve"> </w:t>
      </w:r>
      <w:r>
        <w:tab/>
        <w:t>Partington and Satchell…</w:t>
      </w:r>
    </w:p>
  </w:footnote>
  <w:footnote w:id="1295">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p.78;</w:t>
      </w:r>
    </w:p>
  </w:footnote>
  <w:footnote w:id="1296">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p>
  </w:footnote>
  <w:footnote w:id="1297">
    <w:p w:rsidR="00484671" w:rsidRDefault="0048467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1298">
    <w:p w:rsidR="00484671" w:rsidRDefault="00484671" w:rsidP="00A07066">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1299">
    <w:p w:rsidR="00484671" w:rsidRDefault="00484671" w:rsidP="00A07066">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1300">
    <w:p w:rsidR="00484671" w:rsidRDefault="00484671" w:rsidP="00A07066">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1301">
    <w:p w:rsidR="00484671" w:rsidRDefault="00484671"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1302">
    <w:p w:rsidR="00484671" w:rsidRDefault="00484671"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pp. 147–149;</w:t>
      </w:r>
      <w:r w:rsidRPr="00285FDF">
        <w:t xml:space="preserve"> </w:t>
      </w:r>
      <w:r>
        <w:t>Multinet, Rate of Return Overview, 16 December 2016, pp.26-28; AusNet Services, Access Arrangement Information 2018-2022, 21 December 2016, p. 196</w:t>
      </w:r>
    </w:p>
  </w:footnote>
  <w:footnote w:id="1303">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P26; SAPN, </w:t>
      </w:r>
      <w:r w:rsidRPr="00B907B8">
        <w:rPr>
          <w:rStyle w:val="Emphasis"/>
        </w:rPr>
        <w:t>SA Power Networks - 2015-20 Revised Regulatory Proposal,</w:t>
      </w:r>
      <w:r>
        <w:t xml:space="preserve"> July 2015, p. 331.</w:t>
      </w:r>
    </w:p>
  </w:footnote>
  <w:footnote w:id="1304">
    <w:p w:rsidR="00484671" w:rsidRDefault="0048467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1305">
    <w:p w:rsidR="00484671" w:rsidRDefault="00484671" w:rsidP="00A07066">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1306">
    <w:p w:rsidR="00484671" w:rsidRDefault="00484671" w:rsidP="00A07066">
      <w:pPr>
        <w:pStyle w:val="FootnoteText"/>
      </w:pPr>
      <w:r>
        <w:rPr>
          <w:rStyle w:val="FootnoteReference"/>
        </w:rPr>
        <w:footnoteRef/>
      </w:r>
      <w:r>
        <w:t xml:space="preserve"> </w:t>
      </w:r>
      <w:r>
        <w:tab/>
        <w:t xml:space="preserve">Frontier Economics, </w:t>
      </w:r>
      <w:r w:rsidRPr="00405AF1">
        <w:rPr>
          <w:rStyle w:val="Emphasis"/>
        </w:rPr>
        <w:t>The relationship between government bond yields and the market risk premium</w:t>
      </w:r>
      <w:r>
        <w:t>, January 2016, p. 39; Frontier Economics</w:t>
      </w:r>
      <w:r w:rsidRPr="00F85FCC">
        <w:t xml:space="preserve">, </w:t>
      </w:r>
      <w:r>
        <w:rPr>
          <w:rStyle w:val="AERtextitalic"/>
        </w:rPr>
        <w:t>The Market Risk Premium</w:t>
      </w:r>
      <w:r>
        <w:t>, September</w:t>
      </w:r>
      <w:r w:rsidRPr="00F85FCC">
        <w:t xml:space="preserve"> 201</w:t>
      </w:r>
      <w:r>
        <w:t xml:space="preserve">6, pp. 61–62; </w:t>
      </w:r>
    </w:p>
  </w:footnote>
  <w:footnote w:id="1307">
    <w:p w:rsidR="00484671" w:rsidRDefault="00484671" w:rsidP="00A07066">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308">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w:t>
      </w:r>
    </w:p>
  </w:footnote>
  <w:footnote w:id="1309">
    <w:p w:rsidR="00484671" w:rsidRDefault="00484671" w:rsidP="00A07066">
      <w:pPr>
        <w:pStyle w:val="FootnoteText"/>
        <w:tabs>
          <w:tab w:val="clear" w:pos="340"/>
          <w:tab w:val="left" w:pos="142"/>
        </w:tabs>
        <w:ind w:left="142" w:hanging="142"/>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r>
        <w:t xml:space="preserve">; </w:t>
      </w:r>
      <w:r w:rsidRPr="00F56847">
        <w:t>AER</w:t>
      </w:r>
      <w:r w:rsidRPr="00A164C0">
        <w:rPr>
          <w:rStyle w:val="Emphasis"/>
        </w:rPr>
        <w:t>, Final Decision AusNet distribution determination - Attachment 3 - rate of return</w:t>
      </w:r>
      <w:r w:rsidRPr="00F56847">
        <w:t xml:space="preserve">, May 2016, </w:t>
      </w:r>
      <w:r>
        <w:t xml:space="preserve">p. </w:t>
      </w:r>
      <w:r w:rsidRPr="00F56847">
        <w:t>6</w:t>
      </w:r>
      <w:r>
        <w:t>2.</w:t>
      </w:r>
    </w:p>
  </w:footnote>
  <w:footnote w:id="1310">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311">
    <w:p w:rsidR="00484671" w:rsidRDefault="00484671" w:rsidP="00A07066">
      <w:pPr>
        <w:pStyle w:val="FootnoteText"/>
        <w:tabs>
          <w:tab w:val="clear" w:pos="340"/>
          <w:tab w:val="left" w:pos="284"/>
        </w:tabs>
        <w:ind w:left="284" w:hanging="284"/>
      </w:pPr>
      <w:r>
        <w:rPr>
          <w:rStyle w:val="FootnoteReference"/>
        </w:rPr>
        <w:footnoteRef/>
      </w:r>
      <w:r>
        <w:t xml:space="preserve"> </w:t>
      </w:r>
      <w:r>
        <w:tab/>
        <w:t xml:space="preserve"> 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t xml:space="preserve">  </w:t>
      </w:r>
      <w:r w:rsidRPr="00B923B2">
        <w:rPr>
          <w:rStyle w:val="AERtextitalic"/>
        </w:rPr>
        <w:t>Report to the AER: Return on equity (Updated)</w:t>
      </w:r>
      <w:r w:rsidRPr="00B923B2">
        <w:t>, April 2015</w:t>
      </w:r>
      <w:r>
        <w:t>, p. 51.</w:t>
      </w:r>
    </w:p>
  </w:footnote>
  <w:footnote w:id="1312">
    <w:p w:rsidR="00484671" w:rsidRDefault="00484671" w:rsidP="00A07066">
      <w:pPr>
        <w:pStyle w:val="FootnoteText"/>
      </w:pPr>
      <w:r>
        <w:rPr>
          <w:rStyle w:val="FootnoteReference"/>
        </w:rPr>
        <w:footnoteRef/>
      </w:r>
      <w:r>
        <w:t xml:space="preserve"> </w:t>
      </w:r>
      <w:r>
        <w:tab/>
        <w:t>Partington and Satchell,</w:t>
      </w:r>
      <w:r w:rsidRPr="00F56847">
        <w:t xml:space="preserve"> </w:t>
      </w:r>
      <w:r w:rsidRPr="00A164C0">
        <w:rPr>
          <w:rStyle w:val="Emphasis"/>
        </w:rPr>
        <w:t xml:space="preserve">Report to the AER: Discussion of estimates of the return on equity, </w:t>
      </w:r>
      <w:r>
        <w:t>12 April 2017,p. 32.</w:t>
      </w:r>
    </w:p>
  </w:footnote>
  <w:footnote w:id="1313">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1314">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1315">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p.8, Figure 4; SAPN, </w:t>
      </w:r>
      <w:r w:rsidRPr="00A164C0">
        <w:rPr>
          <w:rStyle w:val="Emphasis"/>
        </w:rPr>
        <w:t>SA Power Networks - 2015-20 Revised Regulatory Proposal,</w:t>
      </w:r>
      <w:r>
        <w:t xml:space="preserve"> July 2015, p. 331; AusNet Services, Access Arrangement Information 2018-2022, 21 December 2016, p. 198;  Multinet, Rate of Return Overview, 16 December 2016, p.29</w:t>
      </w:r>
    </w:p>
  </w:footnote>
  <w:footnote w:id="1316">
    <w:p w:rsidR="00484671" w:rsidRDefault="00484671" w:rsidP="00A07066">
      <w:pPr>
        <w:pStyle w:val="FootnoteText"/>
      </w:pPr>
      <w:r>
        <w:rPr>
          <w:rStyle w:val="FootnoteReference"/>
        </w:rPr>
        <w:footnoteRef/>
      </w:r>
      <w:r>
        <w:t xml:space="preserve"> </w:t>
      </w:r>
      <w:r>
        <w:tab/>
        <w:t xml:space="preserve">AER, </w:t>
      </w:r>
      <w:r w:rsidRPr="00405AF1">
        <w:rPr>
          <w:rStyle w:val="Emphasis"/>
        </w:rPr>
        <w:t>AER Final Decision on SAPN distribution 2015-2020</w:t>
      </w:r>
      <w:r>
        <w:t xml:space="preserve">, Attachment 3, Section A.3.4, p. 321. </w:t>
      </w:r>
    </w:p>
  </w:footnote>
  <w:footnote w:id="1317">
    <w:p w:rsidR="00484671" w:rsidRDefault="00484671" w:rsidP="00A07066">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1318">
    <w:p w:rsidR="00484671" w:rsidRDefault="00484671" w:rsidP="00A07066">
      <w:pPr>
        <w:pStyle w:val="FootnoteText"/>
      </w:pPr>
      <w:r>
        <w:rPr>
          <w:rStyle w:val="FootnoteReference"/>
        </w:rPr>
        <w:footnoteRef/>
      </w:r>
      <w:r>
        <w:t xml:space="preserve"> </w:t>
      </w:r>
      <w:r>
        <w:tab/>
        <w:t xml:space="preserve">Frontier, </w:t>
      </w:r>
      <w:r w:rsidRPr="00405AF1">
        <w:rPr>
          <w:rStyle w:val="Emphasis"/>
        </w:rPr>
        <w:t>The Market Risk Premium, September 2016</w:t>
      </w:r>
      <w:r>
        <w:t>, p. 76.</w:t>
      </w:r>
    </w:p>
  </w:footnote>
  <w:footnote w:id="1319">
    <w:p w:rsidR="00484671" w:rsidRDefault="00484671" w:rsidP="00A07066">
      <w:pPr>
        <w:pStyle w:val="FootnoteText"/>
      </w:pPr>
      <w:r>
        <w:rPr>
          <w:rStyle w:val="FootnoteReference"/>
        </w:rPr>
        <w:footnoteRef/>
      </w:r>
      <w:r>
        <w:t xml:space="preserve"> </w:t>
      </w:r>
      <w:r>
        <w:tab/>
        <w:t xml:space="preserve">AER, </w:t>
      </w:r>
      <w:r w:rsidRPr="001551FE">
        <w:rPr>
          <w:rStyle w:val="Emphasis"/>
        </w:rPr>
        <w:t>Final Decision Ausgrid Distribution Determination Rate of Return attachment</w:t>
      </w:r>
      <w:r>
        <w:t>, April 2015, pp. 339-340.</w:t>
      </w:r>
    </w:p>
  </w:footnote>
  <w:footnote w:id="1320">
    <w:p w:rsidR="00484671" w:rsidRDefault="00484671" w:rsidP="00A07066">
      <w:pPr>
        <w:pStyle w:val="FootnoteText"/>
      </w:pPr>
      <w:r>
        <w:rPr>
          <w:rStyle w:val="FootnoteReference"/>
        </w:rPr>
        <w:footnoteRef/>
      </w:r>
      <w:r>
        <w:t xml:space="preserve"> </w:t>
      </w:r>
      <w:r>
        <w:tab/>
        <w:t>Partington</w:t>
      </w:r>
      <w:r w:rsidRPr="006B1751">
        <w:t xml:space="preserve"> and Satchell,</w:t>
      </w:r>
      <w:r w:rsidRPr="006B1751">
        <w:rPr>
          <w:rStyle w:val="Emphasis"/>
        </w:rPr>
        <w:t xml:space="preserve"> </w:t>
      </w:r>
      <w:r w:rsidRPr="00A164C0">
        <w:rPr>
          <w:rStyle w:val="Emphasis"/>
        </w:rPr>
        <w:t xml:space="preserve">Report to the AER: Discussion of estimates of the return on equity, </w:t>
      </w:r>
      <w:r>
        <w:t>12 April 2017, p. 27.</w:t>
      </w:r>
    </w:p>
  </w:footnote>
  <w:footnote w:id="1321">
    <w:p w:rsidR="00484671" w:rsidRDefault="00484671"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 147-153; APTPPL, </w:t>
      </w:r>
      <w:r w:rsidRPr="00064E1C">
        <w:rPr>
          <w:rStyle w:val="Emphasis"/>
        </w:rPr>
        <w:t>2017-2022 RBP Access Arrangement revision submission</w:t>
      </w:r>
      <w:r>
        <w:t xml:space="preserve">, September 2016 ,pp. 141-155; AusNet Services, </w:t>
      </w:r>
      <w:r w:rsidRPr="00064E1C">
        <w:rPr>
          <w:rStyle w:val="Emphasis"/>
        </w:rPr>
        <w:t>Access Arrangement Information 2018-2022</w:t>
      </w:r>
      <w:r>
        <w:t xml:space="preserve">, 21 December 2016, p. 198;  Multinet, </w:t>
      </w:r>
      <w:r w:rsidRPr="00064E1C">
        <w:rPr>
          <w:rStyle w:val="Emphasis"/>
        </w:rPr>
        <w:t>Rate of Return Overview</w:t>
      </w:r>
      <w:r>
        <w:t xml:space="preserve">, 16 December 2016, p.29; APA VTS, </w:t>
      </w:r>
      <w:r w:rsidRPr="00064E1C">
        <w:rPr>
          <w:rStyle w:val="Emphasis"/>
        </w:rPr>
        <w:t>VTS Revision Proposal submission</w:t>
      </w:r>
      <w:r>
        <w:t>, 3 January 2017, pp. 146-162</w:t>
      </w:r>
    </w:p>
  </w:footnote>
  <w:footnote w:id="1322">
    <w:p w:rsidR="00484671" w:rsidRDefault="00484671" w:rsidP="00A07066">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323">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p>
  </w:footnote>
  <w:footnote w:id="1324">
    <w:p w:rsidR="00484671" w:rsidRDefault="0048467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1325">
    <w:p w:rsidR="00484671" w:rsidRDefault="00484671" w:rsidP="00A07066">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1326">
    <w:p w:rsidR="00484671" w:rsidRDefault="00484671" w:rsidP="00A07066">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1327">
    <w:p w:rsidR="00484671" w:rsidRDefault="00484671" w:rsidP="00A07066">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1328">
    <w:p w:rsidR="00484671" w:rsidRDefault="00484671"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1329">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34-36; APA VTS, </w:t>
      </w:r>
      <w:r w:rsidRPr="000B5719">
        <w:rPr>
          <w:rStyle w:val="Emphasis"/>
        </w:rPr>
        <w:t>VTS Revision Proposal submission</w:t>
      </w:r>
      <w:r>
        <w:t xml:space="preserve">, 3 January 2017, pp. 176; Multinet, </w:t>
      </w:r>
      <w:r w:rsidRPr="000B5719">
        <w:rPr>
          <w:rStyle w:val="Emphasis"/>
        </w:rPr>
        <w:t>Rate of Return Overview</w:t>
      </w:r>
      <w:r>
        <w:t xml:space="preserve">, 16 December 2016, p.28; AusNet Services, </w:t>
      </w:r>
      <w:r w:rsidRPr="000B5719">
        <w:rPr>
          <w:rStyle w:val="Emphasis"/>
        </w:rPr>
        <w:t>Access Arrangement Information 2018-2022</w:t>
      </w:r>
      <w:r>
        <w:t>, 21 December 2016, p. 197;</w:t>
      </w:r>
    </w:p>
  </w:footnote>
  <w:footnote w:id="1330">
    <w:p w:rsidR="00484671" w:rsidRDefault="00484671" w:rsidP="00A07066">
      <w:pPr>
        <w:pStyle w:val="FootnoteText"/>
      </w:pPr>
      <w:r>
        <w:rPr>
          <w:rStyle w:val="FootnoteReference"/>
        </w:rPr>
        <w:footnoteRef/>
      </w:r>
      <w:r>
        <w:t xml:space="preserve"> </w:t>
      </w:r>
      <w:r>
        <w:tab/>
      </w:r>
      <w:r w:rsidRPr="00226E14">
        <w:t>AER</w:t>
      </w:r>
      <w:r w:rsidRPr="00A164C0">
        <w:rPr>
          <w:rStyle w:val="Emphasis"/>
        </w:rPr>
        <w:t>, Final Decision AusNet distribution determination - Attachment 3 - rate of return</w:t>
      </w:r>
      <w:r w:rsidRPr="00226E14">
        <w:t xml:space="preserve">, May 2016, </w:t>
      </w:r>
      <w:r>
        <w:t>p.61;</w:t>
      </w:r>
      <w:r w:rsidRPr="00226E14">
        <w:t xml:space="preserve"> AER, </w:t>
      </w:r>
      <w:r w:rsidRPr="00A164C0">
        <w:rPr>
          <w:rStyle w:val="Emphasis"/>
        </w:rPr>
        <w:t>Final decision on CitiPower distribution determination - attachment 3 - Rate of Return</w:t>
      </w:r>
      <w:r>
        <w:t>, May 2016</w:t>
      </w:r>
      <w:r w:rsidRPr="00226E14">
        <w:t>,</w:t>
      </w:r>
      <w:r>
        <w:t xml:space="preserve"> p.60.</w:t>
      </w:r>
    </w:p>
  </w:footnote>
  <w:footnote w:id="1331">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34-36.</w:t>
      </w:r>
    </w:p>
  </w:footnote>
  <w:footnote w:id="1332">
    <w:p w:rsidR="00484671" w:rsidRDefault="00484671" w:rsidP="00A07066">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1333">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32-34,51-54</w:t>
      </w:r>
      <w:r w:rsidRPr="002167CD">
        <w:t xml:space="preserve"> </w:t>
      </w:r>
      <w:r>
        <w:t xml:space="preserve">AusNet Services, </w:t>
      </w:r>
      <w:r w:rsidRPr="000B5719">
        <w:rPr>
          <w:rStyle w:val="Emphasis"/>
        </w:rPr>
        <w:t>Access Arrangement Information 2018-2022</w:t>
      </w:r>
      <w:r>
        <w:t>, 21 December 2016, pp. 197-198</w:t>
      </w:r>
    </w:p>
  </w:footnote>
  <w:footnote w:id="1334">
    <w:p w:rsidR="00484671" w:rsidRDefault="00484671" w:rsidP="00A07066">
      <w:pPr>
        <w:pStyle w:val="FootnoteText"/>
      </w:pPr>
      <w:r>
        <w:rPr>
          <w:rStyle w:val="FootnoteReference"/>
        </w:rPr>
        <w:footnoteRef/>
      </w:r>
      <w:r>
        <w:t xml:space="preserve"> </w:t>
      </w:r>
      <w:r>
        <w:tab/>
        <w:t xml:space="preserve">ERA, </w:t>
      </w:r>
      <w:r w:rsidRPr="00B951BB">
        <w:rPr>
          <w:rStyle w:val="Emphasis"/>
        </w:rPr>
        <w:t>Final Decision on Proposed Revisions to the Access Arrangement for the Goldfields Gas Pipeline</w:t>
      </w:r>
      <w:r w:rsidRPr="00B951BB">
        <w:t>, June 2016</w:t>
      </w:r>
      <w:r>
        <w:t>, p. 240.</w:t>
      </w:r>
    </w:p>
  </w:footnote>
  <w:footnote w:id="1335">
    <w:p w:rsidR="00484671" w:rsidRDefault="00484671" w:rsidP="00A07066">
      <w:pPr>
        <w:pStyle w:val="FootnoteText"/>
      </w:pPr>
      <w:r>
        <w:rPr>
          <w:rStyle w:val="FootnoteReference"/>
        </w:rPr>
        <w:footnoteRef/>
      </w:r>
      <w:r>
        <w:t xml:space="preserve"> </w:t>
      </w:r>
      <w:r>
        <w:tab/>
        <w:t>AER</w:t>
      </w:r>
      <w:r w:rsidRPr="008170C4">
        <w:t xml:space="preserve">, </w:t>
      </w:r>
      <w:r w:rsidRPr="008170C4">
        <w:rPr>
          <w:rStyle w:val="Emphasis"/>
        </w:rPr>
        <w:t>Final Decision SA Power Networks distribution determination - Attachment 3 - rate of return</w:t>
      </w:r>
      <w:r w:rsidRPr="008170C4">
        <w:t>, October 2015</w:t>
      </w:r>
      <w:r>
        <w:t>, pp. 487-489.</w:t>
      </w:r>
    </w:p>
  </w:footnote>
  <w:footnote w:id="1336">
    <w:p w:rsidR="00484671" w:rsidRDefault="0048467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28</w:t>
      </w:r>
    </w:p>
  </w:footnote>
  <w:footnote w:id="1337">
    <w:p w:rsidR="00484671" w:rsidRDefault="00484671" w:rsidP="00A07066">
      <w:pPr>
        <w:pStyle w:val="FootnoteText"/>
      </w:pPr>
      <w:r>
        <w:rPr>
          <w:rStyle w:val="FootnoteReference"/>
        </w:rPr>
        <w:footnoteRef/>
      </w:r>
      <w:r>
        <w:t xml:space="preserve"> </w:t>
      </w:r>
      <w:r>
        <w:tab/>
        <w:t>AusNet p150, Frontier Economics</w:t>
      </w:r>
      <w:r w:rsidRPr="00F85FCC">
        <w:t xml:space="preserve">, </w:t>
      </w:r>
      <w:r>
        <w:rPr>
          <w:rStyle w:val="AERtextitalic"/>
        </w:rPr>
        <w:t>The Market Risk Premium</w:t>
      </w:r>
      <w:r>
        <w:t>, September</w:t>
      </w:r>
      <w:r w:rsidRPr="00F85FCC">
        <w:t xml:space="preserve"> 201</w:t>
      </w:r>
      <w:r>
        <w:t xml:space="preserve">6, p.40; </w:t>
      </w:r>
      <w:r w:rsidRPr="00273F0E">
        <w:t xml:space="preserve">CitiPower, </w:t>
      </w:r>
      <w:r w:rsidRPr="00273F0E">
        <w:rPr>
          <w:rStyle w:val="AERtextitalic"/>
        </w:rPr>
        <w:t>Revised regulatory proposal 2016–2020</w:t>
      </w:r>
      <w:r w:rsidRPr="00273F0E">
        <w:t>,</w:t>
      </w:r>
      <w:r>
        <w:t xml:space="preserve"> January 2016, p.321-324; AusNet Services, </w:t>
      </w:r>
      <w:r w:rsidRPr="000B5719">
        <w:rPr>
          <w:rStyle w:val="Emphasis"/>
        </w:rPr>
        <w:t>Access Arrangement Information 2018-2022</w:t>
      </w:r>
      <w:r>
        <w:t xml:space="preserve">, 21 December 2016, p. 198; Multinet, </w:t>
      </w:r>
      <w:r w:rsidRPr="000B5719">
        <w:rPr>
          <w:rStyle w:val="Emphasis"/>
        </w:rPr>
        <w:t>Rate of Return Overview</w:t>
      </w:r>
      <w:r>
        <w:t>, 16 December 2016, p.29</w:t>
      </w:r>
    </w:p>
  </w:footnote>
  <w:footnote w:id="1338">
    <w:p w:rsidR="00484671" w:rsidRDefault="00484671" w:rsidP="00A07066">
      <w:pPr>
        <w:pStyle w:val="FootnoteText"/>
      </w:pPr>
      <w:r>
        <w:rPr>
          <w:rStyle w:val="FootnoteReference"/>
        </w:rPr>
        <w:footnoteRef/>
      </w:r>
      <w:r>
        <w:t xml:space="preserve"> </w:t>
      </w:r>
      <w:r>
        <w:tab/>
        <w:t xml:space="preserve">AER, </w:t>
      </w:r>
      <w:r w:rsidRPr="00405AF1">
        <w:rPr>
          <w:rStyle w:val="Emphasis"/>
        </w:rPr>
        <w:t>Explanatory Statement - Rate of Return Guideline</w:t>
      </w:r>
      <w:r>
        <w:t>, December 2013, p.140.</w:t>
      </w:r>
    </w:p>
  </w:footnote>
  <w:footnote w:id="1339">
    <w:p w:rsidR="00484671" w:rsidRDefault="00484671" w:rsidP="00A07066">
      <w:pPr>
        <w:pStyle w:val="FootnoteText"/>
      </w:pPr>
      <w:r>
        <w:rPr>
          <w:rStyle w:val="FootnoteReference"/>
        </w:rPr>
        <w:footnoteRef/>
      </w:r>
      <w:r>
        <w:t xml:space="preserve"> </w:t>
      </w:r>
      <w:r>
        <w:tab/>
        <w:t xml:space="preserve">ERA, </w:t>
      </w:r>
      <w:r w:rsidRPr="0005600A">
        <w:rPr>
          <w:rStyle w:val="Emphasis"/>
        </w:rPr>
        <w:t>Final Decision on Proposed Revisions to the Access Arrangement for the Goldfields Gas Pipeline</w:t>
      </w:r>
      <w:r>
        <w:t>, June 2016, pp. 209-210.</w:t>
      </w:r>
    </w:p>
  </w:footnote>
  <w:footnote w:id="1340">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 xml:space="preserve">p. 76; </w:t>
      </w:r>
      <w:r w:rsidRPr="00273F0E">
        <w:t xml:space="preserve">CitiPower, </w:t>
      </w:r>
      <w:r w:rsidRPr="00273F0E">
        <w:rPr>
          <w:rStyle w:val="AERtextitalic"/>
        </w:rPr>
        <w:t>Revised regulatory proposal 2016–2020</w:t>
      </w:r>
      <w:r w:rsidRPr="00273F0E">
        <w:t>,</w:t>
      </w:r>
      <w:r>
        <w:t xml:space="preserve"> January 2016, pp. 321-324.</w:t>
      </w:r>
    </w:p>
  </w:footnote>
  <w:footnote w:id="1341">
    <w:p w:rsidR="00484671" w:rsidRDefault="00484671"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 93.</w:t>
      </w:r>
    </w:p>
  </w:footnote>
  <w:footnote w:id="1342">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35-38;</w:t>
      </w:r>
    </w:p>
  </w:footnote>
  <w:footnote w:id="1343">
    <w:p w:rsidR="00484671" w:rsidRDefault="00484671" w:rsidP="00A07066">
      <w:pPr>
        <w:pStyle w:val="FootnoteText"/>
      </w:pPr>
      <w:r>
        <w:rPr>
          <w:rStyle w:val="FootnoteReference"/>
        </w:rPr>
        <w:footnoteRef/>
      </w:r>
      <w:r>
        <w:t xml:space="preserve"> </w:t>
      </w:r>
      <w:r>
        <w:tab/>
        <w:t xml:space="preserve">AER, </w:t>
      </w:r>
      <w:r w:rsidRPr="00A164C0">
        <w:rPr>
          <w:rStyle w:val="Emphasis"/>
        </w:rPr>
        <w:t>Final decision on SA Power Networks distribution determination - attachment 3 - Rate of Return</w:t>
      </w:r>
      <w:r>
        <w:t>, October 2015, pp.402-403.</w:t>
      </w:r>
    </w:p>
  </w:footnote>
  <w:footnote w:id="1344">
    <w:p w:rsidR="00484671" w:rsidRDefault="00484671" w:rsidP="00A07066">
      <w:pPr>
        <w:pStyle w:val="FootnoteText"/>
      </w:pPr>
      <w:r>
        <w:rPr>
          <w:rStyle w:val="FootnoteReference"/>
        </w:rPr>
        <w:footnoteRef/>
      </w:r>
      <w:r>
        <w:t xml:space="preserve"> </w:t>
      </w:r>
      <w:r>
        <w:tab/>
        <w:t>Partington and Satchell,</w:t>
      </w:r>
      <w:r w:rsidRPr="00452704">
        <w:t xml:space="preserve"> </w:t>
      </w:r>
      <w:r w:rsidRPr="00A164C0">
        <w:rPr>
          <w:rStyle w:val="Emphasis"/>
        </w:rPr>
        <w:t xml:space="preserve">Report to the AER: Discussion of estimates of the return on equity, </w:t>
      </w:r>
      <w:r>
        <w:t>12 April 2017, p. 28.</w:t>
      </w:r>
    </w:p>
  </w:footnote>
  <w:footnote w:id="1345">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1346">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1347">
    <w:p w:rsidR="00484671" w:rsidRDefault="0048467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p.16.</w:t>
      </w:r>
    </w:p>
  </w:footnote>
  <w:footnote w:id="1348">
    <w:p w:rsidR="00484671" w:rsidRDefault="00484671" w:rsidP="00A07066">
      <w:pPr>
        <w:pStyle w:val="FootnoteText"/>
      </w:pPr>
      <w:r>
        <w:rPr>
          <w:rStyle w:val="FootnoteReference"/>
        </w:rPr>
        <w:footnoteRef/>
      </w:r>
      <w:r>
        <w:t xml:space="preserve"> </w:t>
      </w:r>
      <w:r>
        <w:tab/>
      </w:r>
    </w:p>
  </w:footnote>
  <w:footnote w:id="1349">
    <w:p w:rsidR="00484671" w:rsidRDefault="00484671" w:rsidP="00A07066">
      <w:pPr>
        <w:pStyle w:val="FootnoteText"/>
      </w:pPr>
      <w:r>
        <w:rPr>
          <w:rStyle w:val="FootnoteReference"/>
        </w:rPr>
        <w:footnoteRef/>
      </w:r>
      <w:r>
        <w:t xml:space="preserve"> </w:t>
      </w:r>
      <w:r>
        <w:tab/>
        <w:t xml:space="preserve">RBA Table F7, Share Market. Available at: </w:t>
      </w:r>
      <w:hyperlink r:id="rId26" w:history="1">
        <w:r w:rsidRPr="00841DC7">
          <w:rPr>
            <w:rStyle w:val="Hyperlink"/>
          </w:rPr>
          <w:t>http://www.rba.gov.au/statistics/tables/</w:t>
        </w:r>
      </w:hyperlink>
      <w:r>
        <w:t xml:space="preserve"> </w:t>
      </w:r>
    </w:p>
  </w:footnote>
  <w:footnote w:id="1350">
    <w:p w:rsidR="00484671" w:rsidRDefault="00484671" w:rsidP="00A07066">
      <w:pPr>
        <w:pStyle w:val="FootnoteText"/>
      </w:pPr>
      <w:r>
        <w:rPr>
          <w:rStyle w:val="FootnoteReference"/>
        </w:rPr>
        <w:footnoteRef/>
      </w:r>
      <w:r>
        <w:t xml:space="preserve"> </w:t>
      </w:r>
      <w:r>
        <w:tab/>
        <w:t xml:space="preserve">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 xml:space="preserve">12 April 2017, pp. 20-21; AER, </w:t>
      </w:r>
      <w:r w:rsidRPr="00A164C0">
        <w:rPr>
          <w:rStyle w:val="Emphasis"/>
        </w:rPr>
        <w:t>Final decision CitiPower distribution determination - attachment 3 - rate of return</w:t>
      </w:r>
      <w:r>
        <w:t>, May 2016, p. 88.</w:t>
      </w:r>
    </w:p>
  </w:footnote>
  <w:footnote w:id="1351">
    <w:p w:rsidR="00484671" w:rsidRDefault="00484671" w:rsidP="00A07066">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21.</w:t>
      </w:r>
    </w:p>
  </w:footnote>
  <w:footnote w:id="1352">
    <w:p w:rsidR="00484671" w:rsidRDefault="00484671" w:rsidP="00A07066">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1353">
    <w:p w:rsidR="00484671" w:rsidRDefault="00484671" w:rsidP="00A07066">
      <w:pPr>
        <w:pStyle w:val="FootnoteText"/>
      </w:pPr>
      <w:r>
        <w:rPr>
          <w:rStyle w:val="FootnoteReference"/>
        </w:rPr>
        <w:footnoteRef/>
      </w:r>
      <w:r>
        <w:t xml:space="preserve"> </w:t>
      </w:r>
      <w:r>
        <w:tab/>
        <w:t xml:space="preserve">AER, </w:t>
      </w:r>
      <w:r w:rsidRPr="00405AF1">
        <w:rPr>
          <w:rStyle w:val="Emphasis"/>
        </w:rPr>
        <w:t>AER Explanatory Statement - Rate of Return Guideline</w:t>
      </w:r>
      <w:r>
        <w:t>, December 2013, p. 6.</w:t>
      </w:r>
    </w:p>
  </w:footnote>
  <w:footnote w:id="1354">
    <w:p w:rsidR="00484671" w:rsidRDefault="00484671" w:rsidP="00A07066">
      <w:pPr>
        <w:pStyle w:val="FootnoteText"/>
      </w:pPr>
      <w:r>
        <w:rPr>
          <w:rStyle w:val="FootnoteReference"/>
        </w:rPr>
        <w:footnoteRef/>
      </w:r>
      <w:r>
        <w:t xml:space="preserve"> </w:t>
      </w:r>
      <w:r>
        <w:tab/>
        <w:t xml:space="preserve">Partington </w:t>
      </w:r>
      <w:r w:rsidRPr="006B1751">
        <w:t>and Satchell</w:t>
      </w:r>
      <w:r w:rsidRPr="0006305F">
        <w:rPr>
          <w:rStyle w:val="Emphasis"/>
        </w:rPr>
        <w:t xml:space="preserve"> </w:t>
      </w:r>
      <w:r w:rsidRPr="00A164C0">
        <w:rPr>
          <w:rStyle w:val="Emphasis"/>
        </w:rPr>
        <w:t xml:space="preserve">Report to the AER: Discussion of estimates of the return on equity, </w:t>
      </w:r>
      <w:r>
        <w:t>12 April 2017, p.16.</w:t>
      </w:r>
    </w:p>
  </w:footnote>
  <w:footnote w:id="1355">
    <w:p w:rsidR="00484671" w:rsidRDefault="00484671" w:rsidP="00A07066">
      <w:pPr>
        <w:pStyle w:val="FootnoteText"/>
      </w:pPr>
      <w:r>
        <w:rPr>
          <w:rStyle w:val="FootnoteReference"/>
        </w:rPr>
        <w:footnoteRef/>
      </w:r>
      <w:r>
        <w:t xml:space="preserve"> </w:t>
      </w:r>
      <w:r>
        <w:tab/>
        <w:t xml:space="preserve">Partington </w:t>
      </w:r>
      <w:r w:rsidRPr="006B1751">
        <w:t>and Satchell,</w:t>
      </w:r>
      <w:r w:rsidRPr="006B1751">
        <w:rPr>
          <w:rStyle w:val="Emphasis"/>
        </w:rPr>
        <w:t xml:space="preserve"> </w:t>
      </w:r>
      <w:r w:rsidRPr="00A164C0">
        <w:rPr>
          <w:rStyle w:val="Emphasis"/>
        </w:rPr>
        <w:t xml:space="preserve">Report to the AER: Discussion of estimates of the return on equity, </w:t>
      </w:r>
      <w:r>
        <w:t>12 April 2017, p.16.</w:t>
      </w:r>
    </w:p>
  </w:footnote>
  <w:footnote w:id="1356">
    <w:p w:rsidR="00484671" w:rsidRDefault="00484671" w:rsidP="00A07066">
      <w:pPr>
        <w:pStyle w:val="FootnoteText"/>
      </w:pPr>
      <w:r>
        <w:rPr>
          <w:rStyle w:val="FootnoteReference"/>
        </w:rPr>
        <w:footnoteRef/>
      </w:r>
      <w:r>
        <w:t xml:space="preserve"> </w:t>
      </w:r>
      <w:r>
        <w:tab/>
        <w:t xml:space="preserve">Lonergan Edwards, </w:t>
      </w:r>
      <w:r w:rsidRPr="00405AF1">
        <w:rPr>
          <w:rStyle w:val="Emphasis"/>
        </w:rPr>
        <w:t>Valuation on Ethane Pipeline Income Fund,</w:t>
      </w:r>
      <w:r>
        <w:t xml:space="preserve"> 31 March 2016; Grant Samuel, </w:t>
      </w:r>
      <w:r w:rsidRPr="00405AF1">
        <w:rPr>
          <w:rStyle w:val="Emphasis"/>
        </w:rPr>
        <w:t>Valuation on Pacific Brands</w:t>
      </w:r>
      <w:r>
        <w:t xml:space="preserve">, 20/05/2016; KPMG, </w:t>
      </w:r>
      <w:r w:rsidRPr="00405AF1">
        <w:rPr>
          <w:rStyle w:val="Emphasis"/>
        </w:rPr>
        <w:t>Valuation report on STW Comms</w:t>
      </w:r>
      <w:r>
        <w:t>, 29 February 2016.</w:t>
      </w:r>
    </w:p>
  </w:footnote>
  <w:footnote w:id="1357">
    <w:p w:rsidR="00484671" w:rsidRDefault="00484671" w:rsidP="00A07066">
      <w:pPr>
        <w:pStyle w:val="FootnoteText"/>
      </w:pPr>
      <w:r>
        <w:rPr>
          <w:rStyle w:val="FootnoteReference"/>
        </w:rPr>
        <w:footnoteRef/>
      </w:r>
      <w:r>
        <w:t xml:space="preserve"> </w:t>
      </w:r>
      <w:r>
        <w:tab/>
        <w:t xml:space="preserve">Grant Samuel, </w:t>
      </w:r>
      <w:r w:rsidRPr="0005600A">
        <w:rPr>
          <w:rStyle w:val="Emphasis"/>
        </w:rPr>
        <w:t>Valuation on Pacific Brands</w:t>
      </w:r>
      <w:r>
        <w:t>, 20 May 2016.</w:t>
      </w:r>
    </w:p>
  </w:footnote>
  <w:footnote w:id="1358">
    <w:p w:rsidR="00484671" w:rsidRDefault="00484671" w:rsidP="00A07066">
      <w:pPr>
        <w:pStyle w:val="FootnoteText"/>
      </w:pPr>
      <w:r>
        <w:rPr>
          <w:rStyle w:val="FootnoteReference"/>
        </w:rPr>
        <w:footnoteRef/>
      </w:r>
      <w:r>
        <w:t xml:space="preserve"> </w:t>
      </w:r>
      <w:r>
        <w:tab/>
        <w:t xml:space="preserve">Lonergan Edwards, </w:t>
      </w:r>
      <w:r w:rsidRPr="0005600A">
        <w:rPr>
          <w:rStyle w:val="Emphasis"/>
        </w:rPr>
        <w:t>Valuation on Ethane Pipeline Income Fund,</w:t>
      </w:r>
      <w:r>
        <w:t xml:space="preserve"> 31 March 2016, Grant Samuel, </w:t>
      </w:r>
      <w:r w:rsidRPr="0005600A">
        <w:rPr>
          <w:rStyle w:val="Emphasis"/>
        </w:rPr>
        <w:t>Valuation on Pacific Brands</w:t>
      </w:r>
      <w:r>
        <w:t xml:space="preserve">, 20 May 2016; KPMG, </w:t>
      </w:r>
      <w:r w:rsidRPr="0005600A">
        <w:rPr>
          <w:rStyle w:val="Emphasis"/>
        </w:rPr>
        <w:t>Valuation report on STW Comms</w:t>
      </w:r>
      <w:r>
        <w:t>, 29 February 2016.</w:t>
      </w:r>
    </w:p>
  </w:footnote>
  <w:footnote w:id="1359">
    <w:p w:rsidR="00484671" w:rsidRDefault="00484671" w:rsidP="00A07066">
      <w:pPr>
        <w:pStyle w:val="FootnoteText"/>
      </w:pPr>
      <w:r>
        <w:rPr>
          <w:rStyle w:val="FootnoteReference"/>
        </w:rPr>
        <w:footnoteRef/>
      </w:r>
      <w:r>
        <w:t xml:space="preserve"> </w:t>
      </w:r>
      <w:r>
        <w:tab/>
        <w:t xml:space="preserve">Deloitte, </w:t>
      </w:r>
      <w:r w:rsidRPr="00405AF1">
        <w:rPr>
          <w:rStyle w:val="Emphasis"/>
        </w:rPr>
        <w:t xml:space="preserve">Valuation on Patties Foods, </w:t>
      </w:r>
      <w:r>
        <w:t>15 July 2016.</w:t>
      </w:r>
    </w:p>
  </w:footnote>
  <w:footnote w:id="1360">
    <w:p w:rsidR="00484671" w:rsidRDefault="0048467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10, 22–25, 55; </w:t>
      </w:r>
    </w:p>
  </w:footnote>
  <w:footnote w:id="1361">
    <w:p w:rsidR="00484671" w:rsidRDefault="00484671" w:rsidP="00A07066">
      <w:pPr>
        <w:pStyle w:val="FootnoteText"/>
      </w:pPr>
      <w:r>
        <w:rPr>
          <w:rStyle w:val="FootnoteReference"/>
        </w:rPr>
        <w:footnoteRef/>
      </w:r>
      <w:r>
        <w:t xml:space="preserve"> </w:t>
      </w:r>
      <w:r>
        <w:tab/>
        <w:t>Partington and Satchell</w:t>
      </w:r>
      <w:r w:rsidRPr="005E3878">
        <w:t xml:space="preserve">, </w:t>
      </w:r>
      <w:r w:rsidRPr="00950EA8">
        <w:rPr>
          <w:rStyle w:val="AERtextitalic"/>
        </w:rPr>
        <w:t>Report to the AER: Discussion of estimates of the return on equity</w:t>
      </w:r>
      <w:r w:rsidRPr="005E3878">
        <w:t xml:space="preserve">, </w:t>
      </w:r>
      <w:r>
        <w:t>12 April</w:t>
      </w:r>
      <w:r w:rsidRPr="005E3878">
        <w:t xml:space="preserve"> 2017</w:t>
      </w:r>
      <w:r>
        <w:t xml:space="preserve"> p. 33.</w:t>
      </w:r>
    </w:p>
  </w:footnote>
  <w:footnote w:id="1362">
    <w:p w:rsidR="00484671" w:rsidRDefault="00484671" w:rsidP="00A07066">
      <w:pPr>
        <w:pStyle w:val="FootnoteText"/>
      </w:pPr>
      <w:r>
        <w:rPr>
          <w:rStyle w:val="FootnoteReference"/>
        </w:rPr>
        <w:footnoteRef/>
      </w:r>
      <w:r>
        <w:t xml:space="preserve"> </w:t>
      </w:r>
      <w:r>
        <w:tab/>
      </w:r>
      <w:r w:rsidRPr="008E4F6D">
        <w:t xml:space="preserve">Australian Energy Regulator, </w:t>
      </w:r>
      <w:r w:rsidRPr="00A164C0">
        <w:rPr>
          <w:rStyle w:val="Emphasis"/>
        </w:rPr>
        <w:t>Explanatory Statement: Rate of Return Guideline</w:t>
      </w:r>
      <w:r w:rsidRPr="008E4F6D">
        <w:t>, December 2013, page 91.</w:t>
      </w:r>
      <w:r>
        <w:t xml:space="preserve">  </w:t>
      </w:r>
    </w:p>
  </w:footnote>
  <w:footnote w:id="1363">
    <w:p w:rsidR="00484671" w:rsidRDefault="00484671" w:rsidP="00A07066">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pp. 23-26.</w:t>
      </w:r>
      <w:r w:rsidRPr="009A6053">
        <w:t xml:space="preserve"> </w:t>
      </w:r>
    </w:p>
  </w:footnote>
  <w:footnote w:id="1364">
    <w:p w:rsidR="00484671" w:rsidRDefault="00484671" w:rsidP="00A07066">
      <w:pPr>
        <w:pStyle w:val="FootnoteText"/>
      </w:pPr>
      <w:r>
        <w:rPr>
          <w:rStyle w:val="FootnoteReference"/>
        </w:rPr>
        <w:footnoteRef/>
      </w:r>
      <w:r>
        <w:t xml:space="preserve"> </w:t>
      </w:r>
      <w:r>
        <w:tab/>
        <w:t>Partington</w:t>
      </w:r>
      <w:r w:rsidRPr="001A1C41">
        <w:t xml:space="preserve"> and Satchell, </w:t>
      </w:r>
      <w:r w:rsidRPr="00A164C0">
        <w:rPr>
          <w:rStyle w:val="Emphasis"/>
        </w:rPr>
        <w:t xml:space="preserve">Report to the AER: Discussion of estimates of the return on equity, </w:t>
      </w:r>
      <w:r>
        <w:t>12 April 2017, p. 23.</w:t>
      </w:r>
    </w:p>
  </w:footnote>
  <w:footnote w:id="1365">
    <w:p w:rsidR="00484671" w:rsidRDefault="00484671" w:rsidP="00911284">
      <w:pPr>
        <w:pStyle w:val="FootnoteText"/>
      </w:pPr>
      <w:r>
        <w:rPr>
          <w:rStyle w:val="FootnoteReference"/>
        </w:rPr>
        <w:footnoteRef/>
      </w:r>
      <w:r>
        <w:t xml:space="preserve"> </w:t>
      </w:r>
      <w:r>
        <w:tab/>
        <w:t>For clarity, that is 100% of the base rate and DRP components of the allowed return on debt.</w:t>
      </w:r>
    </w:p>
  </w:footnote>
  <w:footnote w:id="1366">
    <w:p w:rsidR="00484671" w:rsidRDefault="00484671" w:rsidP="00911284">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367">
    <w:p w:rsidR="00484671" w:rsidRDefault="00484671" w:rsidP="00911284">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368">
    <w:p w:rsidR="00484671" w:rsidRDefault="00484671" w:rsidP="00911284">
      <w:pPr>
        <w:pStyle w:val="FootnoteText"/>
      </w:pPr>
      <w:r>
        <w:rPr>
          <w:rStyle w:val="FootnoteReference"/>
        </w:rPr>
        <w:footnoteRef/>
      </w:r>
      <w:r>
        <w:t xml:space="preserve"> </w:t>
      </w:r>
      <w:r>
        <w:tab/>
        <w:t>NER, cl. 6.5.2(c); NER, cl. 6A.6.2(c); NGR, r. 87(3).</w:t>
      </w:r>
    </w:p>
  </w:footnote>
  <w:footnote w:id="1369">
    <w:p w:rsidR="00484671" w:rsidRDefault="00484671" w:rsidP="00911284">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370">
    <w:p w:rsidR="00484671" w:rsidRDefault="00484671" w:rsidP="00911284">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371">
    <w:p w:rsidR="00484671" w:rsidRDefault="00484671" w:rsidP="00911284">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372">
    <w:p w:rsidR="00484671" w:rsidRDefault="00484671" w:rsidP="00911284">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373">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374">
    <w:p w:rsidR="00484671" w:rsidRDefault="00484671" w:rsidP="00911284">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375">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376">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In relation to the cost of debt</w:t>
      </w:r>
      <w:r>
        <w:t>, 9 April 2017, p. 23.</w:t>
      </w:r>
    </w:p>
  </w:footnote>
  <w:footnote w:id="1377">
    <w:p w:rsidR="00484671" w:rsidRDefault="00484671" w:rsidP="00911284">
      <w:pPr>
        <w:pStyle w:val="FootnoteText"/>
      </w:pPr>
      <w:r>
        <w:rPr>
          <w:rStyle w:val="FootnoteReference"/>
        </w:rPr>
        <w:footnoteRef/>
      </w:r>
      <w:r>
        <w:t xml:space="preserve">   </w:t>
      </w:r>
      <w:r w:rsidRPr="001C3D87">
        <w:t>Partington, G., Satchell, S., Report to the AER: Discussion of the allowed cost of debt, 5 May 2016, p. 15.</w:t>
      </w:r>
    </w:p>
  </w:footnote>
  <w:footnote w:id="1378">
    <w:p w:rsidR="00484671" w:rsidRDefault="00484671" w:rsidP="00911284">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379">
    <w:p w:rsidR="00484671" w:rsidRDefault="00484671" w:rsidP="00911284">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380">
    <w:p w:rsidR="00484671" w:rsidRDefault="00484671" w:rsidP="00911284">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381">
    <w:p w:rsidR="00484671" w:rsidRDefault="00484671" w:rsidP="00911284">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382">
    <w:p w:rsidR="00484671" w:rsidRDefault="00484671" w:rsidP="00911284">
      <w:pPr>
        <w:pStyle w:val="FootnoteText"/>
      </w:pPr>
      <w:r>
        <w:rPr>
          <w:rStyle w:val="FootnoteReference"/>
        </w:rPr>
        <w:footnoteRef/>
      </w:r>
      <w:r>
        <w:t xml:space="preserve"> </w:t>
      </w:r>
      <w:r>
        <w:tab/>
      </w:r>
      <w:r w:rsidRPr="00E0091E">
        <w:t xml:space="preserve">AER, </w:t>
      </w:r>
      <w:r w:rsidRPr="007F2F06">
        <w:rPr>
          <w:rStyle w:val="AERtextitalic"/>
        </w:rPr>
        <w:t>Final decision–Electricity transmission and distribution network service providers: Review of the weighted average cost of capital (WACC) parameters</w:t>
      </w:r>
      <w:r w:rsidRPr="00E0091E">
        <w:t>, May 2009, p. 82.</w:t>
      </w:r>
    </w:p>
  </w:footnote>
  <w:footnote w:id="1383">
    <w:p w:rsidR="00484671" w:rsidRDefault="00484671" w:rsidP="00911284">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384">
    <w:p w:rsidR="00484671" w:rsidRDefault="00484671" w:rsidP="00911284">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385">
    <w:p w:rsidR="00484671" w:rsidRDefault="00484671" w:rsidP="00911284">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386">
    <w:p w:rsidR="00484671" w:rsidRDefault="00484671" w:rsidP="00911284">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387">
    <w:p w:rsidR="00484671" w:rsidRDefault="00484671" w:rsidP="00911284">
      <w:pPr>
        <w:pStyle w:val="FootnoteText"/>
      </w:pPr>
      <w:r>
        <w:rPr>
          <w:rStyle w:val="FootnoteReference"/>
        </w:rPr>
        <w:footnoteRef/>
      </w:r>
      <w:r>
        <w:t xml:space="preserve"> </w:t>
      </w:r>
      <w:r>
        <w:tab/>
        <w:t>That is CitiPower, Powercor, Jemena, United Energy and AusNet Serices</w:t>
      </w:r>
    </w:p>
  </w:footnote>
  <w:footnote w:id="1388">
    <w:p w:rsidR="00484671" w:rsidRDefault="0048467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389">
    <w:p w:rsidR="00484671" w:rsidRDefault="00484671" w:rsidP="00911284">
      <w:pPr>
        <w:pStyle w:val="FootnoteText"/>
      </w:pPr>
      <w:r>
        <w:rPr>
          <w:rStyle w:val="FootnoteReference"/>
        </w:rPr>
        <w:footnoteRef/>
      </w:r>
      <w:r>
        <w:t xml:space="preserve">   AusNet, </w:t>
      </w:r>
      <w:r>
        <w:rPr>
          <w:rStyle w:val="AERtextitalic"/>
        </w:rPr>
        <w:t>Transmission Revenue Review 2017-2022 - Revised Revenue Proposal</w:t>
      </w:r>
      <w:r>
        <w:t xml:space="preserve">, September 2016, p.155; </w:t>
      </w:r>
      <w:r w:rsidRPr="005E0F77">
        <w:t xml:space="preserve">RBP, </w:t>
      </w:r>
      <w:r w:rsidRPr="002730EA">
        <w:rPr>
          <w:rStyle w:val="AERtextitalic"/>
        </w:rPr>
        <w:t>Access Arrangement submission 2017-22</w:t>
      </w:r>
      <w:r>
        <w:t xml:space="preserve">, 16 September 2016, p.159; </w:t>
      </w:r>
      <w:r w:rsidRPr="00140713">
        <w:t xml:space="preserve">APA, </w:t>
      </w:r>
      <w:r w:rsidRPr="002730EA">
        <w:rPr>
          <w:rStyle w:val="AERtextitalic"/>
        </w:rPr>
        <w:t>Victorian Transmission System Access Arrangement Submission</w:t>
      </w:r>
      <w:r>
        <w:t>, January 2017, p.181</w:t>
      </w:r>
      <w:r w:rsidRPr="00140713">
        <w:t>.</w:t>
      </w:r>
    </w:p>
  </w:footnote>
  <w:footnote w:id="1390">
    <w:p w:rsidR="00484671" w:rsidRPr="0070748E" w:rsidRDefault="00484671" w:rsidP="00911284">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w:t>
      </w:r>
    </w:p>
  </w:footnote>
  <w:footnote w:id="1391">
    <w:p w:rsidR="00484671" w:rsidRDefault="00484671" w:rsidP="00911284">
      <w:pPr>
        <w:pStyle w:val="FootnoteText"/>
      </w:pPr>
      <w:r>
        <w:rPr>
          <w:rStyle w:val="FootnoteReference"/>
        </w:rPr>
        <w:footnoteRef/>
      </w:r>
      <w:r>
        <w:t xml:space="preserve"> </w:t>
      </w:r>
      <w:r>
        <w:tab/>
        <w:t xml:space="preserve">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w:t>
      </w:r>
    </w:p>
  </w:footnote>
  <w:footnote w:id="1392">
    <w:p w:rsidR="00484671" w:rsidRDefault="00484671" w:rsidP="00911284">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p>
  </w:footnote>
  <w:footnote w:id="1393">
    <w:p w:rsidR="00484671" w:rsidRDefault="00484671">
      <w:pPr>
        <w:pStyle w:val="FootnoteText"/>
      </w:pPr>
      <w:r>
        <w:rPr>
          <w:rStyle w:val="FootnoteReference"/>
        </w:rPr>
        <w:footnoteRef/>
      </w:r>
      <w:r>
        <w:t xml:space="preserve"> </w:t>
      </w:r>
      <w:r>
        <w:tab/>
        <w:t>We note reference services are the "regulated services" in the case of fully covered gas distribution and gas transmision networks regulated by the AER.</w:t>
      </w:r>
    </w:p>
  </w:footnote>
  <w:footnote w:id="1394">
    <w:p w:rsidR="00484671" w:rsidRDefault="00484671" w:rsidP="00911284">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r>
        <w:t xml:space="preserve"> p. 164.</w:t>
      </w:r>
    </w:p>
  </w:footnote>
  <w:footnote w:id="1395">
    <w:p w:rsidR="00484671" w:rsidRDefault="00484671" w:rsidP="00911284">
      <w:pPr>
        <w:pStyle w:val="FootnoteText"/>
      </w:pPr>
      <w:r>
        <w:rPr>
          <w:rStyle w:val="FootnoteReference"/>
        </w:rPr>
        <w:footnoteRef/>
      </w:r>
      <w:r>
        <w:t xml:space="preserve">   </w:t>
      </w:r>
      <w:r w:rsidRPr="00315A21">
        <w:t>CEG, The AER’s current interpretation of the ARORO, September 2016</w:t>
      </w:r>
      <w:r w:rsidRPr="00315A21">
        <w:tab/>
      </w:r>
    </w:p>
  </w:footnote>
  <w:footnote w:id="1396">
    <w:p w:rsidR="00484671" w:rsidRDefault="00484671" w:rsidP="00911284">
      <w:pPr>
        <w:pStyle w:val="FootnoteText"/>
        <w:tabs>
          <w:tab w:val="clear" w:pos="340"/>
          <w:tab w:val="left" w:pos="1232"/>
        </w:tabs>
      </w:pPr>
      <w:r>
        <w:rPr>
          <w:rStyle w:val="FootnoteReference"/>
        </w:rPr>
        <w:footnoteRef/>
      </w:r>
      <w:r>
        <w:t xml:space="preserve"> </w:t>
      </w:r>
      <w:r>
        <w:tab/>
      </w:r>
      <w:r w:rsidRPr="00315A21">
        <w:t>The AER, Final decision ActewAGL distribution access arrangement 2016 t</w:t>
      </w:r>
      <w:r>
        <w:t>o</w:t>
      </w:r>
      <w:r w:rsidRPr="00315A21">
        <w:t xml:space="preserve"> 2021, attachment 3- Rate of return, May 2016</w:t>
      </w:r>
    </w:p>
    <w:p w:rsidR="00484671" w:rsidRDefault="00484671" w:rsidP="00911284">
      <w:pPr>
        <w:pStyle w:val="FootnoteText"/>
        <w:tabs>
          <w:tab w:val="clear" w:pos="340"/>
          <w:tab w:val="left" w:pos="1232"/>
        </w:tabs>
      </w:pPr>
      <w:r>
        <w:tab/>
        <w:t xml:space="preserve">The AER, Final decision AusNet transmission determination 2017-2022, attachment 3- Rate of return, April 2017 The AER, Final decision Powerlink </w:t>
      </w:r>
      <w:r w:rsidRPr="000B4BA5">
        <w:t xml:space="preserve">transmission determination 2017-2022, attachment 3- Rate of return, April 2017 The AER, Final decision </w:t>
      </w:r>
      <w:r>
        <w:t>TasNetworks</w:t>
      </w:r>
      <w:r w:rsidRPr="000B4BA5">
        <w:t xml:space="preserve"> </w:t>
      </w:r>
      <w:r>
        <w:t>distribution</w:t>
      </w:r>
      <w:r w:rsidRPr="000B4BA5">
        <w:t xml:space="preserve"> determination 2017-20</w:t>
      </w:r>
      <w:r>
        <w:t>19</w:t>
      </w:r>
      <w:r w:rsidRPr="000B4BA5">
        <w:t>, attachment 3- Rate of return, April 2017</w:t>
      </w:r>
    </w:p>
  </w:footnote>
  <w:footnote w:id="1397">
    <w:p w:rsidR="00484671" w:rsidRDefault="00484671" w:rsidP="00911284">
      <w:pPr>
        <w:pStyle w:val="FootnoteText"/>
      </w:pPr>
      <w:r>
        <w:rPr>
          <w:rStyle w:val="FootnoteReference"/>
        </w:rPr>
        <w:footnoteRef/>
      </w:r>
      <w:r>
        <w:t xml:space="preserve"> </w:t>
      </w:r>
      <w:r>
        <w:tab/>
        <w:t>NGR, cl. 87(3). Similar wording is found in NER, cl.  6.5.2(c) and NER, cl. 6A.6.2(c).</w:t>
      </w:r>
    </w:p>
  </w:footnote>
  <w:footnote w:id="1398">
    <w:p w:rsidR="00484671" w:rsidRDefault="00484671" w:rsidP="00911284">
      <w:pPr>
        <w:pStyle w:val="FootnoteText"/>
      </w:pPr>
      <w:r>
        <w:rPr>
          <w:rStyle w:val="FootnoteReference"/>
        </w:rPr>
        <w:footnoteRef/>
      </w:r>
      <w:r>
        <w:t xml:space="preserve"> </w:t>
      </w:r>
      <w:r>
        <w:tab/>
        <w:t>NER, cl. 6.5.2(c); NER, cl. 6A.6.2(c); NGR, r. 87(3).</w:t>
      </w:r>
    </w:p>
  </w:footnote>
  <w:footnote w:id="1399">
    <w:p w:rsidR="00484671" w:rsidRDefault="00484671" w:rsidP="00911284">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400">
    <w:p w:rsidR="00484671" w:rsidRDefault="00484671" w:rsidP="00911284">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401">
    <w:p w:rsidR="00484671" w:rsidRPr="00602829" w:rsidRDefault="00484671" w:rsidP="00911284">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402">
    <w:p w:rsidR="00484671" w:rsidRDefault="00484671" w:rsidP="00911284">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403">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404">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405">
    <w:p w:rsidR="00484671" w:rsidRDefault="00484671" w:rsidP="00911284">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406">
    <w:p w:rsidR="00484671" w:rsidRDefault="00484671" w:rsidP="00911284">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407">
    <w:p w:rsidR="00484671" w:rsidRDefault="0048467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408">
    <w:p w:rsidR="00484671" w:rsidRDefault="00484671" w:rsidP="00911284">
      <w:pPr>
        <w:pStyle w:val="FootnoteText"/>
      </w:pPr>
      <w:r>
        <w:rPr>
          <w:rStyle w:val="FootnoteReference"/>
        </w:rPr>
        <w:footnoteRef/>
      </w:r>
      <w:r>
        <w:t xml:space="preserve">   </w:t>
      </w:r>
      <w:r w:rsidRPr="00E52A84">
        <w:t xml:space="preserve">Partington, G., Satchell, S., </w:t>
      </w:r>
      <w:r w:rsidRPr="006E5878">
        <w:rPr>
          <w:rStyle w:val="AERtextitalic"/>
        </w:rPr>
        <w:t>Report to the AER: Issues in relation to the cost of debt</w:t>
      </w:r>
      <w:r>
        <w:t>,9 April 2017, p.16</w:t>
      </w:r>
      <w:r w:rsidRPr="00E52A84">
        <w:t>.</w:t>
      </w:r>
    </w:p>
  </w:footnote>
  <w:footnote w:id="1409">
    <w:p w:rsidR="00484671" w:rsidRDefault="00484671" w:rsidP="00911284">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410">
    <w:p w:rsidR="00484671" w:rsidRDefault="00484671" w:rsidP="00911284">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411">
    <w:p w:rsidR="00484671" w:rsidRDefault="00484671" w:rsidP="00911284">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412">
    <w:p w:rsidR="00484671" w:rsidRDefault="00484671" w:rsidP="00911284">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413">
    <w:p w:rsidR="00484671" w:rsidRDefault="0048467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414">
    <w:p w:rsidR="00484671" w:rsidRDefault="00484671" w:rsidP="00911284">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p w:rsidR="00484671" w:rsidRDefault="00484671"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Pr>
          <w:rStyle w:val="AERtextitalic"/>
        </w:rPr>
        <w:t xml:space="preserve">, </w:t>
      </w:r>
      <w:r w:rsidRPr="005A4B75">
        <w:rPr>
          <w:rStyle w:val="AERtextitalic"/>
          <w:i w:val="0"/>
        </w:rPr>
        <w:t>p.</w:t>
      </w:r>
      <w:r w:rsidRPr="007E1962">
        <w:rPr>
          <w:rStyle w:val="AERtextitalic"/>
          <w:i w:val="0"/>
        </w:rPr>
        <w:t>2</w:t>
      </w:r>
      <w:r w:rsidRPr="00BE50B0">
        <w:rPr>
          <w:rStyle w:val="AERtextitalic"/>
          <w:i w:val="0"/>
        </w:rPr>
        <w:t>6</w:t>
      </w:r>
    </w:p>
  </w:footnote>
  <w:footnote w:id="1415">
    <w:p w:rsidR="00484671" w:rsidRDefault="00484671" w:rsidP="00911284">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416">
    <w:p w:rsidR="00484671" w:rsidRDefault="00484671" w:rsidP="00911284">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417">
    <w:p w:rsidR="00484671" w:rsidRDefault="00484671"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418">
    <w:p w:rsidR="00484671" w:rsidRDefault="00484671" w:rsidP="00911284">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419">
    <w:p w:rsidR="00484671" w:rsidRDefault="00484671" w:rsidP="00911284">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420">
    <w:p w:rsidR="00484671" w:rsidRDefault="00484671" w:rsidP="00911284">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421">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422">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sidRPr="0051093A">
        <w:rPr>
          <w:rStyle w:val="AERtextitalic"/>
        </w:rPr>
        <w:t>,</w:t>
      </w:r>
      <w:r w:rsidRPr="0051093A">
        <w:t xml:space="preserve"> </w:t>
      </w:r>
      <w:r>
        <w:t>p.26</w:t>
      </w:r>
      <w:r w:rsidRPr="0051093A">
        <w:t>.</w:t>
      </w:r>
    </w:p>
  </w:footnote>
  <w:footnote w:id="1423">
    <w:p w:rsidR="00484671" w:rsidRDefault="0048467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424">
    <w:p w:rsidR="00484671" w:rsidRDefault="00484671" w:rsidP="00911284">
      <w:pPr>
        <w:pStyle w:val="FootnoteText"/>
      </w:pPr>
      <w:r>
        <w:rPr>
          <w:rStyle w:val="FootnoteReference"/>
        </w:rPr>
        <w:footnoteRef/>
      </w:r>
      <w:r>
        <w:t xml:space="preserve"> </w:t>
      </w:r>
      <w:r>
        <w:tab/>
        <w:t>NEL, s. 7A(3); NGL, s. (24)(3).</w:t>
      </w:r>
    </w:p>
  </w:footnote>
  <w:footnote w:id="1425">
    <w:p w:rsidR="00484671" w:rsidRPr="00612B7B" w:rsidRDefault="00484671" w:rsidP="00911284">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426">
    <w:p w:rsidR="00484671" w:rsidRDefault="00484671" w:rsidP="00911284">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427">
    <w:p w:rsidR="00484671" w:rsidRDefault="00484671" w:rsidP="00911284">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428">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429">
    <w:p w:rsidR="00484671" w:rsidRPr="00B57A7C" w:rsidRDefault="00484671" w:rsidP="00911284">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430">
    <w:p w:rsidR="00484671" w:rsidRDefault="00484671" w:rsidP="00911284">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431">
    <w:p w:rsidR="00484671" w:rsidRPr="007E1962" w:rsidRDefault="00484671" w:rsidP="0091128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 p.26.</w:t>
      </w:r>
    </w:p>
  </w:footnote>
  <w:footnote w:id="1432">
    <w:p w:rsidR="00484671" w:rsidRDefault="00484671" w:rsidP="00911284">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433">
    <w:p w:rsidR="00484671" w:rsidRDefault="00484671" w:rsidP="00911284">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434">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w:t>
      </w:r>
      <w:r w:rsidRPr="007E1962">
        <w:rPr>
          <w:rStyle w:val="AERtextitalic"/>
          <w:i w:val="0"/>
        </w:rPr>
        <w:t>, p.2</w:t>
      </w:r>
      <w:r w:rsidRPr="00BE50B0">
        <w:rPr>
          <w:rStyle w:val="AERtextitalic"/>
          <w:i w:val="0"/>
        </w:rPr>
        <w:t>8</w:t>
      </w:r>
      <w:r w:rsidRPr="00C6428D">
        <w:rPr>
          <w:rStyle w:val="AERtextitalic"/>
          <w:i w:val="0"/>
        </w:rPr>
        <w:t>.</w:t>
      </w:r>
    </w:p>
  </w:footnote>
  <w:footnote w:id="1435">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sidRPr="00C6428D" w:rsidDel="009F5F73">
        <w:rPr>
          <w:rStyle w:val="AERtextitalic"/>
          <w:i w:val="0"/>
        </w:rPr>
        <w:t xml:space="preserve"> </w:t>
      </w:r>
      <w:r w:rsidRPr="00BE50B0">
        <w:rPr>
          <w:rStyle w:val="AERtextitalic"/>
          <w:i w:val="0"/>
        </w:rPr>
        <w:t>9 April 2017</w:t>
      </w:r>
      <w:r w:rsidRPr="007E1962">
        <w:rPr>
          <w:rStyle w:val="AERtextitalic"/>
          <w:i w:val="0"/>
        </w:rPr>
        <w:t>, p.2</w:t>
      </w:r>
      <w:r w:rsidRPr="00BE50B0">
        <w:rPr>
          <w:rStyle w:val="AERtextitalic"/>
          <w:i w:val="0"/>
        </w:rPr>
        <w:t>7</w:t>
      </w:r>
      <w:r w:rsidRPr="00C6428D">
        <w:rPr>
          <w:rStyle w:val="AERtextitalic"/>
          <w:i w:val="0"/>
        </w:rPr>
        <w:t>.</w:t>
      </w:r>
    </w:p>
  </w:footnote>
  <w:footnote w:id="1436">
    <w:p w:rsidR="00484671" w:rsidRDefault="00484671" w:rsidP="00911284">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437">
    <w:p w:rsidR="00484671" w:rsidRDefault="00484671"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438">
    <w:p w:rsidR="00484671" w:rsidRDefault="00484671"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439">
    <w:p w:rsidR="00484671" w:rsidRDefault="00484671" w:rsidP="00911284">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440">
    <w:p w:rsidR="00484671" w:rsidRDefault="00484671" w:rsidP="00911284">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441">
    <w:p w:rsidR="00484671" w:rsidRDefault="00484671" w:rsidP="00911284">
      <w:pPr>
        <w:pStyle w:val="FootnoteText"/>
      </w:pPr>
      <w:r>
        <w:rPr>
          <w:rStyle w:val="FootnoteReference"/>
        </w:rPr>
        <w:footnoteRef/>
      </w:r>
      <w:r>
        <w:t xml:space="preserve"> </w:t>
      </w:r>
      <w:r>
        <w:tab/>
        <w:t>NEL, s. 7A(3)(b); NGL, s. 24(3)(b).</w:t>
      </w:r>
    </w:p>
  </w:footnote>
  <w:footnote w:id="1442">
    <w:p w:rsidR="00484671" w:rsidRDefault="0048467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p w:rsidR="00484671" w:rsidRDefault="00484671" w:rsidP="00911284">
      <w:pPr>
        <w:pStyle w:val="FootnoteText"/>
      </w:pP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17</w:t>
      </w:r>
      <w:r w:rsidRPr="00C6428D">
        <w:rPr>
          <w:rStyle w:val="AERtextitalic"/>
          <w:i w:val="0"/>
        </w:rPr>
        <w:t>.</w:t>
      </w:r>
    </w:p>
  </w:footnote>
  <w:footnote w:id="1443">
    <w:p w:rsidR="00484671" w:rsidRDefault="00484671" w:rsidP="00911284">
      <w:pPr>
        <w:pStyle w:val="FootnoteText"/>
      </w:pPr>
      <w:r>
        <w:rPr>
          <w:rStyle w:val="FootnoteReference"/>
        </w:rPr>
        <w:footnoteRef/>
      </w:r>
      <w:r>
        <w:t xml:space="preserve"> </w:t>
      </w:r>
      <w:r>
        <w:tab/>
        <w:t>Partington, G., Satchell, S.,</w:t>
      </w:r>
      <w:r w:rsidRPr="00F77F90">
        <w:t xml:space="preserve"> </w:t>
      </w:r>
      <w:r w:rsidRPr="006E5878">
        <w:rPr>
          <w:rStyle w:val="AERtextitalic"/>
        </w:rPr>
        <w:t>Report to the AER: Issues in relation to the cost of debt</w:t>
      </w:r>
      <w:r w:rsidRPr="00F77F90">
        <w:t>,</w:t>
      </w:r>
      <w:r>
        <w:t xml:space="preserve"> </w:t>
      </w:r>
      <w:r w:rsidRPr="00F77F90">
        <w:t xml:space="preserve">9 April 2017, p. </w:t>
      </w:r>
      <w:r>
        <w:t>29.</w:t>
      </w:r>
    </w:p>
  </w:footnote>
  <w:footnote w:id="1444">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2</w:t>
      </w:r>
      <w:r w:rsidRPr="00BE50B0">
        <w:rPr>
          <w:rStyle w:val="AERtextitalic"/>
          <w:i w:val="0"/>
        </w:rPr>
        <w:t>9</w:t>
      </w:r>
      <w:r w:rsidRPr="00C6428D">
        <w:rPr>
          <w:rStyle w:val="AERtextitalic"/>
          <w:i w:val="0"/>
        </w:rPr>
        <w:t>.</w:t>
      </w:r>
    </w:p>
  </w:footnote>
  <w:footnote w:id="1445">
    <w:p w:rsidR="00484671" w:rsidRDefault="00484671" w:rsidP="00911284">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446">
    <w:p w:rsidR="00484671" w:rsidRDefault="00484671" w:rsidP="00911284">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447">
    <w:p w:rsidR="00484671" w:rsidRDefault="00484671" w:rsidP="00911284">
      <w:pPr>
        <w:pStyle w:val="FootnoteText"/>
      </w:pPr>
      <w:r>
        <w:rPr>
          <w:rStyle w:val="FootnoteReference"/>
        </w:rPr>
        <w:footnoteRef/>
      </w:r>
      <w:r>
        <w:t xml:space="preserve"> </w:t>
      </w:r>
      <w:r>
        <w:tab/>
        <w:t>See NER, cl. 6.5.2(j)(1); NER, cl. 6A.6.2(j)(1); NGR, r. 87(10)(a).</w:t>
      </w:r>
    </w:p>
  </w:footnote>
  <w:footnote w:id="1448">
    <w:p w:rsidR="00484671" w:rsidRDefault="00484671" w:rsidP="00911284">
      <w:pPr>
        <w:pStyle w:val="FootnoteText"/>
      </w:pPr>
      <w:r>
        <w:rPr>
          <w:rStyle w:val="FootnoteReference"/>
        </w:rPr>
        <w:footnoteRef/>
      </w:r>
      <w:r>
        <w:t xml:space="preserve"> </w:t>
      </w:r>
      <w:r>
        <w:tab/>
        <w:t>NER, cl. 6.5.2(g); NER, cl. 6A.6.2(g); NGR, cl. 87(7).</w:t>
      </w:r>
    </w:p>
  </w:footnote>
  <w:footnote w:id="1449">
    <w:p w:rsidR="00484671" w:rsidRDefault="00484671" w:rsidP="00911284">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450">
    <w:p w:rsidR="00484671" w:rsidRDefault="00484671" w:rsidP="00911284">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451">
    <w:p w:rsidR="00484671" w:rsidRDefault="00484671" w:rsidP="00911284">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452">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453">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29</w:t>
      </w:r>
      <w:r w:rsidRPr="00C6428D">
        <w:rPr>
          <w:rStyle w:val="AERtextitalic"/>
          <w:i w:val="0"/>
        </w:rPr>
        <w:t>.</w:t>
      </w:r>
    </w:p>
  </w:footnote>
  <w:footnote w:id="1454">
    <w:p w:rsidR="00484671" w:rsidRDefault="00484671" w:rsidP="00911284">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455">
    <w:p w:rsidR="00484671" w:rsidRDefault="00484671" w:rsidP="00911284">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456">
    <w:p w:rsidR="00484671" w:rsidRDefault="00484671" w:rsidP="00911284">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457">
    <w:p w:rsidR="00484671" w:rsidRDefault="00484671" w:rsidP="00911284">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458">
    <w:p w:rsidR="00484671" w:rsidRDefault="00484671" w:rsidP="00911284">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459">
    <w:p w:rsidR="00484671" w:rsidRDefault="00484671" w:rsidP="00911284">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460">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461">
    <w:p w:rsidR="00484671" w:rsidRDefault="00484671" w:rsidP="00911284">
      <w:pPr>
        <w:pStyle w:val="FootnoteText"/>
      </w:pPr>
      <w:r>
        <w:rPr>
          <w:rStyle w:val="FootnoteReference"/>
        </w:rPr>
        <w:footnoteRef/>
      </w:r>
      <w:r>
        <w:t xml:space="preserve"> </w:t>
      </w:r>
      <w:r>
        <w:tab/>
        <w:t>See NER, cl. 6.5.2(j)(2); NER, cl. 6A.6.2(j)(2); NGR, r. 87(10)(b).</w:t>
      </w:r>
    </w:p>
  </w:footnote>
  <w:footnote w:id="1462">
    <w:p w:rsidR="00484671" w:rsidRDefault="00484671" w:rsidP="00911284">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463">
    <w:p w:rsidR="00484671" w:rsidRDefault="00484671" w:rsidP="00911284">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464">
    <w:p w:rsidR="00484671" w:rsidRDefault="00484671" w:rsidP="00911284">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465">
    <w:p w:rsidR="00484671" w:rsidRDefault="00484671" w:rsidP="00911284">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466">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w:t>
      </w:r>
      <w:r w:rsidRPr="00BE50B0">
        <w:rPr>
          <w:rStyle w:val="AERtextitalic"/>
          <w:i w:val="0"/>
        </w:rPr>
        <w:t>7</w:t>
      </w:r>
      <w:r w:rsidRPr="00C6428D">
        <w:rPr>
          <w:rStyle w:val="AERtextitalic"/>
          <w:i w:val="0"/>
        </w:rPr>
        <w:t>.</w:t>
      </w:r>
    </w:p>
  </w:footnote>
  <w:footnote w:id="1467">
    <w:p w:rsidR="00484671" w:rsidRDefault="00484671" w:rsidP="00911284">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468">
    <w:p w:rsidR="00484671" w:rsidRDefault="00484671" w:rsidP="00911284">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469">
    <w:p w:rsidR="00484671" w:rsidRDefault="00484671" w:rsidP="00911284">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470">
    <w:p w:rsidR="00484671" w:rsidRDefault="00484671" w:rsidP="00911284">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471">
    <w:p w:rsidR="00484671" w:rsidRDefault="00484671" w:rsidP="00911284">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472">
    <w:p w:rsidR="00484671" w:rsidRDefault="00484671" w:rsidP="00911284">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473">
    <w:p w:rsidR="00484671" w:rsidRDefault="00484671" w:rsidP="00911284">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474">
    <w:p w:rsidR="00484671" w:rsidRDefault="00484671" w:rsidP="00911284">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475">
    <w:p w:rsidR="00484671" w:rsidRDefault="00484671" w:rsidP="00911284">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476">
    <w:p w:rsidR="00484671" w:rsidRDefault="00484671" w:rsidP="00911284">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477">
    <w:p w:rsidR="00484671" w:rsidRDefault="00484671" w:rsidP="00911284">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478">
    <w:p w:rsidR="00484671" w:rsidRDefault="00484671" w:rsidP="00911284">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479">
    <w:p w:rsidR="00484671" w:rsidRDefault="00484671" w:rsidP="00911284">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480">
    <w:p w:rsidR="00484671" w:rsidRDefault="00484671" w:rsidP="00911284">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481">
    <w:p w:rsidR="00484671" w:rsidRDefault="00484671" w:rsidP="00911284">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482">
    <w:p w:rsidR="00484671" w:rsidRDefault="0048467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p w:rsidR="00484671" w:rsidRDefault="00484671"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16</w:t>
      </w:r>
      <w:r w:rsidRPr="00C6428D">
        <w:rPr>
          <w:rStyle w:val="AERtextitalic"/>
          <w:i w:val="0"/>
        </w:rPr>
        <w:t>.</w:t>
      </w:r>
    </w:p>
  </w:footnote>
  <w:footnote w:id="1483">
    <w:p w:rsidR="00484671" w:rsidRDefault="00484671" w:rsidP="00911284">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484">
    <w:p w:rsidR="00484671" w:rsidRDefault="00484671" w:rsidP="00911284">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485">
    <w:p w:rsidR="00484671" w:rsidRDefault="00484671" w:rsidP="00911284">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486">
    <w:p w:rsidR="00484671" w:rsidRDefault="00484671" w:rsidP="00911284">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p w:rsidR="00484671" w:rsidRDefault="00484671"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21</w:t>
      </w:r>
      <w:r w:rsidRPr="00C6428D">
        <w:rPr>
          <w:rStyle w:val="AERtextitalic"/>
          <w:i w:val="0"/>
        </w:rPr>
        <w:t>.</w:t>
      </w:r>
    </w:p>
  </w:footnote>
  <w:footnote w:id="1487">
    <w:p w:rsidR="00484671" w:rsidRDefault="00484671" w:rsidP="00911284">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488">
    <w:p w:rsidR="00484671" w:rsidRDefault="00484671" w:rsidP="00911284">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489">
    <w:p w:rsidR="00484671" w:rsidRDefault="00484671" w:rsidP="00911284">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490">
    <w:p w:rsidR="00484671" w:rsidRDefault="00484671" w:rsidP="00911284">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491">
    <w:p w:rsidR="00484671" w:rsidRDefault="00484671" w:rsidP="00911284">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492">
    <w:p w:rsidR="00484671" w:rsidRDefault="00484671" w:rsidP="00911284">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493">
    <w:p w:rsidR="00484671" w:rsidRDefault="00484671" w:rsidP="00911284">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494">
    <w:p w:rsidR="00484671" w:rsidRDefault="00484671" w:rsidP="00911284">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495">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496">
    <w:p w:rsidR="00484671" w:rsidRDefault="00484671" w:rsidP="00911284">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497">
    <w:p w:rsidR="00484671" w:rsidRDefault="00484671" w:rsidP="00911284">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498">
    <w:p w:rsidR="00484671" w:rsidRDefault="00484671" w:rsidP="00911284">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499">
    <w:p w:rsidR="00484671" w:rsidRDefault="00484671" w:rsidP="00911284">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500">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3</w:t>
      </w:r>
      <w:r w:rsidRPr="00BE50B0">
        <w:rPr>
          <w:rStyle w:val="AERtextitalic"/>
          <w:i w:val="0"/>
        </w:rPr>
        <w:t>0</w:t>
      </w:r>
      <w:r w:rsidRPr="00C6428D">
        <w:rPr>
          <w:rStyle w:val="AERtextitalic"/>
          <w:i w:val="0"/>
        </w:rPr>
        <w:t>.</w:t>
      </w:r>
    </w:p>
  </w:footnote>
  <w:footnote w:id="1501">
    <w:p w:rsidR="00484671" w:rsidRDefault="0048467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27</w:t>
      </w:r>
      <w:r w:rsidRPr="00C6428D">
        <w:rPr>
          <w:rStyle w:val="AERtextitalic"/>
          <w:i w:val="0"/>
        </w:rPr>
        <w:t>.</w:t>
      </w:r>
    </w:p>
  </w:footnote>
  <w:footnote w:id="1502">
    <w:p w:rsidR="00484671" w:rsidRDefault="00484671" w:rsidP="00911284">
      <w:pPr>
        <w:pStyle w:val="FootnoteText"/>
      </w:pPr>
      <w:r>
        <w:rPr>
          <w:rStyle w:val="FootnoteReference"/>
        </w:rPr>
        <w:footnoteRef/>
      </w:r>
      <w:r>
        <w:t xml:space="preserve"> </w:t>
      </w:r>
      <w:r>
        <w:tab/>
        <w:t>This was the preferred transition approach in recent revised proposals from ActewAGL distribution (gas), AGN, APTMT, AusNet Services (distribution), CitiPower, Jen, Powercor and United Energy.</w:t>
      </w:r>
    </w:p>
  </w:footnote>
  <w:footnote w:id="1503">
    <w:p w:rsidR="00484671" w:rsidRDefault="00484671" w:rsidP="00911284">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504">
    <w:p w:rsidR="00484671" w:rsidRDefault="00484671" w:rsidP="00911284">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505">
    <w:p w:rsidR="00484671" w:rsidRDefault="00484671" w:rsidP="00911284">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506">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p w:rsidR="00484671" w:rsidRPr="009B5A2D" w:rsidRDefault="00484671" w:rsidP="00911284">
      <w:pPr>
        <w:pStyle w:val="FootnoteText"/>
      </w:pPr>
      <w:r>
        <w:t xml:space="preserve">        </w:t>
      </w:r>
      <w:r w:rsidRPr="009B5A2D">
        <w:t xml:space="preserve">Partington, G., Satchell, S., </w:t>
      </w:r>
      <w:r w:rsidRPr="009B5A2D">
        <w:rPr>
          <w:i/>
        </w:rPr>
        <w:t>Report to the AER: Issues in relation to the cost of debt,</w:t>
      </w:r>
      <w:r>
        <w:t>9 April 2017</w:t>
      </w:r>
      <w:r w:rsidRPr="00584EB7">
        <w:t>, p.</w:t>
      </w:r>
      <w:r w:rsidRPr="009B5A2D">
        <w:t>2</w:t>
      </w:r>
      <w:r>
        <w:t>8</w:t>
      </w:r>
      <w:r w:rsidRPr="00584EB7">
        <w:t>.</w:t>
      </w:r>
    </w:p>
  </w:footnote>
  <w:footnote w:id="1507">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508">
    <w:p w:rsidR="00484671" w:rsidRDefault="00484671" w:rsidP="00911284">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509">
    <w:p w:rsidR="00484671" w:rsidRDefault="00484671" w:rsidP="00911284">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510">
    <w:p w:rsidR="00484671" w:rsidRDefault="00484671" w:rsidP="00911284">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511">
    <w:p w:rsidR="00484671" w:rsidRDefault="00484671" w:rsidP="00911284">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512">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513">
    <w:p w:rsidR="00484671" w:rsidRDefault="00484671" w:rsidP="00911284">
      <w:pPr>
        <w:pStyle w:val="FootnoteText"/>
      </w:pPr>
      <w:r>
        <w:rPr>
          <w:rStyle w:val="FootnoteReference"/>
        </w:rPr>
        <w:footnoteRef/>
      </w:r>
      <w:r>
        <w:t xml:space="preserve">   </w:t>
      </w:r>
      <w:r w:rsidRPr="009E6AEC">
        <w:t xml:space="preserve">Partington, G., Satchell, S., </w:t>
      </w:r>
      <w:r w:rsidRPr="006E5878">
        <w:rPr>
          <w:rStyle w:val="AERtextitalic"/>
        </w:rPr>
        <w:t>Report to the AER: Issues in relation to the cost of debt</w:t>
      </w:r>
      <w:r w:rsidRPr="009E6AEC">
        <w:t>,</w:t>
      </w:r>
      <w:r>
        <w:t xml:space="preserve">9 </w:t>
      </w:r>
      <w:r w:rsidRPr="006E5878">
        <w:t>April 2017</w:t>
      </w:r>
      <w:r>
        <w:t>, p.27</w:t>
      </w:r>
      <w:r w:rsidRPr="009E6AEC">
        <w:t>.</w:t>
      </w:r>
      <w:r>
        <w:tab/>
      </w:r>
    </w:p>
  </w:footnote>
  <w:footnote w:id="1514">
    <w:p w:rsidR="00484671" w:rsidRDefault="00484671" w:rsidP="00911284">
      <w:pPr>
        <w:pStyle w:val="FootnoteText"/>
      </w:pPr>
      <w:r>
        <w:rPr>
          <w:rStyle w:val="FootnoteReference"/>
        </w:rPr>
        <w:footnoteRef/>
      </w:r>
      <w:r>
        <w:t xml:space="preserve"> </w:t>
      </w:r>
      <w:r>
        <w:tab/>
      </w:r>
      <w:r w:rsidRPr="00474448">
        <w:t xml:space="preserve">RBP, </w:t>
      </w:r>
      <w:r w:rsidRPr="00970545">
        <w:rPr>
          <w:rStyle w:val="AERtextitalic"/>
        </w:rPr>
        <w:t>Access arrangement submission 2017-22</w:t>
      </w:r>
      <w:r>
        <w:t xml:space="preserve">, 16 September 2016, p. 160; </w:t>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footnote>
  <w:footnote w:id="1515">
    <w:p w:rsidR="00484671" w:rsidRDefault="00484671" w:rsidP="00911284">
      <w:pPr>
        <w:pStyle w:val="FootnoteText"/>
      </w:pPr>
      <w:r>
        <w:rPr>
          <w:rStyle w:val="FootnoteReference"/>
        </w:rPr>
        <w:footnoteRef/>
      </w:r>
      <w:r>
        <w:t xml:space="preserve"> </w:t>
      </w:r>
      <w:r>
        <w:tab/>
      </w:r>
      <w:r w:rsidRPr="00F32A5C">
        <w:t>This was proposed by ActewAGL, AGN, Amadeus, CitiPower, JEN and United Energy</w:t>
      </w:r>
    </w:p>
  </w:footnote>
  <w:footnote w:id="1516">
    <w:p w:rsidR="00484671" w:rsidRDefault="00484671" w:rsidP="00911284">
      <w:pPr>
        <w:pStyle w:val="FootnoteText"/>
      </w:pPr>
      <w:r>
        <w:rPr>
          <w:rStyle w:val="FootnoteReference"/>
        </w:rPr>
        <w:footnoteRef/>
      </w:r>
      <w:r>
        <w:t xml:space="preserve"> </w:t>
      </w:r>
      <w:r>
        <w:tab/>
        <w:t>CCP3 submitted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517">
    <w:p w:rsidR="00484671" w:rsidRDefault="00484671" w:rsidP="00911284">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518">
    <w:p w:rsidR="00484671" w:rsidRDefault="00484671" w:rsidP="00911284">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rsidR="002C24D6">
        <w:t>J.3.3</w:t>
      </w:r>
      <w:r>
        <w:fldChar w:fldCharType="end"/>
      </w:r>
      <w:r>
        <w:t xml:space="preserve"> for a mathematical depiction).</w:t>
      </w:r>
    </w:p>
  </w:footnote>
  <w:footnote w:id="1519">
    <w:p w:rsidR="00484671" w:rsidRPr="00173C4D" w:rsidRDefault="0048467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r>
        <w:t>;</w:t>
      </w:r>
      <w:r w:rsidRPr="00173C4D">
        <w:t xml:space="preserve"> RBP, Access arrangement revision submission 2017-22, September 2016, p.161; AusNet Services, </w:t>
      </w:r>
      <w:r w:rsidRPr="00173C4D">
        <w:rPr>
          <w:rStyle w:val="AERtextitalic"/>
        </w:rPr>
        <w:t>Transmission Revenue Review 2017-2022 - Revised Revenue Proposal</w:t>
      </w:r>
      <w:r w:rsidRPr="00173C4D">
        <w:t xml:space="preserve">, 21 September 2016, p. 138; APA VTS, </w:t>
      </w:r>
      <w:r w:rsidRPr="00173C4D">
        <w:rPr>
          <w:rStyle w:val="AERtextitalic"/>
        </w:rPr>
        <w:t>Victorian Transmission System Access Arrangement Submission</w:t>
      </w:r>
      <w:r w:rsidRPr="00173C4D">
        <w:t>, January 2017, p.181.</w:t>
      </w:r>
    </w:p>
    <w:p w:rsidR="00484671" w:rsidRDefault="00484671" w:rsidP="00911284">
      <w:pPr>
        <w:pStyle w:val="FootnoteText"/>
      </w:pPr>
    </w:p>
  </w:footnote>
  <w:footnote w:id="1520">
    <w:p w:rsidR="00484671" w:rsidRDefault="00484671" w:rsidP="00911284">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521">
    <w:p w:rsidR="00484671" w:rsidRDefault="00484671" w:rsidP="00911284">
      <w:pPr>
        <w:pStyle w:val="FootnoteText"/>
      </w:pPr>
      <w:r>
        <w:rPr>
          <w:rStyle w:val="FootnoteReference"/>
        </w:rPr>
        <w:footnoteRef/>
      </w:r>
      <w:r>
        <w:t xml:space="preserve"> </w:t>
      </w:r>
      <w:r>
        <w:tab/>
        <w:t>NER, cl. 6.5.2(k)(1);  NER, cl. 6A.6.2(k)(1); NGR, cl. 87(11)(a).</w:t>
      </w:r>
    </w:p>
  </w:footnote>
  <w:footnote w:id="1522">
    <w:p w:rsidR="00484671" w:rsidRDefault="00484671" w:rsidP="00911284">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523">
    <w:p w:rsidR="00484671" w:rsidRDefault="00484671" w:rsidP="00911284">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524">
    <w:p w:rsidR="00484671" w:rsidRDefault="0048467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pp. 258</w:t>
      </w:r>
      <w:r w:rsidRPr="007D612D">
        <w:t>–</w:t>
      </w:r>
      <w:r>
        <w:t xml:space="preserve">259; United Energy, </w:t>
      </w:r>
      <w:r w:rsidRPr="00DA2177">
        <w:rPr>
          <w:rStyle w:val="AERtextitalic"/>
        </w:rPr>
        <w:t>2016 to 2020 revised regulatory proposal</w:t>
      </w:r>
      <w:r>
        <w:t>, January 2016, p. 76</w:t>
      </w:r>
      <w:r w:rsidRPr="007D612D">
        <w:t>–</w:t>
      </w:r>
      <w:r>
        <w:t>8.</w:t>
      </w:r>
    </w:p>
  </w:footnote>
  <w:footnote w:id="1525">
    <w:p w:rsidR="00484671" w:rsidRDefault="00484671" w:rsidP="00911284">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526">
    <w:p w:rsidR="00484671" w:rsidRPr="00173C4D" w:rsidRDefault="0048467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xml:space="preserve">, January 2016, p. 22.; </w:t>
      </w:r>
      <w:r w:rsidRPr="00173C4D">
        <w:t xml:space="preserve">RBP, Access Arrangement revision submission, September 2016, p.159; AusNet Services, </w:t>
      </w:r>
      <w:r w:rsidRPr="00173C4D">
        <w:rPr>
          <w:rStyle w:val="AERtextitalic"/>
        </w:rPr>
        <w:t>Transmission Revenue Review 2017-2022 - Revised Revenue Proposal</w:t>
      </w:r>
      <w:r w:rsidRPr="00173C4D">
        <w:t xml:space="preserve">, 21 September 2016, p. 155; APA, </w:t>
      </w:r>
      <w:r w:rsidRPr="00173C4D">
        <w:rPr>
          <w:rStyle w:val="AERtextitalic"/>
        </w:rPr>
        <w:t>Victorian Transmission System Access Arrangement Submission</w:t>
      </w:r>
      <w:r w:rsidRPr="00173C4D">
        <w:t>, January 2017, p. 180.</w:t>
      </w:r>
    </w:p>
    <w:p w:rsidR="00484671" w:rsidRDefault="00484671" w:rsidP="00013867">
      <w:pPr>
        <w:pStyle w:val="FootnoteText"/>
        <w:ind w:left="0" w:firstLine="0"/>
      </w:pPr>
    </w:p>
  </w:footnote>
  <w:footnote w:id="1527">
    <w:p w:rsidR="00484671" w:rsidRDefault="00484671" w:rsidP="00911284">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528">
    <w:p w:rsidR="00484671" w:rsidRDefault="0048467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529">
    <w:p w:rsidR="00484671" w:rsidRDefault="0048467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530">
    <w:p w:rsidR="00484671" w:rsidRDefault="00484671" w:rsidP="008D591E">
      <w:pPr>
        <w:pStyle w:val="FootnoteText"/>
      </w:pPr>
      <w:r>
        <w:rPr>
          <w:rStyle w:val="FootnoteReference"/>
        </w:rPr>
        <w:footnoteRef/>
      </w:r>
      <w:r>
        <w:t xml:space="preserve"> </w:t>
      </w:r>
      <w:r>
        <w:tab/>
      </w:r>
      <w:r w:rsidRPr="00B17DB6">
        <w:t xml:space="preserve">RBP, </w:t>
      </w:r>
      <w:r w:rsidRPr="0067629A">
        <w:rPr>
          <w:rStyle w:val="AERtextitalic"/>
        </w:rPr>
        <w:t>Access arrangement submission 2017-22</w:t>
      </w:r>
      <w:r>
        <w:t>, 16 September 2016, p. 160;</w:t>
      </w:r>
      <w:r w:rsidRPr="0041565A">
        <w:t xml:space="preserve"> </w:t>
      </w:r>
      <w:r w:rsidRPr="0084195D">
        <w:t xml:space="preserve">APA, </w:t>
      </w:r>
      <w:r w:rsidRPr="002730EA">
        <w:rPr>
          <w:rStyle w:val="AERtextitalic"/>
        </w:rPr>
        <w:t>Victorian Transmission System Access Arrangement Submission</w:t>
      </w:r>
      <w:r>
        <w:t>, January 2017, p.181</w:t>
      </w:r>
      <w:r w:rsidRPr="0084195D">
        <w:t>.</w:t>
      </w:r>
    </w:p>
  </w:footnote>
  <w:footnote w:id="1531">
    <w:p w:rsidR="00484671" w:rsidRDefault="00484671" w:rsidP="00911284">
      <w:pPr>
        <w:pStyle w:val="FootnoteText"/>
      </w:pPr>
      <w:r>
        <w:rPr>
          <w:rStyle w:val="FootnoteReference"/>
        </w:rPr>
        <w:footnoteRef/>
      </w:r>
      <w:r>
        <w:t xml:space="preserve"> </w:t>
      </w:r>
      <w:r>
        <w:tab/>
      </w:r>
      <w:r w:rsidRPr="00B17DB6">
        <w:t xml:space="preserve">RBP, </w:t>
      </w:r>
      <w:r w:rsidRPr="002730EA">
        <w:rPr>
          <w:rStyle w:val="AERtextitalic"/>
        </w:rPr>
        <w:t>Access arrangement submission 2017-22</w:t>
      </w:r>
      <w:r>
        <w:t>, 16 September 2016, p. 160;</w:t>
      </w:r>
      <w:r w:rsidRPr="0084195D">
        <w:t xml:space="preserve"> APA, </w:t>
      </w:r>
      <w:r w:rsidRPr="00013867">
        <w:rPr>
          <w:rStyle w:val="AERtextitalic"/>
        </w:rPr>
        <w:t>Victorian Transmission System Access Arrangement Submission</w:t>
      </w:r>
      <w:r>
        <w:t>, January 2017, p.181</w:t>
      </w:r>
      <w:r w:rsidRPr="0084195D">
        <w:t>.</w:t>
      </w:r>
    </w:p>
  </w:footnote>
  <w:footnote w:id="1532">
    <w:p w:rsidR="00484671" w:rsidRDefault="00484671" w:rsidP="008D591E">
      <w:pPr>
        <w:pStyle w:val="FootnoteText"/>
      </w:pPr>
      <w:r>
        <w:rPr>
          <w:rStyle w:val="FootnoteReference"/>
        </w:rPr>
        <w:footnoteRef/>
      </w:r>
      <w:r>
        <w:t xml:space="preserve">   CEG, </w:t>
      </w:r>
      <w:r w:rsidRPr="009A0AF1">
        <w:rPr>
          <w:i/>
        </w:rPr>
        <w:t>The AER’s current interpretation of the ARORO</w:t>
      </w:r>
      <w:r>
        <w:t xml:space="preserve">, September 2016 </w:t>
      </w:r>
    </w:p>
  </w:footnote>
  <w:footnote w:id="1533">
    <w:p w:rsidR="00484671" w:rsidRDefault="00484671" w:rsidP="00911284">
      <w:pPr>
        <w:pStyle w:val="FootnoteText"/>
      </w:pPr>
      <w:r>
        <w:rPr>
          <w:rStyle w:val="FootnoteReference"/>
        </w:rPr>
        <w:footnoteRef/>
      </w:r>
      <w:r>
        <w:t xml:space="preserve">    CEG, </w:t>
      </w:r>
      <w:r w:rsidRPr="009A0AF1">
        <w:rPr>
          <w:i/>
        </w:rPr>
        <w:t>The AER’s current interpretation of the ARORO</w:t>
      </w:r>
      <w:r>
        <w:t>, September 2016, p.3.</w:t>
      </w:r>
    </w:p>
  </w:footnote>
  <w:footnote w:id="1534">
    <w:p w:rsidR="00484671" w:rsidRDefault="00484671" w:rsidP="00911284">
      <w:pPr>
        <w:pStyle w:val="FootnoteText"/>
      </w:pPr>
      <w:r>
        <w:rPr>
          <w:rStyle w:val="FootnoteReference"/>
        </w:rPr>
        <w:footnoteRef/>
      </w:r>
      <w:r>
        <w:t xml:space="preserve"> </w:t>
      </w:r>
      <w:r>
        <w:tab/>
      </w:r>
      <w:r w:rsidRPr="000F18DA">
        <w:t>See SFG, Preliminary analysis of rule change proposals: Report for AEMC, February 2012, p. 41; Brennan, Depreciation, investor compensation and, welfare under rate-of-return regulation, Review of industrial organisation, 1991, 6, p. 75. In his article, Brennan stated, 'With regard to investor compensation, the basic goal of regulation is to give investors an income stream just sufficient to cover the costs of their assets, and no more'.</w:t>
      </w:r>
    </w:p>
  </w:footnote>
  <w:footnote w:id="1535">
    <w:p w:rsidR="00484671" w:rsidRDefault="00484671" w:rsidP="00911284">
      <w:pPr>
        <w:pStyle w:val="FootnoteText"/>
      </w:pPr>
      <w:r>
        <w:rPr>
          <w:rStyle w:val="FootnoteReference"/>
        </w:rPr>
        <w:footnoteRef/>
      </w:r>
      <w:r>
        <w:t xml:space="preserve"> </w:t>
      </w:r>
      <w:r>
        <w:tab/>
        <w:t>More detailed responses with relevant supporting references are contained in text below the table.</w:t>
      </w:r>
    </w:p>
  </w:footnote>
  <w:footnote w:id="1536">
    <w:p w:rsidR="00484671" w:rsidRDefault="00484671" w:rsidP="00911284">
      <w:pPr>
        <w:pStyle w:val="FootnoteText"/>
      </w:pPr>
      <w:r>
        <w:rPr>
          <w:rStyle w:val="FootnoteReference"/>
        </w:rPr>
        <w:footnoteRef/>
      </w:r>
      <w:r>
        <w:t xml:space="preserve">   CEG, </w:t>
      </w:r>
      <w:r w:rsidRPr="006E5878">
        <w:rPr>
          <w:rStyle w:val="AERtextitalic"/>
        </w:rPr>
        <w:t>the AER’s current interpretation of the ARORO</w:t>
      </w:r>
      <w:r>
        <w:t>, September 2016, p. 36.</w:t>
      </w:r>
    </w:p>
  </w:footnote>
  <w:footnote w:id="1537">
    <w:p w:rsidR="00484671" w:rsidRDefault="00484671" w:rsidP="00911284">
      <w:pPr>
        <w:pStyle w:val="FootnoteText"/>
      </w:pPr>
      <w:r>
        <w:rPr>
          <w:rStyle w:val="FootnoteReference"/>
        </w:rPr>
        <w:footnoteRef/>
      </w:r>
      <w:r>
        <w:t xml:space="preserve">   </w:t>
      </w:r>
      <w:r w:rsidRPr="00FF6705">
        <w:t xml:space="preserve">CEG, </w:t>
      </w:r>
      <w:r w:rsidRPr="006E5878">
        <w:rPr>
          <w:rStyle w:val="AERtextitalic"/>
        </w:rPr>
        <w:t>the AER’s current interpretation of the ARORO</w:t>
      </w:r>
      <w:r w:rsidRPr="00FF6705">
        <w:t xml:space="preserve">, September 2016, </w:t>
      </w:r>
      <w:r>
        <w:t>p. 48.</w:t>
      </w:r>
    </w:p>
  </w:footnote>
  <w:footnote w:id="1538">
    <w:p w:rsidR="00484671" w:rsidRDefault="00484671" w:rsidP="00911284">
      <w:pPr>
        <w:pStyle w:val="FootnoteText"/>
      </w:pPr>
      <w:r>
        <w:rPr>
          <w:rStyle w:val="FootnoteReference"/>
        </w:rPr>
        <w:footnoteRef/>
      </w:r>
      <w:r>
        <w:t xml:space="preserve"> </w:t>
      </w:r>
      <w:r>
        <w:tab/>
      </w:r>
      <w:r w:rsidRPr="00FF6705">
        <w:t>Graham Partington and Stephen Satchell</w:t>
      </w:r>
      <w:r w:rsidRPr="006E5878">
        <w:rPr>
          <w:rStyle w:val="AERtextitalic"/>
        </w:rPr>
        <w:t>, Report to the AER: Issues in Relation to the Cost of Debt</w:t>
      </w:r>
      <w:r w:rsidRPr="00FF6705">
        <w:t xml:space="preserve">, </w:t>
      </w:r>
      <w:r>
        <w:t>9 April 2017</w:t>
      </w:r>
      <w:r w:rsidRPr="00FF6705">
        <w:t>, p</w:t>
      </w:r>
      <w:r>
        <w:t>.</w:t>
      </w:r>
      <w:r w:rsidRPr="00FF6705">
        <w:t>2</w:t>
      </w:r>
      <w:r>
        <w:t>5.</w:t>
      </w:r>
    </w:p>
  </w:footnote>
  <w:footnote w:id="1539">
    <w:p w:rsidR="00484671" w:rsidRDefault="0048467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540">
    <w:p w:rsidR="00484671" w:rsidRDefault="0048467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541">
    <w:p w:rsidR="00484671" w:rsidRDefault="00484671" w:rsidP="00911284">
      <w:pPr>
        <w:pStyle w:val="FootnoteText"/>
      </w:pPr>
      <w:r>
        <w:rPr>
          <w:rStyle w:val="FootnoteReference"/>
        </w:rPr>
        <w:footnoteRef/>
      </w:r>
      <w:r>
        <w:t xml:space="preserve">   CEG, </w:t>
      </w:r>
      <w:r w:rsidRPr="00584EB7">
        <w:rPr>
          <w:i/>
        </w:rPr>
        <w:t>the AER’s current interpretation of the ARORO</w:t>
      </w:r>
      <w:r>
        <w:t>, September 2016, p. 32.</w:t>
      </w:r>
    </w:p>
  </w:footnote>
  <w:footnote w:id="1542">
    <w:p w:rsidR="00484671" w:rsidRDefault="0048467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p.16.</w:t>
      </w:r>
    </w:p>
  </w:footnote>
  <w:footnote w:id="1543">
    <w:p w:rsidR="00484671" w:rsidRDefault="00484671" w:rsidP="00911284">
      <w:pPr>
        <w:pStyle w:val="FootnoteText"/>
      </w:pPr>
      <w:r>
        <w:rPr>
          <w:rStyle w:val="FootnoteReference"/>
        </w:rPr>
        <w:footnoteRef/>
      </w:r>
      <w:r>
        <w:t xml:space="preserve">   CEG, </w:t>
      </w:r>
      <w:r w:rsidRPr="00584EB7">
        <w:rPr>
          <w:i/>
        </w:rPr>
        <w:t>the AER’s current interpretation of the ARORO</w:t>
      </w:r>
      <w:r>
        <w:t>, September 2016, pp. 27-28.</w:t>
      </w:r>
    </w:p>
  </w:footnote>
  <w:footnote w:id="1544">
    <w:p w:rsidR="00484671" w:rsidRDefault="00484671" w:rsidP="00911284">
      <w:pPr>
        <w:pStyle w:val="FootnoteText"/>
      </w:pPr>
      <w:r>
        <w:rPr>
          <w:rStyle w:val="FootnoteReference"/>
        </w:rPr>
        <w:footnoteRef/>
      </w:r>
      <w:r>
        <w:t xml:space="preserve"> </w:t>
      </w:r>
      <w:r>
        <w:tab/>
      </w:r>
      <w:r w:rsidRPr="00FF6705">
        <w:t xml:space="preserve">CEG, </w:t>
      </w:r>
      <w:r w:rsidRPr="006E5878">
        <w:rPr>
          <w:rStyle w:val="AERtextitalic"/>
        </w:rPr>
        <w:t>the AER’s current interpretation of the ARORO</w:t>
      </w:r>
      <w:r w:rsidRPr="00FF6705">
        <w:t xml:space="preserve">, September 2016, </w:t>
      </w:r>
      <w:r>
        <w:t xml:space="preserve">p. 27; </w:t>
      </w:r>
      <w:r w:rsidRPr="00173C4D">
        <w:t xml:space="preserve">RBP, </w:t>
      </w:r>
      <w:r w:rsidRPr="00173C4D">
        <w:rPr>
          <w:rStyle w:val="AERtextitalic"/>
        </w:rPr>
        <w:t>Access arrangement submission 2017-22</w:t>
      </w:r>
      <w:r w:rsidRPr="00173C4D">
        <w:t>, 16 September 2016, p. 160</w:t>
      </w:r>
      <w:r>
        <w:t>;</w:t>
      </w:r>
      <w:r w:rsidRPr="00FE3FFB">
        <w:t xml:space="preserve"> APA, </w:t>
      </w:r>
      <w:r w:rsidRPr="00013867">
        <w:rPr>
          <w:rStyle w:val="AERtextitalic"/>
        </w:rPr>
        <w:t>Victorian Transmission System Access Arrangement Submission</w:t>
      </w:r>
      <w:r>
        <w:t>, January 2017, p.181</w:t>
      </w:r>
      <w:r w:rsidRPr="00FE3FFB">
        <w:t>.</w:t>
      </w:r>
    </w:p>
  </w:footnote>
  <w:footnote w:id="1545">
    <w:p w:rsidR="00484671" w:rsidRPr="00EF48B3" w:rsidRDefault="00484671" w:rsidP="00911284">
      <w:pPr>
        <w:pStyle w:val="FootnoteText"/>
      </w:pPr>
      <w:r>
        <w:rPr>
          <w:rStyle w:val="FootnoteReference"/>
        </w:rPr>
        <w:footnoteRef/>
      </w:r>
      <w:r>
        <w:t xml:space="preserve"> </w:t>
      </w:r>
      <w:r>
        <w:tab/>
      </w:r>
      <w:r w:rsidRPr="00711A00">
        <w:t xml:space="preserve">Partington, G., Satchell, S., </w:t>
      </w:r>
      <w:r w:rsidRPr="00711A00">
        <w:rPr>
          <w:i/>
        </w:rPr>
        <w:t>Report to the AER: Issues in relation to the cost of debt,</w:t>
      </w:r>
      <w:r w:rsidRPr="006E5878">
        <w:t>9 April 2017</w:t>
      </w:r>
      <w:r w:rsidRPr="00EF48B3">
        <w:t xml:space="preserve">, p.11. </w:t>
      </w:r>
    </w:p>
  </w:footnote>
  <w:footnote w:id="1546">
    <w:p w:rsidR="00484671" w:rsidRDefault="00484671" w:rsidP="00911284">
      <w:pPr>
        <w:pStyle w:val="FootnoteText"/>
      </w:pPr>
      <w:r>
        <w:rPr>
          <w:rStyle w:val="FootnoteReference"/>
        </w:rPr>
        <w:footnoteRef/>
      </w:r>
      <w:r>
        <w:t xml:space="preserve">   CEG, </w:t>
      </w:r>
      <w:r w:rsidRPr="00584EB7">
        <w:rPr>
          <w:i/>
        </w:rPr>
        <w:t>the AER’s current interpretation of the ARORO</w:t>
      </w:r>
      <w:r>
        <w:t>, September 2016, p. 40.</w:t>
      </w:r>
    </w:p>
  </w:footnote>
  <w:footnote w:id="1547">
    <w:p w:rsidR="00484671" w:rsidRPr="00EF48B3" w:rsidRDefault="00484671" w:rsidP="00911284">
      <w:pPr>
        <w:pStyle w:val="FootnoteText"/>
      </w:pPr>
      <w:r>
        <w:rPr>
          <w:rStyle w:val="FootnoteReference"/>
        </w:rPr>
        <w:footnoteRef/>
      </w:r>
      <w:r>
        <w:t xml:space="preserve">   </w:t>
      </w:r>
      <w:r w:rsidRPr="00E3217F">
        <w:t xml:space="preserve">Partington, G., Satchell, S., </w:t>
      </w:r>
      <w:r w:rsidRPr="006E5878">
        <w:rPr>
          <w:rStyle w:val="AERtextitalic"/>
        </w:rPr>
        <w:t>Report to the AER: Issues in relation to the cost of debt</w:t>
      </w:r>
      <w:r w:rsidRPr="00E3217F">
        <w:t>,</w:t>
      </w:r>
      <w:r w:rsidRPr="006E5878">
        <w:t>9 April 2017</w:t>
      </w:r>
      <w:r w:rsidRPr="00EF48B3">
        <w:t>, p.</w:t>
      </w:r>
      <w:r>
        <w:t xml:space="preserve"> 19.</w:t>
      </w:r>
    </w:p>
  </w:footnote>
  <w:footnote w:id="1548">
    <w:p w:rsidR="00484671" w:rsidRPr="00EF48B3" w:rsidRDefault="00484671" w:rsidP="00911284">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19</w:t>
      </w:r>
      <w:r w:rsidRPr="00EF48B3">
        <w:t>.</w:t>
      </w:r>
    </w:p>
  </w:footnote>
  <w:footnote w:id="1549">
    <w:p w:rsidR="00484671" w:rsidRPr="00EF48B3" w:rsidRDefault="00484671" w:rsidP="00911284">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w:t>
      </w:r>
      <w:r w:rsidRPr="00EF48B3">
        <w:t>2</w:t>
      </w:r>
      <w:r>
        <w:t>0</w:t>
      </w:r>
      <w:r w:rsidRPr="00EF48B3">
        <w:t>.</w:t>
      </w:r>
    </w:p>
  </w:footnote>
  <w:footnote w:id="1550">
    <w:p w:rsidR="00484671" w:rsidRDefault="00484671"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xml:space="preserve">. </w:t>
      </w:r>
      <w:r w:rsidRPr="000B7A93">
        <w:t>11.</w:t>
      </w:r>
    </w:p>
  </w:footnote>
  <w:footnote w:id="1551">
    <w:p w:rsidR="00484671" w:rsidRDefault="0048467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12.</w:t>
      </w:r>
    </w:p>
  </w:footnote>
  <w:footnote w:id="1552">
    <w:p w:rsidR="00484671" w:rsidRDefault="00484671" w:rsidP="00911284">
      <w:pPr>
        <w:pStyle w:val="FootnoteText"/>
      </w:pPr>
      <w:r>
        <w:rPr>
          <w:rStyle w:val="FootnoteReference"/>
        </w:rPr>
        <w:footnoteRef/>
      </w:r>
      <w:r>
        <w:t xml:space="preserve">   CEG</w:t>
      </w:r>
      <w:r w:rsidRPr="00584EB7">
        <w:rPr>
          <w:i/>
        </w:rPr>
        <w:t>, the AER’s current interpretation of the ARORO</w:t>
      </w:r>
      <w:r>
        <w:t>, September 2016, p. 14.</w:t>
      </w:r>
    </w:p>
  </w:footnote>
  <w:footnote w:id="1553">
    <w:p w:rsidR="00484671" w:rsidRDefault="00484671" w:rsidP="00911284">
      <w:pPr>
        <w:pStyle w:val="FootnoteText"/>
      </w:pPr>
      <w:r>
        <w:rPr>
          <w:rStyle w:val="FootnoteReference"/>
        </w:rPr>
        <w:footnoteRef/>
      </w:r>
      <w:r>
        <w:t xml:space="preserve">   CEG</w:t>
      </w:r>
      <w:r w:rsidRPr="00D81671">
        <w:rPr>
          <w:i/>
        </w:rPr>
        <w:t>, the AER’s current interpretation of the ARORO</w:t>
      </w:r>
      <w:r>
        <w:t>, September 2016, pp.15-16.</w:t>
      </w:r>
    </w:p>
  </w:footnote>
  <w:footnote w:id="1554">
    <w:p w:rsidR="00484671" w:rsidRDefault="00484671" w:rsidP="00911284">
      <w:pPr>
        <w:pStyle w:val="FootnoteText"/>
      </w:pPr>
      <w:r>
        <w:rPr>
          <w:rStyle w:val="FootnoteReference"/>
        </w:rPr>
        <w:footnoteRef/>
      </w:r>
      <w:r>
        <w:t xml:space="preserve">   </w:t>
      </w:r>
      <w:r w:rsidRPr="001B06CD">
        <w:t xml:space="preserve">Graham Partington and Stephen Satchell, </w:t>
      </w:r>
      <w:r w:rsidRPr="001B06CD">
        <w:rPr>
          <w:i/>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555">
    <w:p w:rsidR="00484671" w:rsidRDefault="00484671"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t>, 9 April 2017, p. 16</w:t>
      </w:r>
      <w:r w:rsidRPr="000B7A93">
        <w:t>.</w:t>
      </w:r>
    </w:p>
  </w:footnote>
  <w:footnote w:id="1556">
    <w:p w:rsidR="00484671" w:rsidRDefault="00484671" w:rsidP="00911284">
      <w:pPr>
        <w:pStyle w:val="FootnoteText"/>
      </w:pPr>
      <w:r>
        <w:rPr>
          <w:rStyle w:val="FootnoteReference"/>
        </w:rPr>
        <w:footnoteRef/>
      </w:r>
      <w:r>
        <w:t xml:space="preserve">   </w:t>
      </w:r>
      <w:r w:rsidRPr="0084645D">
        <w:t>Graham Partington and Stephen Satchell, Report to the AER: Issues in Relation to the Cost of Debt</w:t>
      </w:r>
      <w:r>
        <w:t>, 9 April 2017, p. 13.</w:t>
      </w:r>
    </w:p>
  </w:footnote>
  <w:footnote w:id="1557">
    <w:p w:rsidR="00484671" w:rsidRDefault="00484671" w:rsidP="00911284">
      <w:pPr>
        <w:pStyle w:val="FootnoteText"/>
      </w:pPr>
      <w:r>
        <w:rPr>
          <w:rStyle w:val="FootnoteReference"/>
        </w:rPr>
        <w:footnoteRef/>
      </w:r>
      <w:r>
        <w:t xml:space="preserve"> </w:t>
      </w:r>
      <w:r>
        <w:tab/>
      </w:r>
      <w:r w:rsidRPr="001B06CD">
        <w:t xml:space="preserve">Graham Partington and Stephen Satchell, </w:t>
      </w:r>
      <w:r w:rsidRPr="006E5878">
        <w:rPr>
          <w:rStyle w:val="AERtextitalic"/>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558">
    <w:p w:rsidR="00484671" w:rsidRDefault="00484671"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13</w:t>
      </w:r>
      <w:r w:rsidRPr="000B7A93">
        <w:t>.</w:t>
      </w:r>
    </w:p>
  </w:footnote>
  <w:footnote w:id="1559">
    <w:p w:rsidR="00484671" w:rsidRDefault="00484671" w:rsidP="00911284">
      <w:pPr>
        <w:pStyle w:val="FootnoteText"/>
      </w:pPr>
      <w:r>
        <w:rPr>
          <w:rStyle w:val="FootnoteReference"/>
        </w:rPr>
        <w:footnoteRef/>
      </w:r>
      <w:r>
        <w:t xml:space="preserve"> </w:t>
      </w:r>
      <w:r>
        <w:tab/>
        <w:t xml:space="preserve">CEG, </w:t>
      </w:r>
      <w:r w:rsidRPr="006E5878">
        <w:rPr>
          <w:rStyle w:val="AERtextitalic"/>
        </w:rPr>
        <w:t>the AER’s current interpretation of the ARORO</w:t>
      </w:r>
      <w:r>
        <w:t>, September 2016, p. 40.</w:t>
      </w:r>
    </w:p>
  </w:footnote>
  <w:footnote w:id="1560">
    <w:p w:rsidR="00484671" w:rsidRDefault="00484671" w:rsidP="00911284">
      <w:pPr>
        <w:pStyle w:val="FootnoteText"/>
      </w:pPr>
      <w:r>
        <w:rPr>
          <w:rStyle w:val="FootnoteReference"/>
        </w:rPr>
        <w:footnoteRef/>
      </w:r>
      <w:r>
        <w:t xml:space="preserve"> </w:t>
      </w:r>
      <w:r>
        <w:tab/>
        <w:t xml:space="preserve">Graham Partington and Stephen Satchell, </w:t>
      </w:r>
      <w:r w:rsidRPr="006E5878">
        <w:rPr>
          <w:rStyle w:val="AERtextitalic"/>
        </w:rPr>
        <w:t>Report to the AER: Issues in Relation to the Cost of Debt</w:t>
      </w:r>
      <w:r>
        <w:t>, 9 April 2017, p. 22.</w:t>
      </w:r>
    </w:p>
  </w:footnote>
  <w:footnote w:id="1561">
    <w:p w:rsidR="00484671" w:rsidRDefault="00484671" w:rsidP="00911284">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 p. 276.</w:t>
      </w:r>
    </w:p>
  </w:footnote>
  <w:footnote w:id="1562">
    <w:p w:rsidR="00484671" w:rsidRDefault="00484671" w:rsidP="00911284">
      <w:pPr>
        <w:pStyle w:val="FootnoteText"/>
      </w:pPr>
      <w:r>
        <w:rPr>
          <w:rStyle w:val="FootnoteReference"/>
        </w:rPr>
        <w:footnoteRef/>
      </w:r>
      <w:r>
        <w:t xml:space="preserve"> </w:t>
      </w:r>
      <w:r>
        <w:tab/>
      </w:r>
      <w:r w:rsidRPr="000B7A93">
        <w:t xml:space="preserve">Graham Partington and Stephen Satchell, </w:t>
      </w:r>
      <w:r w:rsidRPr="002C1D43">
        <w:t>Report to the AER: Issues in Relation to the Cost of Debt</w:t>
      </w:r>
      <w:r>
        <w:t>, 9 April 2017, p. 22</w:t>
      </w:r>
      <w:r w:rsidRPr="000B7A93">
        <w:t>.</w:t>
      </w:r>
    </w:p>
  </w:footnote>
  <w:footnote w:id="1563">
    <w:p w:rsidR="00484671" w:rsidRDefault="0048467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564">
    <w:p w:rsidR="00484671" w:rsidRDefault="00484671" w:rsidP="00911284">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565">
    <w:p w:rsidR="00484671" w:rsidRDefault="00484671" w:rsidP="00911284">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566">
    <w:p w:rsidR="00484671" w:rsidRDefault="00484671" w:rsidP="00911284">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567">
    <w:p w:rsidR="003664FC" w:rsidRDefault="003664FC" w:rsidP="003664FC">
      <w:pPr>
        <w:pStyle w:val="FootnoteText"/>
      </w:pPr>
      <w:r>
        <w:rPr>
          <w:rStyle w:val="FootnoteReference"/>
        </w:rPr>
        <w:footnoteRef/>
      </w:r>
      <w:r>
        <w:t xml:space="preserve"> </w:t>
      </w:r>
      <w:r>
        <w:tab/>
      </w:r>
      <w:r w:rsidRPr="003664FC">
        <w:t xml:space="preserve">JEN, </w:t>
      </w:r>
      <w:r w:rsidRPr="003664FC">
        <w:rPr>
          <w:rStyle w:val="AERtextitalic"/>
        </w:rPr>
        <w:t>Revised regulatory proposal: Attachment 6-1 Rate of return, gamma, forecast inflation, and debt and equity raising costs</w:t>
      </w:r>
      <w:r w:rsidRPr="003664FC">
        <w:t xml:space="preserve">, January 2016, pp. 35, 41. See ActewAGL, </w:t>
      </w:r>
      <w:r w:rsidRPr="003664FC">
        <w:rPr>
          <w:rStyle w:val="AERtextitalic"/>
        </w:rPr>
        <w:t>Revised access arrangement proposal: Appendix 5.01—Detailed response to rate of return, gamma and inflation</w:t>
      </w:r>
      <w:r w:rsidRPr="003664FC">
        <w:t xml:space="preserve">, January 2016, pp. 43, 45; AGN, </w:t>
      </w:r>
      <w:r w:rsidRPr="003664FC">
        <w:rPr>
          <w:rStyle w:val="AERtextitalic"/>
        </w:rPr>
        <w:t>Revised access arrangement proposal: Attachment 10.26—Response to draft decision: Rate of return</w:t>
      </w:r>
      <w:r w:rsidRPr="003664FC">
        <w:t xml:space="preserve">, January 2016, pp. 9–10, 37–40, 87; CitiPower, </w:t>
      </w:r>
      <w:r w:rsidRPr="003664FC">
        <w:rPr>
          <w:rStyle w:val="AERtextitalic"/>
        </w:rPr>
        <w:t>Revised regulatory proposal</w:t>
      </w:r>
      <w:r w:rsidRPr="003664FC">
        <w:t xml:space="preserve">, January 2016, p. 349–351; Powercor, </w:t>
      </w:r>
      <w:r w:rsidRPr="003664FC">
        <w:rPr>
          <w:rStyle w:val="AERtextitalic"/>
        </w:rPr>
        <w:t>Revised regulatory proposal</w:t>
      </w:r>
      <w:r w:rsidRPr="003664FC">
        <w:t>, January 2016, pp. 343–345.</w:t>
      </w:r>
    </w:p>
  </w:footnote>
  <w:footnote w:id="1568">
    <w:p w:rsidR="003664FC" w:rsidRDefault="003664FC" w:rsidP="003664FC">
      <w:pPr>
        <w:pStyle w:val="FootnoteText"/>
      </w:pPr>
      <w:r>
        <w:rPr>
          <w:rStyle w:val="FootnoteReference"/>
        </w:rPr>
        <w:footnoteRef/>
      </w:r>
      <w:r>
        <w:t xml:space="preserve"> </w:t>
      </w:r>
      <w:r>
        <w:tab/>
      </w:r>
      <w:r w:rsidRPr="003664FC">
        <w:t xml:space="preserve">Chairmont, </w:t>
      </w:r>
      <w:r w:rsidRPr="003664FC">
        <w:rPr>
          <w:rStyle w:val="AERtextitalic"/>
        </w:rPr>
        <w:t>ERA Hedging costs in the cost of debt</w:t>
      </w:r>
      <w:r w:rsidRPr="003664FC">
        <w:t xml:space="preserve">, 13 May 2015; CEG, </w:t>
      </w:r>
      <w:r w:rsidRPr="003664FC">
        <w:rPr>
          <w:rStyle w:val="AERtextitalic"/>
        </w:rPr>
        <w:t>Critique of the AER's approach to transition</w:t>
      </w:r>
      <w:r w:rsidRPr="003664FC">
        <w:t xml:space="preserve">, January 2016, pp. 63–64; CEG, </w:t>
      </w:r>
      <w:r w:rsidRPr="003664FC">
        <w:rPr>
          <w:rStyle w:val="AERtextitalic"/>
        </w:rPr>
        <w:t>Memo– September 2015 cost of debt and inflation forecasts</w:t>
      </w:r>
      <w:r w:rsidRPr="003664FC">
        <w:t>, 5 January 2016.</w:t>
      </w:r>
    </w:p>
  </w:footnote>
  <w:footnote w:id="1569">
    <w:p w:rsidR="003664FC" w:rsidRDefault="003664FC" w:rsidP="003664FC">
      <w:pPr>
        <w:pStyle w:val="FootnoteText"/>
      </w:pPr>
      <w:r>
        <w:rPr>
          <w:rStyle w:val="FootnoteReference"/>
        </w:rPr>
        <w:footnoteRef/>
      </w:r>
      <w:r>
        <w:t xml:space="preserve"> </w:t>
      </w:r>
      <w:r>
        <w:tab/>
      </w:r>
      <w:r w:rsidRPr="003664FC">
        <w:t xml:space="preserve">On this basis, some service providers do not propose swap transaction costs. APTNT, </w:t>
      </w:r>
      <w:r w:rsidRPr="003664FC">
        <w:rPr>
          <w:rStyle w:val="AERtextitalic"/>
        </w:rPr>
        <w:t>Amadeus Gas Pipeline access arrangement revised proposal: Response to draft decision</w:t>
      </w:r>
      <w:r w:rsidRPr="003664FC">
        <w:t xml:space="preserve">, January 2016; and United Energy, </w:t>
      </w:r>
      <w:r w:rsidRPr="003664FC">
        <w:rPr>
          <w:rStyle w:val="AERtextitalic"/>
        </w:rPr>
        <w:t>Regulatory proposal</w:t>
      </w:r>
      <w:r w:rsidRPr="003664FC">
        <w:t xml:space="preserve">, April 2015 do not mention swap transaction costs. AusNet Services, </w:t>
      </w:r>
      <w:r w:rsidRPr="003664FC">
        <w:rPr>
          <w:rStyle w:val="AERtextitalic"/>
        </w:rPr>
        <w:t>Revised regulatory proposal</w:t>
      </w:r>
      <w:r w:rsidRPr="003664FC">
        <w:t>, January 2016, p. 7-37 specifically stated it does not propose swap transaction costs because it proposes an immediate transition to a trailing average.</w:t>
      </w:r>
    </w:p>
  </w:footnote>
  <w:footnote w:id="1570">
    <w:p w:rsidR="003664FC" w:rsidRDefault="003664FC" w:rsidP="003664FC">
      <w:pPr>
        <w:pStyle w:val="FootnoteText"/>
      </w:pPr>
      <w:r>
        <w:rPr>
          <w:rStyle w:val="FootnoteReference"/>
        </w:rPr>
        <w:footnoteRef/>
      </w:r>
      <w:r>
        <w:t xml:space="preserve"> </w:t>
      </w:r>
      <w:r>
        <w:tab/>
      </w:r>
      <w:r w:rsidRPr="003664FC">
        <w:t xml:space="preserve">See, for example, AER, </w:t>
      </w:r>
      <w:r w:rsidRPr="003664FC">
        <w:rPr>
          <w:rStyle w:val="AERtextitalic"/>
        </w:rPr>
        <w:t>Draft decision: Australian Gas Networks access arrangement 2016 to 2021</w:t>
      </w:r>
      <w:r w:rsidRPr="003664FC">
        <w:t>, November 2015, section G.1.6, p. 581.</w:t>
      </w:r>
    </w:p>
  </w:footnote>
  <w:footnote w:id="1571">
    <w:p w:rsidR="00484671" w:rsidRDefault="00484671" w:rsidP="00911284">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572">
    <w:p w:rsidR="00484671" w:rsidRDefault="0048467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573">
    <w:p w:rsidR="00484671" w:rsidRDefault="00484671" w:rsidP="00911284">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574">
    <w:p w:rsidR="00484671" w:rsidRDefault="00484671" w:rsidP="00EB7679">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p>
  </w:footnote>
  <w:footnote w:id="1575">
    <w:p w:rsidR="00484671" w:rsidRDefault="00484671" w:rsidP="00EB7679">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576">
    <w:p w:rsidR="00484671" w:rsidRDefault="00484671" w:rsidP="00EB7679">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577">
    <w:p w:rsidR="00484671" w:rsidRDefault="00484671" w:rsidP="00EB7679">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578">
    <w:p w:rsidR="00484671" w:rsidRDefault="00484671" w:rsidP="00EB7679">
      <w:pPr>
        <w:pStyle w:val="FootnoteText"/>
      </w:pPr>
      <w:r>
        <w:rPr>
          <w:rStyle w:val="FootnoteReference"/>
        </w:rPr>
        <w:footnoteRef/>
      </w:r>
      <w:r>
        <w:t xml:space="preserve"> </w:t>
      </w:r>
      <w:r>
        <w:tab/>
        <w:t xml:space="preserve">AusNet Services Group, </w:t>
      </w:r>
      <w:r w:rsidRPr="0061443F">
        <w:rPr>
          <w:rStyle w:val="AERtextitalic"/>
        </w:rPr>
        <w:t>Gas Access Arangement Review 2018-2022</w:t>
      </w:r>
      <w:r>
        <w:rPr>
          <w:rStyle w:val="AERtextitalic"/>
        </w:rPr>
        <w:t>: Access Arrangement Information</w:t>
      </w:r>
      <w:r w:rsidRPr="00C565D2">
        <w:t xml:space="preserve">, </w:t>
      </w:r>
      <w:r>
        <w:t>December 2016, pp. 213.</w:t>
      </w:r>
    </w:p>
  </w:footnote>
  <w:footnote w:id="1579">
    <w:p w:rsidR="00484671" w:rsidRDefault="00484671" w:rsidP="00EB7679">
      <w:pPr>
        <w:pStyle w:val="FootnoteText"/>
      </w:pPr>
      <w:r>
        <w:rPr>
          <w:rStyle w:val="FootnoteReference"/>
        </w:rPr>
        <w:footnoteRef/>
      </w:r>
      <w:r>
        <w:t xml:space="preserve"> </w:t>
      </w:r>
      <w:r>
        <w:tab/>
        <w:t xml:space="preserve">Lally, </w:t>
      </w:r>
      <w:r w:rsidRPr="00950EA8">
        <w:rPr>
          <w:rStyle w:val="AERtextitalic"/>
        </w:rPr>
        <w:t>Implementation Issues for the Cost of debt</w:t>
      </w:r>
      <w:r>
        <w:t xml:space="preserve">, November 2014, Lally, </w:t>
      </w:r>
      <w:r w:rsidRPr="00950EA8">
        <w:rPr>
          <w:rStyle w:val="AERtextitalic"/>
        </w:rPr>
        <w:t>Review of Submissions on Implementation Issues for the Cost of Debt</w:t>
      </w:r>
      <w:r>
        <w:t>, October 2015, and ACCC REU</w:t>
      </w:r>
      <w:r w:rsidRPr="00950EA8">
        <w:rPr>
          <w:rStyle w:val="AERtextitalic"/>
        </w:rPr>
        <w:t>, Return on debt estimation: a review of the alternative third party data series</w:t>
      </w:r>
      <w:r>
        <w:t>, August 2014.</w:t>
      </w:r>
    </w:p>
  </w:footnote>
  <w:footnote w:id="1580">
    <w:p w:rsidR="00484671" w:rsidRDefault="00484671" w:rsidP="00EB7679">
      <w:pPr>
        <w:pStyle w:val="FootnoteText"/>
      </w:pPr>
      <w:r>
        <w:rPr>
          <w:rStyle w:val="FootnoteReference"/>
        </w:rPr>
        <w:footnoteRef/>
      </w:r>
      <w:r>
        <w:t xml:space="preserve"> </w:t>
      </w:r>
      <w:r>
        <w:tab/>
        <w:t xml:space="preserve">Lally, </w:t>
      </w:r>
      <w:r w:rsidRPr="00644C14">
        <w:rPr>
          <w:i/>
        </w:rPr>
        <w:t>Implementation Issues for the Cost of debt</w:t>
      </w:r>
      <w:r>
        <w:t xml:space="preserve">, November 2014, p. 12. </w:t>
      </w:r>
    </w:p>
  </w:footnote>
  <w:footnote w:id="1581">
    <w:p w:rsidR="00484671" w:rsidRDefault="00484671" w:rsidP="00EB7679">
      <w:pPr>
        <w:pStyle w:val="FootnoteText"/>
      </w:pPr>
      <w:r>
        <w:rPr>
          <w:rStyle w:val="FootnoteReference"/>
        </w:rPr>
        <w:footnoteRef/>
      </w:r>
      <w:r>
        <w:t xml:space="preserve"> </w:t>
      </w:r>
      <w:r>
        <w:tab/>
      </w:r>
      <w:hyperlink r:id="rId27" w:history="1">
        <w:r w:rsidRPr="002E3F4B">
          <w:rPr>
            <w:rStyle w:val="Hyperlink"/>
            <w:sz w:val="16"/>
          </w:rPr>
          <w:t>https://www.bbhub.io/solutions/sites/8/2015/10/BVAL-Score-fact-sheet.pdf</w:t>
        </w:r>
      </w:hyperlink>
      <w:r>
        <w:t xml:space="preserve"> </w:t>
      </w:r>
    </w:p>
  </w:footnote>
  <w:footnote w:id="1582">
    <w:p w:rsidR="00484671" w:rsidRDefault="00484671" w:rsidP="00EB7679">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p. 8.</w:t>
      </w:r>
    </w:p>
  </w:footnote>
  <w:footnote w:id="1583">
    <w:p w:rsidR="00484671" w:rsidRDefault="00484671" w:rsidP="00EB7679">
      <w:pPr>
        <w:pStyle w:val="FootnoteText"/>
      </w:pPr>
      <w:r>
        <w:rPr>
          <w:rStyle w:val="FootnoteReference"/>
        </w:rPr>
        <w:footnoteRef/>
      </w:r>
      <w:r>
        <w:t xml:space="preserve"> </w:t>
      </w:r>
      <w:r>
        <w:tab/>
        <w:t>See for example, AusNet distribution final decision, p. 3-323</w:t>
      </w:r>
    </w:p>
  </w:footnote>
  <w:footnote w:id="1584">
    <w:p w:rsidR="00484671" w:rsidRDefault="00484671" w:rsidP="00EB7679">
      <w:pPr>
        <w:pStyle w:val="FootnoteText"/>
      </w:pPr>
      <w:r>
        <w:rPr>
          <w:rStyle w:val="FootnoteReference"/>
        </w:rPr>
        <w:footnoteRef/>
      </w:r>
      <w:r>
        <w:t xml:space="preserve"> </w:t>
      </w:r>
      <w:r>
        <w:tab/>
        <w:t>See for example, AusNet distribution final decision, p. 3-323</w:t>
      </w:r>
    </w:p>
  </w:footnote>
  <w:footnote w:id="1585">
    <w:p w:rsidR="00484671" w:rsidRDefault="00484671" w:rsidP="00EB7679">
      <w:pPr>
        <w:pStyle w:val="FootnoteText"/>
      </w:pPr>
      <w:r>
        <w:rPr>
          <w:rStyle w:val="FootnoteReference"/>
        </w:rPr>
        <w:footnoteRef/>
      </w:r>
      <w:r>
        <w:t xml:space="preserve"> </w:t>
      </w:r>
      <w:r>
        <w:tab/>
        <w:t xml:space="preserve">Lally, </w:t>
      </w:r>
      <w:r w:rsidRPr="00950EA8">
        <w:rPr>
          <w:rStyle w:val="AERtextitalic"/>
        </w:rPr>
        <w:t>Implementation Issues for the Cost of debt</w:t>
      </w:r>
      <w:r>
        <w:t>, November 2014, p. 13</w:t>
      </w:r>
    </w:p>
  </w:footnote>
  <w:footnote w:id="1586">
    <w:p w:rsidR="00484671" w:rsidRDefault="00484671" w:rsidP="00EB7679">
      <w:pPr>
        <w:pStyle w:val="FootnoteText"/>
      </w:pPr>
      <w:r>
        <w:rPr>
          <w:rStyle w:val="FootnoteReference"/>
        </w:rPr>
        <w:footnoteRef/>
      </w:r>
      <w:r>
        <w:t xml:space="preserve"> </w:t>
      </w:r>
      <w:r>
        <w:tab/>
        <w:t xml:space="preserve">Bank of Japan (2016), </w:t>
      </w:r>
      <w:r w:rsidRPr="000D1A79">
        <w:rPr>
          <w:i/>
        </w:rPr>
        <w:t>Recent Trends in Cross-currency Basis</w:t>
      </w:r>
      <w:r>
        <w:t xml:space="preserve">, Bank of Japan Review.  </w:t>
      </w:r>
    </w:p>
  </w:footnote>
  <w:footnote w:id="1587">
    <w:p w:rsidR="00484671" w:rsidRDefault="00484671" w:rsidP="00EB7679">
      <w:pPr>
        <w:pStyle w:val="FootnoteText"/>
      </w:pPr>
      <w:r>
        <w:rPr>
          <w:rStyle w:val="FootnoteReference"/>
        </w:rPr>
        <w:footnoteRef/>
      </w:r>
      <w:r>
        <w:t xml:space="preserve"> </w:t>
      </w:r>
      <w:r>
        <w:tab/>
        <w:t>Wenxin Du et. al., Deviations from Covered Interest Rate Parity, 2016.</w:t>
      </w:r>
    </w:p>
  </w:footnote>
  <w:footnote w:id="1588">
    <w:p w:rsidR="00484671" w:rsidRDefault="00484671" w:rsidP="00EB7679">
      <w:pPr>
        <w:pStyle w:val="FootnoteText"/>
      </w:pPr>
      <w:r>
        <w:rPr>
          <w:rStyle w:val="FootnoteReference"/>
        </w:rPr>
        <w:footnoteRef/>
      </w:r>
      <w:r>
        <w:t xml:space="preserve"> </w:t>
      </w:r>
      <w:r>
        <w:tab/>
        <w:t xml:space="preserve">Issuing into the cheapest market appears to be in agreeance with CEG’s view. CEG, </w:t>
      </w:r>
      <w:r w:rsidRPr="00950EA8">
        <w:rPr>
          <w:rStyle w:val="AERtextitalic"/>
        </w:rPr>
        <w:t>Criteria for assessing fair value curves</w:t>
      </w:r>
      <w:r>
        <w:t xml:space="preserve">, January 2016, p. 20. </w:t>
      </w:r>
    </w:p>
  </w:footnote>
  <w:footnote w:id="1589">
    <w:p w:rsidR="00484671" w:rsidRDefault="00484671" w:rsidP="00EB7679">
      <w:pPr>
        <w:pStyle w:val="FootnoteText"/>
      </w:pPr>
      <w:r>
        <w:rPr>
          <w:rStyle w:val="FootnoteReference"/>
        </w:rPr>
        <w:footnoteRef/>
      </w:r>
      <w:r>
        <w:t xml:space="preserve"> </w:t>
      </w:r>
      <w:r>
        <w:tab/>
        <w:t>To illustrate this, Bloomberg published data on 252 days in 2015, where the RBA published data on 12 days.</w:t>
      </w:r>
    </w:p>
  </w:footnote>
  <w:footnote w:id="1590">
    <w:p w:rsidR="00484671" w:rsidRDefault="00484671" w:rsidP="00EB7679">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xml:space="preserve">, p. 8. </w:t>
      </w:r>
    </w:p>
  </w:footnote>
  <w:footnote w:id="1591">
    <w:p w:rsidR="00484671" w:rsidRPr="00635BCF" w:rsidRDefault="00484671" w:rsidP="00EB7679">
      <w:pPr>
        <w:pStyle w:val="FootnoteText"/>
        <w:rPr>
          <w:i/>
        </w:rPr>
      </w:pPr>
      <w:r w:rsidRPr="00635BCF">
        <w:rPr>
          <w:rStyle w:val="AERtextitalic"/>
          <w:vertAlign w:val="superscript"/>
        </w:rPr>
        <w:footnoteRef/>
      </w:r>
      <w:r w:rsidRPr="00635BCF">
        <w:rPr>
          <w:rStyle w:val="AERtextitalic"/>
        </w:rPr>
        <w:t xml:space="preserve"> </w:t>
      </w:r>
      <w:r w:rsidRPr="00635BCF">
        <w:rPr>
          <w:rStyle w:val="AERtextitalic"/>
        </w:rPr>
        <w:tab/>
      </w:r>
      <w:r>
        <w:rPr>
          <w:rStyle w:val="AERtextitalic"/>
          <w:bCs/>
        </w:rPr>
        <w:t xml:space="preserve">RBA, New Measures of Australian Corporate Spreads, December 2013, footnote 13. </w:t>
      </w:r>
    </w:p>
  </w:footnote>
  <w:footnote w:id="1592">
    <w:p w:rsidR="00484671" w:rsidRPr="00431C4F" w:rsidRDefault="00484671" w:rsidP="00EB7679">
      <w:pPr>
        <w:pStyle w:val="FootnoteText"/>
        <w:rPr>
          <w:rFonts w:ascii="Times New Roman" w:hAnsi="Times New Roman"/>
          <w:sz w:val="24"/>
          <w:szCs w:val="24"/>
        </w:rPr>
      </w:pPr>
      <w:r>
        <w:rPr>
          <w:rStyle w:val="FootnoteReference"/>
        </w:rPr>
        <w:footnoteRef/>
      </w:r>
      <w:r>
        <w:t xml:space="preserve"> </w:t>
      </w:r>
      <w:r>
        <w:tab/>
      </w:r>
      <w:r w:rsidRPr="00431C4F">
        <w:t xml:space="preserve">The interest rate on make-whole options, according to Lally (2014), should not be affected by the presence of the option and therefore no adjustment should be required. Note that bonds with a make-whole call option are included </w:t>
      </w:r>
      <w:r>
        <w:t xml:space="preserve">in the BVAL curve </w:t>
      </w:r>
      <w:r w:rsidRPr="00431C4F">
        <w:t xml:space="preserve">– even when they also have other type of embedded options. For example, a bond that has a call option and a make-whole option would be included in the sample. As of 24th March 2017, one of the current constituents of the AUD Corporate BBB BVAL Curve has both call and make whole call option.  </w:t>
      </w:r>
    </w:p>
  </w:footnote>
  <w:footnote w:id="1593">
    <w:p w:rsidR="00484671" w:rsidRDefault="00484671" w:rsidP="00EB7679">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594">
    <w:p w:rsidR="00484671" w:rsidRDefault="00484671" w:rsidP="00EB7679">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595">
    <w:p w:rsidR="00484671" w:rsidRDefault="00484671" w:rsidP="00EB7679">
      <w:pPr>
        <w:pStyle w:val="FootnoteText"/>
      </w:pPr>
      <w:r>
        <w:rPr>
          <w:rStyle w:val="FootnoteReference"/>
        </w:rPr>
        <w:footnoteRef/>
      </w:r>
      <w:r>
        <w:t xml:space="preserve"> </w:t>
      </w:r>
      <w:r>
        <w:tab/>
        <w:t xml:space="preserve">AusNet Services, </w:t>
      </w:r>
      <w:r>
        <w:rPr>
          <w:rStyle w:val="AERtextitalic"/>
        </w:rPr>
        <w:t>Access Arrangement Review 2018-22</w:t>
      </w:r>
      <w:r>
        <w:t>, December 2016, p. 212.</w:t>
      </w:r>
    </w:p>
  </w:footnote>
  <w:footnote w:id="1596">
    <w:p w:rsidR="00484671" w:rsidRDefault="00484671" w:rsidP="00EB7679">
      <w:pPr>
        <w:pStyle w:val="FootnoteText"/>
      </w:pPr>
      <w:r>
        <w:rPr>
          <w:rStyle w:val="FootnoteReference"/>
        </w:rPr>
        <w:footnoteRef/>
      </w:r>
      <w:r>
        <w:t xml:space="preserve"> </w:t>
      </w:r>
      <w:r>
        <w:tab/>
        <w:t xml:space="preserve">AusNet Services, </w:t>
      </w:r>
      <w:r>
        <w:rPr>
          <w:rStyle w:val="AERtextitalic"/>
        </w:rPr>
        <w:t>Access Arrangement Review 2018-22</w:t>
      </w:r>
      <w:r>
        <w:t>, December 2016, p. 212.</w:t>
      </w:r>
    </w:p>
  </w:footnote>
  <w:footnote w:id="1597">
    <w:p w:rsidR="00484671" w:rsidRDefault="00484671" w:rsidP="00EB7679">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598">
    <w:p w:rsidR="00484671" w:rsidRDefault="00484671" w:rsidP="00EB7679">
      <w:pPr>
        <w:pStyle w:val="FootnoteText"/>
      </w:pPr>
      <w:r>
        <w:rPr>
          <w:rStyle w:val="FootnoteReference"/>
        </w:rPr>
        <w:footnoteRef/>
      </w:r>
      <w:r>
        <w:t xml:space="preserve"> </w:t>
      </w:r>
      <w:r>
        <w:tab/>
        <w:t>See section I.1.</w:t>
      </w:r>
    </w:p>
  </w:footnote>
  <w:footnote w:id="1599">
    <w:p w:rsidR="00484671" w:rsidRDefault="00484671" w:rsidP="00EB7679">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600">
    <w:p w:rsidR="00484671" w:rsidRDefault="00484671" w:rsidP="00EB7679">
      <w:pPr>
        <w:pStyle w:val="FootnoteText"/>
      </w:pPr>
      <w:r>
        <w:rPr>
          <w:rStyle w:val="FootnoteReference"/>
        </w:rPr>
        <w:footnoteRef/>
      </w:r>
      <w:r>
        <w:t xml:space="preserve"> </w:t>
      </w:r>
      <w:r>
        <w:tab/>
      </w:r>
      <w:hyperlink r:id="rId28" w:history="1">
        <w:r w:rsidRPr="00A526EA">
          <w:t>https://www.moodys.com/research/Moodys-downgrades-Asciano-to-Baa3-following-acquisition-approvals-outlook-stable--PR_352423</w:t>
        </w:r>
      </w:hyperlink>
    </w:p>
  </w:footnote>
  <w:footnote w:id="1601">
    <w:p w:rsidR="00484671" w:rsidRPr="00534955" w:rsidRDefault="00484671" w:rsidP="00EB7679">
      <w:pPr>
        <w:pStyle w:val="FootnoteText"/>
      </w:pPr>
      <w:r>
        <w:rPr>
          <w:rStyle w:val="FootnoteReference"/>
        </w:rPr>
        <w:footnoteRef/>
      </w:r>
      <w:r>
        <w:t xml:space="preserve"> </w:t>
      </w:r>
      <w:r>
        <w:tab/>
        <w:t xml:space="preserve">Lally, </w:t>
      </w:r>
      <w:r>
        <w:rPr>
          <w:i/>
        </w:rPr>
        <w:t>Review of Submissions on implementation issues for the cost of debt,</w:t>
      </w:r>
      <w:r>
        <w:t xml:space="preserve"> October 2015, pp. 14.</w:t>
      </w:r>
    </w:p>
  </w:footnote>
  <w:footnote w:id="1602">
    <w:p w:rsidR="00484671" w:rsidRDefault="00484671" w:rsidP="00EB7679">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603">
    <w:p w:rsidR="00484671" w:rsidRDefault="00484671" w:rsidP="00EB7679">
      <w:pPr>
        <w:pStyle w:val="FootnoteText"/>
      </w:pPr>
      <w:r>
        <w:rPr>
          <w:rStyle w:val="FootnoteReference"/>
        </w:rPr>
        <w:footnoteRef/>
      </w:r>
      <w:r>
        <w:t xml:space="preserve"> </w:t>
      </w:r>
      <w:r>
        <w:tab/>
        <w:t>Specifically, AER staff met with RBA staff on 8 April 2016.</w:t>
      </w:r>
    </w:p>
  </w:footnote>
  <w:footnote w:id="1604">
    <w:p w:rsidR="00484671" w:rsidRDefault="00484671" w:rsidP="00EB7679">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9 &amp; 19.</w:t>
      </w:r>
    </w:p>
  </w:footnote>
  <w:footnote w:id="1605">
    <w:p w:rsidR="00484671" w:rsidRDefault="00484671" w:rsidP="00EB7679">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20.</w:t>
      </w:r>
    </w:p>
  </w:footnote>
  <w:footnote w:id="1606">
    <w:p w:rsidR="00484671" w:rsidRDefault="00484671" w:rsidP="00EB7679">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p. 142.</w:t>
      </w:r>
    </w:p>
  </w:footnote>
  <w:footnote w:id="1607">
    <w:p w:rsidR="00484671" w:rsidRDefault="00484671" w:rsidP="00EB7679">
      <w:pPr>
        <w:pStyle w:val="FootnoteText"/>
      </w:pPr>
      <w:r>
        <w:rPr>
          <w:rStyle w:val="FootnoteReference"/>
        </w:rPr>
        <w:footnoteRef/>
      </w:r>
      <w:r>
        <w:t xml:space="preserve"> </w:t>
      </w:r>
      <w:r>
        <w:tab/>
        <w:t>Thomson Reuters publishes two versions of its AUD corporate yield curve; blended and domestic. The blended curve includes a larger sample as an outcome of including debt issued in AUD by issuers with a country of risk that is not Australia. That is a materially different selection criterion that either the BVAL or RBA curves in which all issuers have Australia as their country of risk.</w:t>
      </w:r>
    </w:p>
  </w:footnote>
  <w:footnote w:id="1608">
    <w:p w:rsidR="00484671" w:rsidRDefault="00484671" w:rsidP="00EB7679">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7–21.</w:t>
      </w:r>
    </w:p>
  </w:footnote>
  <w:footnote w:id="1609">
    <w:p w:rsidR="00484671" w:rsidRDefault="00484671" w:rsidP="00EB7679">
      <w:pPr>
        <w:pStyle w:val="FootnoteText"/>
      </w:pPr>
      <w:r>
        <w:rPr>
          <w:rStyle w:val="FootnoteReference"/>
        </w:rPr>
        <w:footnoteRef/>
      </w:r>
      <w:r>
        <w:t xml:space="preserve"> </w:t>
      </w:r>
      <w:r>
        <w:tab/>
        <w:t>We note that for 105 days of the 427 day sample period, we relied on extrapolation of the curve from 9 years.</w:t>
      </w:r>
    </w:p>
  </w:footnote>
  <w:footnote w:id="1610">
    <w:p w:rsidR="00484671" w:rsidRDefault="00484671" w:rsidP="00EB7679">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25.</w:t>
      </w:r>
    </w:p>
  </w:footnote>
  <w:footnote w:id="1611">
    <w:p w:rsidR="00484671" w:rsidRDefault="00484671" w:rsidP="00EB7679">
      <w:pPr>
        <w:pStyle w:val="FootnoteText"/>
      </w:pPr>
      <w:r>
        <w:rPr>
          <w:rStyle w:val="FootnoteReference"/>
        </w:rPr>
        <w:footnoteRef/>
      </w:r>
      <w:r>
        <w:t xml:space="preserve"> </w:t>
      </w:r>
      <w:r>
        <w:tab/>
        <w:t xml:space="preserve">AER, </w:t>
      </w:r>
      <w:r w:rsidRPr="00950EA8">
        <w:rPr>
          <w:rStyle w:val="AERtextitalic"/>
        </w:rPr>
        <w:t>Preliminary Decision SA Power Networks distribution determination – Attachment 3</w:t>
      </w:r>
      <w:r>
        <w:t>, April 2015, pp. 200-201.</w:t>
      </w:r>
    </w:p>
  </w:footnote>
  <w:footnote w:id="1612">
    <w:p w:rsidR="00484671" w:rsidRDefault="00484671" w:rsidP="00AA374F">
      <w:pPr>
        <w:pStyle w:val="FootnoteText"/>
      </w:pPr>
      <w:r>
        <w:rPr>
          <w:rStyle w:val="FootnoteReference"/>
        </w:rPr>
        <w:footnoteRef/>
      </w:r>
      <w:r>
        <w:t xml:space="preserve"> </w:t>
      </w:r>
      <w:r>
        <w:tab/>
        <w:t xml:space="preserve">That is Ergon Energy Corp Ltd. </w:t>
      </w:r>
    </w:p>
  </w:footnote>
  <w:footnote w:id="1613">
    <w:p w:rsidR="00484671" w:rsidRDefault="00484671" w:rsidP="00AA374F">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614">
    <w:p w:rsidR="00484671" w:rsidRDefault="00484671" w:rsidP="00AA374F">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615">
    <w:p w:rsidR="00484671" w:rsidRDefault="00484671" w:rsidP="00AA374F">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616">
    <w:p w:rsidR="00484671" w:rsidRDefault="00484671" w:rsidP="00AA374F">
      <w:pPr>
        <w:pStyle w:val="FootnoteText"/>
      </w:pPr>
      <w:r>
        <w:rPr>
          <w:rStyle w:val="FootnoteReference"/>
        </w:rPr>
        <w:footnoteRef/>
      </w:r>
      <w:r>
        <w:t xml:space="preserve"> </w:t>
      </w:r>
      <w:r>
        <w:tab/>
      </w:r>
      <w:r w:rsidRPr="009020CE">
        <w:t xml:space="preserve">This is supported by Standard and Poor's who have stated that </w:t>
      </w:r>
      <w:r>
        <w:t>it</w:t>
      </w:r>
      <w:r w:rsidRPr="009020CE">
        <w:t xml:space="preserve"> consider</w:t>
      </w:r>
      <w:r>
        <w:t>s</w:t>
      </w:r>
      <w:r w:rsidRPr="009020CE">
        <w:t xml:space="preserve"> the importance of the entities role to government and whether it could be considered a core investment when undertaking credit ratings assessments</w:t>
      </w:r>
    </w:p>
  </w:footnote>
  <w:footnote w:id="1617">
    <w:p w:rsidR="00484671" w:rsidRDefault="00484671" w:rsidP="00AA374F">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618">
    <w:p w:rsidR="00484671" w:rsidRDefault="00484671" w:rsidP="00AA374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619">
    <w:p w:rsidR="00484671" w:rsidRDefault="00484671" w:rsidP="00AA374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620">
    <w:p w:rsidR="00484671" w:rsidRDefault="00484671"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 xml:space="preserve">2022 </w:t>
      </w:r>
      <w:r>
        <w:t xml:space="preserve">revised </w:t>
      </w:r>
      <w:r w:rsidRPr="0047386D">
        <w:rPr>
          <w:i/>
        </w:rPr>
        <w:t>regulatory proposal</w:t>
      </w:r>
      <w:r>
        <w:t>, 21 September 2016, pp. 167-8.</w:t>
      </w:r>
    </w:p>
  </w:footnote>
  <w:footnote w:id="1621">
    <w:p w:rsidR="00484671" w:rsidRDefault="00484671" w:rsidP="00AD2086">
      <w:pPr>
        <w:pStyle w:val="FootnoteText"/>
      </w:pPr>
      <w:r>
        <w:rPr>
          <w:rStyle w:val="FootnoteReference"/>
        </w:rPr>
        <w:footnoteRef/>
      </w:r>
      <w:r>
        <w:t xml:space="preserve"> </w:t>
      </w:r>
      <w:r>
        <w:tab/>
        <w:t xml:space="preserve">AER, </w:t>
      </w:r>
      <w:r w:rsidRPr="006E5878">
        <w:rPr>
          <w:rStyle w:val="AERtextitalic"/>
        </w:rPr>
        <w:t>Draft decision: AusNet Services transmission determination</w:t>
      </w:r>
      <w:r>
        <w:t>, July 2016, pp. 313</w:t>
      </w:r>
      <w:r>
        <w:rPr>
          <w:rFonts w:cs="Arial"/>
        </w:rPr>
        <w:t>̶</w:t>
      </w:r>
      <w:r>
        <w:t xml:space="preserve"> 314.</w:t>
      </w:r>
    </w:p>
  </w:footnote>
  <w:footnote w:id="1622">
    <w:p w:rsidR="00484671" w:rsidRDefault="00484671" w:rsidP="00A933BB">
      <w:pPr>
        <w:pStyle w:val="FootnoteText"/>
      </w:pPr>
      <w:r>
        <w:rPr>
          <w:rStyle w:val="FootnoteReference"/>
        </w:rPr>
        <w:footnoteRef/>
      </w:r>
      <w:r>
        <w:t xml:space="preserve"> </w:t>
      </w:r>
      <w:r>
        <w:tab/>
        <w:t>This draft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for that period must be determined in future decisions that relate to that period.</w:t>
      </w:r>
    </w:p>
  </w:footnote>
  <w:footnote w:id="1623">
    <w:p w:rsidR="00484671" w:rsidRDefault="00484671" w:rsidP="00A933BB">
      <w:pPr>
        <w:pStyle w:val="FootnoteText"/>
      </w:pPr>
      <w:r>
        <w:rPr>
          <w:rStyle w:val="FootnoteReference"/>
        </w:rPr>
        <w:footnoteRef/>
      </w:r>
      <w:r>
        <w:t xml:space="preserve"> </w:t>
      </w:r>
      <w:r>
        <w:tab/>
        <w:t>NER, cl. 6A.6.2(i);</w:t>
      </w:r>
      <w:r w:rsidRPr="002770B4">
        <w:t xml:space="preserve"> </w:t>
      </w:r>
      <w:r>
        <w:t>NGR r. 87(9).</w:t>
      </w:r>
    </w:p>
  </w:footnote>
  <w:footnote w:id="1624">
    <w:p w:rsidR="00484671" w:rsidRDefault="00484671" w:rsidP="00A933BB">
      <w:pPr>
        <w:pStyle w:val="FootnoteText"/>
      </w:pPr>
      <w:r>
        <w:rPr>
          <w:rStyle w:val="FootnoteReference"/>
        </w:rPr>
        <w:footnoteRef/>
      </w:r>
      <w:r>
        <w:t xml:space="preserve"> </w:t>
      </w:r>
      <w:r>
        <w:tab/>
        <w:t>NER, cl. 6A.6.2(l);</w:t>
      </w:r>
      <w:r w:rsidRPr="002770B4">
        <w:t xml:space="preserve"> </w:t>
      </w:r>
      <w:r>
        <w:t>NGR r. 87(12).</w:t>
      </w:r>
    </w:p>
  </w:footnote>
  <w:footnote w:id="1625">
    <w:p w:rsidR="00484671" w:rsidRDefault="00484671" w:rsidP="00A933BB">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626">
    <w:p w:rsidR="00484671" w:rsidRDefault="00484671" w:rsidP="00A933B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627">
    <w:p w:rsidR="00484671" w:rsidRDefault="00484671" w:rsidP="00A933BB">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628">
    <w:p w:rsidR="00484671" w:rsidRDefault="00484671" w:rsidP="00A933B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629">
    <w:p w:rsidR="00484671" w:rsidRDefault="00484671" w:rsidP="00A933BB">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630">
    <w:p w:rsidR="00484671" w:rsidRDefault="00484671" w:rsidP="00A933B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631">
    <w:p w:rsidR="00484671" w:rsidRDefault="00484671" w:rsidP="00A933BB">
      <w:pPr>
        <w:pStyle w:val="FootnoteText"/>
      </w:pPr>
      <w:r>
        <w:rPr>
          <w:rStyle w:val="FootnoteReference"/>
        </w:rPr>
        <w:footnoteRef/>
      </w:r>
      <w:r>
        <w:t xml:space="preserve"> </w:t>
      </w:r>
      <w:r>
        <w:tab/>
        <w:t>Specifically, from 15 September 2014 to 3 November 2014.</w:t>
      </w:r>
    </w:p>
  </w:footnote>
  <w:footnote w:id="1632">
    <w:p w:rsidR="00484671" w:rsidRDefault="00484671" w:rsidP="00A933BB">
      <w:pPr>
        <w:pStyle w:val="FootnoteText"/>
      </w:pPr>
      <w:r>
        <w:rPr>
          <w:rStyle w:val="FootnoteReference"/>
        </w:rPr>
        <w:footnoteRef/>
      </w:r>
      <w:r>
        <w:t xml:space="preserve"> </w:t>
      </w:r>
      <w:r>
        <w:tab/>
        <w:t>Specifically, 14 April 2015.</w:t>
      </w:r>
    </w:p>
  </w:footnote>
  <w:footnote w:id="1633">
    <w:p w:rsidR="00484671" w:rsidRDefault="00484671" w:rsidP="00A933B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634">
    <w:p w:rsidR="00484671" w:rsidRDefault="00484671" w:rsidP="00A933B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635">
    <w:p w:rsidR="00484671" w:rsidRDefault="00484671" w:rsidP="00A933BB">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636">
    <w:p w:rsidR="00484671" w:rsidRDefault="00484671" w:rsidP="00A933BB">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637">
    <w:p w:rsidR="00484671" w:rsidRDefault="00484671"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638">
    <w:p w:rsidR="00484671" w:rsidRDefault="00484671"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639">
    <w:p w:rsidR="00484671" w:rsidRDefault="00484671" w:rsidP="00A933BB">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640">
    <w:p w:rsidR="00484671" w:rsidRDefault="00484671" w:rsidP="00A933BB">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641">
    <w:p w:rsidR="00484671" w:rsidRDefault="00484671" w:rsidP="00A933B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642">
    <w:p w:rsidR="00484671" w:rsidRDefault="00484671" w:rsidP="00A870A6">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r>
        <w:t>;</w:t>
      </w:r>
      <w:r w:rsidRPr="00E60745">
        <w:t xml:space="preserve"> Final decision- </w:t>
      </w:r>
      <w:r w:rsidRPr="00E60745">
        <w:rPr>
          <w:rStyle w:val="AERtextitalic"/>
        </w:rPr>
        <w:t>AusNet,Attachment 3: Rate of Return</w:t>
      </w:r>
      <w:r w:rsidRPr="00E60745">
        <w:t>, April 2017, pp.361-363</w:t>
      </w:r>
    </w:p>
  </w:footnote>
  <w:footnote w:id="1643">
    <w:p w:rsidR="00484671" w:rsidRDefault="00484671" w:rsidP="00A870A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1644">
    <w:p w:rsidR="00484671" w:rsidRDefault="00484671" w:rsidP="00A870A6">
      <w:pPr>
        <w:pStyle w:val="FootnoteText"/>
      </w:pPr>
      <w:r>
        <w:rPr>
          <w:rStyle w:val="FootnoteReference"/>
        </w:rPr>
        <w:footnoteRef/>
      </w:r>
      <w:r>
        <w:t xml:space="preserve"> </w:t>
      </w:r>
      <w:r>
        <w:tab/>
        <w:t>NGR r. 87(12).</w:t>
      </w:r>
    </w:p>
  </w:footnote>
  <w:footnote w:id="1645">
    <w:p w:rsidR="00484671" w:rsidRDefault="00484671" w:rsidP="00A870A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646">
    <w:p w:rsidR="00484671" w:rsidRDefault="00484671" w:rsidP="00A870A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APTPPL's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647">
    <w:p w:rsidR="00484671" w:rsidRDefault="00484671" w:rsidP="00A870A6">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648">
    <w:p w:rsidR="00484671" w:rsidRDefault="00484671" w:rsidP="00A870A6">
      <w:pPr>
        <w:pStyle w:val="FootnoteText"/>
      </w:pPr>
      <w:r>
        <w:rPr>
          <w:rStyle w:val="FootnoteReference"/>
        </w:rPr>
        <w:footnoteRef/>
      </w:r>
      <w:r>
        <w:t xml:space="preserve"> </w:t>
      </w:r>
      <w:r>
        <w:tab/>
        <w:t>Specifically, the spread to CGS.</w:t>
      </w:r>
    </w:p>
  </w:footnote>
  <w:footnote w:id="1649">
    <w:p w:rsidR="00484671" w:rsidRDefault="00484671" w:rsidP="00A870A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650">
    <w:p w:rsidR="00484671" w:rsidRDefault="00484671" w:rsidP="000E14D2">
      <w:pPr>
        <w:pStyle w:val="FootnoteText"/>
      </w:pPr>
      <w:r>
        <w:rPr>
          <w:rStyle w:val="FootnoteReference"/>
        </w:rPr>
        <w:footnoteRef/>
      </w:r>
      <w:r>
        <w:t xml:space="preserve"> </w:t>
      </w:r>
      <w:r>
        <w:tab/>
        <w:t xml:space="preserve"> APTPPL, </w:t>
      </w:r>
      <w:r w:rsidRPr="001F42C2">
        <w:rPr>
          <w:rStyle w:val="AERtextitalic"/>
        </w:rPr>
        <w:t>Roma to Brisbane pipeline access arrangement submission. confidential attachment 7-1 – cost of debt averaging periods</w:t>
      </w:r>
      <w:r>
        <w:t xml:space="preserve">, September; APTPPL, </w:t>
      </w:r>
      <w:r w:rsidRPr="001F42C2">
        <w:rPr>
          <w:rStyle w:val="AERtextitalic"/>
        </w:rPr>
        <w:t>Letter from Peter Bolding General Manager Strategy and Regulatory to Warwick Anderson General Manager AER - Roma to Brisbane Pipeline proposed revised Access Arrangement - rate of return averaging periods</w:t>
      </w:r>
      <w:r>
        <w:t>, 10 February 2017;</w:t>
      </w:r>
    </w:p>
  </w:footnote>
  <w:footnote w:id="1651">
    <w:p w:rsidR="00484671" w:rsidRDefault="00484671" w:rsidP="000E14D2">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1652">
    <w:p w:rsidR="00484671" w:rsidRDefault="00484671" w:rsidP="000E14D2">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1653">
    <w:p w:rsidR="00484671" w:rsidRDefault="00484671" w:rsidP="000E14D2">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1654">
    <w:p w:rsidR="00484671" w:rsidRDefault="00484671" w:rsidP="000E14D2">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1655">
    <w:p w:rsidR="00484671" w:rsidRDefault="00484671" w:rsidP="000E14D2">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656">
    <w:p w:rsidR="00484671" w:rsidRDefault="00484671" w:rsidP="00E46946">
      <w:pPr>
        <w:pStyle w:val="FootnoteText"/>
      </w:pPr>
      <w:r>
        <w:rPr>
          <w:rStyle w:val="FootnoteReference"/>
        </w:rPr>
        <w:footnoteRef/>
      </w:r>
      <w:r>
        <w:t xml:space="preserve"> </w:t>
      </w:r>
      <w:r>
        <w:tab/>
        <w:t>Namely AusNet Services 2017-22 electricity transmission determination, AusNet Gas Distribution's, Multinet's, AGN's, and APAVTS's 2018-22 access arrangements and APTPPL's 2017-22 access arrangement.</w:t>
      </w:r>
    </w:p>
  </w:footnote>
  <w:footnote w:id="1657">
    <w:p w:rsidR="00484671" w:rsidRDefault="00484671" w:rsidP="00E46946">
      <w:pPr>
        <w:pStyle w:val="FootnoteText"/>
      </w:pPr>
      <w:r>
        <w:rPr>
          <w:rStyle w:val="FootnoteReference"/>
        </w:rPr>
        <w:footnoteRef/>
      </w:r>
      <w:r>
        <w:t xml:space="preserve"> </w:t>
      </w:r>
      <w:r>
        <w:tab/>
        <w:t>With a similar degree of risk as that which applies to the service provider in the provision of regulated energy network services.</w:t>
      </w:r>
    </w:p>
  </w:footnote>
  <w:footnote w:id="1658">
    <w:p w:rsidR="00484671" w:rsidRDefault="00484671" w:rsidP="00E46946">
      <w:pPr>
        <w:pStyle w:val="FootnoteText"/>
      </w:pPr>
      <w:r>
        <w:rPr>
          <w:rStyle w:val="FootnoteReference"/>
        </w:rPr>
        <w:footnoteRef/>
      </w:r>
      <w:r>
        <w:t xml:space="preserve"> </w:t>
      </w:r>
      <w:r>
        <w:tab/>
      </w:r>
      <w:r w:rsidRPr="00844BA4">
        <w:t>Peter Tulip and Stephanie Wallace (2012), ‘Estimates of Uncertainty around the RBA’s Forecasts’, RBA Research Discussion Paper – November 2012, RDP2012-07, p. 2</w:t>
      </w:r>
      <w:r>
        <w:t>.</w:t>
      </w:r>
    </w:p>
  </w:footnote>
  <w:footnote w:id="1659">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660">
    <w:p w:rsidR="00484671" w:rsidRDefault="00484671" w:rsidP="00E46946">
      <w:pPr>
        <w:pStyle w:val="FootnoteText"/>
      </w:pPr>
      <w:r>
        <w:rPr>
          <w:rStyle w:val="FootnoteReference"/>
        </w:rPr>
        <w:footnoteRef/>
      </w:r>
      <w:r>
        <w:t xml:space="preserve"> </w:t>
      </w:r>
      <w:r>
        <w:tab/>
      </w:r>
      <w:r w:rsidRPr="00844BA4">
        <w:t>George Tawadros (2013), ‘The information content of the Reserve Bank of Australia’s inflation forecasts’, Applied Economics, 45, pp. 623-628</w:t>
      </w:r>
      <w:r>
        <w:t>.</w:t>
      </w:r>
    </w:p>
  </w:footnote>
  <w:footnote w:id="1661">
    <w:p w:rsidR="00484671" w:rsidRDefault="00484671" w:rsidP="00E46946">
      <w:pPr>
        <w:pStyle w:val="FootnoteText"/>
      </w:pPr>
      <w:r>
        <w:rPr>
          <w:rStyle w:val="FootnoteReference"/>
        </w:rPr>
        <w:footnoteRef/>
      </w:r>
      <w:r>
        <w:t xml:space="preserve"> </w:t>
      </w:r>
      <w:r>
        <w:tab/>
        <w:t>A</w:t>
      </w:r>
      <w:r w:rsidRPr="007E2BD9">
        <w:t>t the 10 year horizon or any other horizon</w:t>
      </w:r>
      <w:r>
        <w:t>.</w:t>
      </w:r>
    </w:p>
  </w:footnote>
  <w:footnote w:id="1662">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663">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 181.</w:t>
      </w:r>
    </w:p>
  </w:footnote>
  <w:footnote w:id="1664">
    <w:p w:rsidR="00484671" w:rsidRPr="004570A2" w:rsidRDefault="00484671" w:rsidP="00E46946">
      <w:pPr>
        <w:pStyle w:val="FootnoteText"/>
      </w:pPr>
      <w:r w:rsidRPr="004570A2">
        <w:rPr>
          <w:rStyle w:val="FootnoteReference"/>
          <w:sz w:val="17"/>
          <w:szCs w:val="17"/>
        </w:rPr>
        <w:footnoteRef/>
      </w:r>
      <w:r w:rsidRPr="004570A2">
        <w:t xml:space="preserve"> </w:t>
      </w:r>
      <w:r>
        <w:tab/>
      </w:r>
      <w:r w:rsidRPr="00144E03">
        <w:t>Richard Finlay and Sebastian Wende (2011), ‘Estimating Inflation Expectations with a Limited Number of Inflation-indexed Bonds’, Research Discussion Paper, Reserve Bank of Australia, RDP 2011-01, March, pp. 1-35</w:t>
      </w:r>
    </w:p>
  </w:footnote>
  <w:footnote w:id="1665">
    <w:p w:rsidR="00484671" w:rsidRDefault="00484671" w:rsidP="00E46946">
      <w:pPr>
        <w:pStyle w:val="FootnoteText"/>
      </w:pPr>
      <w:r>
        <w:rPr>
          <w:rStyle w:val="FootnoteReference"/>
        </w:rPr>
        <w:footnoteRef/>
      </w:r>
      <w:r>
        <w:t xml:space="preserve"> </w:t>
      </w:r>
      <w:r>
        <w:tab/>
        <w:t xml:space="preserve">AusNet Services Gas Distribution, </w:t>
      </w:r>
      <w:r w:rsidRPr="008A6FE4">
        <w:rPr>
          <w:rStyle w:val="AERtextitalic"/>
        </w:rPr>
        <w:t>Gas Access Arrangement Review 2018-2022: Access Arrangement Information</w:t>
      </w:r>
      <w:r>
        <w:t xml:space="preserve">, 16 December 2016, p. 232; 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215774">
        <w:t xml:space="preserve"> September 2016, p</w:t>
      </w:r>
      <w:r>
        <w:t>p. 12–14, 22–26.</w:t>
      </w:r>
    </w:p>
  </w:footnote>
  <w:footnote w:id="1666">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13–14, 22–26.</w:t>
      </w:r>
    </w:p>
  </w:footnote>
  <w:footnote w:id="1667">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668">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26–27.</w:t>
      </w:r>
    </w:p>
  </w:footnote>
  <w:footnote w:id="1669">
    <w:p w:rsidR="00484671" w:rsidRDefault="00484671" w:rsidP="00E46946">
      <w:pPr>
        <w:pStyle w:val="FootnoteText"/>
      </w:pPr>
      <w:r>
        <w:rPr>
          <w:rStyle w:val="FootnoteReference"/>
        </w:rPr>
        <w:footnoteRef/>
      </w:r>
      <w:r>
        <w:t xml:space="preserve"> </w:t>
      </w:r>
      <w:r>
        <w:tab/>
        <w:t xml:space="preserve">For example, see: RBA, </w:t>
      </w:r>
      <w:r w:rsidRPr="002C766C">
        <w:rPr>
          <w:rStyle w:val="AERtextitalic"/>
        </w:rPr>
        <w:t>Statement on Monetary Policy</w:t>
      </w:r>
      <w:r>
        <w:t>, February 2017, pp. 56-62.</w:t>
      </w:r>
    </w:p>
  </w:footnote>
  <w:footnote w:id="1670">
    <w:p w:rsidR="00484671" w:rsidRDefault="00484671" w:rsidP="00E46946">
      <w:pPr>
        <w:pStyle w:val="FootnoteText"/>
      </w:pPr>
      <w:r>
        <w:rPr>
          <w:rStyle w:val="FootnoteReference"/>
        </w:rPr>
        <w:footnoteRef/>
      </w:r>
      <w:r>
        <w:t xml:space="preserve"> </w:t>
      </w:r>
      <w:r>
        <w:tab/>
        <w:t xml:space="preserve">CEG’s cites RBA statements and statements made by mainstream media </w:t>
      </w:r>
      <w:r w:rsidRPr="00DB16EC">
        <w:t>as evidence of an asymmetric distribution – neither which make reference to a skewed distribution of market-anticipated inflation outcomes</w:t>
      </w:r>
      <w:r>
        <w:t xml:space="preserve"> [CEG, </w:t>
      </w:r>
      <w:r w:rsidRPr="00A51CD5">
        <w:rPr>
          <w:rStyle w:val="AERtextitalic"/>
        </w:rPr>
        <w:t>Best Estimate of Expected Inflation</w:t>
      </w:r>
      <w:r>
        <w:t>,</w:t>
      </w:r>
      <w:r w:rsidRPr="00215774">
        <w:t xml:space="preserve"> September 2016</w:t>
      </w:r>
      <w:r>
        <w:t>, pp. 23-26]</w:t>
      </w:r>
      <w:r w:rsidRPr="00DB16EC">
        <w:t>. CEG cites the IMF which makes reference to the higher likelihood of weaker downside outcomes for world economic growth but in the passages cited no reference is made to anticipated inflation outcomes for Australia</w:t>
      </w:r>
      <w:r>
        <w:t xml:space="preserve"> [CEG, </w:t>
      </w:r>
      <w:r w:rsidRPr="00A51CD5">
        <w:rPr>
          <w:rStyle w:val="AERtextitalic"/>
        </w:rPr>
        <w:t>Best Estimate of Expected Inflation</w:t>
      </w:r>
      <w:r>
        <w:t>,</w:t>
      </w:r>
      <w:r w:rsidRPr="00215774">
        <w:t xml:space="preserve"> September 2016</w:t>
      </w:r>
      <w:r>
        <w:t>, p. 25]</w:t>
      </w:r>
      <w:r w:rsidRPr="00DB16EC">
        <w:t>.</w:t>
      </w:r>
    </w:p>
  </w:footnote>
  <w:footnote w:id="1671">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12.</w:t>
      </w:r>
    </w:p>
  </w:footnote>
  <w:footnote w:id="1672">
    <w:p w:rsidR="00484671" w:rsidRDefault="00484671" w:rsidP="00E46946">
      <w:pPr>
        <w:pStyle w:val="FootnoteText"/>
      </w:pPr>
      <w:r>
        <w:rPr>
          <w:rStyle w:val="FootnoteReference"/>
        </w:rPr>
        <w:footnoteRef/>
      </w:r>
      <w:r>
        <w:t xml:space="preserve"> </w:t>
      </w:r>
      <w:r>
        <w:tab/>
      </w:r>
      <w:r w:rsidRPr="00144E03">
        <w:t>Matthias Fleckenstein, Francis Longstaff and Hanno Lustig (2014), ‘The TIPS-Treasury Bonds Puzzle’, The Journal of Finance, 69(5), October, pp. 2168-2171.</w:t>
      </w:r>
    </w:p>
  </w:footnote>
  <w:footnote w:id="1673">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674">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 September 2016,</w:t>
      </w:r>
      <w:r w:rsidRPr="00215774">
        <w:t xml:space="preserve"> p</w:t>
      </w:r>
      <w:r>
        <w:t>p. 13–17.</w:t>
      </w:r>
    </w:p>
  </w:footnote>
  <w:footnote w:id="1675">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17.</w:t>
      </w:r>
    </w:p>
  </w:footnote>
  <w:footnote w:id="1676">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xml:space="preserve">p. 22–23; AusNet Services Gas Distribution, </w:t>
      </w:r>
      <w:r w:rsidRPr="008A6FE4">
        <w:rPr>
          <w:rStyle w:val="AERtextitalic"/>
        </w:rPr>
        <w:t>Gas Access Arrangement Review 2018-2022: Access Arrangement Information</w:t>
      </w:r>
      <w:r>
        <w:t>, 16 December 2016, p.223; Multinet, Rate of Return Overview, 16 December 2016, p. 47.</w:t>
      </w:r>
    </w:p>
  </w:footnote>
  <w:footnote w:id="1677">
    <w:p w:rsidR="00484671" w:rsidRDefault="00484671" w:rsidP="00E46946">
      <w:pPr>
        <w:pStyle w:val="FootnoteText"/>
      </w:pPr>
      <w:r>
        <w:rPr>
          <w:rStyle w:val="FootnoteReference"/>
        </w:rPr>
        <w:footnoteRef/>
      </w:r>
      <w:r>
        <w:t xml:space="preserve"> </w:t>
      </w:r>
      <w:r>
        <w:tab/>
        <w:t xml:space="preserve">See: </w:t>
      </w:r>
      <w:r w:rsidRPr="00EC25CF">
        <w:t>http://www.rba.gov.au/statistics/cash-rate/</w:t>
      </w:r>
    </w:p>
  </w:footnote>
  <w:footnote w:id="1678">
    <w:p w:rsidR="00484671" w:rsidRDefault="00484671" w:rsidP="00E46946">
      <w:pPr>
        <w:pStyle w:val="FootnoteText"/>
      </w:pPr>
      <w:r>
        <w:rPr>
          <w:rStyle w:val="FootnoteReference"/>
        </w:rPr>
        <w:footnoteRef/>
      </w:r>
      <w:r>
        <w:t xml:space="preserve"> </w:t>
      </w:r>
      <w:r>
        <w:tab/>
        <w:t xml:space="preserve">See: </w:t>
      </w:r>
      <w:hyperlink r:id="rId30" w:history="1">
        <w:r w:rsidRPr="00722CCC">
          <w:rPr>
            <w:rStyle w:val="Hyperlink"/>
            <w:sz w:val="16"/>
          </w:rPr>
          <w:t>http://www.ecb.europa.eu/stats/policy_and_exchange_rates/key_ecb_interest_rates/html/index.en.html</w:t>
        </w:r>
      </w:hyperlink>
      <w:r>
        <w:t xml:space="preserve">; </w:t>
      </w:r>
      <w:r w:rsidRPr="00CA4110">
        <w:t>Bloomberg Markets</w:t>
      </w:r>
      <w:r>
        <w:t>,</w:t>
      </w:r>
      <w:r w:rsidRPr="00CA4110">
        <w:t xml:space="preserve"> </w:t>
      </w:r>
      <w:r w:rsidRPr="00CA4110">
        <w:rPr>
          <w:rStyle w:val="AERtextitalic"/>
        </w:rPr>
        <w:t>BOJ Maintains Policy Rate at -0.1 Percent</w:t>
      </w:r>
      <w:r>
        <w:t xml:space="preserve">, 15 March 2017; </w:t>
      </w:r>
      <w:hyperlink r:id="rId31" w:history="1">
        <w:r w:rsidRPr="00722CCC">
          <w:rPr>
            <w:rStyle w:val="Hyperlink"/>
            <w:sz w:val="16"/>
          </w:rPr>
          <w:t>https://www.snb.ch/en/iabout/stat/statpub/zidea/id/current_interest_exchange_rates</w:t>
        </w:r>
      </w:hyperlink>
      <w:r>
        <w:t xml:space="preserve">; Wienberg, </w:t>
      </w:r>
      <w:r w:rsidRPr="00CA4110">
        <w:rPr>
          <w:rStyle w:val="AERtextitalic"/>
        </w:rPr>
        <w:t>Speculators Seen Driving Denmark to Test World’s Lowest Rate</w:t>
      </w:r>
      <w:r>
        <w:t>, Bloomberg News 12 February 2015.</w:t>
      </w:r>
    </w:p>
  </w:footnote>
  <w:footnote w:id="1679">
    <w:p w:rsidR="00484671" w:rsidRDefault="00484671" w:rsidP="00E46946">
      <w:pPr>
        <w:pStyle w:val="FootnoteText"/>
      </w:pPr>
      <w:r>
        <w:rPr>
          <w:rStyle w:val="FootnoteReference"/>
        </w:rPr>
        <w:footnoteRef/>
      </w:r>
      <w:r>
        <w:t xml:space="preserve"> </w:t>
      </w:r>
      <w:r>
        <w:tab/>
        <w:t>This was also noted by the CCP. The CCP also submitted that, with regards to quantitative easing, "that would make the use of bond yields to forecast inflation somewhat circular - bonds would be the measure as well as the tool wielded by Government to affect the measure" [CCP, Response to AusNet Services Revised Revenue Proposal for 2017-2022, October 2016, p.18].</w:t>
      </w:r>
    </w:p>
  </w:footnote>
  <w:footnote w:id="1680">
    <w:p w:rsidR="00484671" w:rsidRDefault="00484671" w:rsidP="00E46946">
      <w:pPr>
        <w:pStyle w:val="FootnoteText"/>
      </w:pPr>
      <w:r>
        <w:rPr>
          <w:rStyle w:val="FootnoteReference"/>
        </w:rPr>
        <w:footnoteRef/>
      </w:r>
      <w:r>
        <w:t xml:space="preserve"> </w:t>
      </w:r>
      <w:r>
        <w:tab/>
        <w:t>RBA Bulletin, Measures of Inflation Expectations in Australia, December 2016.</w:t>
      </w:r>
    </w:p>
  </w:footnote>
  <w:footnote w:id="1681">
    <w:p w:rsidR="00484671" w:rsidRDefault="00484671" w:rsidP="00E46946">
      <w:pPr>
        <w:pStyle w:val="FootnoteText"/>
      </w:pPr>
      <w:r>
        <w:rPr>
          <w:rStyle w:val="FootnoteReference"/>
        </w:rPr>
        <w:footnoteRef/>
      </w:r>
      <w:r>
        <w:t xml:space="preserve"> </w:t>
      </w:r>
      <w:r>
        <w:tab/>
        <w:t xml:space="preserve">Australia began inflation rate targeting in 1993. See: Bernie Fraser, </w:t>
      </w:r>
      <w:r w:rsidRPr="00202883">
        <w:rPr>
          <w:rStyle w:val="AERtextitalic"/>
        </w:rPr>
        <w:t>Two Perspectives on Monetary Policy</w:t>
      </w:r>
      <w:r>
        <w:t xml:space="preserve">, Talk to a conference in honour of Don Sanders, Sydney, 17 August 1992; and Bernie Fraser, </w:t>
      </w:r>
      <w:r w:rsidRPr="00202883">
        <w:rPr>
          <w:rStyle w:val="AERtextitalic"/>
        </w:rPr>
        <w:t>Some Aspects of Monetary Policy</w:t>
      </w:r>
      <w:r>
        <w:t>, Talk to Australian Business Economists, Sydney, 31 March 1993.</w:t>
      </w:r>
    </w:p>
  </w:footnote>
  <w:footnote w:id="1682">
    <w:p w:rsidR="00484671" w:rsidRDefault="00484671" w:rsidP="00E46946">
      <w:pPr>
        <w:pStyle w:val="FootnoteText"/>
      </w:pPr>
      <w:r>
        <w:rPr>
          <w:rStyle w:val="FootnoteReference"/>
        </w:rPr>
        <w:footnoteRef/>
      </w:r>
      <w:r>
        <w:t xml:space="preserve"> </w:t>
      </w:r>
      <w:r>
        <w:tab/>
        <w:t xml:space="preserve">RBA, </w:t>
      </w:r>
      <w:r w:rsidRPr="00086267">
        <w:rPr>
          <w:i/>
        </w:rPr>
        <w:t>Inflation and Monetary Policy</w:t>
      </w:r>
      <w:r>
        <w:t>, speech by Philip Lowe, 18 October 2016.</w:t>
      </w:r>
    </w:p>
  </w:footnote>
  <w:footnote w:id="1683">
    <w:p w:rsidR="00484671" w:rsidRPr="00984B33" w:rsidRDefault="00484671" w:rsidP="00E46946">
      <w:pPr>
        <w:pStyle w:val="FootnoteText"/>
      </w:pPr>
      <w:r>
        <w:rPr>
          <w:rStyle w:val="FootnoteReference"/>
        </w:rPr>
        <w:footnoteRef/>
      </w:r>
      <w:r>
        <w:t xml:space="preserve"> </w:t>
      </w:r>
      <w:r>
        <w:tab/>
        <w:t xml:space="preserve">See </w:t>
      </w:r>
      <w:hyperlink r:id="rId32" w:history="1">
        <w:r w:rsidRPr="00984B33">
          <w:rPr>
            <w:rStyle w:val="Hyperlink"/>
            <w:color w:val="auto"/>
            <w:sz w:val="16"/>
            <w:u w:val="none"/>
          </w:rPr>
          <w:t>https://www.ft.com/content/2bd40fd7-6c27-3f79-9759-d109425cab6d</w:t>
        </w:r>
      </w:hyperlink>
      <w:r w:rsidRPr="00202883">
        <w:rPr>
          <w:rStyle w:val="Hyperlink"/>
          <w:color w:val="auto"/>
          <w:sz w:val="16"/>
          <w:u w:val="none"/>
        </w:rPr>
        <w:t>; and</w:t>
      </w:r>
      <w:r w:rsidRPr="00984B33">
        <w:t xml:space="preserve"> </w:t>
      </w:r>
      <w:hyperlink r:id="rId33" w:history="1">
        <w:r w:rsidRPr="00984B33">
          <w:rPr>
            <w:rStyle w:val="Hyperlink"/>
            <w:color w:val="auto"/>
            <w:sz w:val="16"/>
            <w:u w:val="none"/>
          </w:rPr>
          <w:t>https://www.bloomberg.com/news/articles/2016-08-10/norway-inflation-surge-casts-doubt-over-more-interest-rate-cuts</w:t>
        </w:r>
      </w:hyperlink>
      <w:r w:rsidRPr="00984B33">
        <w:rPr>
          <w:rStyle w:val="Hyperlink"/>
          <w:color w:val="auto"/>
          <w:sz w:val="16"/>
          <w:u w:val="none"/>
        </w:rPr>
        <w:t xml:space="preserve"> as </w:t>
      </w:r>
    </w:p>
  </w:footnote>
  <w:footnote w:id="1684">
    <w:p w:rsidR="00484671" w:rsidRDefault="00484671" w:rsidP="00E46946">
      <w:pPr>
        <w:pStyle w:val="FootnoteText"/>
      </w:pPr>
      <w:r>
        <w:rPr>
          <w:rStyle w:val="FootnoteReference"/>
        </w:rPr>
        <w:footnoteRef/>
      </w:r>
      <w:r>
        <w:t xml:space="preserve"> </w:t>
      </w:r>
      <w:r>
        <w:tab/>
        <w:t xml:space="preserve">Bureau of Labor Statistics, </w:t>
      </w:r>
      <w:r w:rsidRPr="00B0612B">
        <w:rPr>
          <w:rStyle w:val="AERtextitalic"/>
        </w:rPr>
        <w:t>CPI Detailed Report - Data for February 2017</w:t>
      </w:r>
      <w:r>
        <w:t xml:space="preserve">; US Federal Reserve, </w:t>
      </w:r>
      <w:r w:rsidRPr="00B0612B">
        <w:rPr>
          <w:rStyle w:val="AERtextitalic"/>
        </w:rPr>
        <w:t>Why does the Federal Reserve aim for 2 percent inflation over time?</w:t>
      </w:r>
      <w:r>
        <w:t>, 26 January 2015.</w:t>
      </w:r>
    </w:p>
  </w:footnote>
  <w:footnote w:id="1685">
    <w:p w:rsidR="00484671" w:rsidRDefault="00484671" w:rsidP="00E46946">
      <w:pPr>
        <w:pStyle w:val="FootnoteText"/>
      </w:pPr>
      <w:r>
        <w:rPr>
          <w:rStyle w:val="FootnoteReference"/>
        </w:rPr>
        <w:footnoteRef/>
      </w:r>
      <w:r>
        <w:t xml:space="preserve"> </w:t>
      </w:r>
      <w:r>
        <w:tab/>
        <w:t xml:space="preserve">Office of National Statistics, </w:t>
      </w:r>
      <w:r w:rsidRPr="00C12163">
        <w:rPr>
          <w:rStyle w:val="AERtextitalic"/>
        </w:rPr>
        <w:t>CPIH: % change over 12 months</w:t>
      </w:r>
      <w:r>
        <w:t>, 21 March 2017; Phillip Hammond (</w:t>
      </w:r>
      <w:hyperlink r:id="rId34" w:history="1">
        <w:r w:rsidRPr="00C12163">
          <w:t>Chancellor of the Exchequer</w:t>
        </w:r>
      </w:hyperlink>
      <w:r>
        <w:t xml:space="preserve">), </w:t>
      </w:r>
      <w:r w:rsidRPr="00C12163">
        <w:rPr>
          <w:rStyle w:val="AERtextitalic"/>
        </w:rPr>
        <w:t>Remit for the monetary policy committee</w:t>
      </w:r>
      <w:r>
        <w:t>, 8 March 2017.</w:t>
      </w:r>
    </w:p>
  </w:footnote>
  <w:footnote w:id="1686">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 xml:space="preserve">5; AusNet Transmission Group Pty Ltd, </w:t>
      </w:r>
      <w:r w:rsidRPr="00A51CD5">
        <w:rPr>
          <w:rStyle w:val="AERtextitalic"/>
        </w:rPr>
        <w:t>Transmission Revenue Review 2017-2022 Revised Revenue Proposal</w:t>
      </w:r>
      <w:r>
        <w:t xml:space="preserve">, 21 September 2016, pp. 179, 188–191; AusNet Services Gas Distribution, </w:t>
      </w:r>
      <w:r w:rsidRPr="008A6FE4">
        <w:rPr>
          <w:rStyle w:val="AERtextitalic"/>
        </w:rPr>
        <w:t>Gas Access Arrangement Review 2018-2022: Access Arrangement Information</w:t>
      </w:r>
      <w:r>
        <w:t xml:space="preserve">, 16 December 2016, pp. 221, 223, 225;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pp.109-110; Multinet, Rate of Return Overview, 16 December 2016, pp.48-50.</w:t>
      </w:r>
    </w:p>
  </w:footnote>
  <w:footnote w:id="1687">
    <w:p w:rsidR="00484671" w:rsidRDefault="00484671" w:rsidP="00E46946">
      <w:pPr>
        <w:pStyle w:val="FootnoteText"/>
      </w:pPr>
      <w:r>
        <w:rPr>
          <w:rStyle w:val="FootnoteReference"/>
        </w:rPr>
        <w:footnoteRef/>
      </w:r>
      <w:r>
        <w:t xml:space="preserve"> </w:t>
      </w:r>
      <w:r>
        <w:tab/>
        <w:t xml:space="preserve">AusNet Services, </w:t>
      </w:r>
      <w:r w:rsidRPr="004E26A9">
        <w:rPr>
          <w:rStyle w:val="AERtextitalic"/>
        </w:rPr>
        <w:t>Submission on Revised Proposal</w:t>
      </w:r>
      <w:r>
        <w:t>, 19 October 2016, p. 4.</w:t>
      </w:r>
    </w:p>
  </w:footnote>
  <w:footnote w:id="1688">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5.</w:t>
      </w:r>
    </w:p>
  </w:footnote>
  <w:footnote w:id="1689">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690">
    <w:p w:rsidR="00484671" w:rsidRDefault="00484671" w:rsidP="00E46946">
      <w:pPr>
        <w:pStyle w:val="FootnoteText"/>
      </w:pPr>
      <w:r>
        <w:rPr>
          <w:rStyle w:val="FootnoteReference"/>
        </w:rPr>
        <w:footnoteRef/>
      </w:r>
      <w:r>
        <w:t xml:space="preserve"> </w:t>
      </w:r>
      <w:r>
        <w:tab/>
        <w:t xml:space="preserve">See Table 3 in Mathysen, </w:t>
      </w:r>
      <w:r w:rsidRPr="009B20F9">
        <w:rPr>
          <w:rStyle w:val="AERtextitalic"/>
        </w:rPr>
        <w:t>Best estimates of expected inflation: a comparative assessment of four methods</w:t>
      </w:r>
      <w:r>
        <w:t>, ACCC Working Paper # 11, April 2017.. D'Amico, Kim, and Wei (2016) found liquidity premia in the US of up to 300 basis points during the GFC. Liu et al (2015) found liquidity premium in the UK between 2009 and 2013 averaged -30 basis points.</w:t>
      </w:r>
    </w:p>
  </w:footnote>
  <w:footnote w:id="1691">
    <w:p w:rsidR="00484671" w:rsidRDefault="00484671" w:rsidP="00E46946">
      <w:pPr>
        <w:pStyle w:val="FootnoteText"/>
      </w:pPr>
      <w:r>
        <w:rPr>
          <w:rStyle w:val="FootnoteReference"/>
        </w:rPr>
        <w:footnoteRef/>
      </w:r>
      <w:r>
        <w:t xml:space="preserve"> </w:t>
      </w:r>
      <w:r>
        <w:tab/>
        <w:t>Based on a 20 day average of the yield on indexed CGS with a 10-year term to maturity, and using our return on equity risk free rate averaging period.</w:t>
      </w:r>
    </w:p>
  </w:footnote>
  <w:footnote w:id="1692">
    <w:p w:rsidR="00484671" w:rsidRDefault="00484671" w:rsidP="00E46946">
      <w:pPr>
        <w:pStyle w:val="FootnoteText"/>
      </w:pPr>
      <w:r>
        <w:rPr>
          <w:rStyle w:val="FootnoteReference"/>
        </w:rPr>
        <w:footnoteRef/>
      </w:r>
      <w:r>
        <w:t xml:space="preserve"> </w:t>
      </w:r>
      <w:r>
        <w:tab/>
        <w:t>We acknowledge that, while investors have the option of investing in cash, large negative rates may not be likely without deflation.</w:t>
      </w:r>
    </w:p>
  </w:footnote>
  <w:footnote w:id="1693">
    <w:p w:rsidR="00484671" w:rsidRDefault="00484671" w:rsidP="00E46946">
      <w:pPr>
        <w:pStyle w:val="FootnoteText"/>
      </w:pPr>
      <w:r>
        <w:rPr>
          <w:rStyle w:val="FootnoteReference"/>
        </w:rPr>
        <w:footnoteRef/>
      </w:r>
      <w:r>
        <w:t xml:space="preserve"> </w:t>
      </w:r>
      <w:r>
        <w:tab/>
        <w:t xml:space="preserve">CCP, </w:t>
      </w:r>
      <w:r w:rsidRPr="002656D9">
        <w:rPr>
          <w:rStyle w:val="Emphasis"/>
        </w:rPr>
        <w:t>Response to AusNet Services Revised Revenue Proposal for 2017-2022</w:t>
      </w:r>
      <w:r>
        <w:t>, October 2016, p.17.</w:t>
      </w:r>
    </w:p>
  </w:footnote>
  <w:footnote w:id="1694">
    <w:p w:rsidR="00484671" w:rsidRDefault="00484671" w:rsidP="00E46946">
      <w:pPr>
        <w:pStyle w:val="FootnoteText"/>
      </w:pPr>
      <w:r>
        <w:rPr>
          <w:rStyle w:val="FootnoteReference"/>
        </w:rPr>
        <w:footnoteRef/>
      </w:r>
      <w:r>
        <w:t xml:space="preserve"> </w:t>
      </w:r>
      <w:r>
        <w:tab/>
        <w:t>Less a spread above the CPI rate that may be set by market markers in the swap market. The presence of this spread in the swap rate may result in swap-implied real risk free rate under-estimating the true real risk free rate. However, the yield on nominal CGS would likely include an inflation risk premium, and this premium would likely result in the swap-implied real risk free rate over-estimating the true real risk free rate (all else equal). Therefore, the net effect is unclear.</w:t>
      </w:r>
    </w:p>
  </w:footnote>
  <w:footnote w:id="1695">
    <w:p w:rsidR="00484671" w:rsidRDefault="00484671" w:rsidP="00E46946">
      <w:pPr>
        <w:pStyle w:val="FootnoteText"/>
      </w:pPr>
      <w:r>
        <w:rPr>
          <w:rStyle w:val="FootnoteReference"/>
        </w:rPr>
        <w:footnoteRef/>
      </w:r>
      <w:r>
        <w:t xml:space="preserve"> </w:t>
      </w:r>
      <w:r>
        <w:tab/>
        <w:t>Based on Australian 10 year inflation swaps data from the Bloomberg Professional Service (AUSWIT10).</w:t>
      </w:r>
    </w:p>
  </w:footnote>
  <w:footnote w:id="1696">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192-195.</w:t>
      </w:r>
    </w:p>
  </w:footnote>
  <w:footnote w:id="1697">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xml:space="preserve">p. 12-13;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 108.</w:t>
      </w:r>
    </w:p>
  </w:footnote>
  <w:footnote w:id="1698">
    <w:p w:rsidR="00484671" w:rsidRDefault="00484671" w:rsidP="00E46946">
      <w:pPr>
        <w:pStyle w:val="FootnoteText"/>
      </w:pPr>
      <w:r>
        <w:rPr>
          <w:rStyle w:val="FootnoteReference"/>
        </w:rPr>
        <w:footnoteRef/>
      </w:r>
      <w:r>
        <w:t xml:space="preserve"> </w:t>
      </w:r>
      <w:r>
        <w:tab/>
        <w:t xml:space="preserve">See, e.g., </w:t>
      </w:r>
      <w:r w:rsidRPr="00B22FAC">
        <w:t>Angus Moore (2016), ‘Measures of Inflation Expectations in Australia,</w:t>
      </w:r>
      <w:r w:rsidRPr="00EE45FC">
        <w:rPr>
          <w:rStyle w:val="Emphasis"/>
        </w:rPr>
        <w:t xml:space="preserve"> Reserve Bank of Australia Bulletin</w:t>
      </w:r>
      <w:r w:rsidRPr="00B22FAC">
        <w:t>, December Quarter, pp. 23</w:t>
      </w:r>
      <w:r>
        <w:t>–</w:t>
      </w:r>
      <w:r w:rsidRPr="00B22FAC">
        <w:t>31</w:t>
      </w:r>
      <w:r>
        <w:t xml:space="preserve">; </w:t>
      </w:r>
      <w:r w:rsidRPr="00AE0B65">
        <w:t>Will Devlin and Deepika Patwardhan (2012), ‘Measuring market inflation expectations’, Treasury Roundup Series, Issue 2, pp. 5</w:t>
      </w:r>
      <w:r>
        <w:t>–</w:t>
      </w:r>
      <w:r w:rsidRPr="00AE0B65">
        <w:t>17</w:t>
      </w:r>
      <w:r>
        <w:t>.</w:t>
      </w:r>
    </w:p>
  </w:footnote>
  <w:footnote w:id="1699">
    <w:p w:rsidR="00484671" w:rsidRDefault="00484671" w:rsidP="00E46946">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xml:space="preserve">, ACCC Working Paper # 11, April 2017, paragraph 59. </w:t>
      </w:r>
    </w:p>
  </w:footnote>
  <w:footnote w:id="1700">
    <w:p w:rsidR="00484671" w:rsidRDefault="00484671" w:rsidP="00E46946">
      <w:pPr>
        <w:pStyle w:val="FootnoteText"/>
      </w:pPr>
      <w:r>
        <w:rPr>
          <w:rStyle w:val="FootnoteReference"/>
        </w:rPr>
        <w:footnoteRef/>
      </w:r>
      <w:r>
        <w:t xml:space="preserve"> </w:t>
      </w:r>
      <w:r>
        <w:tab/>
        <w:t xml:space="preserve">As argued by </w:t>
      </w:r>
      <w:r w:rsidRPr="00B22FAC">
        <w:t>Carlos Zarazaga (2010), ‘The Difficult Art of Eliciting Long-Run Inflation Expectations from Government Bond Prices’, Staff Papers, Federal Reserve Bank of Dallas, No. 9, March, pp. 1</w:t>
      </w:r>
      <w:r>
        <w:t>–</w:t>
      </w:r>
      <w:r w:rsidRPr="00B22FAC">
        <w:t>53</w:t>
      </w:r>
      <w:r>
        <w:t xml:space="preserve">. </w:t>
      </w:r>
    </w:p>
  </w:footnote>
  <w:footnote w:id="1701">
    <w:p w:rsidR="00484671" w:rsidRDefault="00484671" w:rsidP="00E46946">
      <w:pPr>
        <w:pStyle w:val="FootnoteText"/>
      </w:pPr>
      <w:r>
        <w:rPr>
          <w:rStyle w:val="FootnoteReference"/>
        </w:rPr>
        <w:footnoteRef/>
      </w:r>
      <w:r>
        <w:t xml:space="preserve"> </w:t>
      </w:r>
      <w:r>
        <w:tab/>
      </w:r>
      <w:r w:rsidRPr="00B22FAC">
        <w:t xml:space="preserve">Mark Deacon and Andrew Derry (1994), ‘Deriving Estimates of Inflation Expectations from the Prices of UK Government Bonds’, </w:t>
      </w:r>
      <w:r w:rsidRPr="00EE45FC">
        <w:rPr>
          <w:rStyle w:val="Emphasis"/>
        </w:rPr>
        <w:t>Bank of England Working Paper</w:t>
      </w:r>
      <w:r w:rsidRPr="00B22FAC">
        <w:t>, No. 23, pp. 1</w:t>
      </w:r>
      <w:r>
        <w:t>–</w:t>
      </w:r>
      <w:r w:rsidRPr="00B22FAC">
        <w:t>52</w:t>
      </w:r>
      <w:r>
        <w:t xml:space="preserve">. </w:t>
      </w:r>
    </w:p>
  </w:footnote>
  <w:footnote w:id="1702">
    <w:p w:rsidR="00484671" w:rsidRDefault="00484671" w:rsidP="00E46946">
      <w:pPr>
        <w:pStyle w:val="FootnoteText"/>
      </w:pPr>
      <w:r>
        <w:rPr>
          <w:rStyle w:val="FootnoteReference"/>
        </w:rPr>
        <w:footnoteRef/>
      </w:r>
      <w:r>
        <w:t xml:space="preserve"> </w:t>
      </w:r>
      <w:r>
        <w:tab/>
        <w:t xml:space="preserve">See section </w:t>
      </w:r>
      <w:r>
        <w:fldChar w:fldCharType="begin"/>
      </w:r>
      <w:r>
        <w:instrText xml:space="preserve"> REF _Ref478559903 \r \h </w:instrText>
      </w:r>
      <w:r>
        <w:fldChar w:fldCharType="separate"/>
      </w:r>
      <w:r w:rsidR="002C24D6">
        <w:t>0</w:t>
      </w:r>
      <w:r>
        <w:fldChar w:fldCharType="end"/>
      </w:r>
      <w:r>
        <w:t>.</w:t>
      </w:r>
    </w:p>
  </w:footnote>
  <w:footnote w:id="1703">
    <w:p w:rsidR="00484671" w:rsidRDefault="00484671" w:rsidP="00E46946">
      <w:pPr>
        <w:pStyle w:val="FootnoteText"/>
      </w:pPr>
      <w:r>
        <w:rPr>
          <w:rStyle w:val="FootnoteReference"/>
        </w:rPr>
        <w:footnoteRef/>
      </w:r>
      <w:r>
        <w:t xml:space="preserve"> </w:t>
      </w:r>
      <w:r>
        <w:tab/>
        <w:t xml:space="preserve">As pointed out in Mathysen, </w:t>
      </w:r>
      <w:r w:rsidRPr="009B20F9">
        <w:rPr>
          <w:rStyle w:val="AERtextitalic"/>
        </w:rPr>
        <w:t>Best estimates of expected inflation: a comparative assessment of four methods</w:t>
      </w:r>
      <w:r>
        <w:t>, ACCC Working Paper # 11, April 2017, paragraph 212.</w:t>
      </w:r>
    </w:p>
  </w:footnote>
  <w:footnote w:id="1704">
    <w:p w:rsidR="00484671" w:rsidRDefault="00484671" w:rsidP="00E46946">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pp. 8–9.</w:t>
      </w:r>
    </w:p>
  </w:footnote>
  <w:footnote w:id="1705">
    <w:p w:rsidR="00484671" w:rsidRDefault="00484671" w:rsidP="00E46946">
      <w:pPr>
        <w:pStyle w:val="FootnoteText"/>
      </w:pPr>
      <w:r>
        <w:rPr>
          <w:rStyle w:val="FootnoteReference"/>
        </w:rPr>
        <w:footnoteRef/>
      </w:r>
      <w:r>
        <w:t xml:space="preserve"> </w:t>
      </w:r>
      <w:r>
        <w:tab/>
      </w:r>
      <w:r w:rsidRPr="00FB2D7C">
        <w:t>John Campbell, Robert Shiller and Luis Viceira (2009), ‘Understanding Inflation-Indexed Bond Markets’, Brookings Papers on Economi</w:t>
      </w:r>
      <w:r>
        <w:t>c Activity, Spring 2009, pp. 79</w:t>
      </w:r>
      <w:r w:rsidRPr="00FB2D7C">
        <w:t>-1</w:t>
      </w:r>
      <w:r>
        <w:t>38.</w:t>
      </w:r>
    </w:p>
  </w:footnote>
  <w:footnote w:id="1706">
    <w:p w:rsidR="00484671" w:rsidRDefault="00484671" w:rsidP="00E46946">
      <w:pPr>
        <w:pStyle w:val="FootnoteText"/>
      </w:pPr>
      <w:r>
        <w:rPr>
          <w:rStyle w:val="FootnoteReference"/>
        </w:rPr>
        <w:footnoteRef/>
      </w:r>
      <w:r>
        <w:t xml:space="preserve"> </w:t>
      </w:r>
      <w:r>
        <w:tab/>
      </w:r>
      <w:r w:rsidRPr="00FB2D7C">
        <w:t>John Campbell, Robert Shiller and Luis Viceira (2009), ‘Understanding Inflation-Indexed Bond Markets’, Brookings Papers on Economi</w:t>
      </w:r>
      <w:r>
        <w:t>c Activity, Spring 2009, pp. 115</w:t>
      </w:r>
      <w:r w:rsidRPr="00FB2D7C">
        <w:t>-</w:t>
      </w:r>
      <w:r>
        <w:t>116.</w:t>
      </w:r>
    </w:p>
  </w:footnote>
  <w:footnote w:id="1707">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189-190; CEG, </w:t>
      </w:r>
      <w:r w:rsidRPr="00A51CD5">
        <w:rPr>
          <w:rStyle w:val="AERtextitalic"/>
        </w:rPr>
        <w:t>Best Estimate of Expected Inflation</w:t>
      </w:r>
      <w:r>
        <w:t>,</w:t>
      </w:r>
      <w:r w:rsidRPr="00215774">
        <w:t xml:space="preserve"> September 2016</w:t>
      </w:r>
      <w:r>
        <w:t>, p. 35.</w:t>
      </w:r>
    </w:p>
  </w:footnote>
  <w:footnote w:id="1708">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pp. 41-44; CEG, </w:t>
      </w:r>
      <w:r w:rsidRPr="008F2A7C">
        <w:rPr>
          <w:rStyle w:val="AERtextitalic"/>
        </w:rPr>
        <w:t>Memorandum: inflation compensation - addendum to September 2016 report</w:t>
      </w:r>
      <w:r>
        <w:t>, December 2016, pp. 18–22.</w:t>
      </w:r>
    </w:p>
  </w:footnote>
  <w:footnote w:id="1709">
    <w:p w:rsidR="00484671" w:rsidRDefault="00484671" w:rsidP="00E46946">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710">
    <w:p w:rsidR="00484671" w:rsidRDefault="00484671" w:rsidP="00E46946">
      <w:pPr>
        <w:pStyle w:val="FootnoteText"/>
      </w:pPr>
      <w:r>
        <w:rPr>
          <w:rStyle w:val="FootnoteReference"/>
        </w:rPr>
        <w:footnoteRef/>
      </w:r>
      <w:r>
        <w:t xml:space="preserve"> </w:t>
      </w:r>
      <w:r>
        <w:tab/>
      </w:r>
      <w:r w:rsidRPr="000F20F0">
        <w:t>Refet Gurkaynak, Brian Sack and Jonathan Wright (2</w:t>
      </w:r>
      <w:r>
        <w:t xml:space="preserve">010), ‘The TIPS Yield Curve and </w:t>
      </w:r>
      <w:r w:rsidRPr="000F20F0">
        <w:t>Inflation Compensation’, American Economic Journal: Macroeconomics, 2(1), pp. 70–92</w:t>
      </w:r>
      <w:r>
        <w:t>.</w:t>
      </w:r>
    </w:p>
  </w:footnote>
  <w:footnote w:id="1711">
    <w:p w:rsidR="00484671" w:rsidRDefault="00484671" w:rsidP="00E46946">
      <w:pPr>
        <w:pStyle w:val="FootnoteText"/>
      </w:pPr>
      <w:r>
        <w:rPr>
          <w:rStyle w:val="FootnoteReference"/>
        </w:rPr>
        <w:footnoteRef/>
      </w:r>
      <w:r>
        <w:t xml:space="preserve"> </w:t>
      </w:r>
      <w:r>
        <w:tab/>
      </w:r>
      <w:r w:rsidRPr="0048324D">
        <w:t>Richard Finl</w:t>
      </w:r>
      <w:r>
        <w:t xml:space="preserve">ay and Sebastian Wende (2011), </w:t>
      </w:r>
      <w:r w:rsidRPr="0048324D">
        <w:rPr>
          <w:rStyle w:val="AERtextitalic"/>
        </w:rPr>
        <w:t>Estimating Inflation Expectations with a Limited Number of Inflation-indexed Bonds</w:t>
      </w:r>
      <w:r w:rsidRPr="0048324D">
        <w:t>, Research Discussion Paper, Reserve Bank of Australia, RDP 2011-01, March</w:t>
      </w:r>
      <w:r>
        <w:t xml:space="preserve"> 2011</w:t>
      </w:r>
      <w:r w:rsidRPr="0048324D">
        <w:t>, pp. 1-35</w:t>
      </w:r>
      <w:r>
        <w:t>.</w:t>
      </w:r>
    </w:p>
  </w:footnote>
  <w:footnote w:id="1712">
    <w:p w:rsidR="00484671" w:rsidRDefault="00484671" w:rsidP="00E46946">
      <w:pPr>
        <w:pStyle w:val="FootnoteText"/>
      </w:pPr>
      <w:r>
        <w:rPr>
          <w:rStyle w:val="FootnoteReference"/>
        </w:rPr>
        <w:footnoteRef/>
      </w:r>
      <w:r>
        <w:t xml:space="preserve"> </w:t>
      </w:r>
      <w:r>
        <w:tab/>
      </w:r>
      <w:r>
        <w:rPr>
          <w:rFonts w:asciiTheme="minorHAnsi" w:eastAsiaTheme="minorEastAsia" w:hAnsiTheme="minorHAnsi" w:cstheme="minorHAnsi"/>
          <w:sz w:val="17"/>
          <w:szCs w:val="17"/>
        </w:rPr>
        <w:t>Olesya Grishchenko and Jing-z</w:t>
      </w:r>
      <w:r w:rsidRPr="00EE5409">
        <w:rPr>
          <w:rFonts w:asciiTheme="minorHAnsi" w:eastAsiaTheme="minorEastAsia" w:hAnsiTheme="minorHAnsi" w:cstheme="minorHAnsi"/>
          <w:sz w:val="17"/>
          <w:szCs w:val="17"/>
        </w:rPr>
        <w:t xml:space="preserve">hi Huang (2012), </w:t>
      </w:r>
      <w:r w:rsidRPr="006A4EB6">
        <w:rPr>
          <w:rStyle w:val="AERtextitalic"/>
        </w:rPr>
        <w:t>Inflation Risk Premium: Evidence from the TIPS market</w:t>
      </w:r>
      <w:r w:rsidRPr="00EE5409">
        <w:rPr>
          <w:rFonts w:asciiTheme="minorHAnsi" w:eastAsiaTheme="minorEastAsia" w:hAnsiTheme="minorHAnsi" w:cstheme="minorHAnsi"/>
          <w:sz w:val="17"/>
          <w:szCs w:val="17"/>
        </w:rPr>
        <w:t xml:space="preserve">, </w:t>
      </w:r>
      <w:r w:rsidRPr="00EE5409">
        <w:rPr>
          <w:rFonts w:asciiTheme="minorHAnsi" w:eastAsiaTheme="minorEastAsia" w:hAnsiTheme="minorHAnsi" w:cstheme="minorHAnsi"/>
          <w:i/>
          <w:sz w:val="17"/>
          <w:szCs w:val="17"/>
        </w:rPr>
        <w:t xml:space="preserve">Finance and Economics Discussion Series Divisions of Research and Statistics and Monetary Affairs, Federal Reserve Board, Washington, D.C. </w:t>
      </w:r>
      <w:r w:rsidRPr="00EE5409">
        <w:rPr>
          <w:rFonts w:asciiTheme="minorHAnsi" w:eastAsiaTheme="minorEastAsia" w:hAnsiTheme="minorHAnsi" w:cstheme="minorHAnsi"/>
          <w:sz w:val="17"/>
          <w:szCs w:val="17"/>
        </w:rPr>
        <w:t>2012-06</w:t>
      </w:r>
    </w:p>
  </w:footnote>
  <w:footnote w:id="1713">
    <w:p w:rsidR="00484671" w:rsidRDefault="00484671" w:rsidP="00E46946">
      <w:pPr>
        <w:pStyle w:val="FootnoteText"/>
      </w:pPr>
      <w:r>
        <w:rPr>
          <w:rStyle w:val="FootnoteReference"/>
        </w:rPr>
        <w:footnoteRef/>
      </w:r>
      <w:r>
        <w:t xml:space="preserve"> </w:t>
      </w:r>
      <w:r>
        <w:tab/>
      </w:r>
      <w:r>
        <w:rPr>
          <w:sz w:val="17"/>
          <w:szCs w:val="17"/>
        </w:rPr>
        <w:t xml:space="preserve">Andrew Ang, Geert Bekaert and Min Wei (2008), ‘The Term Structure of Real Rates and Expected Inflation’, </w:t>
      </w:r>
      <w:r w:rsidRPr="00B27352">
        <w:rPr>
          <w:i/>
          <w:sz w:val="17"/>
          <w:szCs w:val="17"/>
        </w:rPr>
        <w:t>The</w:t>
      </w:r>
      <w:r>
        <w:rPr>
          <w:sz w:val="17"/>
          <w:szCs w:val="17"/>
        </w:rPr>
        <w:t xml:space="preserve"> </w:t>
      </w:r>
      <w:r w:rsidRPr="00F869F1">
        <w:rPr>
          <w:i/>
          <w:sz w:val="17"/>
          <w:szCs w:val="17"/>
        </w:rPr>
        <w:t>Journal of Finance</w:t>
      </w:r>
      <w:r>
        <w:rPr>
          <w:sz w:val="17"/>
          <w:szCs w:val="17"/>
        </w:rPr>
        <w:t>, 63(2).</w:t>
      </w:r>
    </w:p>
  </w:footnote>
  <w:footnote w:id="1714">
    <w:p w:rsidR="00484671" w:rsidRDefault="00484671" w:rsidP="00E46946">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pp. 46-47.</w:t>
      </w:r>
    </w:p>
  </w:footnote>
  <w:footnote w:id="1715">
    <w:p w:rsidR="00484671" w:rsidRDefault="00484671" w:rsidP="00E46946">
      <w:pPr>
        <w:pStyle w:val="FootnoteText"/>
      </w:pPr>
      <w:r>
        <w:rPr>
          <w:rStyle w:val="FootnoteReference"/>
        </w:rPr>
        <w:footnoteRef/>
      </w:r>
      <w:r>
        <w:t xml:space="preserve"> </w:t>
      </w:r>
      <w:r>
        <w:tab/>
      </w:r>
      <w:r w:rsidRPr="000F20F0">
        <w:t>Refet Gurkaynak, Brian Sack and Jonathan Wright (2</w:t>
      </w:r>
      <w:r>
        <w:t xml:space="preserve">010), ‘The TIPS Yield Curve and </w:t>
      </w:r>
      <w:r w:rsidRPr="000F20F0">
        <w:t xml:space="preserve">Inflation Compensation’, American Economic </w:t>
      </w:r>
      <w:r>
        <w:t xml:space="preserve">Journal: Macroeconomics, 2(1), </w:t>
      </w:r>
      <w:r w:rsidRPr="000F20F0">
        <w:t xml:space="preserve">p. </w:t>
      </w:r>
      <w:r>
        <w:t xml:space="preserve">85; </w:t>
      </w:r>
      <w:r w:rsidRPr="0048324D">
        <w:t>Richard Finl</w:t>
      </w:r>
      <w:r>
        <w:t xml:space="preserve">ay and Sebastian Wende (2011), </w:t>
      </w:r>
      <w:r w:rsidRPr="0048324D">
        <w:rPr>
          <w:rStyle w:val="AERtextitalic"/>
        </w:rPr>
        <w:t>Estimating Inflation Expectations with a Limited Number of Inflation-indexed Bonds</w:t>
      </w:r>
      <w:r w:rsidRPr="0048324D">
        <w:t>, Research Discussion Paper, Reserve Bank of Australia, RDP 2011-01, March</w:t>
      </w:r>
      <w:r>
        <w:t xml:space="preserve"> 2011, pp. 3-4, 13-15, 22. </w:t>
      </w:r>
      <w:r w:rsidRPr="0048324D">
        <w:t>Finlay an</w:t>
      </w:r>
      <w:r>
        <w:t xml:space="preserve">d Wende’s proxies for inflation </w:t>
      </w:r>
      <w:r w:rsidRPr="0048324D">
        <w:t>expectations over 1, 5 and 10 year horizons are model-derived estimates</w:t>
      </w:r>
      <w:r>
        <w:t xml:space="preserve"> </w:t>
      </w:r>
      <w:r w:rsidRPr="0048324D">
        <w:t>of expected inflation using indexed bond price data and inflation forecasts</w:t>
      </w:r>
      <w:r>
        <w:t xml:space="preserve"> </w:t>
      </w:r>
      <w:r w:rsidRPr="0048324D">
        <w:t>from Consensus Economics</w:t>
      </w:r>
      <w:r>
        <w:t>.</w:t>
      </w:r>
    </w:p>
  </w:footnote>
  <w:footnote w:id="1716">
    <w:p w:rsidR="00484671" w:rsidRDefault="00484671" w:rsidP="00E46946">
      <w:pPr>
        <w:pStyle w:val="FootnoteText"/>
      </w:pPr>
      <w:r>
        <w:rPr>
          <w:rStyle w:val="FootnoteReference"/>
        </w:rPr>
        <w:footnoteRef/>
      </w:r>
      <w:r>
        <w:t xml:space="preserve"> </w:t>
      </w:r>
      <w:r>
        <w:tab/>
      </w:r>
      <w:r w:rsidRPr="000F20F0">
        <w:t>Stefania D’Amico, Don</w:t>
      </w:r>
      <w:r>
        <w:t xml:space="preserve"> </w:t>
      </w:r>
      <w:r w:rsidRPr="000F20F0">
        <w:t>Kim and Min Wei (2016), ‘Tips from TIPS: The informational content of Treasury Inflation-Protected Security prices’,</w:t>
      </w:r>
      <w:r>
        <w:t xml:space="preserve"> </w:t>
      </w:r>
      <w:r w:rsidRPr="000F20F0">
        <w:t>Finance and Economics Discussion Series, Divisions of Research and Statistics and Monetary Affairs, Federal Reserve</w:t>
      </w:r>
      <w:r>
        <w:t xml:space="preserve"> </w:t>
      </w:r>
      <w:r w:rsidRPr="000F20F0">
        <w:t>Board, 2014-24, pp. 28-29 and p. 59.</w:t>
      </w:r>
    </w:p>
  </w:footnote>
  <w:footnote w:id="1717">
    <w:p w:rsidR="00484671" w:rsidRDefault="00484671" w:rsidP="00E46946">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Paras 100, 113, 118, 135, 136.</w:t>
      </w:r>
    </w:p>
  </w:footnote>
  <w:footnote w:id="1718">
    <w:p w:rsidR="00484671" w:rsidRDefault="00484671" w:rsidP="00E46946">
      <w:pPr>
        <w:pStyle w:val="FootnoteText"/>
      </w:pPr>
      <w:r>
        <w:rPr>
          <w:rStyle w:val="FootnoteReference"/>
        </w:rPr>
        <w:footnoteRef/>
      </w:r>
      <w:r>
        <w:t xml:space="preserve"> </w:t>
      </w:r>
      <w:r>
        <w:tab/>
      </w:r>
      <w:r w:rsidRPr="008F304E">
        <w:t>Carlos Zarazaga (2010), ‘The Difficult Art of Eliciting Long-Run Inflation Expectations from Government Bond Prices’, Staff Papers, Federal Reserve Bank of Dallas, No. 9, March, p. 38.</w:t>
      </w:r>
    </w:p>
  </w:footnote>
  <w:footnote w:id="1719">
    <w:p w:rsidR="00484671" w:rsidRDefault="00484671" w:rsidP="00E46946">
      <w:pPr>
        <w:pStyle w:val="FootnoteText"/>
      </w:pPr>
      <w:r>
        <w:rPr>
          <w:rStyle w:val="FootnoteReference"/>
        </w:rPr>
        <w:footnoteRef/>
      </w:r>
      <w:r>
        <w:t xml:space="preserve"> </w:t>
      </w:r>
      <w:r>
        <w:tab/>
        <w:t>CEG also submitted that "it is not possible to reliably esitmate the magnitude of any bias over a short horizon (such as a cost of equity averaging period)" and that "</w:t>
      </w:r>
      <w:r w:rsidRPr="00FF08E6">
        <w:t xml:space="preserve"> It is, however, possible to, more reliably, arrive at estimates of the average bias over</w:t>
      </w:r>
      <w:r>
        <w:t xml:space="preserve"> </w:t>
      </w:r>
      <w:r w:rsidRPr="00FF08E6">
        <w:t>longer periods of time</w:t>
      </w:r>
      <w:r>
        <w:t xml:space="preserve">". [CEG, </w:t>
      </w:r>
      <w:r w:rsidRPr="008F2A7C">
        <w:rPr>
          <w:rStyle w:val="AERtextitalic"/>
        </w:rPr>
        <w:t>Memorandum: inflation compensation - addendum to September 2016 report</w:t>
      </w:r>
      <w:r>
        <w:t>, December 2016, pp. 7–8]. We note that the finding of ACCC Working Paper #11 that many potential biases and risk premia are time-varying, such that an estimate of average bias over a longer period of time may not be a reliable estimate of the bias expected over the future period of interest.</w:t>
      </w:r>
    </w:p>
  </w:footnote>
  <w:footnote w:id="1720">
    <w:p w:rsidR="00484671" w:rsidRDefault="00484671" w:rsidP="00E46946">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208(d).</w:t>
      </w:r>
    </w:p>
  </w:footnote>
  <w:footnote w:id="1721">
    <w:p w:rsidR="00484671" w:rsidRDefault="00484671" w:rsidP="00E46946">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212.</w:t>
      </w:r>
    </w:p>
  </w:footnote>
  <w:footnote w:id="1722">
    <w:p w:rsidR="00484671" w:rsidRDefault="00484671" w:rsidP="00E46946">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page 4.</w:t>
      </w:r>
    </w:p>
  </w:footnote>
  <w:footnote w:id="1723">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xml:space="preserve">, p. 39; CEG, </w:t>
      </w:r>
      <w:r w:rsidRPr="008F2A7C">
        <w:rPr>
          <w:rStyle w:val="AERtextitalic"/>
        </w:rPr>
        <w:t>Memorandum: inflation compensation - addendum to September 2016 report</w:t>
      </w:r>
      <w:r>
        <w:t xml:space="preserve">, December 2016, pp. 4–7; AusNet Services Gas Distribution, </w:t>
      </w:r>
      <w:r w:rsidRPr="008A6FE4">
        <w:rPr>
          <w:rStyle w:val="AERtextitalic"/>
        </w:rPr>
        <w:t>Gas Access Arrangement Review 2018-2022: Access Arrangement Information</w:t>
      </w:r>
      <w:r>
        <w:t xml:space="preserve">, 16 December 2016, p.230;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p.111; Multinet, Rate of Return Overview, 16 December 2016, p.53.</w:t>
      </w:r>
    </w:p>
  </w:footnote>
  <w:footnote w:id="1724">
    <w:p w:rsidR="00484671" w:rsidRDefault="00484671" w:rsidP="00E46946">
      <w:pPr>
        <w:pStyle w:val="FootnoteText"/>
      </w:pPr>
      <w:r>
        <w:rPr>
          <w:rStyle w:val="FootnoteReference"/>
        </w:rPr>
        <w:footnoteRef/>
      </w:r>
      <w:r>
        <w:t xml:space="preserve"> </w:t>
      </w:r>
      <w:r>
        <w:tab/>
        <w:t>CCP, Response to AusNet Services Revised Revenue Proposal for 2017-2022, October 2016, p.16.</w:t>
      </w:r>
    </w:p>
  </w:footnote>
  <w:footnote w:id="1725">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 189; CEG, </w:t>
      </w:r>
      <w:r w:rsidRPr="00A51CD5">
        <w:rPr>
          <w:rStyle w:val="AERtextitalic"/>
        </w:rPr>
        <w:t>Best Estimate of Expected Inflation</w:t>
      </w:r>
      <w:r>
        <w:t>,</w:t>
      </w:r>
      <w:r w:rsidRPr="00215774">
        <w:t xml:space="preserve"> September 2016</w:t>
      </w:r>
      <w:r>
        <w:t xml:space="preserve">, pp. 36-37; AusNet Services Gas Distribution, </w:t>
      </w:r>
      <w:r w:rsidRPr="008A6FE4">
        <w:rPr>
          <w:rStyle w:val="AERtextitalic"/>
        </w:rPr>
        <w:t>Gas Access Arrangement Review 2018-2022: Access Arrangement Information</w:t>
      </w:r>
      <w:r>
        <w:t xml:space="preserve">, 16 December 2016, p. 230; AusNet Services Gas Distribution, </w:t>
      </w:r>
      <w:r w:rsidRPr="008A6FE4">
        <w:rPr>
          <w:rStyle w:val="AERtextitalic"/>
        </w:rPr>
        <w:t>Gas Access Arrangement Review 2018-2022: Access Arrangement Information</w:t>
      </w:r>
      <w:r>
        <w:t xml:space="preserve">, 16 December 2016, pp.223-224; AGN, Final Plan: Access Arrangement Information for our Victorian and Albury Natural Gas Distribution Networks: 2018 to 2022, December 2016, p.111; Multinet, Rate of Return Overview, 16 December 2016, pp.53-54; PwC, </w:t>
      </w:r>
      <w:r w:rsidRPr="005A1ED4">
        <w:t>Report to Australian Gas</w:t>
      </w:r>
      <w:r>
        <w:t xml:space="preserve"> </w:t>
      </w:r>
      <w:r w:rsidRPr="005A1ED4">
        <w:t>Networks Limited</w:t>
      </w:r>
      <w:r>
        <w:t xml:space="preserve">, </w:t>
      </w:r>
      <w:r w:rsidRPr="005A1ED4">
        <w:t>Estimating Expected</w:t>
      </w:r>
      <w:r>
        <w:t xml:space="preserve"> </w:t>
      </w:r>
      <w:r w:rsidRPr="005A1ED4">
        <w:t>Inflation using the</w:t>
      </w:r>
      <w:r>
        <w:t xml:space="preserve"> </w:t>
      </w:r>
      <w:r w:rsidRPr="005A1ED4">
        <w:t>Breakeven Method –</w:t>
      </w:r>
      <w:r>
        <w:t xml:space="preserve"> </w:t>
      </w:r>
      <w:r w:rsidRPr="005A1ED4">
        <w:t>Response to Liquidity</w:t>
      </w:r>
      <w:r>
        <w:t xml:space="preserve"> </w:t>
      </w:r>
      <w:r w:rsidRPr="005A1ED4">
        <w:t>Issues raised by the</w:t>
      </w:r>
      <w:r>
        <w:t xml:space="preserve"> </w:t>
      </w:r>
      <w:r w:rsidRPr="005A1ED4">
        <w:t>Australian Energy</w:t>
      </w:r>
      <w:r>
        <w:t xml:space="preserve"> </w:t>
      </w:r>
      <w:r w:rsidRPr="005A1ED4">
        <w:t>Regulator</w:t>
      </w:r>
      <w:r>
        <w:t>, December 2016, pp. 11-15, 17-20.</w:t>
      </w:r>
    </w:p>
  </w:footnote>
  <w:footnote w:id="1726">
    <w:p w:rsidR="00484671" w:rsidRDefault="00484671" w:rsidP="00E46946">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727">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38-39.</w:t>
      </w:r>
    </w:p>
  </w:footnote>
  <w:footnote w:id="1728">
    <w:p w:rsidR="00484671" w:rsidRDefault="00484671" w:rsidP="001C3BEA">
      <w:pPr>
        <w:pStyle w:val="FootnoteText"/>
      </w:pPr>
      <w:r>
        <w:rPr>
          <w:rStyle w:val="FootnoteReference"/>
        </w:rPr>
        <w:footnoteRef/>
      </w:r>
      <w:r>
        <w:t xml:space="preserve"> </w:t>
      </w:r>
      <w:r>
        <w:tab/>
        <w:t xml:space="preserve">PwC, </w:t>
      </w:r>
      <w:r w:rsidRPr="005A1ED4">
        <w:t>Report to Australian Gas</w:t>
      </w:r>
      <w:r>
        <w:t xml:space="preserve"> </w:t>
      </w:r>
      <w:r w:rsidRPr="005A1ED4">
        <w:t>Networks Limited</w:t>
      </w:r>
      <w:r>
        <w:t xml:space="preserve">, </w:t>
      </w:r>
      <w:r w:rsidRPr="005A1ED4">
        <w:t>Estimating Expected</w:t>
      </w:r>
      <w:r>
        <w:t xml:space="preserve"> </w:t>
      </w:r>
      <w:r w:rsidRPr="005A1ED4">
        <w:t>Inflation using the</w:t>
      </w:r>
      <w:r>
        <w:t xml:space="preserve"> </w:t>
      </w:r>
      <w:r w:rsidRPr="005A1ED4">
        <w:t>Breakeven Method –</w:t>
      </w:r>
      <w:r>
        <w:t xml:space="preserve"> </w:t>
      </w:r>
      <w:r w:rsidRPr="005A1ED4">
        <w:t>Response to Liquidity</w:t>
      </w:r>
      <w:r>
        <w:t xml:space="preserve"> </w:t>
      </w:r>
      <w:r w:rsidRPr="005A1ED4">
        <w:t>Issues raised by the</w:t>
      </w:r>
      <w:r>
        <w:t xml:space="preserve"> </w:t>
      </w:r>
      <w:r w:rsidRPr="005A1ED4">
        <w:t>Australian Energy</w:t>
      </w:r>
      <w:r>
        <w:t xml:space="preserve"> </w:t>
      </w:r>
      <w:r w:rsidRPr="005A1ED4">
        <w:t>Regulator</w:t>
      </w:r>
      <w:r>
        <w:t>, December 2016, p. 16.</w:t>
      </w:r>
    </w:p>
  </w:footnote>
  <w:footnote w:id="1729">
    <w:p w:rsidR="00484671" w:rsidRDefault="00484671" w:rsidP="001C3BEA">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pp. 30-31.</w:t>
      </w:r>
    </w:p>
  </w:footnote>
  <w:footnote w:id="1730">
    <w:p w:rsidR="00484671" w:rsidRDefault="00484671" w:rsidP="001C3BEA">
      <w:pPr>
        <w:pStyle w:val="FootnoteText"/>
      </w:pPr>
      <w:r>
        <w:rPr>
          <w:rStyle w:val="FootnoteReference"/>
        </w:rPr>
        <w:footnoteRef/>
      </w:r>
      <w:r>
        <w:t xml:space="preserve"> </w:t>
      </w:r>
      <w:r>
        <w:tab/>
        <w:t xml:space="preserve">Fleckenstein et al also state that "The relative </w:t>
      </w:r>
      <w:r w:rsidRPr="00746753">
        <w:t>mispricing of TIPS and Treasury bonds represents one of the largest examples</w:t>
      </w:r>
      <w:r>
        <w:t xml:space="preserve"> </w:t>
      </w:r>
      <w:r w:rsidRPr="00746753">
        <w:t>of arbitrage ever documented and poses amajor puzzle to classical asset pricing</w:t>
      </w:r>
      <w:r>
        <w:t xml:space="preserve"> </w:t>
      </w:r>
      <w:r w:rsidRPr="00746753">
        <w:t>theory</w:t>
      </w:r>
      <w:r>
        <w:t>".</w:t>
      </w:r>
      <w:r w:rsidRPr="00746753">
        <w:t xml:space="preserve"> Matthias Fleckenstein, Francis Longstaff and Hanno Lustig (2014), ‘The TIPS-Tre</w:t>
      </w:r>
      <w:r>
        <w:t xml:space="preserve">asury Bonds Puzzle’, The </w:t>
      </w:r>
      <w:r w:rsidRPr="00746753">
        <w:t>Journal of Finance, 69(5), October, pp.</w:t>
      </w:r>
      <w:r>
        <w:t xml:space="preserve"> 2151, </w:t>
      </w:r>
      <w:r w:rsidRPr="00746753">
        <w:t>2182-2183</w:t>
      </w:r>
      <w:r>
        <w:t>.</w:t>
      </w:r>
    </w:p>
  </w:footnote>
  <w:footnote w:id="1731">
    <w:p w:rsidR="00484671" w:rsidRDefault="00484671" w:rsidP="00E46946">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732">
    <w:p w:rsidR="00484671" w:rsidRDefault="00484671" w:rsidP="00E46946">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section  5.3.3.</w:t>
      </w:r>
    </w:p>
  </w:footnote>
  <w:footnote w:id="1733">
    <w:p w:rsidR="00484671" w:rsidRDefault="00484671" w:rsidP="00BE4070">
      <w:pPr>
        <w:pStyle w:val="FootnoteText"/>
      </w:pPr>
      <w:r>
        <w:rPr>
          <w:rStyle w:val="FootnoteReference"/>
        </w:rPr>
        <w:footnoteRef/>
      </w:r>
      <w:r>
        <w:t xml:space="preserve"> </w:t>
      </w:r>
      <w:r>
        <w:tab/>
        <w:t>Moore, Measures of Inflation Expectations in Australia, RBA Bulletin, December Quarter 2016, pp. 23, 26-28.</w:t>
      </w:r>
    </w:p>
  </w:footnote>
  <w:footnote w:id="1734">
    <w:p w:rsidR="00484671" w:rsidRDefault="00484671" w:rsidP="00E46946">
      <w:pPr>
        <w:pStyle w:val="FootnoteText"/>
      </w:pPr>
      <w:r>
        <w:rPr>
          <w:rStyle w:val="FootnoteReference"/>
        </w:rPr>
        <w:footnoteRef/>
      </w:r>
      <w:r>
        <w:t xml:space="preserve"> </w:t>
      </w:r>
      <w:r>
        <w:tab/>
        <w:t xml:space="preserve">CEG, </w:t>
      </w:r>
      <w:r w:rsidRPr="00112BDF">
        <w:rPr>
          <w:rStyle w:val="AERtextitalic"/>
        </w:rPr>
        <w:t>Best estimate of expected inflation</w:t>
      </w:r>
      <w:r>
        <w:t>, September 2016, pp. 46-47.</w:t>
      </w:r>
    </w:p>
  </w:footnote>
  <w:footnote w:id="1735">
    <w:p w:rsidR="00484671" w:rsidRDefault="00484671" w:rsidP="00E46946">
      <w:pPr>
        <w:pStyle w:val="FootnoteText"/>
      </w:pPr>
      <w:r>
        <w:rPr>
          <w:rStyle w:val="FootnoteReference"/>
        </w:rPr>
        <w:footnoteRef/>
      </w:r>
      <w:r>
        <w:t xml:space="preserve"> </w:t>
      </w:r>
      <w:r>
        <w:tab/>
      </w:r>
      <w:r>
        <w:rPr>
          <w:rFonts w:asciiTheme="minorHAnsi" w:hAnsiTheme="minorHAnsi" w:cstheme="minorHAnsi"/>
        </w:rPr>
        <w:t>Hayden 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rPr>
          <w:rFonts w:asciiTheme="minorHAnsi" w:hAnsiTheme="minorHAnsi" w:cstheme="minorHAnsi"/>
        </w:rPr>
        <w:t xml:space="preserve"> </w:t>
      </w:r>
      <w:r>
        <w:t xml:space="preserve">ACCC Working Paper #11, 2017, </w:t>
      </w:r>
      <w:r>
        <w:rPr>
          <w:rFonts w:asciiTheme="minorHAnsi" w:hAnsiTheme="minorHAnsi" w:cstheme="minorHAnsi"/>
        </w:rPr>
        <w:t>p</w:t>
      </w:r>
      <w:r>
        <w:t>aragraph</w:t>
      </w:r>
      <w:r>
        <w:rPr>
          <w:rFonts w:asciiTheme="minorHAnsi" w:hAnsiTheme="minorHAnsi" w:cstheme="minorHAnsi"/>
        </w:rPr>
        <w:t xml:space="preserve"> </w:t>
      </w:r>
      <w:r>
        <w:t>137</w:t>
      </w:r>
      <w:r>
        <w:rPr>
          <w:rFonts w:asciiTheme="minorHAnsi" w:hAnsiTheme="minorHAnsi" w:cstheme="minorHAnsi"/>
        </w:rPr>
        <w:t>.</w:t>
      </w:r>
    </w:p>
  </w:footnote>
  <w:footnote w:id="1736">
    <w:p w:rsidR="00484671" w:rsidRDefault="00484671" w:rsidP="00E46946">
      <w:pPr>
        <w:pStyle w:val="FootnoteText"/>
      </w:pPr>
      <w:r>
        <w:rPr>
          <w:rStyle w:val="FootnoteReference"/>
        </w:rPr>
        <w:footnoteRef/>
      </w:r>
      <w:r>
        <w:t xml:space="preserve"> </w:t>
      </w:r>
      <w:r>
        <w:tab/>
        <w:t xml:space="preserve">Andrew Ang, Geert Bekaert, and Min Wei, </w:t>
      </w:r>
      <w:r w:rsidRPr="006A4EB6">
        <w:rPr>
          <w:rStyle w:val="AERtextitalic"/>
        </w:rPr>
        <w:t>The Term Structure of Real Rates and Expected Inflation</w:t>
      </w:r>
      <w:r>
        <w:t>, The Journal of Finance, 63(2), April 2008, pp. 797-849.</w:t>
      </w:r>
    </w:p>
  </w:footnote>
  <w:footnote w:id="1737">
    <w:p w:rsidR="00484671" w:rsidRPr="00302409" w:rsidRDefault="00484671" w:rsidP="00E46946">
      <w:pPr>
        <w:pStyle w:val="FootnoteText"/>
      </w:pPr>
      <w:r>
        <w:rPr>
          <w:rStyle w:val="FootnoteReference"/>
        </w:rPr>
        <w:footnoteRef/>
      </w:r>
      <w:r>
        <w:t xml:space="preserve"> </w:t>
      </w:r>
      <w:r>
        <w:tab/>
      </w:r>
      <w:r w:rsidRPr="00302409">
        <w:t>Coroneo, L, (2016) “TIPS Liquidity Premium and Quantitative Easing”, Working paper (draft version April</w:t>
      </w:r>
      <w:r>
        <w:t xml:space="preserve"> </w:t>
      </w:r>
      <w:r w:rsidRPr="00302409">
        <w:t>2nd 2016)</w:t>
      </w:r>
      <w:r>
        <w:t>.</w:t>
      </w:r>
    </w:p>
  </w:footnote>
  <w:footnote w:id="1738">
    <w:p w:rsidR="00484671" w:rsidRDefault="00484671" w:rsidP="00E46946">
      <w:pPr>
        <w:pStyle w:val="FootnoteText"/>
      </w:pPr>
      <w:r>
        <w:rPr>
          <w:rStyle w:val="FootnoteReference"/>
        </w:rPr>
        <w:footnoteRef/>
      </w:r>
      <w:r>
        <w:t xml:space="preserve"> </w:t>
      </w:r>
      <w:r>
        <w:tab/>
        <w:t xml:space="preserve">CEG, </w:t>
      </w:r>
      <w:r w:rsidRPr="007F03DF">
        <w:rPr>
          <w:i/>
        </w:rPr>
        <w:t>Best estimate of expected inflation</w:t>
      </w:r>
      <w:r>
        <w:rPr>
          <w:i/>
        </w:rPr>
        <w:t xml:space="preserve">, </w:t>
      </w:r>
      <w:r>
        <w:t>September 2016, p. 50.</w:t>
      </w:r>
    </w:p>
  </w:footnote>
  <w:footnote w:id="1739">
    <w:p w:rsidR="00484671" w:rsidRDefault="00484671" w:rsidP="00E46946">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11.</w:t>
      </w:r>
    </w:p>
  </w:footnote>
  <w:footnote w:id="1740">
    <w:p w:rsidR="00484671" w:rsidRDefault="00484671" w:rsidP="00E46946">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26.</w:t>
      </w:r>
    </w:p>
  </w:footnote>
  <w:footnote w:id="1741">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pp. 41-44; CEG, </w:t>
      </w:r>
      <w:r w:rsidRPr="008F2A7C">
        <w:rPr>
          <w:rStyle w:val="AERtextitalic"/>
        </w:rPr>
        <w:t>Memorandum: inflation compensation - addendum to September 2016 report</w:t>
      </w:r>
      <w:r>
        <w:t>, December 2016, p. 3.</w:t>
      </w:r>
    </w:p>
  </w:footnote>
  <w:footnote w:id="1742">
    <w:p w:rsidR="00484671" w:rsidRDefault="00484671" w:rsidP="00E46946">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743">
    <w:p w:rsidR="00484671" w:rsidRDefault="00484671" w:rsidP="00E46946">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744">
    <w:p w:rsidR="00484671" w:rsidRDefault="00484671" w:rsidP="00E46946">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745">
    <w:p w:rsidR="00484671" w:rsidRDefault="00484671" w:rsidP="00E46946">
      <w:pPr>
        <w:pStyle w:val="FootnoteText"/>
      </w:pPr>
      <w:r>
        <w:rPr>
          <w:rStyle w:val="FootnoteReference"/>
        </w:rPr>
        <w:footnoteRef/>
      </w:r>
      <w:r>
        <w:t xml:space="preserve"> </w:t>
      </w:r>
      <w:r>
        <w:tab/>
        <w:t>Estimated by removing estimated biases and risk premia from the break-even inflation rate.</w:t>
      </w:r>
    </w:p>
  </w:footnote>
  <w:footnote w:id="1746">
    <w:p w:rsidR="00484671" w:rsidRDefault="00484671" w:rsidP="00E46946">
      <w:pPr>
        <w:pStyle w:val="FootnoteText"/>
      </w:pPr>
      <w:r>
        <w:rPr>
          <w:rStyle w:val="FootnoteReference"/>
        </w:rPr>
        <w:footnoteRef/>
      </w:r>
      <w:r>
        <w:t xml:space="preserve"> </w:t>
      </w:r>
      <w:r>
        <w:tab/>
      </w:r>
      <w:r>
        <w:rPr>
          <w:rFonts w:asciiTheme="minorHAnsi" w:hAnsiTheme="minorHAnsi" w:cstheme="minorHAnsi"/>
        </w:rPr>
        <w:t>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t xml:space="preserve"> ACCC Working Paper #11, April 2017,</w:t>
      </w:r>
      <w:r>
        <w:rPr>
          <w:rFonts w:asciiTheme="minorHAnsi" w:hAnsiTheme="minorHAnsi" w:cstheme="minorHAnsi"/>
        </w:rPr>
        <w:t xml:space="preserve"> p</w:t>
      </w:r>
      <w:r>
        <w:t>aragraphs</w:t>
      </w:r>
      <w:r>
        <w:rPr>
          <w:rFonts w:asciiTheme="minorHAnsi" w:hAnsiTheme="minorHAnsi" w:cstheme="minorHAnsi"/>
        </w:rPr>
        <w:t xml:space="preserve"> </w:t>
      </w:r>
      <w:r>
        <w:t>36</w:t>
      </w:r>
      <w:r>
        <w:rPr>
          <w:rFonts w:asciiTheme="minorHAnsi" w:hAnsiTheme="minorHAnsi" w:cstheme="minorHAnsi"/>
        </w:rPr>
        <w:t>-</w:t>
      </w:r>
      <w:r>
        <w:t>38</w:t>
      </w:r>
      <w:r>
        <w:rPr>
          <w:rFonts w:asciiTheme="minorHAnsi" w:hAnsiTheme="minorHAnsi" w:cstheme="minorHAnsi"/>
        </w:rPr>
        <w:t>.</w:t>
      </w:r>
    </w:p>
  </w:footnote>
  <w:footnote w:id="1747">
    <w:p w:rsidR="00484671" w:rsidRDefault="00484671" w:rsidP="00E46946">
      <w:pPr>
        <w:pStyle w:val="FootnoteText"/>
      </w:pPr>
      <w:r>
        <w:rPr>
          <w:rStyle w:val="FootnoteReference"/>
        </w:rPr>
        <w:footnoteRef/>
      </w:r>
      <w:r>
        <w:t xml:space="preserve"> </w:t>
      </w:r>
      <w:r>
        <w:tab/>
        <w:t xml:space="preserve">CEG, </w:t>
      </w:r>
      <w:r w:rsidRPr="007F03DF">
        <w:rPr>
          <w:i/>
        </w:rPr>
        <w:t>Best estimate of expected inflation</w:t>
      </w:r>
      <w:r>
        <w:t xml:space="preserve"> pp. 42-43.</w:t>
      </w:r>
    </w:p>
  </w:footnote>
  <w:footnote w:id="1748">
    <w:p w:rsidR="00484671" w:rsidRPr="00D059DA" w:rsidRDefault="00484671" w:rsidP="00E46946">
      <w:pPr>
        <w:pStyle w:val="FootnoteText"/>
        <w:rPr>
          <w:szCs w:val="16"/>
        </w:rPr>
      </w:pPr>
      <w:r w:rsidRPr="00D059DA">
        <w:rPr>
          <w:rStyle w:val="FootnoteReference"/>
          <w:szCs w:val="16"/>
        </w:rPr>
        <w:footnoteRef/>
      </w:r>
      <w:r w:rsidRPr="00D059DA">
        <w:rPr>
          <w:szCs w:val="16"/>
        </w:rPr>
        <w:t xml:space="preserve"> </w:t>
      </w:r>
      <w:r w:rsidRPr="00D059DA">
        <w:rPr>
          <w:szCs w:val="16"/>
        </w:rPr>
        <w:tab/>
      </w:r>
      <w:r>
        <w:t xml:space="preserve">That is, as a proportion of total (nominal and indexed) government securities. Source for </w:t>
      </w:r>
      <w:r w:rsidRPr="00D059DA">
        <w:rPr>
          <w:szCs w:val="16"/>
        </w:rPr>
        <w:t xml:space="preserve">UK values: </w:t>
      </w:r>
      <w:hyperlink r:id="rId35" w:history="1">
        <w:r w:rsidRPr="00D059DA">
          <w:rPr>
            <w:rStyle w:val="Hyperlink"/>
            <w:rFonts w:asciiTheme="minorHAnsi" w:hAnsiTheme="minorHAnsi" w:cstheme="minorHAnsi"/>
            <w:sz w:val="16"/>
            <w:szCs w:val="16"/>
          </w:rPr>
          <w:t>http://www.dmo.gov.uk/index.aspx?page=gilts/about_gilts</w:t>
        </w:r>
      </w:hyperlink>
      <w:r w:rsidRPr="00D059DA">
        <w:rPr>
          <w:szCs w:val="16"/>
        </w:rPr>
        <w:t xml:space="preserve">. </w:t>
      </w:r>
      <w:r>
        <w:t xml:space="preserve">Source for </w:t>
      </w:r>
      <w:r w:rsidRPr="00D059DA">
        <w:rPr>
          <w:szCs w:val="16"/>
        </w:rPr>
        <w:t xml:space="preserve">US values: </w:t>
      </w:r>
      <w:hyperlink r:id="rId36" w:history="1">
        <w:r w:rsidRPr="00D059DA">
          <w:rPr>
            <w:rStyle w:val="Hyperlink"/>
            <w:rFonts w:asciiTheme="minorHAnsi" w:hAnsiTheme="minorHAnsi" w:cstheme="minorHAnsi"/>
            <w:sz w:val="16"/>
            <w:szCs w:val="16"/>
          </w:rPr>
          <w:t>https://www.treasurydirect.gov/govt/charts/principal/principal_debt.htm</w:t>
        </w:r>
      </w:hyperlink>
    </w:p>
  </w:footnote>
  <w:footnote w:id="1749">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48.</w:t>
      </w:r>
    </w:p>
  </w:footnote>
  <w:footnote w:id="1750">
    <w:p w:rsidR="00484671" w:rsidRDefault="00484671" w:rsidP="00E46946">
      <w:pPr>
        <w:pStyle w:val="FootnoteText"/>
      </w:pPr>
      <w:r>
        <w:rPr>
          <w:rStyle w:val="FootnoteReference"/>
        </w:rPr>
        <w:footnoteRef/>
      </w:r>
      <w:r>
        <w:t xml:space="preserve"> </w:t>
      </w:r>
      <w:r>
        <w:tab/>
      </w:r>
      <w:r w:rsidRPr="00526E22">
        <w:t>Mathysen, Consideration of best estimates of expected inflation: comparing and ranking approaches,</w:t>
      </w:r>
      <w:r>
        <w:t xml:space="preserve"> ACCC Working Paper #11, 2017, para 71.</w:t>
      </w:r>
    </w:p>
  </w:footnote>
  <w:footnote w:id="1751">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AusNet Transmission Group Pty Ltd, </w:t>
      </w:r>
      <w:r w:rsidRPr="00A51CD5">
        <w:rPr>
          <w:rStyle w:val="AERtextitalic"/>
        </w:rPr>
        <w:t>Transmission Revenue Review 2017-2022 Revised Revenue Proposal</w:t>
      </w:r>
      <w:r>
        <w:t>, 21 September 2016, pp. 189-190.</w:t>
      </w:r>
    </w:p>
  </w:footnote>
  <w:footnote w:id="1752">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46.</w:t>
      </w:r>
    </w:p>
  </w:footnote>
  <w:footnote w:id="1753">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CEG also note that Ang, Bekaert, and Wei (2008) is cited in Grishchenko and Huang (2012) [see: CEG, </w:t>
      </w:r>
      <w:r w:rsidRPr="008F2A7C">
        <w:rPr>
          <w:rStyle w:val="AERtextitalic"/>
        </w:rPr>
        <w:t>Memorandum: inflation compensation - addendum to September 2016 report</w:t>
      </w:r>
      <w:r>
        <w:t>, December 2016, p. 3].</w:t>
      </w:r>
    </w:p>
  </w:footnote>
  <w:footnote w:id="1754">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49.</w:t>
      </w:r>
    </w:p>
  </w:footnote>
  <w:footnote w:id="1755">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50.</w:t>
      </w:r>
    </w:p>
  </w:footnote>
  <w:footnote w:id="1756">
    <w:p w:rsidR="00484671" w:rsidRDefault="00484671" w:rsidP="00E46946">
      <w:pPr>
        <w:pStyle w:val="FootnoteText"/>
      </w:pPr>
      <w:r>
        <w:rPr>
          <w:rStyle w:val="FootnoteReference"/>
        </w:rPr>
        <w:footnoteRef/>
      </w:r>
      <w:r>
        <w:t xml:space="preserve"> </w:t>
      </w:r>
      <w:r>
        <w:tab/>
        <w:t xml:space="preserve">Based on simple difference. See: </w:t>
      </w:r>
      <w:r w:rsidRPr="007072D2">
        <w:t>Kodjo Apedjinou, Priya Misra and Anshul Pradhan (2006), A TIPS Valuation Framework, Fixed Income Research, U.S. Interest Rate Strategy, Lehmann Brothers</w:t>
      </w:r>
      <w:r>
        <w:t>, p. 8.</w:t>
      </w:r>
    </w:p>
  </w:footnote>
  <w:footnote w:id="1757">
    <w:p w:rsidR="00484671" w:rsidRDefault="00484671" w:rsidP="00E46946">
      <w:pPr>
        <w:pStyle w:val="FootnoteText"/>
      </w:pPr>
      <w:r>
        <w:rPr>
          <w:rStyle w:val="FootnoteReference"/>
        </w:rPr>
        <w:footnoteRef/>
      </w:r>
      <w:r>
        <w:t xml:space="preserve"> </w:t>
      </w:r>
      <w:r>
        <w:tab/>
        <w:t xml:space="preserve">See: John Hull, </w:t>
      </w:r>
      <w:r w:rsidRPr="007072D2">
        <w:rPr>
          <w:rStyle w:val="AERtextitalic"/>
        </w:rPr>
        <w:t>Options, Futures and Other Derivatives, Seventh Edition</w:t>
      </w:r>
      <w:r>
        <w:t>, Pearson Prentice Hall, New Jersey, 2009, p. 672.</w:t>
      </w:r>
    </w:p>
  </w:footnote>
  <w:footnote w:id="1758">
    <w:p w:rsidR="00484671" w:rsidRDefault="00484671" w:rsidP="00E46946">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140.</w:t>
      </w:r>
    </w:p>
  </w:footnote>
  <w:footnote w:id="1759">
    <w:p w:rsidR="00484671" w:rsidRDefault="00484671" w:rsidP="00E46946">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pp. 3, 18.</w:t>
      </w:r>
    </w:p>
  </w:footnote>
  <w:footnote w:id="1760">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xml:space="preserve">, pp. 66-67; AusNet Services Gas Distribution, </w:t>
      </w:r>
      <w:r w:rsidRPr="008A6FE4">
        <w:rPr>
          <w:rStyle w:val="AERtextitalic"/>
        </w:rPr>
        <w:t>Gas Access Arrangement Review 2018-2022: Access Arrangement Information</w:t>
      </w:r>
      <w:r>
        <w:t xml:space="preserve">, 16 December 2016, p. 230;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p.111; Multinet, Rate of Return Overview, 16 December 2016, p.54.</w:t>
      </w:r>
    </w:p>
  </w:footnote>
  <w:footnote w:id="1761">
    <w:p w:rsidR="00484671" w:rsidRPr="00FB2D7C" w:rsidRDefault="00484671" w:rsidP="00E46946">
      <w:pPr>
        <w:pStyle w:val="FootnoteText"/>
      </w:pPr>
      <w:r>
        <w:rPr>
          <w:rStyle w:val="FootnoteReference"/>
        </w:rPr>
        <w:footnoteRef/>
      </w:r>
      <w:r>
        <w:t xml:space="preserve"> </w:t>
      </w:r>
      <w:r>
        <w:tab/>
      </w:r>
      <w:r w:rsidRPr="00FB2D7C">
        <w:t>John Campbell, Robert Shiller and Luis Viceira (2009), ‘Understanding Inflation-Indexed Bond Markets’, Brookings Papers on Economic Activity, Spring 2009, pp. 108-109.</w:t>
      </w:r>
    </w:p>
  </w:footnote>
  <w:footnote w:id="1762">
    <w:p w:rsidR="00484671" w:rsidRDefault="00484671" w:rsidP="00E46946">
      <w:pPr>
        <w:pStyle w:val="FootnoteText"/>
      </w:pPr>
      <w:r>
        <w:rPr>
          <w:rStyle w:val="FootnoteReference"/>
        </w:rPr>
        <w:footnoteRef/>
      </w:r>
      <w:r>
        <w:t xml:space="preserve"> </w:t>
      </w:r>
      <w:r>
        <w:tab/>
      </w:r>
      <w:r w:rsidRPr="00E46428">
        <w:t>Richard Finlay and David Olivan (2012), ‘Extracting Information from Financial Market Instruments’, RBA Bulletin, March Quarter, pp. 45-46</w:t>
      </w:r>
      <w:r>
        <w:t>.</w:t>
      </w:r>
    </w:p>
  </w:footnote>
  <w:footnote w:id="1763">
    <w:p w:rsidR="00484671" w:rsidRDefault="00484671" w:rsidP="00E46946">
      <w:pPr>
        <w:pStyle w:val="FootnoteText"/>
      </w:pPr>
      <w:r>
        <w:rPr>
          <w:rStyle w:val="FootnoteReference"/>
        </w:rPr>
        <w:footnoteRef/>
      </w:r>
      <w:r>
        <w:t xml:space="preserve"> </w:t>
      </w:r>
      <w:r>
        <w:tab/>
      </w:r>
      <w:r w:rsidRPr="00FB2D7C">
        <w:t>Reserve Bank of Australia, Statement on Monetary Policy, February</w:t>
      </w:r>
      <w:r>
        <w:t xml:space="preserve"> 2015</w:t>
      </w:r>
      <w:r w:rsidRPr="00FB2D7C">
        <w:t>, p. 50</w:t>
      </w:r>
      <w:r>
        <w:t>.</w:t>
      </w:r>
    </w:p>
  </w:footnote>
  <w:footnote w:id="1764">
    <w:p w:rsidR="00484671" w:rsidRDefault="00484671" w:rsidP="00E46946">
      <w:pPr>
        <w:pStyle w:val="FootnoteText"/>
      </w:pPr>
      <w:r>
        <w:rPr>
          <w:rStyle w:val="FootnoteReference"/>
        </w:rPr>
        <w:footnoteRef/>
      </w:r>
      <w:r>
        <w:t xml:space="preserve"> </w:t>
      </w:r>
      <w:r>
        <w:tab/>
      </w:r>
      <w:r w:rsidRPr="00FB2D7C">
        <w:t>Matthias Fleckenstein, Francis Longstaff and Hanno Lustig (2014), ‘The TIPS-Treasury Bonds Puzzle’, The Journal of Finance, 69(5), October, pp. 2151-2197</w:t>
      </w:r>
      <w:r>
        <w:t>.</w:t>
      </w:r>
    </w:p>
  </w:footnote>
  <w:footnote w:id="1765">
    <w:p w:rsidR="00484671" w:rsidRDefault="00484671" w:rsidP="00E46946">
      <w:pPr>
        <w:pStyle w:val="FootnoteText"/>
      </w:pPr>
      <w:r>
        <w:rPr>
          <w:rStyle w:val="FootnoteReference"/>
        </w:rPr>
        <w:footnoteRef/>
      </w:r>
      <w:r>
        <w:t xml:space="preserve"> </w:t>
      </w:r>
      <w:r>
        <w:tab/>
      </w:r>
      <w:r w:rsidRPr="00FB2D7C">
        <w:t>Joseph Haubrich, George Pennachi and Peter Ritchken (2012), ‘Inflation Expectations, Real Rates, and Risk Premia: Evidence from Inflation Swaps’, The Review of Financial Studies, 25(2), p. 1590</w:t>
      </w:r>
      <w:r>
        <w:t>.</w:t>
      </w:r>
    </w:p>
  </w:footnote>
  <w:footnote w:id="1766">
    <w:p w:rsidR="00484671" w:rsidRDefault="00484671" w:rsidP="00E46946">
      <w:pPr>
        <w:pStyle w:val="FootnoteText"/>
      </w:pPr>
      <w:r>
        <w:rPr>
          <w:rStyle w:val="FootnoteReference"/>
        </w:rPr>
        <w:footnoteRef/>
      </w:r>
      <w:r>
        <w:t xml:space="preserve"> </w:t>
      </w:r>
      <w:r>
        <w:tab/>
      </w:r>
      <w:r w:rsidRPr="00FB2D7C">
        <w:t>Carolin Pflueger and Luis Viceira (2015), ‘Return Predictability in the Treasury Market: Real Rates, Inflation, and Liquidity’, Working Paper, p</w:t>
      </w:r>
      <w:r>
        <w:t>p. 12,</w:t>
      </w:r>
      <w:r w:rsidRPr="00FB2D7C">
        <w:t xml:space="preserve"> 16</w:t>
      </w:r>
      <w:r>
        <w:t>.</w:t>
      </w:r>
    </w:p>
  </w:footnote>
  <w:footnote w:id="1767">
    <w:p w:rsidR="00484671" w:rsidRDefault="00484671" w:rsidP="00E46946">
      <w:pPr>
        <w:pStyle w:val="FootnoteText"/>
      </w:pPr>
      <w:r>
        <w:rPr>
          <w:rStyle w:val="FootnoteReference"/>
        </w:rPr>
        <w:footnoteRef/>
      </w:r>
      <w:r>
        <w:t xml:space="preserve"> </w:t>
      </w:r>
      <w:r>
        <w:tab/>
      </w:r>
      <w:r w:rsidRPr="00FB2D7C">
        <w:t>Zhuoshi Liu, Elisabeth Vangelista, Iryna Kaminski and Jon Relleen (2015), ‘The informational content of market-based measures of inflation expectations derived from government bonds and inflation swaps in the United Kingdom’, Staff Working Paper No. 551, Bank of England, p. 2</w:t>
      </w:r>
      <w:r>
        <w:t>.</w:t>
      </w:r>
    </w:p>
  </w:footnote>
  <w:footnote w:id="1768">
    <w:p w:rsidR="00484671" w:rsidRDefault="00484671" w:rsidP="00E46946">
      <w:pPr>
        <w:pStyle w:val="FootnoteText"/>
      </w:pPr>
      <w:r>
        <w:rPr>
          <w:rStyle w:val="FootnoteReference"/>
        </w:rPr>
        <w:footnoteRef/>
      </w:r>
      <w:r>
        <w:t xml:space="preserve"> </w:t>
      </w:r>
      <w:r>
        <w:tab/>
      </w:r>
      <w:r w:rsidRPr="00FB2D7C">
        <w:t>Jens Christensen and James Gillan (2012), ‘Could the US Treasury Benefit from Issuing More TIPS?’, Federal Reserve Bank of San Francisco, Working Paper Series, pp. 1-37</w:t>
      </w:r>
      <w:r>
        <w:t>.</w:t>
      </w:r>
    </w:p>
  </w:footnote>
  <w:footnote w:id="1769">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 xml:space="preserve">September 2016, pp. 13-15, 28; AusNet Services Gas Distribution, </w:t>
      </w:r>
      <w:r w:rsidRPr="008A6FE4">
        <w:rPr>
          <w:rStyle w:val="AERtextitalic"/>
        </w:rPr>
        <w:t>Gas Access Arrangement Review 2018-2022: Access Arrangement Information</w:t>
      </w:r>
      <w:r>
        <w:t xml:space="preserve">, 16 December 2016, pp. 223-229;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pp.108-109; Multinet, Rate of Return Overview, 16 December 2016, pp.47-48, 50-53.</w:t>
      </w:r>
    </w:p>
  </w:footnote>
  <w:footnote w:id="1770">
    <w:p w:rsidR="00484671" w:rsidRDefault="00484671" w:rsidP="00E46946">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w:t>
      </w:r>
      <w:r w:rsidRPr="00116A00">
        <w:t xml:space="preserve"> 18-21</w:t>
      </w:r>
      <w:r>
        <w:t xml:space="preserve">; AusNet Transmission Group Pty Ltd, </w:t>
      </w:r>
      <w:r w:rsidRPr="00A51CD5">
        <w:rPr>
          <w:rStyle w:val="AERtextitalic"/>
        </w:rPr>
        <w:t>Transmission Revenue Review 2017-2022 Revised Revenue Proposal</w:t>
      </w:r>
      <w:r>
        <w:t>, 21 September 2016,</w:t>
      </w:r>
      <w:r w:rsidRPr="00116A00">
        <w:t xml:space="preserve"> pp. 188, 190-191</w:t>
      </w:r>
      <w:r w:rsidRPr="008A6FE4">
        <w:t xml:space="preserve"> </w:t>
      </w:r>
      <w:r>
        <w:t xml:space="preserve">AusNet Services Gas Distribution, </w:t>
      </w:r>
      <w:r w:rsidRPr="008A6FE4">
        <w:rPr>
          <w:rStyle w:val="AERtextitalic"/>
        </w:rPr>
        <w:t>Gas Access Arrangement Review 2018-2022: Access Arrangement Information</w:t>
      </w:r>
      <w:r>
        <w:t>, 16 December 2016, pp. 223-229.</w:t>
      </w:r>
    </w:p>
  </w:footnote>
  <w:footnote w:id="1771">
    <w:p w:rsidR="00484671" w:rsidRDefault="00484671" w:rsidP="00E46946">
      <w:pPr>
        <w:pStyle w:val="FootnoteText"/>
      </w:pPr>
      <w:r>
        <w:rPr>
          <w:rStyle w:val="FootnoteReference"/>
        </w:rPr>
        <w:footnoteRef/>
      </w:r>
      <w:r>
        <w:t xml:space="preserve"> </w:t>
      </w:r>
      <w:r>
        <w:tab/>
        <w:t xml:space="preserve">See Figures 2, 3, 5, 6, 7, and 8 in CEG, </w:t>
      </w:r>
      <w:r w:rsidRPr="00A51CD5">
        <w:rPr>
          <w:rStyle w:val="AERtextitalic"/>
        </w:rPr>
        <w:t>Best Estimate of Expected Inflation</w:t>
      </w:r>
      <w:r>
        <w:t>,</w:t>
      </w:r>
      <w:r w:rsidRPr="00ED7C40">
        <w:t xml:space="preserve"> </w:t>
      </w:r>
      <w:r>
        <w:t>September 2016.</w:t>
      </w:r>
    </w:p>
  </w:footnote>
  <w:footnote w:id="1772">
    <w:p w:rsidR="00484671" w:rsidRDefault="00484671" w:rsidP="00E46946">
      <w:pPr>
        <w:pStyle w:val="FootnoteText"/>
      </w:pPr>
      <w:r>
        <w:rPr>
          <w:rStyle w:val="FootnoteReference"/>
        </w:rPr>
        <w:footnoteRef/>
      </w:r>
      <w:r>
        <w:t xml:space="preserve"> </w:t>
      </w:r>
      <w:r>
        <w:tab/>
        <w:t xml:space="preserve">See, e.g., </w:t>
      </w:r>
      <w:r w:rsidRPr="00B22FAC">
        <w:t>Christian Gillitzer and John Simon (2015), ‘Inflation Targeting: A Victim of Its Own Success?’, RDP 2015</w:t>
      </w:r>
      <w:r>
        <w:t>–</w:t>
      </w:r>
      <w:r w:rsidRPr="00B22FAC">
        <w:t xml:space="preserve">09, August, </w:t>
      </w:r>
      <w:r w:rsidRPr="00EE45FC">
        <w:rPr>
          <w:rStyle w:val="Emphasis"/>
        </w:rPr>
        <w:t>Reserve Bank of Australia Discussion Paper</w:t>
      </w:r>
      <w:r w:rsidRPr="00B22FAC">
        <w:t>, pp. 1</w:t>
      </w:r>
      <w:r>
        <w:t>–</w:t>
      </w:r>
      <w:r w:rsidRPr="00B22FAC">
        <w:t>37</w:t>
      </w:r>
      <w:r>
        <w:rPr>
          <w:rFonts w:cs="Arial"/>
        </w:rPr>
        <w:t xml:space="preserve">; </w:t>
      </w:r>
      <w:r w:rsidRPr="00B22FAC">
        <w:t xml:space="preserve">Richard Finlay and Sebastian Wende (2011), ‘Estimating Inflation Expectations with a Limited Number of Inflation-indexed Bonds’, </w:t>
      </w:r>
      <w:r w:rsidRPr="00EE45FC">
        <w:rPr>
          <w:rStyle w:val="Emphasis"/>
        </w:rPr>
        <w:t>Research Discussion Paper, Reserve Bank of Australia</w:t>
      </w:r>
      <w:r w:rsidRPr="00B22FAC">
        <w:t>, RDP 2011</w:t>
      </w:r>
      <w:r>
        <w:t>–</w:t>
      </w:r>
      <w:r w:rsidRPr="00B22FAC">
        <w:t>01, March, pp. 1</w:t>
      </w:r>
      <w:r>
        <w:t>–</w:t>
      </w:r>
      <w:r w:rsidRPr="00B22FAC">
        <w:t>35</w:t>
      </w:r>
      <w:r>
        <w:rPr>
          <w:rFonts w:eastAsia="Times New Roman" w:cs="Arial"/>
          <w:lang w:eastAsia="en-AU"/>
        </w:rPr>
        <w:t xml:space="preserve">; </w:t>
      </w:r>
      <w:r w:rsidRPr="00B22FAC">
        <w:t xml:space="preserve">Shawn Chen-Yu Leu and Jeffery Sheen (2006), ‘Asymmetric Monetary Policy in Australia’, </w:t>
      </w:r>
      <w:r w:rsidRPr="00EE45FC">
        <w:rPr>
          <w:rStyle w:val="Emphasis"/>
        </w:rPr>
        <w:t>The Economic Record</w:t>
      </w:r>
      <w:r w:rsidRPr="00B22FAC">
        <w:t>, 82, Special Issue, September, pp. S85</w:t>
      </w:r>
      <w:r>
        <w:t>–</w:t>
      </w:r>
      <w:r w:rsidRPr="00B22FAC">
        <w:t>S96</w:t>
      </w:r>
      <w:r>
        <w:rPr>
          <w:rFonts w:eastAsia="Times New Roman" w:cs="Arial"/>
          <w:lang w:eastAsia="en-AU"/>
        </w:rPr>
        <w:t xml:space="preserve">; and </w:t>
      </w:r>
      <w:r w:rsidRPr="00B22FAC">
        <w:t>Jarkko Jaaskela and Rebecca McKibbin (2010), ‘Learning in an Estimated Small Open Economy Model’, RDP 2010</w:t>
      </w:r>
      <w:r>
        <w:t>–</w:t>
      </w:r>
      <w:r w:rsidRPr="00B22FAC">
        <w:t xml:space="preserve">02, March, </w:t>
      </w:r>
      <w:r w:rsidRPr="00EE45FC">
        <w:rPr>
          <w:rStyle w:val="Emphasis"/>
        </w:rPr>
        <w:t xml:space="preserve">Reserve Bank of Australia Discussion Paper, </w:t>
      </w:r>
      <w:r w:rsidRPr="00B22FAC">
        <w:t>pp. 1</w:t>
      </w:r>
      <w:r>
        <w:t>–</w:t>
      </w:r>
      <w:r w:rsidRPr="00B22FAC">
        <w:t>45</w:t>
      </w:r>
      <w:r>
        <w:t xml:space="preserve">. </w:t>
      </w:r>
      <w:r w:rsidRPr="007B7961">
        <w:t>These studies consider a much longer time frame than the limited selection examined by CEG</w:t>
      </w:r>
      <w:r>
        <w:t>.</w:t>
      </w:r>
    </w:p>
  </w:footnote>
  <w:footnote w:id="1773">
    <w:p w:rsidR="00484671" w:rsidRDefault="00484671" w:rsidP="00E46946">
      <w:pPr>
        <w:pStyle w:val="FootnoteText"/>
      </w:pPr>
      <w:r>
        <w:rPr>
          <w:rStyle w:val="FootnoteReference"/>
        </w:rPr>
        <w:footnoteRef/>
      </w:r>
      <w:r>
        <w:t xml:space="preserve"> </w:t>
      </w:r>
      <w:r>
        <w:tab/>
      </w:r>
      <w:r w:rsidRPr="00CC351D">
        <w:t xml:space="preserve">Christian Gillitzer and John Simon (2015), ‘Inflation Targeting: A Victim of Its Own Success?’, RDP 2015-09, August, Reserve Bank of Australia Discussion Paper, pp. 1-37; Shawn Chen-Yu Leu and Jeffery Sheen (2006), ‘Asymmetric Monetary Policy in Australia’, The Economic Record, 82, Special Issue, September, pp. S85-S86. Richard Finlay and Sebastian Wende (2011), ‘Estimating Inflation Expectations with a Limited Number of Inflation-indexed Bonds’, Research Discussion Paper, Reserve Bank of Australia, </w:t>
      </w:r>
      <w:r>
        <w:t>RDP 2011-01, March, pp. 3-4, 13-15,</w:t>
      </w:r>
      <w:r w:rsidRPr="00CC351D">
        <w:t xml:space="preserve"> 22</w:t>
      </w:r>
      <w:r>
        <w:t xml:space="preserve">; </w:t>
      </w:r>
      <w:r w:rsidRPr="00CC351D">
        <w:t>Jarkko Jaaskela and Rebecca McKibbin (2010), ‘Learning in an Estimated Small Open Economy Model’, RDP 2010-02, March, Reserve Bank of Australia Discussion Paper, pp. 1-45</w:t>
      </w:r>
      <w:r>
        <w:t>.</w:t>
      </w:r>
    </w:p>
  </w:footnote>
  <w:footnote w:id="1774">
    <w:p w:rsidR="00484671" w:rsidRDefault="00484671" w:rsidP="00E46946">
      <w:pPr>
        <w:pStyle w:val="FootnoteText"/>
      </w:pPr>
      <w:r>
        <w:rPr>
          <w:rStyle w:val="FootnoteReference"/>
        </w:rPr>
        <w:footnoteRef/>
      </w:r>
      <w:r>
        <w:t xml:space="preserve"> </w:t>
      </w:r>
      <w:r>
        <w:tab/>
      </w:r>
      <w:r w:rsidRPr="00CC351D">
        <w:t>Brian Sack (2000), ‘Deriving Inflation Expectations from Nominal and Inflation-Indexed Treasury Yields’, Division of Monetary Affairs, Board of Governors of the Federal Reserve System, Washington DC,16 May, pp. 1-24</w:t>
      </w:r>
      <w:r>
        <w:t xml:space="preserve">; </w:t>
      </w:r>
      <w:r w:rsidRPr="006149CD">
        <w:t>Ian Christensen, Frederic Dion and Christopher Reid (2004), ‘Real Return Bonds, Inflation Expectations, and the Break-Even Inflation Rate’, Bank of Canada Working Paper 2004-43, November</w:t>
      </w:r>
      <w:r>
        <w:t xml:space="preserve">, p. 5, </w:t>
      </w:r>
      <w:r w:rsidRPr="006149CD">
        <w:t>39-4</w:t>
      </w:r>
      <w:r>
        <w:t>0.</w:t>
      </w:r>
    </w:p>
  </w:footnote>
  <w:footnote w:id="1775">
    <w:p w:rsidR="00484671" w:rsidRDefault="00484671" w:rsidP="00E46946">
      <w:pPr>
        <w:pStyle w:val="FootnoteText"/>
      </w:pPr>
      <w:r>
        <w:rPr>
          <w:rStyle w:val="FootnoteReference"/>
        </w:rPr>
        <w:footnoteRef/>
      </w:r>
      <w:r>
        <w:t xml:space="preserve"> </w:t>
      </w:r>
      <w:r>
        <w:tab/>
      </w:r>
      <w:r w:rsidRPr="006149CD">
        <w:t>Ian Christensen, Frederic Dion and Christopher Reid (2004), ‘Real Return Bonds, Inflation Expectations, and the Break-Even Inflation Rate’, Bank of Canada Working Paper 2004-43, November</w:t>
      </w:r>
      <w:r>
        <w:t xml:space="preserve">, p. 5, </w:t>
      </w:r>
      <w:r w:rsidRPr="006149CD">
        <w:t>39-40</w:t>
      </w:r>
      <w:r>
        <w:t>.</w:t>
      </w:r>
    </w:p>
  </w:footnote>
  <w:footnote w:id="1776">
    <w:p w:rsidR="00484671" w:rsidRDefault="00484671" w:rsidP="00E46946">
      <w:pPr>
        <w:pStyle w:val="FootnoteText"/>
      </w:pPr>
      <w:r>
        <w:rPr>
          <w:rStyle w:val="FootnoteReference"/>
        </w:rPr>
        <w:footnoteRef/>
      </w:r>
      <w:r>
        <w:t xml:space="preserve"> </w:t>
      </w:r>
      <w:r>
        <w:tab/>
      </w:r>
      <w:r w:rsidRPr="008B2A3E">
        <w:t xml:space="preserve">See, e.g., Carolin Pflueger and Luis Viceira (2015), ‘Return Predictability in the Treasury Market: Real Rates, Inflation, and Liquidity’, Working Paper, </w:t>
      </w:r>
      <w:r w:rsidRPr="0042498F">
        <w:t>pp. 27-28.</w:t>
      </w:r>
    </w:p>
  </w:footnote>
  <w:footnote w:id="1777">
    <w:p w:rsidR="00484671" w:rsidRDefault="00484671" w:rsidP="00E46946">
      <w:pPr>
        <w:pStyle w:val="FootnoteText"/>
      </w:pPr>
      <w:r>
        <w:rPr>
          <w:rStyle w:val="FootnoteReference"/>
        </w:rPr>
        <w:footnoteRef/>
      </w:r>
      <w:r>
        <w:t xml:space="preserve"> </w:t>
      </w:r>
      <w:r>
        <w:tab/>
        <w:t>22 quarterly data points from September 2011 to December 2016.</w:t>
      </w:r>
    </w:p>
  </w:footnote>
  <w:footnote w:id="1778">
    <w:p w:rsidR="00484671" w:rsidRDefault="00484671" w:rsidP="00E46946">
      <w:pPr>
        <w:pStyle w:val="FootnoteText"/>
      </w:pPr>
      <w:r>
        <w:rPr>
          <w:rStyle w:val="FootnoteReference"/>
        </w:rPr>
        <w:footnoteRef/>
      </w:r>
      <w:r>
        <w:t xml:space="preserve"> </w:t>
      </w:r>
      <w:r>
        <w:tab/>
      </w:r>
      <w:r w:rsidRPr="00E30D9D">
        <w:t xml:space="preserve">Christian Gillitzer </w:t>
      </w:r>
      <w:r w:rsidRPr="00EE5409">
        <w:t xml:space="preserve">and John Simon (2015), ‘Inflation Targeting: A Victim of Its Own Success?’, RDP 2015-09, August, </w:t>
      </w:r>
      <w:r w:rsidRPr="00B51F28">
        <w:t>Reserve Bank of Australia Discussion Paper</w:t>
      </w:r>
      <w:r>
        <w:t>, pp. 1-2</w:t>
      </w:r>
      <w:r w:rsidRPr="00EE5409">
        <w:t>7</w:t>
      </w:r>
      <w:r>
        <w:t xml:space="preserve">; </w:t>
      </w:r>
      <w:r w:rsidRPr="00FA294D">
        <w:t xml:space="preserve">Richard Finlay and Sebastian Wende (2011), ‘Estimating Inflation Expectations with a Limited Number of Inflation-indexed Bonds’, </w:t>
      </w:r>
      <w:r w:rsidRPr="00B51F28">
        <w:t>Research Discussion Paper, Reserve Bank of Australia</w:t>
      </w:r>
      <w:r w:rsidRPr="00FA294D">
        <w:t>, RDP 2011-01, March</w:t>
      </w:r>
      <w:r>
        <w:t xml:space="preserve">, pp. 1-35; </w:t>
      </w:r>
      <w:r w:rsidRPr="00EE5409">
        <w:t xml:space="preserve">Shawn Chen-Yu Leu and Jeffery Sheen (2006), ‘Asymmetric Monetary Policy in Australia’, </w:t>
      </w:r>
      <w:r w:rsidRPr="00B51F28">
        <w:t>The Economic Record</w:t>
      </w:r>
      <w:r w:rsidRPr="00EE5409">
        <w:t>, 82, Spec</w:t>
      </w:r>
      <w:r>
        <w:t>ial Issue, September, pp. S85-S9</w:t>
      </w:r>
      <w:r w:rsidRPr="00EE5409">
        <w:t>6</w:t>
      </w:r>
      <w:r>
        <w:t xml:space="preserve">; </w:t>
      </w:r>
      <w:r w:rsidRPr="00EE5409">
        <w:t xml:space="preserve">Jarkko Jaaskela and Rebecca McKibbin (2010), ‘Learning in an Estimated Small Open Economy Model’, RDP 2010-02, March, </w:t>
      </w:r>
      <w:r w:rsidRPr="00B51F28">
        <w:t xml:space="preserve">Reserve Bank of Australia Discussion Paper, </w:t>
      </w:r>
      <w:r w:rsidRPr="00EE5409">
        <w:t>pp. 1-45</w:t>
      </w:r>
      <w:r>
        <w:t xml:space="preserve">; Ken Kuttner and Tim Robinson (2010), ‘Understanding the flattening of the Phillips Curve’, </w:t>
      </w:r>
      <w:r w:rsidRPr="00B51F28">
        <w:t>North American Journal of Economics and Finance</w:t>
      </w:r>
      <w:r>
        <w:t xml:space="preserve">, 21(2), pp. 110-125; Antonio Paradiso and Bhaskara Rao (2012), ‘Flattening of the Phillips curve and the role of the oil price: An unobserved component model for the USA and Australia’, </w:t>
      </w:r>
      <w:r w:rsidRPr="00B51F28">
        <w:t>Economics Letters</w:t>
      </w:r>
      <w:r>
        <w:t>, 117(1), pp. 259-262; Debdulal Mallick (2015), ‘A Spectral Representation of the Phillips Curve in Australia’, Faculty of Business and Law, School Working Paper, Economic Series, SWP 2015/7, pp. 1-48.</w:t>
      </w:r>
    </w:p>
  </w:footnote>
  <w:footnote w:id="1779">
    <w:p w:rsidR="00484671" w:rsidRDefault="00484671" w:rsidP="00E46946">
      <w:pPr>
        <w:pStyle w:val="FootnoteText"/>
      </w:pPr>
      <w:r>
        <w:rPr>
          <w:rStyle w:val="FootnoteReference"/>
        </w:rPr>
        <w:footnoteRef/>
      </w:r>
      <w:r>
        <w:t xml:space="preserve"> </w:t>
      </w:r>
      <w:r>
        <w:tab/>
      </w:r>
      <w:r>
        <w:fldChar w:fldCharType="begin"/>
      </w:r>
      <w:r>
        <w:instrText xml:space="preserve"> REF _Ref486941017 \h </w:instrText>
      </w:r>
      <w:r>
        <w:fldChar w:fldCharType="separate"/>
      </w:r>
      <w:r w:rsidR="002C24D6">
        <w:t xml:space="preserve">Figure </w:t>
      </w:r>
      <w:r w:rsidR="002C24D6">
        <w:rPr>
          <w:noProof/>
        </w:rPr>
        <w:t>3</w:t>
      </w:r>
      <w:r w:rsidR="002C24D6">
        <w:noBreakHyphen/>
      </w:r>
      <w:r w:rsidR="002C24D6">
        <w:rPr>
          <w:noProof/>
        </w:rPr>
        <w:t>27</w:t>
      </w:r>
      <w:r>
        <w:fldChar w:fldCharType="end"/>
      </w:r>
      <w:r>
        <w:t xml:space="preserve"> shows daily bond break-even estimates, while RBA forecasts and CPI outcomes are quarterly. Nonetheless, a quarterly series of bond break-even estimates also appears more volatile than estimates from the RBA forecasts and target band approach.</w:t>
      </w:r>
    </w:p>
  </w:footnote>
  <w:footnote w:id="1780">
    <w:p w:rsidR="00484671" w:rsidRDefault="00484671" w:rsidP="00E46946">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ED7C40">
        <w:t xml:space="preserve"> </w:t>
      </w:r>
      <w:r>
        <w:t>September 2016, pp. 13-14.</w:t>
      </w:r>
    </w:p>
  </w:footnote>
  <w:footnote w:id="1781">
    <w:p w:rsidR="00484671" w:rsidRDefault="00484671" w:rsidP="00E46946">
      <w:pPr>
        <w:pStyle w:val="FootnoteText"/>
      </w:pPr>
      <w:r>
        <w:rPr>
          <w:rStyle w:val="FootnoteReference"/>
        </w:rPr>
        <w:footnoteRef/>
      </w:r>
      <w:r>
        <w:t xml:space="preserve"> </w:t>
      </w:r>
      <w:r>
        <w:tab/>
        <w:t>It should be noted that CEG has not supplied us with the regression specification, however the lack of detail provided by CEG in their report would imply that other variables were not considered in the regression.</w:t>
      </w:r>
    </w:p>
  </w:footnote>
  <w:footnote w:id="1782">
    <w:p w:rsidR="00484671" w:rsidRDefault="00484671" w:rsidP="00E46946">
      <w:pPr>
        <w:pStyle w:val="FootnoteText"/>
      </w:pPr>
      <w:r>
        <w:rPr>
          <w:rStyle w:val="FootnoteReference"/>
        </w:rPr>
        <w:footnoteRef/>
      </w:r>
      <w:r>
        <w:t xml:space="preserve"> </w:t>
      </w:r>
      <w:r>
        <w:tab/>
        <w:t>Refer to the discussion undertaken in Hayden’s working paper at pp 27-31.</w:t>
      </w:r>
    </w:p>
  </w:footnote>
  <w:footnote w:id="1783">
    <w:p w:rsidR="00484671" w:rsidRDefault="00484671" w:rsidP="00E46946">
      <w:pPr>
        <w:pStyle w:val="FootnoteText"/>
        <w:tabs>
          <w:tab w:val="clear" w:pos="340"/>
          <w:tab w:val="left" w:pos="284"/>
        </w:tabs>
        <w:ind w:left="284" w:hanging="284"/>
      </w:pPr>
      <w:r>
        <w:rPr>
          <w:rStyle w:val="FootnoteReference"/>
        </w:rPr>
        <w:footnoteRef/>
      </w:r>
      <w:r>
        <w:t xml:space="preserve"> </w:t>
      </w:r>
      <w:r>
        <w:tab/>
      </w:r>
      <w:r>
        <w:tab/>
        <w:t xml:space="preserve">Mark Deacon and Andrew Derry, ‘Estimating market interest rate and inflation expectations from the prices of UK government bonds’ [1994](3) </w:t>
      </w:r>
      <w:r w:rsidRPr="00045583">
        <w:rPr>
          <w:i/>
        </w:rPr>
        <w:t>Bank of England Quarterly Bulletin</w:t>
      </w:r>
      <w:r>
        <w:t xml:space="preserve"> 232, 236-37.</w:t>
      </w:r>
    </w:p>
  </w:footnote>
  <w:footnote w:id="1784">
    <w:p w:rsidR="00484671" w:rsidRPr="0087220A" w:rsidRDefault="00484671" w:rsidP="00E46946">
      <w:pPr>
        <w:pStyle w:val="FootnoteText"/>
        <w:tabs>
          <w:tab w:val="clear" w:pos="340"/>
          <w:tab w:val="left" w:pos="0"/>
        </w:tabs>
        <w:ind w:left="0" w:firstLine="0"/>
      </w:pPr>
      <w:r>
        <w:rPr>
          <w:rStyle w:val="FootnoteReference"/>
        </w:rPr>
        <w:footnoteRef/>
      </w:r>
      <w:r>
        <w:t xml:space="preserve"> </w:t>
      </w:r>
      <w:r>
        <w:tab/>
      </w:r>
      <w:r w:rsidRPr="0087220A">
        <w:t>This can be shown by the following equation:</w:t>
      </w:r>
    </w:p>
    <w:p w:rsidR="00484671" w:rsidRPr="0087220A" w:rsidRDefault="00484671" w:rsidP="00E46946">
      <w:pPr>
        <w:pStyle w:val="AERbodytextnospace"/>
      </w:pPr>
      <m:oMathPara>
        <m:oMath>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π+</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oMath>
      </m:oMathPara>
    </w:p>
    <w:p w:rsidR="00484671" w:rsidRPr="0087220A" w:rsidRDefault="00484671" w:rsidP="00E46946">
      <w:pPr>
        <w:pStyle w:val="FootnoteText"/>
        <w:tabs>
          <w:tab w:val="clear" w:pos="340"/>
          <w:tab w:val="left" w:pos="0"/>
        </w:tabs>
        <w:ind w:left="0" w:firstLine="0"/>
      </w:pPr>
      <w:r>
        <w:tab/>
      </w:r>
      <w:r w:rsidRPr="0087220A">
        <w:t xml:space="preserve">By OLS estimation, </w:t>
      </w:r>
    </w:p>
    <w:p w:rsidR="00484671" w:rsidRPr="0087220A" w:rsidRDefault="002C24D6" w:rsidP="00E46946">
      <w:pPr>
        <w:pStyle w:val="AERbodytextnospace"/>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f>
            <m:fPr>
              <m:ctrlPr>
                <w:rPr>
                  <w:rFonts w:ascii="Cambria Math" w:hAnsi="Cambria Math"/>
                </w:rPr>
              </m:ctrlPr>
            </m:fPr>
            <m:num>
              <m:r>
                <m:rPr>
                  <m:sty m:val="p"/>
                </m:rPr>
                <w:rPr>
                  <w:rFonts w:ascii="Cambria Math" w:hAnsi="Cambria Math"/>
                </w:rPr>
                <m:t>cov</m:t>
              </m:r>
              <m:d>
                <m:dPr>
                  <m:ctrlPr>
                    <w:rPr>
                      <w:rFonts w:ascii="Cambria Math" w:hAnsi="Cambria Math"/>
                    </w:rPr>
                  </m:ctrlPr>
                </m:dPr>
                <m:e>
                  <m:r>
                    <w:rPr>
                      <w:rFonts w:ascii="Cambria Math" w:hAnsi="Cambria Math"/>
                    </w:rPr>
                    <m:t>i</m:t>
                  </m:r>
                  <m:r>
                    <m:rPr>
                      <m:sty m:val="p"/>
                    </m:rPr>
                    <w:rPr>
                      <w:rFonts w:ascii="Cambria Math" w:hAnsi="Cambria Math"/>
                    </w:rPr>
                    <m:t xml:space="preserve"> ,π</m:t>
                  </m:r>
                </m:e>
              </m:d>
            </m:num>
            <m:den>
              <m:r>
                <m:rPr>
                  <m:sty m:val="p"/>
                </m:rPr>
                <w:rPr>
                  <w:rFonts w:ascii="Cambria Math" w:hAnsi="Cambria Math"/>
                </w:rPr>
                <m:t>var</m:t>
              </m:r>
              <m:d>
                <m:dPr>
                  <m:ctrlPr>
                    <w:rPr>
                      <w:rFonts w:ascii="Cambria Math" w:hAnsi="Cambria Math"/>
                    </w:rPr>
                  </m:ctrlPr>
                </m:dPr>
                <m:e>
                  <m:r>
                    <m:rPr>
                      <m:sty m:val="p"/>
                    </m:rPr>
                    <w:rPr>
                      <w:rFonts w:ascii="Cambria Math" w:hAnsi="Cambria Math"/>
                    </w:rPr>
                    <m:t>π</m:t>
                  </m:r>
                </m:e>
              </m:d>
            </m:den>
          </m:f>
        </m:oMath>
      </m:oMathPara>
    </w:p>
    <w:p w:rsidR="00484671" w:rsidRDefault="00484671" w:rsidP="00E46946">
      <w:pPr>
        <w:pStyle w:val="FootnoteText"/>
        <w:tabs>
          <w:tab w:val="clear" w:pos="340"/>
          <w:tab w:val="left" w:pos="0"/>
        </w:tabs>
        <w:ind w:left="426" w:hanging="426"/>
      </w:pPr>
      <w:r>
        <w:tab/>
      </w:r>
      <w:r w:rsidRPr="0087220A">
        <w:t xml:space="preserve">If the indexed yield and breakeven rate were uncorrelated, their covariance would be zero, leading the original slope coefficient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one. If they are positively correlated, the RHS would be positive, leading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greater than one. </w:t>
      </w:r>
    </w:p>
  </w:footnote>
  <w:footnote w:id="1785">
    <w:p w:rsidR="00484671" w:rsidRDefault="00484671" w:rsidP="00E46946">
      <w:pPr>
        <w:pStyle w:val="FootnoteText"/>
      </w:pPr>
      <w:r>
        <w:rPr>
          <w:rStyle w:val="FootnoteReference"/>
        </w:rPr>
        <w:footnoteRef/>
      </w:r>
      <w:r>
        <w:t xml:space="preserve"> </w:t>
      </w:r>
      <w:r>
        <w:tab/>
        <w:t xml:space="preserve">See, e.g. </w:t>
      </w:r>
      <w:r w:rsidRPr="00B22FAC">
        <w:t>Ian Christensen, Frederic Dion and Christopher Reid (2004), ‘Real Return Bonds, Inflation Expectations, and the Break</w:t>
      </w:r>
      <w:r>
        <w:t>-</w:t>
      </w:r>
      <w:r w:rsidRPr="00B22FAC">
        <w:t xml:space="preserve">Even Inflation Rate’, </w:t>
      </w:r>
      <w:r w:rsidRPr="00EE45FC">
        <w:rPr>
          <w:rStyle w:val="Emphasis"/>
        </w:rPr>
        <w:t>Bank of Canada Working Paper 2004</w:t>
      </w:r>
      <w:r>
        <w:rPr>
          <w:rStyle w:val="Emphasis"/>
        </w:rPr>
        <w:t>–</w:t>
      </w:r>
      <w:r w:rsidRPr="00EE45FC">
        <w:rPr>
          <w:rStyle w:val="Emphasis"/>
        </w:rPr>
        <w:t>43</w:t>
      </w:r>
      <w:r>
        <w:t xml:space="preserve">, November, </w:t>
      </w:r>
      <w:r>
        <w:rPr>
          <w:rFonts w:asciiTheme="minorHAnsi" w:hAnsiTheme="minorHAnsi" w:cstheme="minorHAnsi"/>
          <w:sz w:val="17"/>
          <w:szCs w:val="17"/>
        </w:rPr>
        <w:t xml:space="preserve">pp 39-40. </w:t>
      </w:r>
    </w:p>
  </w:footnote>
  <w:footnote w:id="1786">
    <w:p w:rsidR="00484671" w:rsidRDefault="00484671" w:rsidP="00985825">
      <w:pPr>
        <w:pStyle w:val="FootnoteText"/>
      </w:pPr>
      <w:r>
        <w:rPr>
          <w:rStyle w:val="FootnoteReference"/>
        </w:rPr>
        <w:footnoteRef/>
      </w:r>
      <w:r>
        <w:t xml:space="preserve"> </w:t>
      </w:r>
      <w:r>
        <w:tab/>
      </w:r>
    </w:p>
  </w:footnote>
  <w:footnote w:id="1787">
    <w:p w:rsidR="00484671" w:rsidRDefault="00484671" w:rsidP="00985825">
      <w:pPr>
        <w:pStyle w:val="FootnoteText"/>
      </w:pPr>
      <w:r>
        <w:rPr>
          <w:rStyle w:val="FootnoteReference"/>
        </w:rPr>
        <w:footnoteRef/>
      </w:r>
      <w:r>
        <w:t xml:space="preserve"> </w:t>
      </w:r>
      <w:r>
        <w:tab/>
      </w:r>
    </w:p>
  </w:footnote>
  <w:footnote w:id="1788">
    <w:p w:rsidR="00484671" w:rsidRDefault="00484671" w:rsidP="00985825">
      <w:pPr>
        <w:pStyle w:val="FootnoteText"/>
      </w:pPr>
      <w:r>
        <w:rPr>
          <w:rStyle w:val="FootnoteReference"/>
        </w:rPr>
        <w:footnoteRef/>
      </w:r>
      <w:r>
        <w:t xml:space="preserve"> </w:t>
      </w:r>
      <w:r>
        <w:tab/>
      </w:r>
    </w:p>
  </w:footnote>
  <w:footnote w:id="1789">
    <w:p w:rsidR="00484671" w:rsidRDefault="00484671" w:rsidP="00985825">
      <w:pPr>
        <w:pStyle w:val="FootnoteText"/>
      </w:pPr>
      <w:r>
        <w:rPr>
          <w:rStyle w:val="FootnoteReference"/>
        </w:rPr>
        <w:footnoteRef/>
      </w:r>
      <w:r>
        <w:t xml:space="preserve"> </w:t>
      </w:r>
      <w:r>
        <w:tab/>
      </w:r>
      <w:r w:rsidRPr="00940E53">
        <w:t xml:space="preserve">APTPPL, </w:t>
      </w:r>
      <w:r w:rsidRPr="00940E53">
        <w:rPr>
          <w:rStyle w:val="AERtextitalic"/>
        </w:rPr>
        <w:t>Roma to Brisbane Pipeline: access arrangement submission</w:t>
      </w:r>
      <w:r w:rsidRPr="00940E53">
        <w:t xml:space="preserve">, September 2016, p. </w:t>
      </w:r>
      <w:r>
        <w:t>205</w:t>
      </w:r>
      <w:r w:rsidRPr="00940E53">
        <w:t>.</w:t>
      </w:r>
    </w:p>
  </w:footnote>
  <w:footnote w:id="1790">
    <w:p w:rsidR="00484671" w:rsidRDefault="00484671" w:rsidP="00985825">
      <w:pPr>
        <w:pStyle w:val="FootnoteText"/>
      </w:pPr>
      <w:r>
        <w:rPr>
          <w:rStyle w:val="FootnoteReference"/>
        </w:rPr>
        <w:footnoteRef/>
      </w:r>
      <w:r>
        <w:t xml:space="preserve"> </w:t>
      </w:r>
      <w:r>
        <w:tab/>
        <w:t xml:space="preserve">The application of our </w:t>
      </w:r>
      <w:r w:rsidRPr="00A7376D">
        <w:t>return on debt</w:t>
      </w:r>
      <w:r>
        <w:t xml:space="preserve"> update was considered in full: during the Guideline process and subsequently was subject to the post tax revenue model amendment process. </w:t>
      </w:r>
    </w:p>
  </w:footnote>
  <w:footnote w:id="1791">
    <w:p w:rsidR="00484671" w:rsidRDefault="00484671" w:rsidP="0020146B">
      <w:pPr>
        <w:pStyle w:val="FootnoteText"/>
      </w:pPr>
      <w:r>
        <w:rPr>
          <w:rStyle w:val="FootnoteReference"/>
        </w:rPr>
        <w:footnoteRef/>
      </w:r>
      <w:r>
        <w:t xml:space="preserve"> </w:t>
      </w:r>
      <w:r>
        <w:tab/>
        <w:t xml:space="preserve">APT Petroleum Pipelines Pty Ltd, </w:t>
      </w:r>
      <w:r w:rsidRPr="00A844B2">
        <w:rPr>
          <w:rStyle w:val="AERtextitalic"/>
        </w:rPr>
        <w:t>Roma to Brisbane pipeline proposed revised access arrangement, effective 1 July 2017 to 30 June 2022</w:t>
      </w:r>
      <w:r>
        <w:t xml:space="preserve">, September 2016;  APT Petroleum Pipelines Pty Ltd, </w:t>
      </w:r>
      <w:r w:rsidRPr="00A844B2">
        <w:rPr>
          <w:rStyle w:val="AERtextitalic"/>
        </w:rPr>
        <w:t>Post tax revenue model (PTRM)</w:t>
      </w:r>
      <w:r>
        <w:t>, September 2016.</w:t>
      </w:r>
    </w:p>
  </w:footnote>
  <w:footnote w:id="1792">
    <w:p w:rsidR="00484671" w:rsidRDefault="00484671" w:rsidP="0020146B">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793">
    <w:p w:rsidR="00484671" w:rsidRDefault="00484671" w:rsidP="0020146B">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794">
    <w:p w:rsidR="00484671" w:rsidRDefault="00484671" w:rsidP="0020146B">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795">
    <w:p w:rsidR="00484671" w:rsidRDefault="00484671" w:rsidP="0020146B">
      <w:pPr>
        <w:pStyle w:val="FootnoteText"/>
      </w:pPr>
      <w:r>
        <w:rPr>
          <w:rStyle w:val="FootnoteReference"/>
        </w:rPr>
        <w:footnoteRef/>
      </w:r>
      <w:r>
        <w:t xml:space="preserve"> </w:t>
      </w:r>
      <w:r>
        <w:tab/>
        <w:t xml:space="preserve">APT Petroleum Pipelines Pty Ltd, </w:t>
      </w:r>
      <w:r w:rsidRPr="00A844B2">
        <w:rPr>
          <w:rStyle w:val="AERtextitalic"/>
        </w:rPr>
        <w:t>Roma to Brisbane pipeline proposed revised access arrangement, effective 1 July 2017 to 30 June 2022</w:t>
      </w:r>
      <w:r>
        <w:t>, September 2016, pp. 188-9.</w:t>
      </w:r>
    </w:p>
  </w:footnote>
  <w:footnote w:id="1796">
    <w:p w:rsidR="00484671" w:rsidRDefault="00484671" w:rsidP="0020146B">
      <w:pPr>
        <w:pStyle w:val="FootnoteText"/>
      </w:pPr>
      <w:r>
        <w:rPr>
          <w:rStyle w:val="FootnoteReference"/>
        </w:rPr>
        <w:footnoteRef/>
      </w:r>
      <w:r>
        <w:t xml:space="preserve"> </w:t>
      </w:r>
      <w:r>
        <w:tab/>
        <w:t xml:space="preserve">AER, </w:t>
      </w:r>
      <w:r w:rsidRPr="002A032E">
        <w:rPr>
          <w:rStyle w:val="AERtextitalic"/>
        </w:rPr>
        <w:t>Final decision AusNet Services determination 2016–20 - Attachment 3 - Rate of return</w:t>
      </w:r>
      <w:r w:rsidRPr="00157C26">
        <w:t xml:space="preserve"> - </w:t>
      </w:r>
      <w:r>
        <w:t xml:space="preserve">May </w:t>
      </w:r>
      <w:r w:rsidRPr="00157C26">
        <w:t>201</w:t>
      </w:r>
      <w:r>
        <w:t>6</w:t>
      </w:r>
      <w:r w:rsidRPr="00157C26">
        <w:t xml:space="preserve">, </w:t>
      </w:r>
      <w:r>
        <w:t>Appendix K.</w:t>
      </w:r>
    </w:p>
  </w:footnote>
  <w:footnote w:id="1797">
    <w:p w:rsidR="00484671" w:rsidRDefault="00484671" w:rsidP="0020146B">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798">
    <w:p w:rsidR="00484671" w:rsidRDefault="00484671" w:rsidP="0020146B">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Default="004846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Default="004846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671" w:rsidRDefault="004846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B212F174"/>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D24C37"/>
    <w:multiLevelType w:val="hybridMultilevel"/>
    <w:tmpl w:val="4992F6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C66F44"/>
    <w:multiLevelType w:val="hybridMultilevel"/>
    <w:tmpl w:val="4ED4762C"/>
    <w:lvl w:ilvl="0" w:tplc="78E8CC60">
      <w:start w:val="1"/>
      <w:numFmt w:val="lowerRoman"/>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BF12AA1"/>
    <w:multiLevelType w:val="multilevel"/>
    <w:tmpl w:val="A6DA7E28"/>
    <w:lvl w:ilvl="0">
      <w:start w:val="2"/>
      <w:numFmt w:val="upperLetter"/>
      <w:lvlText w:val="%1"/>
      <w:lvlJc w:val="left"/>
      <w:pPr>
        <w:ind w:left="340" w:hanging="340"/>
      </w:pPr>
      <w:rPr>
        <w:rFonts w:hint="default"/>
      </w:rPr>
    </w:lvl>
    <w:lvl w:ilvl="1">
      <w:start w:val="1"/>
      <w:numFmt w:val="decimal"/>
      <w:lvlRestart w:val="0"/>
      <w:lvlText w:val="%1.%2"/>
      <w:lvlJc w:val="left"/>
      <w:pPr>
        <w:tabs>
          <w:tab w:val="num" w:pos="1305"/>
        </w:tabs>
        <w:ind w:left="1305" w:hanging="102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4E477E9"/>
    <w:multiLevelType w:val="hybridMultilevel"/>
    <w:tmpl w:val="79EA7ED4"/>
    <w:lvl w:ilvl="0" w:tplc="0A0844BE">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AA0DA7"/>
    <w:multiLevelType w:val="multilevel"/>
    <w:tmpl w:val="718EDCB4"/>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0">
    <w:nsid w:val="325401B9"/>
    <w:multiLevelType w:val="hybridMultilevel"/>
    <w:tmpl w:val="0F6AC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3">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5">
    <w:nsid w:val="3DF640E4"/>
    <w:multiLevelType w:val="hybridMultilevel"/>
    <w:tmpl w:val="94E8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6A3DDE"/>
    <w:multiLevelType w:val="hybridMultilevel"/>
    <w:tmpl w:val="F51A789C"/>
    <w:lvl w:ilvl="0" w:tplc="92E84616">
      <w:start w:val="1"/>
      <w:numFmt w:val="bullet"/>
      <w:pStyle w:val="AERquot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1">
    <w:nsid w:val="5ECE4384"/>
    <w:multiLevelType w:val="multilevel"/>
    <w:tmpl w:val="3A1CBB48"/>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1124A8F"/>
    <w:multiLevelType w:val="hybridMultilevel"/>
    <w:tmpl w:val="65447B5C"/>
    <w:lvl w:ilvl="0" w:tplc="F77037F0">
      <w:start w:val="1"/>
      <w:numFmt w:val="lowerLetter"/>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5497802"/>
    <w:multiLevelType w:val="hybridMultilevel"/>
    <w:tmpl w:val="8FAE9C50"/>
    <w:lvl w:ilvl="0" w:tplc="18D86C0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6DC52CE"/>
    <w:multiLevelType w:val="hybridMultilevel"/>
    <w:tmpl w:val="05ACFE50"/>
    <w:lvl w:ilvl="0" w:tplc="5CD829E8">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726588A"/>
    <w:multiLevelType w:val="hybridMultilevel"/>
    <w:tmpl w:val="EE3C38DE"/>
    <w:lvl w:ilvl="0" w:tplc="2BFE3CEE">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6">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3F84B72"/>
    <w:multiLevelType w:val="hybridMultilevel"/>
    <w:tmpl w:val="CDC0D9C4"/>
    <w:lvl w:ilvl="0" w:tplc="6C5C8C5A">
      <w:start w:val="1"/>
      <w:numFmt w:val="lowerLetter"/>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8">
    <w:nsid w:val="760C7082"/>
    <w:multiLevelType w:val="hybridMultilevel"/>
    <w:tmpl w:val="C9D6B284"/>
    <w:lvl w:ilvl="0" w:tplc="A9080AEA">
      <w:start w:val="1"/>
      <w:numFmt w:val="lowerRoman"/>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9">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0">
    <w:nsid w:val="7E2819EC"/>
    <w:multiLevelType w:val="multilevel"/>
    <w:tmpl w:val="884A1B66"/>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4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23"/>
  </w:num>
  <w:num w:numId="14">
    <w:abstractNumId w:val="10"/>
  </w:num>
  <w:num w:numId="15">
    <w:abstractNumId w:val="15"/>
  </w:num>
  <w:num w:numId="16">
    <w:abstractNumId w:val="26"/>
  </w:num>
  <w:num w:numId="17">
    <w:abstractNumId w:val="9"/>
  </w:num>
  <w:num w:numId="18">
    <w:abstractNumId w:val="18"/>
  </w:num>
  <w:num w:numId="19">
    <w:abstractNumId w:val="27"/>
  </w:num>
  <w:num w:numId="20">
    <w:abstractNumId w:val="36"/>
  </w:num>
  <w:num w:numId="21">
    <w:abstractNumId w:val="30"/>
  </w:num>
  <w:num w:numId="22">
    <w:abstractNumId w:val="28"/>
  </w:num>
  <w:num w:numId="23">
    <w:abstractNumId w:val="19"/>
  </w:num>
  <w:num w:numId="24">
    <w:abstractNumId w:val="29"/>
  </w:num>
  <w:num w:numId="25">
    <w:abstractNumId w:val="31"/>
  </w:num>
  <w:num w:numId="26">
    <w:abstractNumId w:val="21"/>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33"/>
  </w:num>
  <w:num w:numId="39">
    <w:abstractNumId w:val="25"/>
  </w:num>
  <w:num w:numId="40">
    <w:abstractNumId w:val="12"/>
  </w:num>
  <w:num w:numId="41">
    <w:abstractNumId w:val="34"/>
  </w:num>
  <w:num w:numId="42">
    <w:abstractNumId w:val="22"/>
  </w:num>
  <w:num w:numId="43">
    <w:abstractNumId w:val="8"/>
    <w:lvlOverride w:ilvl="0">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14"/>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8"/>
    <w:lvlOverride w:ilvl="0">
      <w:startOverride w:val="1"/>
    </w:lvlOverride>
  </w:num>
  <w:num w:numId="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39"/>
  </w:num>
  <w:num w:numId="61">
    <w:abstractNumId w:val="38"/>
  </w:num>
  <w:num w:numId="62">
    <w:abstractNumId w:val="37"/>
  </w:num>
  <w:num w:numId="63">
    <w:abstractNumId w:val="32"/>
  </w:num>
  <w:num w:numId="64">
    <w:abstractNumId w:val="13"/>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defaultTabStop w:val="340"/>
  <w:characterSpacingControl w:val="doNotCompress"/>
  <w:hdrShapeDefaults>
    <o:shapedefaults v:ext="edit" spidmax="67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weiji\Desktop\AER WACC\Cost of Equity\VicGAAR draft decisions\AER - WACC-VicGAAR AusNet decision Attachment 3 rate of return.docx"/>
  </w:docVars>
  <w:rsids>
    <w:rsidRoot w:val="00961A4A"/>
    <w:rsid w:val="00001DD2"/>
    <w:rsid w:val="00002B0F"/>
    <w:rsid w:val="000035FC"/>
    <w:rsid w:val="00003643"/>
    <w:rsid w:val="00003A32"/>
    <w:rsid w:val="00004D26"/>
    <w:rsid w:val="00005540"/>
    <w:rsid w:val="00007C77"/>
    <w:rsid w:val="00010955"/>
    <w:rsid w:val="00013867"/>
    <w:rsid w:val="00014C58"/>
    <w:rsid w:val="00021202"/>
    <w:rsid w:val="00021C2B"/>
    <w:rsid w:val="000225F4"/>
    <w:rsid w:val="00022ADD"/>
    <w:rsid w:val="0002321D"/>
    <w:rsid w:val="0002339A"/>
    <w:rsid w:val="0002517F"/>
    <w:rsid w:val="00027EFA"/>
    <w:rsid w:val="0003100F"/>
    <w:rsid w:val="00033F56"/>
    <w:rsid w:val="000343B1"/>
    <w:rsid w:val="0003563A"/>
    <w:rsid w:val="00035720"/>
    <w:rsid w:val="0003578C"/>
    <w:rsid w:val="00037B3E"/>
    <w:rsid w:val="00040EBF"/>
    <w:rsid w:val="00040F7D"/>
    <w:rsid w:val="00041684"/>
    <w:rsid w:val="00045500"/>
    <w:rsid w:val="000457EA"/>
    <w:rsid w:val="000470A3"/>
    <w:rsid w:val="0005025E"/>
    <w:rsid w:val="00050EE0"/>
    <w:rsid w:val="00051A1F"/>
    <w:rsid w:val="00053564"/>
    <w:rsid w:val="00053874"/>
    <w:rsid w:val="0005391C"/>
    <w:rsid w:val="00053BB0"/>
    <w:rsid w:val="00053CED"/>
    <w:rsid w:val="00054E05"/>
    <w:rsid w:val="00057463"/>
    <w:rsid w:val="000601FC"/>
    <w:rsid w:val="000611DB"/>
    <w:rsid w:val="00063247"/>
    <w:rsid w:val="00063EEC"/>
    <w:rsid w:val="00064FA9"/>
    <w:rsid w:val="00065B59"/>
    <w:rsid w:val="00066857"/>
    <w:rsid w:val="00067708"/>
    <w:rsid w:val="00070F9F"/>
    <w:rsid w:val="0007137B"/>
    <w:rsid w:val="00071487"/>
    <w:rsid w:val="00072776"/>
    <w:rsid w:val="00073092"/>
    <w:rsid w:val="00073541"/>
    <w:rsid w:val="0007424B"/>
    <w:rsid w:val="00074CBE"/>
    <w:rsid w:val="0007528C"/>
    <w:rsid w:val="00077027"/>
    <w:rsid w:val="000770C8"/>
    <w:rsid w:val="00077389"/>
    <w:rsid w:val="00077E9B"/>
    <w:rsid w:val="00077F0D"/>
    <w:rsid w:val="0008068D"/>
    <w:rsid w:val="00081507"/>
    <w:rsid w:val="00081BA4"/>
    <w:rsid w:val="0008430F"/>
    <w:rsid w:val="000854E7"/>
    <w:rsid w:val="00085663"/>
    <w:rsid w:val="00085EBF"/>
    <w:rsid w:val="000866E3"/>
    <w:rsid w:val="00086871"/>
    <w:rsid w:val="00086D61"/>
    <w:rsid w:val="00086D89"/>
    <w:rsid w:val="00087EB6"/>
    <w:rsid w:val="00092961"/>
    <w:rsid w:val="00092F0E"/>
    <w:rsid w:val="00094BDD"/>
    <w:rsid w:val="000A0378"/>
    <w:rsid w:val="000A077B"/>
    <w:rsid w:val="000A1E5B"/>
    <w:rsid w:val="000A3020"/>
    <w:rsid w:val="000A3B74"/>
    <w:rsid w:val="000A5386"/>
    <w:rsid w:val="000A6C7B"/>
    <w:rsid w:val="000B0705"/>
    <w:rsid w:val="000B3020"/>
    <w:rsid w:val="000B321F"/>
    <w:rsid w:val="000B3458"/>
    <w:rsid w:val="000B3F7D"/>
    <w:rsid w:val="000B4BF0"/>
    <w:rsid w:val="000B5500"/>
    <w:rsid w:val="000C2B40"/>
    <w:rsid w:val="000C3030"/>
    <w:rsid w:val="000C5E81"/>
    <w:rsid w:val="000D122C"/>
    <w:rsid w:val="000D21CB"/>
    <w:rsid w:val="000D24A6"/>
    <w:rsid w:val="000D262D"/>
    <w:rsid w:val="000D3361"/>
    <w:rsid w:val="000D34B6"/>
    <w:rsid w:val="000D40F2"/>
    <w:rsid w:val="000D56E0"/>
    <w:rsid w:val="000D5DA8"/>
    <w:rsid w:val="000D6927"/>
    <w:rsid w:val="000E1298"/>
    <w:rsid w:val="000E1303"/>
    <w:rsid w:val="000E14D2"/>
    <w:rsid w:val="000E16EB"/>
    <w:rsid w:val="000E1819"/>
    <w:rsid w:val="000E4821"/>
    <w:rsid w:val="000E594D"/>
    <w:rsid w:val="000E6C72"/>
    <w:rsid w:val="000E75FA"/>
    <w:rsid w:val="000F0455"/>
    <w:rsid w:val="000F18DA"/>
    <w:rsid w:val="000F5221"/>
    <w:rsid w:val="000F53E3"/>
    <w:rsid w:val="001003E9"/>
    <w:rsid w:val="001008D7"/>
    <w:rsid w:val="00101380"/>
    <w:rsid w:val="00101608"/>
    <w:rsid w:val="00102BA3"/>
    <w:rsid w:val="001043A2"/>
    <w:rsid w:val="001046E2"/>
    <w:rsid w:val="00110816"/>
    <w:rsid w:val="00113EAF"/>
    <w:rsid w:val="00114468"/>
    <w:rsid w:val="0011585C"/>
    <w:rsid w:val="001160B7"/>
    <w:rsid w:val="00116228"/>
    <w:rsid w:val="0011699D"/>
    <w:rsid w:val="00116EB2"/>
    <w:rsid w:val="00117F53"/>
    <w:rsid w:val="001203C4"/>
    <w:rsid w:val="00121C8C"/>
    <w:rsid w:val="0012247B"/>
    <w:rsid w:val="00122F86"/>
    <w:rsid w:val="0012319B"/>
    <w:rsid w:val="00123E0C"/>
    <w:rsid w:val="00124609"/>
    <w:rsid w:val="00125A18"/>
    <w:rsid w:val="001264FA"/>
    <w:rsid w:val="00126A4C"/>
    <w:rsid w:val="00126F0C"/>
    <w:rsid w:val="0013097A"/>
    <w:rsid w:val="00130F99"/>
    <w:rsid w:val="0013103E"/>
    <w:rsid w:val="00132A6D"/>
    <w:rsid w:val="00133D09"/>
    <w:rsid w:val="0013636F"/>
    <w:rsid w:val="00136452"/>
    <w:rsid w:val="001374B4"/>
    <w:rsid w:val="00141A6B"/>
    <w:rsid w:val="001429E3"/>
    <w:rsid w:val="001430EC"/>
    <w:rsid w:val="00143FA4"/>
    <w:rsid w:val="001444CA"/>
    <w:rsid w:val="001445E9"/>
    <w:rsid w:val="0014573B"/>
    <w:rsid w:val="00145971"/>
    <w:rsid w:val="00145D24"/>
    <w:rsid w:val="00146063"/>
    <w:rsid w:val="00146770"/>
    <w:rsid w:val="00146F07"/>
    <w:rsid w:val="00146F08"/>
    <w:rsid w:val="001502BF"/>
    <w:rsid w:val="001516D1"/>
    <w:rsid w:val="001537C1"/>
    <w:rsid w:val="001537E5"/>
    <w:rsid w:val="0015427D"/>
    <w:rsid w:val="0015508E"/>
    <w:rsid w:val="001573E4"/>
    <w:rsid w:val="00160756"/>
    <w:rsid w:val="0016298C"/>
    <w:rsid w:val="00162BD4"/>
    <w:rsid w:val="00164C41"/>
    <w:rsid w:val="0016738D"/>
    <w:rsid w:val="00171D80"/>
    <w:rsid w:val="0017232E"/>
    <w:rsid w:val="00173350"/>
    <w:rsid w:val="00174102"/>
    <w:rsid w:val="001754EE"/>
    <w:rsid w:val="001764A1"/>
    <w:rsid w:val="00176860"/>
    <w:rsid w:val="001769A2"/>
    <w:rsid w:val="00176FB0"/>
    <w:rsid w:val="00177E7C"/>
    <w:rsid w:val="00180157"/>
    <w:rsid w:val="00180347"/>
    <w:rsid w:val="00181281"/>
    <w:rsid w:val="0018307A"/>
    <w:rsid w:val="00183887"/>
    <w:rsid w:val="00185424"/>
    <w:rsid w:val="00185C55"/>
    <w:rsid w:val="00185CB9"/>
    <w:rsid w:val="00185FF8"/>
    <w:rsid w:val="00186DBF"/>
    <w:rsid w:val="00186F77"/>
    <w:rsid w:val="001877D0"/>
    <w:rsid w:val="001879B2"/>
    <w:rsid w:val="00190A8E"/>
    <w:rsid w:val="001921F2"/>
    <w:rsid w:val="001926A4"/>
    <w:rsid w:val="00192AD5"/>
    <w:rsid w:val="00193B5C"/>
    <w:rsid w:val="00196A6A"/>
    <w:rsid w:val="00196CC7"/>
    <w:rsid w:val="001975B2"/>
    <w:rsid w:val="001A1C41"/>
    <w:rsid w:val="001A5B2E"/>
    <w:rsid w:val="001A63AF"/>
    <w:rsid w:val="001A7089"/>
    <w:rsid w:val="001A7430"/>
    <w:rsid w:val="001A7BBB"/>
    <w:rsid w:val="001B041A"/>
    <w:rsid w:val="001B2529"/>
    <w:rsid w:val="001B45A0"/>
    <w:rsid w:val="001B51D7"/>
    <w:rsid w:val="001B547E"/>
    <w:rsid w:val="001B566E"/>
    <w:rsid w:val="001B5D4D"/>
    <w:rsid w:val="001C3BEA"/>
    <w:rsid w:val="001C5C0E"/>
    <w:rsid w:val="001C649A"/>
    <w:rsid w:val="001D055E"/>
    <w:rsid w:val="001D0DFC"/>
    <w:rsid w:val="001D12C1"/>
    <w:rsid w:val="001D35A1"/>
    <w:rsid w:val="001D46AF"/>
    <w:rsid w:val="001D4715"/>
    <w:rsid w:val="001D56B0"/>
    <w:rsid w:val="001D685F"/>
    <w:rsid w:val="001D69D5"/>
    <w:rsid w:val="001D70DE"/>
    <w:rsid w:val="001D7CC2"/>
    <w:rsid w:val="001E1FF5"/>
    <w:rsid w:val="001E2BC8"/>
    <w:rsid w:val="001E3638"/>
    <w:rsid w:val="001E3DDE"/>
    <w:rsid w:val="001E4057"/>
    <w:rsid w:val="001E4503"/>
    <w:rsid w:val="001E4D2A"/>
    <w:rsid w:val="001E5F8E"/>
    <w:rsid w:val="001E6895"/>
    <w:rsid w:val="001E6CAD"/>
    <w:rsid w:val="001F10BC"/>
    <w:rsid w:val="001F1F77"/>
    <w:rsid w:val="001F2A9E"/>
    <w:rsid w:val="001F3118"/>
    <w:rsid w:val="001F357B"/>
    <w:rsid w:val="001F492E"/>
    <w:rsid w:val="001F4C11"/>
    <w:rsid w:val="001F54F6"/>
    <w:rsid w:val="001F5D58"/>
    <w:rsid w:val="001F6DA3"/>
    <w:rsid w:val="002010BC"/>
    <w:rsid w:val="0020146B"/>
    <w:rsid w:val="002016E7"/>
    <w:rsid w:val="00201C6F"/>
    <w:rsid w:val="00202296"/>
    <w:rsid w:val="00202790"/>
    <w:rsid w:val="00202E03"/>
    <w:rsid w:val="00203878"/>
    <w:rsid w:val="00203DFA"/>
    <w:rsid w:val="0020492C"/>
    <w:rsid w:val="00205FDB"/>
    <w:rsid w:val="00206151"/>
    <w:rsid w:val="00206193"/>
    <w:rsid w:val="00206701"/>
    <w:rsid w:val="00206A59"/>
    <w:rsid w:val="00207719"/>
    <w:rsid w:val="002106AB"/>
    <w:rsid w:val="0021093F"/>
    <w:rsid w:val="002124B4"/>
    <w:rsid w:val="0021305D"/>
    <w:rsid w:val="00213CB7"/>
    <w:rsid w:val="002167CD"/>
    <w:rsid w:val="002168E3"/>
    <w:rsid w:val="0021761B"/>
    <w:rsid w:val="00217DF8"/>
    <w:rsid w:val="00217E4A"/>
    <w:rsid w:val="00220907"/>
    <w:rsid w:val="00220B09"/>
    <w:rsid w:val="002216D1"/>
    <w:rsid w:val="0022268B"/>
    <w:rsid w:val="00222E5F"/>
    <w:rsid w:val="00224657"/>
    <w:rsid w:val="00224819"/>
    <w:rsid w:val="00224DB9"/>
    <w:rsid w:val="002263EC"/>
    <w:rsid w:val="00226E14"/>
    <w:rsid w:val="002302BF"/>
    <w:rsid w:val="002310F9"/>
    <w:rsid w:val="00231C4B"/>
    <w:rsid w:val="00232F6B"/>
    <w:rsid w:val="00233775"/>
    <w:rsid w:val="00240CED"/>
    <w:rsid w:val="002435F7"/>
    <w:rsid w:val="00245D0E"/>
    <w:rsid w:val="00245FD7"/>
    <w:rsid w:val="00246596"/>
    <w:rsid w:val="002479C8"/>
    <w:rsid w:val="0025059A"/>
    <w:rsid w:val="00251270"/>
    <w:rsid w:val="00251745"/>
    <w:rsid w:val="002520D1"/>
    <w:rsid w:val="00254472"/>
    <w:rsid w:val="002624A3"/>
    <w:rsid w:val="002624DB"/>
    <w:rsid w:val="00263A15"/>
    <w:rsid w:val="00263AC0"/>
    <w:rsid w:val="00264264"/>
    <w:rsid w:val="002651FF"/>
    <w:rsid w:val="00265218"/>
    <w:rsid w:val="00265DD1"/>
    <w:rsid w:val="00266238"/>
    <w:rsid w:val="00266C03"/>
    <w:rsid w:val="00266FE4"/>
    <w:rsid w:val="0026772D"/>
    <w:rsid w:val="00270218"/>
    <w:rsid w:val="002715B8"/>
    <w:rsid w:val="00272584"/>
    <w:rsid w:val="00274BC8"/>
    <w:rsid w:val="0027602F"/>
    <w:rsid w:val="00276267"/>
    <w:rsid w:val="002770B4"/>
    <w:rsid w:val="002804DC"/>
    <w:rsid w:val="00280557"/>
    <w:rsid w:val="002809BE"/>
    <w:rsid w:val="002837FC"/>
    <w:rsid w:val="0028506E"/>
    <w:rsid w:val="00286874"/>
    <w:rsid w:val="00286CD1"/>
    <w:rsid w:val="002876B3"/>
    <w:rsid w:val="00290C63"/>
    <w:rsid w:val="0029130A"/>
    <w:rsid w:val="0029294F"/>
    <w:rsid w:val="00292A25"/>
    <w:rsid w:val="00293FA6"/>
    <w:rsid w:val="00294126"/>
    <w:rsid w:val="00294E33"/>
    <w:rsid w:val="00296B65"/>
    <w:rsid w:val="00296CB2"/>
    <w:rsid w:val="002972FD"/>
    <w:rsid w:val="00297B6A"/>
    <w:rsid w:val="00297BD6"/>
    <w:rsid w:val="00297C2E"/>
    <w:rsid w:val="002A0C23"/>
    <w:rsid w:val="002A118C"/>
    <w:rsid w:val="002A1425"/>
    <w:rsid w:val="002A1687"/>
    <w:rsid w:val="002A199E"/>
    <w:rsid w:val="002A234B"/>
    <w:rsid w:val="002A27CF"/>
    <w:rsid w:val="002A433D"/>
    <w:rsid w:val="002A4528"/>
    <w:rsid w:val="002A4AA6"/>
    <w:rsid w:val="002A5E10"/>
    <w:rsid w:val="002A64B4"/>
    <w:rsid w:val="002A73B5"/>
    <w:rsid w:val="002A7DEF"/>
    <w:rsid w:val="002B0E9B"/>
    <w:rsid w:val="002B12BD"/>
    <w:rsid w:val="002B18E5"/>
    <w:rsid w:val="002B1F1A"/>
    <w:rsid w:val="002B2285"/>
    <w:rsid w:val="002B33C7"/>
    <w:rsid w:val="002B346F"/>
    <w:rsid w:val="002C045A"/>
    <w:rsid w:val="002C0B62"/>
    <w:rsid w:val="002C0FE6"/>
    <w:rsid w:val="002C1DA6"/>
    <w:rsid w:val="002C233C"/>
    <w:rsid w:val="002C24D6"/>
    <w:rsid w:val="002C3581"/>
    <w:rsid w:val="002C3BEE"/>
    <w:rsid w:val="002C441B"/>
    <w:rsid w:val="002C49DA"/>
    <w:rsid w:val="002C5CF7"/>
    <w:rsid w:val="002C66FC"/>
    <w:rsid w:val="002C6F6E"/>
    <w:rsid w:val="002D0397"/>
    <w:rsid w:val="002D2266"/>
    <w:rsid w:val="002D22B7"/>
    <w:rsid w:val="002D2333"/>
    <w:rsid w:val="002D370F"/>
    <w:rsid w:val="002D4487"/>
    <w:rsid w:val="002D4DAA"/>
    <w:rsid w:val="002D5389"/>
    <w:rsid w:val="002D5CAE"/>
    <w:rsid w:val="002D701C"/>
    <w:rsid w:val="002D72E8"/>
    <w:rsid w:val="002D7F88"/>
    <w:rsid w:val="002E20F1"/>
    <w:rsid w:val="002E2FC2"/>
    <w:rsid w:val="002E61A7"/>
    <w:rsid w:val="002E6DEE"/>
    <w:rsid w:val="002E7B22"/>
    <w:rsid w:val="002F086F"/>
    <w:rsid w:val="002F0E35"/>
    <w:rsid w:val="002F333C"/>
    <w:rsid w:val="002F4EEF"/>
    <w:rsid w:val="002F56E5"/>
    <w:rsid w:val="002F5AB4"/>
    <w:rsid w:val="002F6361"/>
    <w:rsid w:val="002F7986"/>
    <w:rsid w:val="0030019B"/>
    <w:rsid w:val="00301B40"/>
    <w:rsid w:val="003029EE"/>
    <w:rsid w:val="003047CC"/>
    <w:rsid w:val="00304CCC"/>
    <w:rsid w:val="00304D51"/>
    <w:rsid w:val="003053D4"/>
    <w:rsid w:val="00305CC8"/>
    <w:rsid w:val="00307F6D"/>
    <w:rsid w:val="00310F69"/>
    <w:rsid w:val="0031162C"/>
    <w:rsid w:val="00312CA8"/>
    <w:rsid w:val="00312EC5"/>
    <w:rsid w:val="00315606"/>
    <w:rsid w:val="00315F1C"/>
    <w:rsid w:val="003162A1"/>
    <w:rsid w:val="0031707B"/>
    <w:rsid w:val="0031715E"/>
    <w:rsid w:val="003172FB"/>
    <w:rsid w:val="003177A2"/>
    <w:rsid w:val="0032011C"/>
    <w:rsid w:val="00320EBF"/>
    <w:rsid w:val="00321540"/>
    <w:rsid w:val="003215AF"/>
    <w:rsid w:val="003271B5"/>
    <w:rsid w:val="00327929"/>
    <w:rsid w:val="00327A1E"/>
    <w:rsid w:val="00327D21"/>
    <w:rsid w:val="00330965"/>
    <w:rsid w:val="00331264"/>
    <w:rsid w:val="0033359B"/>
    <w:rsid w:val="0033427B"/>
    <w:rsid w:val="00334C8D"/>
    <w:rsid w:val="003357F0"/>
    <w:rsid w:val="00336144"/>
    <w:rsid w:val="003362E7"/>
    <w:rsid w:val="003379AF"/>
    <w:rsid w:val="00340BAD"/>
    <w:rsid w:val="0034234A"/>
    <w:rsid w:val="0034344E"/>
    <w:rsid w:val="00343A18"/>
    <w:rsid w:val="00344E89"/>
    <w:rsid w:val="00345EDF"/>
    <w:rsid w:val="00346889"/>
    <w:rsid w:val="00346ADA"/>
    <w:rsid w:val="00346F38"/>
    <w:rsid w:val="003479F6"/>
    <w:rsid w:val="00351528"/>
    <w:rsid w:val="00351675"/>
    <w:rsid w:val="003518B3"/>
    <w:rsid w:val="00351AEB"/>
    <w:rsid w:val="00352220"/>
    <w:rsid w:val="003579AD"/>
    <w:rsid w:val="003603EC"/>
    <w:rsid w:val="0036117F"/>
    <w:rsid w:val="0036289C"/>
    <w:rsid w:val="003633B5"/>
    <w:rsid w:val="00363461"/>
    <w:rsid w:val="00363F90"/>
    <w:rsid w:val="00364C53"/>
    <w:rsid w:val="00364EE4"/>
    <w:rsid w:val="0036545E"/>
    <w:rsid w:val="003664FC"/>
    <w:rsid w:val="003707F4"/>
    <w:rsid w:val="003712BF"/>
    <w:rsid w:val="00371670"/>
    <w:rsid w:val="00371758"/>
    <w:rsid w:val="00373B1C"/>
    <w:rsid w:val="00375655"/>
    <w:rsid w:val="00376401"/>
    <w:rsid w:val="00376F04"/>
    <w:rsid w:val="00383824"/>
    <w:rsid w:val="00384163"/>
    <w:rsid w:val="003846F1"/>
    <w:rsid w:val="003857D1"/>
    <w:rsid w:val="00385F4D"/>
    <w:rsid w:val="0038658A"/>
    <w:rsid w:val="00386CA6"/>
    <w:rsid w:val="003903F6"/>
    <w:rsid w:val="00390756"/>
    <w:rsid w:val="003917E7"/>
    <w:rsid w:val="00392FFF"/>
    <w:rsid w:val="0039542D"/>
    <w:rsid w:val="00395B78"/>
    <w:rsid w:val="003A0850"/>
    <w:rsid w:val="003A25C1"/>
    <w:rsid w:val="003A48C5"/>
    <w:rsid w:val="003A52B7"/>
    <w:rsid w:val="003A7D32"/>
    <w:rsid w:val="003B0042"/>
    <w:rsid w:val="003B25AB"/>
    <w:rsid w:val="003B484F"/>
    <w:rsid w:val="003B5E1F"/>
    <w:rsid w:val="003B79F6"/>
    <w:rsid w:val="003B7FBA"/>
    <w:rsid w:val="003C21F4"/>
    <w:rsid w:val="003C2D86"/>
    <w:rsid w:val="003C303F"/>
    <w:rsid w:val="003C3081"/>
    <w:rsid w:val="003C3A9C"/>
    <w:rsid w:val="003C4BDD"/>
    <w:rsid w:val="003C4C42"/>
    <w:rsid w:val="003C5C21"/>
    <w:rsid w:val="003C78BA"/>
    <w:rsid w:val="003D0930"/>
    <w:rsid w:val="003D1D59"/>
    <w:rsid w:val="003D3B9A"/>
    <w:rsid w:val="003D5F40"/>
    <w:rsid w:val="003D7979"/>
    <w:rsid w:val="003E0046"/>
    <w:rsid w:val="003E0A44"/>
    <w:rsid w:val="003E3001"/>
    <w:rsid w:val="003E3DC3"/>
    <w:rsid w:val="003E4202"/>
    <w:rsid w:val="003E5F9E"/>
    <w:rsid w:val="003E6067"/>
    <w:rsid w:val="003E6448"/>
    <w:rsid w:val="003F174D"/>
    <w:rsid w:val="003F20B4"/>
    <w:rsid w:val="003F2AAC"/>
    <w:rsid w:val="003F32FC"/>
    <w:rsid w:val="003F5321"/>
    <w:rsid w:val="003F5E53"/>
    <w:rsid w:val="003F6971"/>
    <w:rsid w:val="004000B8"/>
    <w:rsid w:val="00400514"/>
    <w:rsid w:val="00400B32"/>
    <w:rsid w:val="0040215A"/>
    <w:rsid w:val="00404838"/>
    <w:rsid w:val="00405AB8"/>
    <w:rsid w:val="00405AF1"/>
    <w:rsid w:val="00406119"/>
    <w:rsid w:val="004062E0"/>
    <w:rsid w:val="00411771"/>
    <w:rsid w:val="0041295F"/>
    <w:rsid w:val="00415F31"/>
    <w:rsid w:val="00416D88"/>
    <w:rsid w:val="00420104"/>
    <w:rsid w:val="00421A98"/>
    <w:rsid w:val="00421AC1"/>
    <w:rsid w:val="00421CDD"/>
    <w:rsid w:val="004220C7"/>
    <w:rsid w:val="004231A8"/>
    <w:rsid w:val="00423A77"/>
    <w:rsid w:val="00423ABF"/>
    <w:rsid w:val="0042484D"/>
    <w:rsid w:val="00426D6F"/>
    <w:rsid w:val="004279C0"/>
    <w:rsid w:val="00431347"/>
    <w:rsid w:val="004325E9"/>
    <w:rsid w:val="00434E75"/>
    <w:rsid w:val="0043548D"/>
    <w:rsid w:val="004357D3"/>
    <w:rsid w:val="004358A8"/>
    <w:rsid w:val="00436092"/>
    <w:rsid w:val="004401B5"/>
    <w:rsid w:val="00440E96"/>
    <w:rsid w:val="00442B70"/>
    <w:rsid w:val="00442E6A"/>
    <w:rsid w:val="00442F6B"/>
    <w:rsid w:val="0044338D"/>
    <w:rsid w:val="0044491B"/>
    <w:rsid w:val="00451C27"/>
    <w:rsid w:val="00452704"/>
    <w:rsid w:val="004533A8"/>
    <w:rsid w:val="004534F5"/>
    <w:rsid w:val="004547D6"/>
    <w:rsid w:val="00455E57"/>
    <w:rsid w:val="004574AD"/>
    <w:rsid w:val="0045777E"/>
    <w:rsid w:val="004615B6"/>
    <w:rsid w:val="004625E2"/>
    <w:rsid w:val="0046271E"/>
    <w:rsid w:val="00462CE9"/>
    <w:rsid w:val="00464682"/>
    <w:rsid w:val="00464C22"/>
    <w:rsid w:val="00466044"/>
    <w:rsid w:val="00470832"/>
    <w:rsid w:val="00471D20"/>
    <w:rsid w:val="00475461"/>
    <w:rsid w:val="00475EF7"/>
    <w:rsid w:val="004766EF"/>
    <w:rsid w:val="00480AB2"/>
    <w:rsid w:val="00480B4B"/>
    <w:rsid w:val="0048197D"/>
    <w:rsid w:val="00481BBE"/>
    <w:rsid w:val="00481D2C"/>
    <w:rsid w:val="0048274C"/>
    <w:rsid w:val="0048292C"/>
    <w:rsid w:val="004830D0"/>
    <w:rsid w:val="0048386E"/>
    <w:rsid w:val="0048462F"/>
    <w:rsid w:val="00484671"/>
    <w:rsid w:val="004849EF"/>
    <w:rsid w:val="004858BF"/>
    <w:rsid w:val="00485DC4"/>
    <w:rsid w:val="00486EA0"/>
    <w:rsid w:val="00491349"/>
    <w:rsid w:val="00492389"/>
    <w:rsid w:val="004926A0"/>
    <w:rsid w:val="004930DE"/>
    <w:rsid w:val="00496561"/>
    <w:rsid w:val="004972C2"/>
    <w:rsid w:val="0049740C"/>
    <w:rsid w:val="004A13E0"/>
    <w:rsid w:val="004A17C3"/>
    <w:rsid w:val="004A3FF1"/>
    <w:rsid w:val="004A411C"/>
    <w:rsid w:val="004A43D1"/>
    <w:rsid w:val="004A4FC3"/>
    <w:rsid w:val="004A6C5A"/>
    <w:rsid w:val="004A7B39"/>
    <w:rsid w:val="004B20FC"/>
    <w:rsid w:val="004B4412"/>
    <w:rsid w:val="004B4659"/>
    <w:rsid w:val="004C348C"/>
    <w:rsid w:val="004C3627"/>
    <w:rsid w:val="004C4A72"/>
    <w:rsid w:val="004C574A"/>
    <w:rsid w:val="004C5BB1"/>
    <w:rsid w:val="004C69BA"/>
    <w:rsid w:val="004D0183"/>
    <w:rsid w:val="004D0AA1"/>
    <w:rsid w:val="004D26DF"/>
    <w:rsid w:val="004D3913"/>
    <w:rsid w:val="004D4888"/>
    <w:rsid w:val="004D55BA"/>
    <w:rsid w:val="004D6A10"/>
    <w:rsid w:val="004D6E57"/>
    <w:rsid w:val="004E1D72"/>
    <w:rsid w:val="004E22EC"/>
    <w:rsid w:val="004E42FF"/>
    <w:rsid w:val="004E4E6D"/>
    <w:rsid w:val="004E4F39"/>
    <w:rsid w:val="004E60A4"/>
    <w:rsid w:val="004F088A"/>
    <w:rsid w:val="004F1646"/>
    <w:rsid w:val="004F223F"/>
    <w:rsid w:val="004F6A0E"/>
    <w:rsid w:val="004F762D"/>
    <w:rsid w:val="00500D7A"/>
    <w:rsid w:val="00501F99"/>
    <w:rsid w:val="00503227"/>
    <w:rsid w:val="00506611"/>
    <w:rsid w:val="00506B1F"/>
    <w:rsid w:val="00506FAE"/>
    <w:rsid w:val="005105DF"/>
    <w:rsid w:val="0051093A"/>
    <w:rsid w:val="00510E5E"/>
    <w:rsid w:val="005130CC"/>
    <w:rsid w:val="00513224"/>
    <w:rsid w:val="005139FA"/>
    <w:rsid w:val="00513D40"/>
    <w:rsid w:val="005143A8"/>
    <w:rsid w:val="005143B3"/>
    <w:rsid w:val="0052093D"/>
    <w:rsid w:val="0052170E"/>
    <w:rsid w:val="00522EA2"/>
    <w:rsid w:val="00523509"/>
    <w:rsid w:val="00525368"/>
    <w:rsid w:val="00525EF1"/>
    <w:rsid w:val="00526EAA"/>
    <w:rsid w:val="00530128"/>
    <w:rsid w:val="005302D0"/>
    <w:rsid w:val="00530EA0"/>
    <w:rsid w:val="0053167B"/>
    <w:rsid w:val="00532467"/>
    <w:rsid w:val="00532B74"/>
    <w:rsid w:val="00534313"/>
    <w:rsid w:val="00534AC8"/>
    <w:rsid w:val="0053654F"/>
    <w:rsid w:val="005372B6"/>
    <w:rsid w:val="00537545"/>
    <w:rsid w:val="00540418"/>
    <w:rsid w:val="005422DC"/>
    <w:rsid w:val="0054334C"/>
    <w:rsid w:val="00544C12"/>
    <w:rsid w:val="00546551"/>
    <w:rsid w:val="00547AAC"/>
    <w:rsid w:val="00551D58"/>
    <w:rsid w:val="00553342"/>
    <w:rsid w:val="005537CC"/>
    <w:rsid w:val="00553BA5"/>
    <w:rsid w:val="00554B67"/>
    <w:rsid w:val="005553ED"/>
    <w:rsid w:val="0055669A"/>
    <w:rsid w:val="00561DD2"/>
    <w:rsid w:val="00562786"/>
    <w:rsid w:val="00563C02"/>
    <w:rsid w:val="00564A4D"/>
    <w:rsid w:val="0056513F"/>
    <w:rsid w:val="00566163"/>
    <w:rsid w:val="005661F5"/>
    <w:rsid w:val="00566A90"/>
    <w:rsid w:val="00567A88"/>
    <w:rsid w:val="00567BA5"/>
    <w:rsid w:val="00570C9B"/>
    <w:rsid w:val="005711CF"/>
    <w:rsid w:val="00571B35"/>
    <w:rsid w:val="00571D57"/>
    <w:rsid w:val="0057502F"/>
    <w:rsid w:val="00577A09"/>
    <w:rsid w:val="005829C2"/>
    <w:rsid w:val="00583598"/>
    <w:rsid w:val="005836E9"/>
    <w:rsid w:val="00584311"/>
    <w:rsid w:val="00584D8F"/>
    <w:rsid w:val="00585225"/>
    <w:rsid w:val="00585EC9"/>
    <w:rsid w:val="00587A9D"/>
    <w:rsid w:val="00591C17"/>
    <w:rsid w:val="00594D19"/>
    <w:rsid w:val="00597801"/>
    <w:rsid w:val="00597C6C"/>
    <w:rsid w:val="00597E38"/>
    <w:rsid w:val="005A28D5"/>
    <w:rsid w:val="005A2B3B"/>
    <w:rsid w:val="005A2CC8"/>
    <w:rsid w:val="005A3C88"/>
    <w:rsid w:val="005A404D"/>
    <w:rsid w:val="005A5876"/>
    <w:rsid w:val="005A6140"/>
    <w:rsid w:val="005A61F0"/>
    <w:rsid w:val="005A6F9E"/>
    <w:rsid w:val="005B0820"/>
    <w:rsid w:val="005B1D7B"/>
    <w:rsid w:val="005B1E3C"/>
    <w:rsid w:val="005B1EDD"/>
    <w:rsid w:val="005B24D0"/>
    <w:rsid w:val="005B313B"/>
    <w:rsid w:val="005B3C75"/>
    <w:rsid w:val="005B5A47"/>
    <w:rsid w:val="005B5DA6"/>
    <w:rsid w:val="005B704A"/>
    <w:rsid w:val="005B7738"/>
    <w:rsid w:val="005C0D5D"/>
    <w:rsid w:val="005C106B"/>
    <w:rsid w:val="005C20C3"/>
    <w:rsid w:val="005C2692"/>
    <w:rsid w:val="005C26CC"/>
    <w:rsid w:val="005C2998"/>
    <w:rsid w:val="005D015E"/>
    <w:rsid w:val="005D04E2"/>
    <w:rsid w:val="005D13D4"/>
    <w:rsid w:val="005D2377"/>
    <w:rsid w:val="005D30C9"/>
    <w:rsid w:val="005D500D"/>
    <w:rsid w:val="005D51C4"/>
    <w:rsid w:val="005D653A"/>
    <w:rsid w:val="005D6F2B"/>
    <w:rsid w:val="005D7BA2"/>
    <w:rsid w:val="005D7D02"/>
    <w:rsid w:val="005E1332"/>
    <w:rsid w:val="005E1B9C"/>
    <w:rsid w:val="005E1C36"/>
    <w:rsid w:val="005E2D1E"/>
    <w:rsid w:val="005E36C2"/>
    <w:rsid w:val="005E3878"/>
    <w:rsid w:val="005E4CB5"/>
    <w:rsid w:val="005E5104"/>
    <w:rsid w:val="005E629E"/>
    <w:rsid w:val="005E6E22"/>
    <w:rsid w:val="005E7E99"/>
    <w:rsid w:val="005F0B63"/>
    <w:rsid w:val="005F17A2"/>
    <w:rsid w:val="005F2BC3"/>
    <w:rsid w:val="005F2F84"/>
    <w:rsid w:val="005F3BAD"/>
    <w:rsid w:val="005F3CA6"/>
    <w:rsid w:val="005F7600"/>
    <w:rsid w:val="005F79FF"/>
    <w:rsid w:val="006009F1"/>
    <w:rsid w:val="0060124E"/>
    <w:rsid w:val="00603D2C"/>
    <w:rsid w:val="00604AA9"/>
    <w:rsid w:val="006051BD"/>
    <w:rsid w:val="00607987"/>
    <w:rsid w:val="006102B5"/>
    <w:rsid w:val="00611F7C"/>
    <w:rsid w:val="006122EE"/>
    <w:rsid w:val="00612F4F"/>
    <w:rsid w:val="0061513E"/>
    <w:rsid w:val="00615485"/>
    <w:rsid w:val="00615C6B"/>
    <w:rsid w:val="00615DA8"/>
    <w:rsid w:val="00616770"/>
    <w:rsid w:val="00621452"/>
    <w:rsid w:val="00621937"/>
    <w:rsid w:val="00621BB0"/>
    <w:rsid w:val="00621CD6"/>
    <w:rsid w:val="00621DCE"/>
    <w:rsid w:val="00622BD5"/>
    <w:rsid w:val="00623502"/>
    <w:rsid w:val="006264C5"/>
    <w:rsid w:val="006308A6"/>
    <w:rsid w:val="00631982"/>
    <w:rsid w:val="0063233A"/>
    <w:rsid w:val="00632D6D"/>
    <w:rsid w:val="00634A68"/>
    <w:rsid w:val="00635B0D"/>
    <w:rsid w:val="00635D29"/>
    <w:rsid w:val="00636ED5"/>
    <w:rsid w:val="0063759E"/>
    <w:rsid w:val="00640296"/>
    <w:rsid w:val="00640B09"/>
    <w:rsid w:val="00641C5E"/>
    <w:rsid w:val="00642C3E"/>
    <w:rsid w:val="00643825"/>
    <w:rsid w:val="00646EDA"/>
    <w:rsid w:val="006527D1"/>
    <w:rsid w:val="0065306C"/>
    <w:rsid w:val="006537AA"/>
    <w:rsid w:val="00654111"/>
    <w:rsid w:val="006545EE"/>
    <w:rsid w:val="00654881"/>
    <w:rsid w:val="0065573A"/>
    <w:rsid w:val="006560A1"/>
    <w:rsid w:val="006566E4"/>
    <w:rsid w:val="0066104A"/>
    <w:rsid w:val="00661449"/>
    <w:rsid w:val="0066180C"/>
    <w:rsid w:val="00662E2D"/>
    <w:rsid w:val="00663DAD"/>
    <w:rsid w:val="00664144"/>
    <w:rsid w:val="00664172"/>
    <w:rsid w:val="00664C18"/>
    <w:rsid w:val="00664F75"/>
    <w:rsid w:val="00665696"/>
    <w:rsid w:val="00666644"/>
    <w:rsid w:val="00666F6A"/>
    <w:rsid w:val="00670389"/>
    <w:rsid w:val="00670F36"/>
    <w:rsid w:val="00671C3B"/>
    <w:rsid w:val="00673193"/>
    <w:rsid w:val="00673895"/>
    <w:rsid w:val="00674A3E"/>
    <w:rsid w:val="00675E20"/>
    <w:rsid w:val="00676679"/>
    <w:rsid w:val="00677559"/>
    <w:rsid w:val="00680BC2"/>
    <w:rsid w:val="00683180"/>
    <w:rsid w:val="00683922"/>
    <w:rsid w:val="00683C89"/>
    <w:rsid w:val="006840C4"/>
    <w:rsid w:val="00685E84"/>
    <w:rsid w:val="006860E3"/>
    <w:rsid w:val="00686D7A"/>
    <w:rsid w:val="00690C71"/>
    <w:rsid w:val="00690F3B"/>
    <w:rsid w:val="006912FE"/>
    <w:rsid w:val="006914B3"/>
    <w:rsid w:val="00692233"/>
    <w:rsid w:val="00692747"/>
    <w:rsid w:val="006935DE"/>
    <w:rsid w:val="00693AC0"/>
    <w:rsid w:val="0069475D"/>
    <w:rsid w:val="00694D65"/>
    <w:rsid w:val="00697C2E"/>
    <w:rsid w:val="006A07DE"/>
    <w:rsid w:val="006A08A8"/>
    <w:rsid w:val="006A3314"/>
    <w:rsid w:val="006A54DD"/>
    <w:rsid w:val="006A674D"/>
    <w:rsid w:val="006A6FF1"/>
    <w:rsid w:val="006B0F74"/>
    <w:rsid w:val="006B1751"/>
    <w:rsid w:val="006B2395"/>
    <w:rsid w:val="006B240A"/>
    <w:rsid w:val="006B3297"/>
    <w:rsid w:val="006B4166"/>
    <w:rsid w:val="006B4CF9"/>
    <w:rsid w:val="006B6535"/>
    <w:rsid w:val="006B701F"/>
    <w:rsid w:val="006B74FD"/>
    <w:rsid w:val="006B7AC8"/>
    <w:rsid w:val="006B7CB4"/>
    <w:rsid w:val="006C0FE7"/>
    <w:rsid w:val="006C1736"/>
    <w:rsid w:val="006C1C22"/>
    <w:rsid w:val="006C250D"/>
    <w:rsid w:val="006C39E1"/>
    <w:rsid w:val="006C46AA"/>
    <w:rsid w:val="006C4D48"/>
    <w:rsid w:val="006C50C0"/>
    <w:rsid w:val="006C50DC"/>
    <w:rsid w:val="006C5D3A"/>
    <w:rsid w:val="006C60B8"/>
    <w:rsid w:val="006D0F60"/>
    <w:rsid w:val="006D5008"/>
    <w:rsid w:val="006D550F"/>
    <w:rsid w:val="006D5A42"/>
    <w:rsid w:val="006D79D2"/>
    <w:rsid w:val="006D7B5C"/>
    <w:rsid w:val="006D7C0A"/>
    <w:rsid w:val="006E04B7"/>
    <w:rsid w:val="006E238F"/>
    <w:rsid w:val="006E27DA"/>
    <w:rsid w:val="006E2CB2"/>
    <w:rsid w:val="006E3B1E"/>
    <w:rsid w:val="006E4294"/>
    <w:rsid w:val="006E4ADB"/>
    <w:rsid w:val="006E5878"/>
    <w:rsid w:val="006E7560"/>
    <w:rsid w:val="006E7A1B"/>
    <w:rsid w:val="006F017B"/>
    <w:rsid w:val="006F0977"/>
    <w:rsid w:val="006F23AB"/>
    <w:rsid w:val="006F2F74"/>
    <w:rsid w:val="006F321C"/>
    <w:rsid w:val="006F4A26"/>
    <w:rsid w:val="006F789C"/>
    <w:rsid w:val="006F79E0"/>
    <w:rsid w:val="006F7DD8"/>
    <w:rsid w:val="00701CAB"/>
    <w:rsid w:val="0070354B"/>
    <w:rsid w:val="00703D76"/>
    <w:rsid w:val="00704113"/>
    <w:rsid w:val="00705158"/>
    <w:rsid w:val="00707563"/>
    <w:rsid w:val="00710664"/>
    <w:rsid w:val="00711D8E"/>
    <w:rsid w:val="0071290C"/>
    <w:rsid w:val="00713956"/>
    <w:rsid w:val="007139C9"/>
    <w:rsid w:val="00713A24"/>
    <w:rsid w:val="00720341"/>
    <w:rsid w:val="0072043B"/>
    <w:rsid w:val="0072095B"/>
    <w:rsid w:val="00721978"/>
    <w:rsid w:val="00722D01"/>
    <w:rsid w:val="0072348C"/>
    <w:rsid w:val="00724A37"/>
    <w:rsid w:val="0072561F"/>
    <w:rsid w:val="0072585D"/>
    <w:rsid w:val="00726969"/>
    <w:rsid w:val="00727F48"/>
    <w:rsid w:val="007303C3"/>
    <w:rsid w:val="00730B4E"/>
    <w:rsid w:val="00731756"/>
    <w:rsid w:val="00732CA0"/>
    <w:rsid w:val="007331A8"/>
    <w:rsid w:val="00733A68"/>
    <w:rsid w:val="0073458B"/>
    <w:rsid w:val="00734A68"/>
    <w:rsid w:val="00734BA4"/>
    <w:rsid w:val="00735D0E"/>
    <w:rsid w:val="00736065"/>
    <w:rsid w:val="007370F1"/>
    <w:rsid w:val="00740003"/>
    <w:rsid w:val="0074015D"/>
    <w:rsid w:val="00741EB2"/>
    <w:rsid w:val="00741ED0"/>
    <w:rsid w:val="0074257E"/>
    <w:rsid w:val="007429BE"/>
    <w:rsid w:val="00742A53"/>
    <w:rsid w:val="00742E6B"/>
    <w:rsid w:val="00743223"/>
    <w:rsid w:val="007444D0"/>
    <w:rsid w:val="007447DC"/>
    <w:rsid w:val="00744C5A"/>
    <w:rsid w:val="00744D2E"/>
    <w:rsid w:val="00745A20"/>
    <w:rsid w:val="00746513"/>
    <w:rsid w:val="00746E01"/>
    <w:rsid w:val="00746EBA"/>
    <w:rsid w:val="00747A2C"/>
    <w:rsid w:val="00747FAF"/>
    <w:rsid w:val="00752D2C"/>
    <w:rsid w:val="00752D37"/>
    <w:rsid w:val="0075491B"/>
    <w:rsid w:val="00754B64"/>
    <w:rsid w:val="0075658F"/>
    <w:rsid w:val="00757364"/>
    <w:rsid w:val="00757BDF"/>
    <w:rsid w:val="007609D0"/>
    <w:rsid w:val="00760D8E"/>
    <w:rsid w:val="007611E3"/>
    <w:rsid w:val="007614DD"/>
    <w:rsid w:val="00761D90"/>
    <w:rsid w:val="00762CF4"/>
    <w:rsid w:val="00763E2F"/>
    <w:rsid w:val="00763E5D"/>
    <w:rsid w:val="00764374"/>
    <w:rsid w:val="00765078"/>
    <w:rsid w:val="00765BEF"/>
    <w:rsid w:val="00767740"/>
    <w:rsid w:val="007725F2"/>
    <w:rsid w:val="00772B77"/>
    <w:rsid w:val="00773136"/>
    <w:rsid w:val="00774576"/>
    <w:rsid w:val="007768D8"/>
    <w:rsid w:val="00777EE6"/>
    <w:rsid w:val="00781335"/>
    <w:rsid w:val="00781C71"/>
    <w:rsid w:val="00781E59"/>
    <w:rsid w:val="00782C6C"/>
    <w:rsid w:val="00782EEA"/>
    <w:rsid w:val="00783308"/>
    <w:rsid w:val="00783A3A"/>
    <w:rsid w:val="00785D7C"/>
    <w:rsid w:val="00786193"/>
    <w:rsid w:val="00786686"/>
    <w:rsid w:val="0078790F"/>
    <w:rsid w:val="007902A4"/>
    <w:rsid w:val="00790A6F"/>
    <w:rsid w:val="007927B0"/>
    <w:rsid w:val="00792C6E"/>
    <w:rsid w:val="00792C71"/>
    <w:rsid w:val="00792E0F"/>
    <w:rsid w:val="007938E5"/>
    <w:rsid w:val="00796270"/>
    <w:rsid w:val="007967C0"/>
    <w:rsid w:val="00796D18"/>
    <w:rsid w:val="00797315"/>
    <w:rsid w:val="007A06BC"/>
    <w:rsid w:val="007A1B84"/>
    <w:rsid w:val="007A2F93"/>
    <w:rsid w:val="007A3121"/>
    <w:rsid w:val="007A3664"/>
    <w:rsid w:val="007A4042"/>
    <w:rsid w:val="007A451A"/>
    <w:rsid w:val="007A6AAE"/>
    <w:rsid w:val="007A733B"/>
    <w:rsid w:val="007B0F66"/>
    <w:rsid w:val="007B186E"/>
    <w:rsid w:val="007B2C72"/>
    <w:rsid w:val="007B4ABA"/>
    <w:rsid w:val="007B74B0"/>
    <w:rsid w:val="007C0B31"/>
    <w:rsid w:val="007C1C53"/>
    <w:rsid w:val="007C3F16"/>
    <w:rsid w:val="007C4678"/>
    <w:rsid w:val="007C5138"/>
    <w:rsid w:val="007C54D6"/>
    <w:rsid w:val="007C54F1"/>
    <w:rsid w:val="007C6250"/>
    <w:rsid w:val="007C695E"/>
    <w:rsid w:val="007C74BB"/>
    <w:rsid w:val="007C7B20"/>
    <w:rsid w:val="007D0613"/>
    <w:rsid w:val="007D1631"/>
    <w:rsid w:val="007D1C3D"/>
    <w:rsid w:val="007D456E"/>
    <w:rsid w:val="007D713F"/>
    <w:rsid w:val="007D7D01"/>
    <w:rsid w:val="007E1962"/>
    <w:rsid w:val="007E1D96"/>
    <w:rsid w:val="007E1EA4"/>
    <w:rsid w:val="007E1FD6"/>
    <w:rsid w:val="007E21A1"/>
    <w:rsid w:val="007E23EF"/>
    <w:rsid w:val="007E4904"/>
    <w:rsid w:val="007E4CB5"/>
    <w:rsid w:val="007E4ED7"/>
    <w:rsid w:val="007E5FF4"/>
    <w:rsid w:val="007E7382"/>
    <w:rsid w:val="007F066B"/>
    <w:rsid w:val="007F07BE"/>
    <w:rsid w:val="007F291D"/>
    <w:rsid w:val="007F2D66"/>
    <w:rsid w:val="007F2F06"/>
    <w:rsid w:val="007F4229"/>
    <w:rsid w:val="007F5460"/>
    <w:rsid w:val="007F5DCB"/>
    <w:rsid w:val="007F72E0"/>
    <w:rsid w:val="00800A30"/>
    <w:rsid w:val="00802835"/>
    <w:rsid w:val="008033C4"/>
    <w:rsid w:val="00803E93"/>
    <w:rsid w:val="0080518E"/>
    <w:rsid w:val="00805410"/>
    <w:rsid w:val="00806C88"/>
    <w:rsid w:val="0081034E"/>
    <w:rsid w:val="00812595"/>
    <w:rsid w:val="00812CD4"/>
    <w:rsid w:val="00813684"/>
    <w:rsid w:val="00813F7B"/>
    <w:rsid w:val="008170C4"/>
    <w:rsid w:val="00817EEF"/>
    <w:rsid w:val="0082114E"/>
    <w:rsid w:val="00821AEE"/>
    <w:rsid w:val="00821CEB"/>
    <w:rsid w:val="00821F59"/>
    <w:rsid w:val="00822B7D"/>
    <w:rsid w:val="008234C3"/>
    <w:rsid w:val="00824493"/>
    <w:rsid w:val="00826060"/>
    <w:rsid w:val="00827E36"/>
    <w:rsid w:val="00830FA0"/>
    <w:rsid w:val="008344F6"/>
    <w:rsid w:val="0083510F"/>
    <w:rsid w:val="00836286"/>
    <w:rsid w:val="00837142"/>
    <w:rsid w:val="00837438"/>
    <w:rsid w:val="0084079E"/>
    <w:rsid w:val="008423B5"/>
    <w:rsid w:val="00842AFA"/>
    <w:rsid w:val="00842D08"/>
    <w:rsid w:val="00842E66"/>
    <w:rsid w:val="008432D8"/>
    <w:rsid w:val="008433AB"/>
    <w:rsid w:val="00844CE3"/>
    <w:rsid w:val="0084645D"/>
    <w:rsid w:val="00847513"/>
    <w:rsid w:val="00851209"/>
    <w:rsid w:val="008520D1"/>
    <w:rsid w:val="008525C4"/>
    <w:rsid w:val="0085280E"/>
    <w:rsid w:val="00853443"/>
    <w:rsid w:val="00855149"/>
    <w:rsid w:val="008556CC"/>
    <w:rsid w:val="00855F46"/>
    <w:rsid w:val="0086018D"/>
    <w:rsid w:val="008601AE"/>
    <w:rsid w:val="00862CD5"/>
    <w:rsid w:val="0086418D"/>
    <w:rsid w:val="00866292"/>
    <w:rsid w:val="00866B7A"/>
    <w:rsid w:val="0086791F"/>
    <w:rsid w:val="00867D79"/>
    <w:rsid w:val="0087102E"/>
    <w:rsid w:val="0087187D"/>
    <w:rsid w:val="0087365A"/>
    <w:rsid w:val="008748BA"/>
    <w:rsid w:val="008748DA"/>
    <w:rsid w:val="00874D5D"/>
    <w:rsid w:val="008764CF"/>
    <w:rsid w:val="0087675F"/>
    <w:rsid w:val="0087773E"/>
    <w:rsid w:val="00880B84"/>
    <w:rsid w:val="00880CE2"/>
    <w:rsid w:val="008820F0"/>
    <w:rsid w:val="00882F3D"/>
    <w:rsid w:val="00882F6A"/>
    <w:rsid w:val="008837AC"/>
    <w:rsid w:val="008847AF"/>
    <w:rsid w:val="00884E51"/>
    <w:rsid w:val="0088556A"/>
    <w:rsid w:val="00885C16"/>
    <w:rsid w:val="00886B7C"/>
    <w:rsid w:val="00887AF3"/>
    <w:rsid w:val="00887E90"/>
    <w:rsid w:val="0089007A"/>
    <w:rsid w:val="008908AB"/>
    <w:rsid w:val="00891CF4"/>
    <w:rsid w:val="00892103"/>
    <w:rsid w:val="00892AAD"/>
    <w:rsid w:val="00892BC8"/>
    <w:rsid w:val="0089309D"/>
    <w:rsid w:val="00894A39"/>
    <w:rsid w:val="00895145"/>
    <w:rsid w:val="008A0A6F"/>
    <w:rsid w:val="008A1244"/>
    <w:rsid w:val="008A12C8"/>
    <w:rsid w:val="008A451E"/>
    <w:rsid w:val="008A4EA6"/>
    <w:rsid w:val="008A5008"/>
    <w:rsid w:val="008A587D"/>
    <w:rsid w:val="008B13F0"/>
    <w:rsid w:val="008B2351"/>
    <w:rsid w:val="008B265F"/>
    <w:rsid w:val="008B296E"/>
    <w:rsid w:val="008B35CD"/>
    <w:rsid w:val="008B3640"/>
    <w:rsid w:val="008B3AE9"/>
    <w:rsid w:val="008B41F6"/>
    <w:rsid w:val="008B5304"/>
    <w:rsid w:val="008B5FCC"/>
    <w:rsid w:val="008B721C"/>
    <w:rsid w:val="008C025E"/>
    <w:rsid w:val="008C22C1"/>
    <w:rsid w:val="008C4977"/>
    <w:rsid w:val="008C53C2"/>
    <w:rsid w:val="008C5486"/>
    <w:rsid w:val="008C7DD1"/>
    <w:rsid w:val="008D059E"/>
    <w:rsid w:val="008D0A2C"/>
    <w:rsid w:val="008D161E"/>
    <w:rsid w:val="008D1661"/>
    <w:rsid w:val="008D170F"/>
    <w:rsid w:val="008D18DD"/>
    <w:rsid w:val="008D2F88"/>
    <w:rsid w:val="008D5101"/>
    <w:rsid w:val="008D52B7"/>
    <w:rsid w:val="008D591E"/>
    <w:rsid w:val="008D594A"/>
    <w:rsid w:val="008D5A7E"/>
    <w:rsid w:val="008D75FD"/>
    <w:rsid w:val="008D77C8"/>
    <w:rsid w:val="008E2AF1"/>
    <w:rsid w:val="008E2DAE"/>
    <w:rsid w:val="008E4B4A"/>
    <w:rsid w:val="008E4C50"/>
    <w:rsid w:val="008E632F"/>
    <w:rsid w:val="008E7031"/>
    <w:rsid w:val="008E77DE"/>
    <w:rsid w:val="008F07A3"/>
    <w:rsid w:val="008F49AA"/>
    <w:rsid w:val="008F4F9A"/>
    <w:rsid w:val="008F6EFD"/>
    <w:rsid w:val="009001B6"/>
    <w:rsid w:val="00900E1B"/>
    <w:rsid w:val="00901E2A"/>
    <w:rsid w:val="009029F5"/>
    <w:rsid w:val="0090431C"/>
    <w:rsid w:val="00904E21"/>
    <w:rsid w:val="00905FEC"/>
    <w:rsid w:val="00906349"/>
    <w:rsid w:val="00906737"/>
    <w:rsid w:val="00907B76"/>
    <w:rsid w:val="00907E8E"/>
    <w:rsid w:val="00910B99"/>
    <w:rsid w:val="00911284"/>
    <w:rsid w:val="0091128B"/>
    <w:rsid w:val="00911C09"/>
    <w:rsid w:val="00913086"/>
    <w:rsid w:val="00913DCE"/>
    <w:rsid w:val="00916458"/>
    <w:rsid w:val="009173F5"/>
    <w:rsid w:val="009211CA"/>
    <w:rsid w:val="009233EE"/>
    <w:rsid w:val="009255B7"/>
    <w:rsid w:val="00926420"/>
    <w:rsid w:val="00927F59"/>
    <w:rsid w:val="009306AC"/>
    <w:rsid w:val="00932975"/>
    <w:rsid w:val="00933B54"/>
    <w:rsid w:val="009353CC"/>
    <w:rsid w:val="00936232"/>
    <w:rsid w:val="00936ADE"/>
    <w:rsid w:val="00936E77"/>
    <w:rsid w:val="009377B4"/>
    <w:rsid w:val="00945C0A"/>
    <w:rsid w:val="009460AA"/>
    <w:rsid w:val="00950A65"/>
    <w:rsid w:val="00951710"/>
    <w:rsid w:val="00951978"/>
    <w:rsid w:val="009553E3"/>
    <w:rsid w:val="00955942"/>
    <w:rsid w:val="00955B8B"/>
    <w:rsid w:val="009565DB"/>
    <w:rsid w:val="00956D15"/>
    <w:rsid w:val="0095716E"/>
    <w:rsid w:val="0095792D"/>
    <w:rsid w:val="00961A4A"/>
    <w:rsid w:val="00965F4A"/>
    <w:rsid w:val="009661DE"/>
    <w:rsid w:val="00967B19"/>
    <w:rsid w:val="009719F8"/>
    <w:rsid w:val="00975554"/>
    <w:rsid w:val="00981A64"/>
    <w:rsid w:val="00982130"/>
    <w:rsid w:val="0098399B"/>
    <w:rsid w:val="00983C25"/>
    <w:rsid w:val="00984AF6"/>
    <w:rsid w:val="00984E2B"/>
    <w:rsid w:val="009856B7"/>
    <w:rsid w:val="00985825"/>
    <w:rsid w:val="00985C86"/>
    <w:rsid w:val="00987246"/>
    <w:rsid w:val="00991929"/>
    <w:rsid w:val="00991FC6"/>
    <w:rsid w:val="009925EE"/>
    <w:rsid w:val="009946DD"/>
    <w:rsid w:val="00995A4D"/>
    <w:rsid w:val="00996349"/>
    <w:rsid w:val="00996A8E"/>
    <w:rsid w:val="00996F81"/>
    <w:rsid w:val="009A03CB"/>
    <w:rsid w:val="009A0AD2"/>
    <w:rsid w:val="009A1909"/>
    <w:rsid w:val="009A1A4E"/>
    <w:rsid w:val="009A3399"/>
    <w:rsid w:val="009A3E3B"/>
    <w:rsid w:val="009A5289"/>
    <w:rsid w:val="009A5FC3"/>
    <w:rsid w:val="009A630C"/>
    <w:rsid w:val="009A792A"/>
    <w:rsid w:val="009A7D9D"/>
    <w:rsid w:val="009B02F6"/>
    <w:rsid w:val="009B0342"/>
    <w:rsid w:val="009B090B"/>
    <w:rsid w:val="009B0A04"/>
    <w:rsid w:val="009B2506"/>
    <w:rsid w:val="009B2562"/>
    <w:rsid w:val="009B30A8"/>
    <w:rsid w:val="009B6517"/>
    <w:rsid w:val="009B74B0"/>
    <w:rsid w:val="009C0D47"/>
    <w:rsid w:val="009C2886"/>
    <w:rsid w:val="009C2AEA"/>
    <w:rsid w:val="009C6C9B"/>
    <w:rsid w:val="009D0037"/>
    <w:rsid w:val="009D04B5"/>
    <w:rsid w:val="009D1AA8"/>
    <w:rsid w:val="009D1E8B"/>
    <w:rsid w:val="009D232F"/>
    <w:rsid w:val="009D35A0"/>
    <w:rsid w:val="009D3906"/>
    <w:rsid w:val="009D3C6E"/>
    <w:rsid w:val="009D68F7"/>
    <w:rsid w:val="009D6B46"/>
    <w:rsid w:val="009D6D71"/>
    <w:rsid w:val="009E05E3"/>
    <w:rsid w:val="009E2AB3"/>
    <w:rsid w:val="009E2F4C"/>
    <w:rsid w:val="009E33AA"/>
    <w:rsid w:val="009E40AA"/>
    <w:rsid w:val="009E42D0"/>
    <w:rsid w:val="009E4AE0"/>
    <w:rsid w:val="009E5768"/>
    <w:rsid w:val="009E6455"/>
    <w:rsid w:val="009F0858"/>
    <w:rsid w:val="009F0978"/>
    <w:rsid w:val="009F4934"/>
    <w:rsid w:val="009F4940"/>
    <w:rsid w:val="009F580A"/>
    <w:rsid w:val="009F580B"/>
    <w:rsid w:val="009F5BA1"/>
    <w:rsid w:val="009F5F73"/>
    <w:rsid w:val="009F7D87"/>
    <w:rsid w:val="00A00904"/>
    <w:rsid w:val="00A0245F"/>
    <w:rsid w:val="00A0278F"/>
    <w:rsid w:val="00A02A88"/>
    <w:rsid w:val="00A04813"/>
    <w:rsid w:val="00A0562E"/>
    <w:rsid w:val="00A06940"/>
    <w:rsid w:val="00A07066"/>
    <w:rsid w:val="00A0726D"/>
    <w:rsid w:val="00A07CE8"/>
    <w:rsid w:val="00A10224"/>
    <w:rsid w:val="00A10232"/>
    <w:rsid w:val="00A107B3"/>
    <w:rsid w:val="00A1232E"/>
    <w:rsid w:val="00A13D81"/>
    <w:rsid w:val="00A1534C"/>
    <w:rsid w:val="00A164C0"/>
    <w:rsid w:val="00A16CC8"/>
    <w:rsid w:val="00A205CE"/>
    <w:rsid w:val="00A210B3"/>
    <w:rsid w:val="00A2305F"/>
    <w:rsid w:val="00A23B57"/>
    <w:rsid w:val="00A24460"/>
    <w:rsid w:val="00A24A52"/>
    <w:rsid w:val="00A24DED"/>
    <w:rsid w:val="00A25AD7"/>
    <w:rsid w:val="00A25BB4"/>
    <w:rsid w:val="00A30F00"/>
    <w:rsid w:val="00A3214C"/>
    <w:rsid w:val="00A328F8"/>
    <w:rsid w:val="00A32FBB"/>
    <w:rsid w:val="00A338E5"/>
    <w:rsid w:val="00A33926"/>
    <w:rsid w:val="00A34043"/>
    <w:rsid w:val="00A344D3"/>
    <w:rsid w:val="00A3486A"/>
    <w:rsid w:val="00A4070F"/>
    <w:rsid w:val="00A428EE"/>
    <w:rsid w:val="00A4295D"/>
    <w:rsid w:val="00A42F74"/>
    <w:rsid w:val="00A44745"/>
    <w:rsid w:val="00A4478A"/>
    <w:rsid w:val="00A44852"/>
    <w:rsid w:val="00A4701A"/>
    <w:rsid w:val="00A4740A"/>
    <w:rsid w:val="00A509B8"/>
    <w:rsid w:val="00A525C4"/>
    <w:rsid w:val="00A52B55"/>
    <w:rsid w:val="00A53122"/>
    <w:rsid w:val="00A53CF7"/>
    <w:rsid w:val="00A55C4E"/>
    <w:rsid w:val="00A570A2"/>
    <w:rsid w:val="00A57694"/>
    <w:rsid w:val="00A57D04"/>
    <w:rsid w:val="00A608C9"/>
    <w:rsid w:val="00A6098D"/>
    <w:rsid w:val="00A60A26"/>
    <w:rsid w:val="00A61598"/>
    <w:rsid w:val="00A62356"/>
    <w:rsid w:val="00A637C3"/>
    <w:rsid w:val="00A63E08"/>
    <w:rsid w:val="00A63EDD"/>
    <w:rsid w:val="00A6401F"/>
    <w:rsid w:val="00A64A73"/>
    <w:rsid w:val="00A65A7E"/>
    <w:rsid w:val="00A661FD"/>
    <w:rsid w:val="00A704B2"/>
    <w:rsid w:val="00A72AF9"/>
    <w:rsid w:val="00A74F31"/>
    <w:rsid w:val="00A752FF"/>
    <w:rsid w:val="00A75594"/>
    <w:rsid w:val="00A7644A"/>
    <w:rsid w:val="00A80B9D"/>
    <w:rsid w:val="00A84048"/>
    <w:rsid w:val="00A84532"/>
    <w:rsid w:val="00A846B5"/>
    <w:rsid w:val="00A84A99"/>
    <w:rsid w:val="00A84B1B"/>
    <w:rsid w:val="00A84B2E"/>
    <w:rsid w:val="00A84C72"/>
    <w:rsid w:val="00A84F46"/>
    <w:rsid w:val="00A85DCD"/>
    <w:rsid w:val="00A870A6"/>
    <w:rsid w:val="00A870F7"/>
    <w:rsid w:val="00A871F4"/>
    <w:rsid w:val="00A90B8C"/>
    <w:rsid w:val="00A914F3"/>
    <w:rsid w:val="00A933BB"/>
    <w:rsid w:val="00A936B7"/>
    <w:rsid w:val="00A94F26"/>
    <w:rsid w:val="00AA046B"/>
    <w:rsid w:val="00AA06E5"/>
    <w:rsid w:val="00AA15E7"/>
    <w:rsid w:val="00AA1ABD"/>
    <w:rsid w:val="00AA1E14"/>
    <w:rsid w:val="00AA2079"/>
    <w:rsid w:val="00AA374F"/>
    <w:rsid w:val="00AA3B8E"/>
    <w:rsid w:val="00AA53A3"/>
    <w:rsid w:val="00AA5660"/>
    <w:rsid w:val="00AA6C75"/>
    <w:rsid w:val="00AA7F63"/>
    <w:rsid w:val="00AB20AB"/>
    <w:rsid w:val="00AB32EC"/>
    <w:rsid w:val="00AB34D9"/>
    <w:rsid w:val="00AB4624"/>
    <w:rsid w:val="00AB4D90"/>
    <w:rsid w:val="00AB5AB7"/>
    <w:rsid w:val="00AB6626"/>
    <w:rsid w:val="00AB6832"/>
    <w:rsid w:val="00AC0C43"/>
    <w:rsid w:val="00AC1867"/>
    <w:rsid w:val="00AC1A83"/>
    <w:rsid w:val="00AC1B2C"/>
    <w:rsid w:val="00AC26B1"/>
    <w:rsid w:val="00AC3264"/>
    <w:rsid w:val="00AC3478"/>
    <w:rsid w:val="00AC3B9C"/>
    <w:rsid w:val="00AC4546"/>
    <w:rsid w:val="00AC4B4A"/>
    <w:rsid w:val="00AC4C05"/>
    <w:rsid w:val="00AC50EE"/>
    <w:rsid w:val="00AC60C4"/>
    <w:rsid w:val="00AC6390"/>
    <w:rsid w:val="00AC6B06"/>
    <w:rsid w:val="00AD0CE0"/>
    <w:rsid w:val="00AD1ECA"/>
    <w:rsid w:val="00AD2086"/>
    <w:rsid w:val="00AD30AC"/>
    <w:rsid w:val="00AD4293"/>
    <w:rsid w:val="00AD4397"/>
    <w:rsid w:val="00AD4C94"/>
    <w:rsid w:val="00AD60DC"/>
    <w:rsid w:val="00AD6655"/>
    <w:rsid w:val="00AD75F7"/>
    <w:rsid w:val="00AE05A6"/>
    <w:rsid w:val="00AE1BF1"/>
    <w:rsid w:val="00AE2141"/>
    <w:rsid w:val="00AE2773"/>
    <w:rsid w:val="00AE38E6"/>
    <w:rsid w:val="00AE7649"/>
    <w:rsid w:val="00AF026A"/>
    <w:rsid w:val="00AF0794"/>
    <w:rsid w:val="00AF0DD2"/>
    <w:rsid w:val="00AF37BA"/>
    <w:rsid w:val="00AF3F7F"/>
    <w:rsid w:val="00AF564E"/>
    <w:rsid w:val="00AF674E"/>
    <w:rsid w:val="00AF7A2F"/>
    <w:rsid w:val="00B005D6"/>
    <w:rsid w:val="00B0192E"/>
    <w:rsid w:val="00B03016"/>
    <w:rsid w:val="00B039D3"/>
    <w:rsid w:val="00B03C33"/>
    <w:rsid w:val="00B047E3"/>
    <w:rsid w:val="00B05AAC"/>
    <w:rsid w:val="00B05B6C"/>
    <w:rsid w:val="00B06C2F"/>
    <w:rsid w:val="00B06E71"/>
    <w:rsid w:val="00B12C7A"/>
    <w:rsid w:val="00B13048"/>
    <w:rsid w:val="00B1716D"/>
    <w:rsid w:val="00B1779E"/>
    <w:rsid w:val="00B17A1D"/>
    <w:rsid w:val="00B2024A"/>
    <w:rsid w:val="00B207A0"/>
    <w:rsid w:val="00B21346"/>
    <w:rsid w:val="00B217BD"/>
    <w:rsid w:val="00B2303F"/>
    <w:rsid w:val="00B235DA"/>
    <w:rsid w:val="00B24ECF"/>
    <w:rsid w:val="00B252D3"/>
    <w:rsid w:val="00B253B1"/>
    <w:rsid w:val="00B2687E"/>
    <w:rsid w:val="00B27D32"/>
    <w:rsid w:val="00B30750"/>
    <w:rsid w:val="00B31C39"/>
    <w:rsid w:val="00B31C79"/>
    <w:rsid w:val="00B3302E"/>
    <w:rsid w:val="00B36EA9"/>
    <w:rsid w:val="00B37345"/>
    <w:rsid w:val="00B37A84"/>
    <w:rsid w:val="00B40200"/>
    <w:rsid w:val="00B44DEA"/>
    <w:rsid w:val="00B44F23"/>
    <w:rsid w:val="00B50654"/>
    <w:rsid w:val="00B514DD"/>
    <w:rsid w:val="00B52AF0"/>
    <w:rsid w:val="00B52C0E"/>
    <w:rsid w:val="00B5360B"/>
    <w:rsid w:val="00B53FEC"/>
    <w:rsid w:val="00B546C3"/>
    <w:rsid w:val="00B556DC"/>
    <w:rsid w:val="00B561BD"/>
    <w:rsid w:val="00B56E03"/>
    <w:rsid w:val="00B60505"/>
    <w:rsid w:val="00B608D8"/>
    <w:rsid w:val="00B61369"/>
    <w:rsid w:val="00B62985"/>
    <w:rsid w:val="00B656A7"/>
    <w:rsid w:val="00B663C7"/>
    <w:rsid w:val="00B71FAE"/>
    <w:rsid w:val="00B75F8E"/>
    <w:rsid w:val="00B80121"/>
    <w:rsid w:val="00B8080B"/>
    <w:rsid w:val="00B81CC8"/>
    <w:rsid w:val="00B82223"/>
    <w:rsid w:val="00B828E0"/>
    <w:rsid w:val="00B82935"/>
    <w:rsid w:val="00B82EC0"/>
    <w:rsid w:val="00B83359"/>
    <w:rsid w:val="00B83A31"/>
    <w:rsid w:val="00B84897"/>
    <w:rsid w:val="00B87BA5"/>
    <w:rsid w:val="00B87C39"/>
    <w:rsid w:val="00B90A09"/>
    <w:rsid w:val="00B91232"/>
    <w:rsid w:val="00B92356"/>
    <w:rsid w:val="00B951BB"/>
    <w:rsid w:val="00B9562D"/>
    <w:rsid w:val="00B95B29"/>
    <w:rsid w:val="00B963BE"/>
    <w:rsid w:val="00B96894"/>
    <w:rsid w:val="00B96D76"/>
    <w:rsid w:val="00B9733D"/>
    <w:rsid w:val="00B97DEB"/>
    <w:rsid w:val="00BA048C"/>
    <w:rsid w:val="00BA055C"/>
    <w:rsid w:val="00BA1218"/>
    <w:rsid w:val="00BA1869"/>
    <w:rsid w:val="00BA300D"/>
    <w:rsid w:val="00BA3460"/>
    <w:rsid w:val="00BA392B"/>
    <w:rsid w:val="00BA42B2"/>
    <w:rsid w:val="00BA4665"/>
    <w:rsid w:val="00BA4C69"/>
    <w:rsid w:val="00BA6F97"/>
    <w:rsid w:val="00BB0CBF"/>
    <w:rsid w:val="00BB18D4"/>
    <w:rsid w:val="00BB296E"/>
    <w:rsid w:val="00BB2FB2"/>
    <w:rsid w:val="00BB3304"/>
    <w:rsid w:val="00BB3369"/>
    <w:rsid w:val="00BB371A"/>
    <w:rsid w:val="00BB39A8"/>
    <w:rsid w:val="00BB4C3C"/>
    <w:rsid w:val="00BB5A25"/>
    <w:rsid w:val="00BB711D"/>
    <w:rsid w:val="00BC2F8E"/>
    <w:rsid w:val="00BC64D5"/>
    <w:rsid w:val="00BC7472"/>
    <w:rsid w:val="00BD192F"/>
    <w:rsid w:val="00BD1E51"/>
    <w:rsid w:val="00BD23F1"/>
    <w:rsid w:val="00BD3446"/>
    <w:rsid w:val="00BD37A7"/>
    <w:rsid w:val="00BD5331"/>
    <w:rsid w:val="00BD5399"/>
    <w:rsid w:val="00BD542D"/>
    <w:rsid w:val="00BD5D87"/>
    <w:rsid w:val="00BD69C3"/>
    <w:rsid w:val="00BD7A9D"/>
    <w:rsid w:val="00BE0E56"/>
    <w:rsid w:val="00BE12F9"/>
    <w:rsid w:val="00BE1F1B"/>
    <w:rsid w:val="00BE4070"/>
    <w:rsid w:val="00BE47B5"/>
    <w:rsid w:val="00BE50A6"/>
    <w:rsid w:val="00BE50B0"/>
    <w:rsid w:val="00BE5825"/>
    <w:rsid w:val="00BE5A59"/>
    <w:rsid w:val="00BE7E8C"/>
    <w:rsid w:val="00BE7ED0"/>
    <w:rsid w:val="00BF052C"/>
    <w:rsid w:val="00BF0C3E"/>
    <w:rsid w:val="00BF1DC0"/>
    <w:rsid w:val="00BF2F91"/>
    <w:rsid w:val="00BF42CA"/>
    <w:rsid w:val="00BF5906"/>
    <w:rsid w:val="00BF595D"/>
    <w:rsid w:val="00BF76DE"/>
    <w:rsid w:val="00C042FB"/>
    <w:rsid w:val="00C04867"/>
    <w:rsid w:val="00C04C58"/>
    <w:rsid w:val="00C0601D"/>
    <w:rsid w:val="00C10D7D"/>
    <w:rsid w:val="00C16481"/>
    <w:rsid w:val="00C175D3"/>
    <w:rsid w:val="00C21C87"/>
    <w:rsid w:val="00C2261C"/>
    <w:rsid w:val="00C22C38"/>
    <w:rsid w:val="00C23EDE"/>
    <w:rsid w:val="00C25320"/>
    <w:rsid w:val="00C25FA6"/>
    <w:rsid w:val="00C26737"/>
    <w:rsid w:val="00C30906"/>
    <w:rsid w:val="00C33F1F"/>
    <w:rsid w:val="00C3510F"/>
    <w:rsid w:val="00C359B0"/>
    <w:rsid w:val="00C420BC"/>
    <w:rsid w:val="00C42763"/>
    <w:rsid w:val="00C42A76"/>
    <w:rsid w:val="00C442DF"/>
    <w:rsid w:val="00C450E3"/>
    <w:rsid w:val="00C517BC"/>
    <w:rsid w:val="00C51D97"/>
    <w:rsid w:val="00C52376"/>
    <w:rsid w:val="00C538A9"/>
    <w:rsid w:val="00C53B5A"/>
    <w:rsid w:val="00C54F5A"/>
    <w:rsid w:val="00C566E8"/>
    <w:rsid w:val="00C569B4"/>
    <w:rsid w:val="00C57061"/>
    <w:rsid w:val="00C61373"/>
    <w:rsid w:val="00C61926"/>
    <w:rsid w:val="00C6448C"/>
    <w:rsid w:val="00C65A66"/>
    <w:rsid w:val="00C663E7"/>
    <w:rsid w:val="00C66684"/>
    <w:rsid w:val="00C672F4"/>
    <w:rsid w:val="00C67A92"/>
    <w:rsid w:val="00C71054"/>
    <w:rsid w:val="00C7183C"/>
    <w:rsid w:val="00C71E6B"/>
    <w:rsid w:val="00C73ADA"/>
    <w:rsid w:val="00C74101"/>
    <w:rsid w:val="00C75E74"/>
    <w:rsid w:val="00C76317"/>
    <w:rsid w:val="00C77169"/>
    <w:rsid w:val="00C80FB3"/>
    <w:rsid w:val="00C81758"/>
    <w:rsid w:val="00C834E7"/>
    <w:rsid w:val="00C84147"/>
    <w:rsid w:val="00C84560"/>
    <w:rsid w:val="00C85C28"/>
    <w:rsid w:val="00C85FC8"/>
    <w:rsid w:val="00C86679"/>
    <w:rsid w:val="00C8739E"/>
    <w:rsid w:val="00C87587"/>
    <w:rsid w:val="00C87AC7"/>
    <w:rsid w:val="00C87FF4"/>
    <w:rsid w:val="00C90EC6"/>
    <w:rsid w:val="00C91BAB"/>
    <w:rsid w:val="00C926DB"/>
    <w:rsid w:val="00C92ACF"/>
    <w:rsid w:val="00C95384"/>
    <w:rsid w:val="00C96CB8"/>
    <w:rsid w:val="00C96D7A"/>
    <w:rsid w:val="00CA2FB2"/>
    <w:rsid w:val="00CA4537"/>
    <w:rsid w:val="00CA489E"/>
    <w:rsid w:val="00CA67ED"/>
    <w:rsid w:val="00CA7486"/>
    <w:rsid w:val="00CB0279"/>
    <w:rsid w:val="00CB18AD"/>
    <w:rsid w:val="00CB2CF7"/>
    <w:rsid w:val="00CB4590"/>
    <w:rsid w:val="00CB4AF3"/>
    <w:rsid w:val="00CB666B"/>
    <w:rsid w:val="00CC00D4"/>
    <w:rsid w:val="00CC301B"/>
    <w:rsid w:val="00CC4694"/>
    <w:rsid w:val="00CC4A6D"/>
    <w:rsid w:val="00CC4C4C"/>
    <w:rsid w:val="00CC4EA4"/>
    <w:rsid w:val="00CC66F3"/>
    <w:rsid w:val="00CC7A1C"/>
    <w:rsid w:val="00CC7F1D"/>
    <w:rsid w:val="00CD2633"/>
    <w:rsid w:val="00CD659C"/>
    <w:rsid w:val="00CD6F98"/>
    <w:rsid w:val="00CE090A"/>
    <w:rsid w:val="00CE12E7"/>
    <w:rsid w:val="00CE1A2A"/>
    <w:rsid w:val="00CE2A08"/>
    <w:rsid w:val="00CE3360"/>
    <w:rsid w:val="00CE3E74"/>
    <w:rsid w:val="00CE484B"/>
    <w:rsid w:val="00CE50CC"/>
    <w:rsid w:val="00CE52FC"/>
    <w:rsid w:val="00CE5DD5"/>
    <w:rsid w:val="00CE6F2A"/>
    <w:rsid w:val="00CE7579"/>
    <w:rsid w:val="00CF13CB"/>
    <w:rsid w:val="00CF143A"/>
    <w:rsid w:val="00CF19B5"/>
    <w:rsid w:val="00CF2861"/>
    <w:rsid w:val="00CF3FCC"/>
    <w:rsid w:val="00CF6177"/>
    <w:rsid w:val="00CF659A"/>
    <w:rsid w:val="00CF6A9A"/>
    <w:rsid w:val="00CF7597"/>
    <w:rsid w:val="00D0055F"/>
    <w:rsid w:val="00D006AE"/>
    <w:rsid w:val="00D0114E"/>
    <w:rsid w:val="00D01CF0"/>
    <w:rsid w:val="00D03907"/>
    <w:rsid w:val="00D043CC"/>
    <w:rsid w:val="00D0442A"/>
    <w:rsid w:val="00D05040"/>
    <w:rsid w:val="00D05C8F"/>
    <w:rsid w:val="00D06AA0"/>
    <w:rsid w:val="00D11755"/>
    <w:rsid w:val="00D11A05"/>
    <w:rsid w:val="00D11ADD"/>
    <w:rsid w:val="00D13C51"/>
    <w:rsid w:val="00D1563D"/>
    <w:rsid w:val="00D1579E"/>
    <w:rsid w:val="00D17061"/>
    <w:rsid w:val="00D205E3"/>
    <w:rsid w:val="00D21595"/>
    <w:rsid w:val="00D22444"/>
    <w:rsid w:val="00D226A2"/>
    <w:rsid w:val="00D24089"/>
    <w:rsid w:val="00D24E42"/>
    <w:rsid w:val="00D25370"/>
    <w:rsid w:val="00D256AE"/>
    <w:rsid w:val="00D27530"/>
    <w:rsid w:val="00D27F97"/>
    <w:rsid w:val="00D31850"/>
    <w:rsid w:val="00D31967"/>
    <w:rsid w:val="00D325B8"/>
    <w:rsid w:val="00D33977"/>
    <w:rsid w:val="00D365A6"/>
    <w:rsid w:val="00D369E5"/>
    <w:rsid w:val="00D36C21"/>
    <w:rsid w:val="00D375C4"/>
    <w:rsid w:val="00D40AFA"/>
    <w:rsid w:val="00D40BFC"/>
    <w:rsid w:val="00D40E48"/>
    <w:rsid w:val="00D4218D"/>
    <w:rsid w:val="00D4286F"/>
    <w:rsid w:val="00D429E5"/>
    <w:rsid w:val="00D4363B"/>
    <w:rsid w:val="00D44830"/>
    <w:rsid w:val="00D454BD"/>
    <w:rsid w:val="00D46BE3"/>
    <w:rsid w:val="00D51AE1"/>
    <w:rsid w:val="00D53CBF"/>
    <w:rsid w:val="00D5642A"/>
    <w:rsid w:val="00D5651F"/>
    <w:rsid w:val="00D56A84"/>
    <w:rsid w:val="00D57DD1"/>
    <w:rsid w:val="00D600FB"/>
    <w:rsid w:val="00D60AEA"/>
    <w:rsid w:val="00D61165"/>
    <w:rsid w:val="00D61388"/>
    <w:rsid w:val="00D61A54"/>
    <w:rsid w:val="00D63923"/>
    <w:rsid w:val="00D647EB"/>
    <w:rsid w:val="00D64AB4"/>
    <w:rsid w:val="00D64DEA"/>
    <w:rsid w:val="00D661A5"/>
    <w:rsid w:val="00D662DB"/>
    <w:rsid w:val="00D6679E"/>
    <w:rsid w:val="00D67158"/>
    <w:rsid w:val="00D7168E"/>
    <w:rsid w:val="00D716DD"/>
    <w:rsid w:val="00D71E57"/>
    <w:rsid w:val="00D72913"/>
    <w:rsid w:val="00D72E02"/>
    <w:rsid w:val="00D73513"/>
    <w:rsid w:val="00D73525"/>
    <w:rsid w:val="00D73DF5"/>
    <w:rsid w:val="00D73F10"/>
    <w:rsid w:val="00D74357"/>
    <w:rsid w:val="00D77A3E"/>
    <w:rsid w:val="00D77FFC"/>
    <w:rsid w:val="00D800BB"/>
    <w:rsid w:val="00D806E7"/>
    <w:rsid w:val="00D80893"/>
    <w:rsid w:val="00D84854"/>
    <w:rsid w:val="00D84F19"/>
    <w:rsid w:val="00D87E7C"/>
    <w:rsid w:val="00D913A0"/>
    <w:rsid w:val="00D92CF1"/>
    <w:rsid w:val="00D92D38"/>
    <w:rsid w:val="00D93D07"/>
    <w:rsid w:val="00D94CDE"/>
    <w:rsid w:val="00D950F5"/>
    <w:rsid w:val="00D97063"/>
    <w:rsid w:val="00D9712E"/>
    <w:rsid w:val="00DA1CF9"/>
    <w:rsid w:val="00DA3023"/>
    <w:rsid w:val="00DA3331"/>
    <w:rsid w:val="00DA4752"/>
    <w:rsid w:val="00DA4833"/>
    <w:rsid w:val="00DA5217"/>
    <w:rsid w:val="00DA5359"/>
    <w:rsid w:val="00DA57A4"/>
    <w:rsid w:val="00DA61F3"/>
    <w:rsid w:val="00DA6A65"/>
    <w:rsid w:val="00DA77DF"/>
    <w:rsid w:val="00DA78A0"/>
    <w:rsid w:val="00DB0F93"/>
    <w:rsid w:val="00DB15A8"/>
    <w:rsid w:val="00DB1A67"/>
    <w:rsid w:val="00DB3099"/>
    <w:rsid w:val="00DB34F9"/>
    <w:rsid w:val="00DB48C6"/>
    <w:rsid w:val="00DB5074"/>
    <w:rsid w:val="00DB561F"/>
    <w:rsid w:val="00DB5658"/>
    <w:rsid w:val="00DB6648"/>
    <w:rsid w:val="00DB6E44"/>
    <w:rsid w:val="00DB76C3"/>
    <w:rsid w:val="00DB7A28"/>
    <w:rsid w:val="00DC12FC"/>
    <w:rsid w:val="00DC27D1"/>
    <w:rsid w:val="00DC3494"/>
    <w:rsid w:val="00DC42C4"/>
    <w:rsid w:val="00DC4BBB"/>
    <w:rsid w:val="00DC5D3C"/>
    <w:rsid w:val="00DC6749"/>
    <w:rsid w:val="00DC6AF0"/>
    <w:rsid w:val="00DC7209"/>
    <w:rsid w:val="00DC7981"/>
    <w:rsid w:val="00DD090E"/>
    <w:rsid w:val="00DD18ED"/>
    <w:rsid w:val="00DD2C3C"/>
    <w:rsid w:val="00DD2EC0"/>
    <w:rsid w:val="00DD4A7A"/>
    <w:rsid w:val="00DD79A7"/>
    <w:rsid w:val="00DE0524"/>
    <w:rsid w:val="00DE084F"/>
    <w:rsid w:val="00DE0893"/>
    <w:rsid w:val="00DE1093"/>
    <w:rsid w:val="00DE109F"/>
    <w:rsid w:val="00DE2C9D"/>
    <w:rsid w:val="00DE363B"/>
    <w:rsid w:val="00DE3695"/>
    <w:rsid w:val="00DE4EFA"/>
    <w:rsid w:val="00DE5520"/>
    <w:rsid w:val="00DE563D"/>
    <w:rsid w:val="00DE6828"/>
    <w:rsid w:val="00DE7538"/>
    <w:rsid w:val="00DF0600"/>
    <w:rsid w:val="00DF09CE"/>
    <w:rsid w:val="00DF1E63"/>
    <w:rsid w:val="00DF22B2"/>
    <w:rsid w:val="00DF362A"/>
    <w:rsid w:val="00DF4722"/>
    <w:rsid w:val="00DF65C9"/>
    <w:rsid w:val="00DF6D74"/>
    <w:rsid w:val="00DF7508"/>
    <w:rsid w:val="00E01319"/>
    <w:rsid w:val="00E01744"/>
    <w:rsid w:val="00E01CAB"/>
    <w:rsid w:val="00E02715"/>
    <w:rsid w:val="00E04818"/>
    <w:rsid w:val="00E06308"/>
    <w:rsid w:val="00E06442"/>
    <w:rsid w:val="00E07006"/>
    <w:rsid w:val="00E1069E"/>
    <w:rsid w:val="00E10E75"/>
    <w:rsid w:val="00E11A45"/>
    <w:rsid w:val="00E1299F"/>
    <w:rsid w:val="00E13934"/>
    <w:rsid w:val="00E14349"/>
    <w:rsid w:val="00E147BE"/>
    <w:rsid w:val="00E20018"/>
    <w:rsid w:val="00E21837"/>
    <w:rsid w:val="00E230BC"/>
    <w:rsid w:val="00E23993"/>
    <w:rsid w:val="00E23B86"/>
    <w:rsid w:val="00E25B8C"/>
    <w:rsid w:val="00E2685D"/>
    <w:rsid w:val="00E27625"/>
    <w:rsid w:val="00E31230"/>
    <w:rsid w:val="00E31239"/>
    <w:rsid w:val="00E326E6"/>
    <w:rsid w:val="00E339F5"/>
    <w:rsid w:val="00E33EED"/>
    <w:rsid w:val="00E358C3"/>
    <w:rsid w:val="00E3755A"/>
    <w:rsid w:val="00E43C30"/>
    <w:rsid w:val="00E45414"/>
    <w:rsid w:val="00E46946"/>
    <w:rsid w:val="00E47156"/>
    <w:rsid w:val="00E5142D"/>
    <w:rsid w:val="00E5152F"/>
    <w:rsid w:val="00E5321E"/>
    <w:rsid w:val="00E53744"/>
    <w:rsid w:val="00E53B73"/>
    <w:rsid w:val="00E574A3"/>
    <w:rsid w:val="00E57A52"/>
    <w:rsid w:val="00E57F56"/>
    <w:rsid w:val="00E57FA4"/>
    <w:rsid w:val="00E60745"/>
    <w:rsid w:val="00E60AE4"/>
    <w:rsid w:val="00E61E8F"/>
    <w:rsid w:val="00E620B2"/>
    <w:rsid w:val="00E628A5"/>
    <w:rsid w:val="00E636A0"/>
    <w:rsid w:val="00E6371D"/>
    <w:rsid w:val="00E6403F"/>
    <w:rsid w:val="00E64C45"/>
    <w:rsid w:val="00E654D7"/>
    <w:rsid w:val="00E65C85"/>
    <w:rsid w:val="00E65E1E"/>
    <w:rsid w:val="00E66199"/>
    <w:rsid w:val="00E71256"/>
    <w:rsid w:val="00E716F3"/>
    <w:rsid w:val="00E71E69"/>
    <w:rsid w:val="00E72090"/>
    <w:rsid w:val="00E72DD2"/>
    <w:rsid w:val="00E73069"/>
    <w:rsid w:val="00E73EED"/>
    <w:rsid w:val="00E755EC"/>
    <w:rsid w:val="00E75959"/>
    <w:rsid w:val="00E7595F"/>
    <w:rsid w:val="00E7624D"/>
    <w:rsid w:val="00E7682C"/>
    <w:rsid w:val="00E7724B"/>
    <w:rsid w:val="00E7732C"/>
    <w:rsid w:val="00E775F1"/>
    <w:rsid w:val="00E81300"/>
    <w:rsid w:val="00E8158D"/>
    <w:rsid w:val="00E8310D"/>
    <w:rsid w:val="00E85C2D"/>
    <w:rsid w:val="00E915BA"/>
    <w:rsid w:val="00E91C7E"/>
    <w:rsid w:val="00E92624"/>
    <w:rsid w:val="00E92CFA"/>
    <w:rsid w:val="00E939FE"/>
    <w:rsid w:val="00E93F98"/>
    <w:rsid w:val="00E9421B"/>
    <w:rsid w:val="00E94930"/>
    <w:rsid w:val="00E953D7"/>
    <w:rsid w:val="00E95BE3"/>
    <w:rsid w:val="00E961A1"/>
    <w:rsid w:val="00E97452"/>
    <w:rsid w:val="00E97F07"/>
    <w:rsid w:val="00EA00A9"/>
    <w:rsid w:val="00EA01D4"/>
    <w:rsid w:val="00EA155B"/>
    <w:rsid w:val="00EA20CE"/>
    <w:rsid w:val="00EA24C0"/>
    <w:rsid w:val="00EA3075"/>
    <w:rsid w:val="00EA3B4F"/>
    <w:rsid w:val="00EA3D42"/>
    <w:rsid w:val="00EA632F"/>
    <w:rsid w:val="00EA6960"/>
    <w:rsid w:val="00EA6B1B"/>
    <w:rsid w:val="00EB2C6B"/>
    <w:rsid w:val="00EB663F"/>
    <w:rsid w:val="00EB6EAE"/>
    <w:rsid w:val="00EB7679"/>
    <w:rsid w:val="00EC0040"/>
    <w:rsid w:val="00EC03D8"/>
    <w:rsid w:val="00EC04F1"/>
    <w:rsid w:val="00EC10FD"/>
    <w:rsid w:val="00EC33C5"/>
    <w:rsid w:val="00EC3862"/>
    <w:rsid w:val="00EC4D70"/>
    <w:rsid w:val="00EC52AD"/>
    <w:rsid w:val="00EC5833"/>
    <w:rsid w:val="00EC7203"/>
    <w:rsid w:val="00EC7641"/>
    <w:rsid w:val="00ED2889"/>
    <w:rsid w:val="00ED2A57"/>
    <w:rsid w:val="00ED7323"/>
    <w:rsid w:val="00ED74C4"/>
    <w:rsid w:val="00ED7CE2"/>
    <w:rsid w:val="00EE10F2"/>
    <w:rsid w:val="00EE15B9"/>
    <w:rsid w:val="00EE28F3"/>
    <w:rsid w:val="00EE506C"/>
    <w:rsid w:val="00EE50D1"/>
    <w:rsid w:val="00EE5360"/>
    <w:rsid w:val="00EE5661"/>
    <w:rsid w:val="00EE70B8"/>
    <w:rsid w:val="00EF131F"/>
    <w:rsid w:val="00EF2C34"/>
    <w:rsid w:val="00EF3449"/>
    <w:rsid w:val="00EF3C65"/>
    <w:rsid w:val="00EF3F74"/>
    <w:rsid w:val="00EF48B3"/>
    <w:rsid w:val="00EF4C36"/>
    <w:rsid w:val="00EF5110"/>
    <w:rsid w:val="00EF6D51"/>
    <w:rsid w:val="00EF7CE3"/>
    <w:rsid w:val="00F01635"/>
    <w:rsid w:val="00F01795"/>
    <w:rsid w:val="00F01ED2"/>
    <w:rsid w:val="00F04214"/>
    <w:rsid w:val="00F053FC"/>
    <w:rsid w:val="00F06031"/>
    <w:rsid w:val="00F0689C"/>
    <w:rsid w:val="00F07C14"/>
    <w:rsid w:val="00F07D7C"/>
    <w:rsid w:val="00F10411"/>
    <w:rsid w:val="00F1059D"/>
    <w:rsid w:val="00F1129A"/>
    <w:rsid w:val="00F11681"/>
    <w:rsid w:val="00F11B54"/>
    <w:rsid w:val="00F11B68"/>
    <w:rsid w:val="00F1397D"/>
    <w:rsid w:val="00F14D46"/>
    <w:rsid w:val="00F14F1D"/>
    <w:rsid w:val="00F15882"/>
    <w:rsid w:val="00F15B77"/>
    <w:rsid w:val="00F16C7A"/>
    <w:rsid w:val="00F171E0"/>
    <w:rsid w:val="00F1730F"/>
    <w:rsid w:val="00F175B6"/>
    <w:rsid w:val="00F179B9"/>
    <w:rsid w:val="00F17EB3"/>
    <w:rsid w:val="00F20BD3"/>
    <w:rsid w:val="00F212C1"/>
    <w:rsid w:val="00F2260D"/>
    <w:rsid w:val="00F23BA2"/>
    <w:rsid w:val="00F23F3F"/>
    <w:rsid w:val="00F255CD"/>
    <w:rsid w:val="00F311B2"/>
    <w:rsid w:val="00F3255E"/>
    <w:rsid w:val="00F3278A"/>
    <w:rsid w:val="00F329AD"/>
    <w:rsid w:val="00F32E65"/>
    <w:rsid w:val="00F33D1C"/>
    <w:rsid w:val="00F34411"/>
    <w:rsid w:val="00F34E7E"/>
    <w:rsid w:val="00F3702A"/>
    <w:rsid w:val="00F373A5"/>
    <w:rsid w:val="00F4184B"/>
    <w:rsid w:val="00F426D8"/>
    <w:rsid w:val="00F4298C"/>
    <w:rsid w:val="00F4418F"/>
    <w:rsid w:val="00F458E9"/>
    <w:rsid w:val="00F469D8"/>
    <w:rsid w:val="00F47559"/>
    <w:rsid w:val="00F47681"/>
    <w:rsid w:val="00F507E6"/>
    <w:rsid w:val="00F54369"/>
    <w:rsid w:val="00F54488"/>
    <w:rsid w:val="00F549C5"/>
    <w:rsid w:val="00F56847"/>
    <w:rsid w:val="00F6068B"/>
    <w:rsid w:val="00F62A38"/>
    <w:rsid w:val="00F62D7A"/>
    <w:rsid w:val="00F64702"/>
    <w:rsid w:val="00F64C7B"/>
    <w:rsid w:val="00F6504B"/>
    <w:rsid w:val="00F65A1C"/>
    <w:rsid w:val="00F65C3B"/>
    <w:rsid w:val="00F676DD"/>
    <w:rsid w:val="00F716E1"/>
    <w:rsid w:val="00F7227B"/>
    <w:rsid w:val="00F72FDD"/>
    <w:rsid w:val="00F73143"/>
    <w:rsid w:val="00F735BF"/>
    <w:rsid w:val="00F735F7"/>
    <w:rsid w:val="00F75512"/>
    <w:rsid w:val="00F75A26"/>
    <w:rsid w:val="00F76706"/>
    <w:rsid w:val="00F7725E"/>
    <w:rsid w:val="00F77568"/>
    <w:rsid w:val="00F77F90"/>
    <w:rsid w:val="00F81377"/>
    <w:rsid w:val="00F81F86"/>
    <w:rsid w:val="00F83FAD"/>
    <w:rsid w:val="00F84447"/>
    <w:rsid w:val="00F8561A"/>
    <w:rsid w:val="00F86093"/>
    <w:rsid w:val="00F877A4"/>
    <w:rsid w:val="00F87D83"/>
    <w:rsid w:val="00F90257"/>
    <w:rsid w:val="00F952A0"/>
    <w:rsid w:val="00F97EFB"/>
    <w:rsid w:val="00FA0354"/>
    <w:rsid w:val="00FA0EC7"/>
    <w:rsid w:val="00FA22CC"/>
    <w:rsid w:val="00FA3C7F"/>
    <w:rsid w:val="00FA430D"/>
    <w:rsid w:val="00FB15D2"/>
    <w:rsid w:val="00FB5276"/>
    <w:rsid w:val="00FB571B"/>
    <w:rsid w:val="00FB57E3"/>
    <w:rsid w:val="00FB58FE"/>
    <w:rsid w:val="00FB5D41"/>
    <w:rsid w:val="00FB60FE"/>
    <w:rsid w:val="00FB635A"/>
    <w:rsid w:val="00FB6E64"/>
    <w:rsid w:val="00FB71AB"/>
    <w:rsid w:val="00FB74E2"/>
    <w:rsid w:val="00FB7EE4"/>
    <w:rsid w:val="00FC0B7B"/>
    <w:rsid w:val="00FC0DE5"/>
    <w:rsid w:val="00FC1862"/>
    <w:rsid w:val="00FC27E4"/>
    <w:rsid w:val="00FC2BB8"/>
    <w:rsid w:val="00FC43C9"/>
    <w:rsid w:val="00FC4FAC"/>
    <w:rsid w:val="00FC5A25"/>
    <w:rsid w:val="00FC63F9"/>
    <w:rsid w:val="00FC6495"/>
    <w:rsid w:val="00FD04E8"/>
    <w:rsid w:val="00FD0AE5"/>
    <w:rsid w:val="00FD0D38"/>
    <w:rsid w:val="00FD0D53"/>
    <w:rsid w:val="00FD1633"/>
    <w:rsid w:val="00FD36B1"/>
    <w:rsid w:val="00FD4060"/>
    <w:rsid w:val="00FD4627"/>
    <w:rsid w:val="00FD4A9E"/>
    <w:rsid w:val="00FD5614"/>
    <w:rsid w:val="00FD5DFE"/>
    <w:rsid w:val="00FD5E78"/>
    <w:rsid w:val="00FD655D"/>
    <w:rsid w:val="00FE0217"/>
    <w:rsid w:val="00FE0BE1"/>
    <w:rsid w:val="00FE10B8"/>
    <w:rsid w:val="00FE1567"/>
    <w:rsid w:val="00FE1DE9"/>
    <w:rsid w:val="00FE36AF"/>
    <w:rsid w:val="00FE39C2"/>
    <w:rsid w:val="00FE3C32"/>
    <w:rsid w:val="00FE435C"/>
    <w:rsid w:val="00FE51DA"/>
    <w:rsid w:val="00FE55BF"/>
    <w:rsid w:val="00FE64AE"/>
    <w:rsid w:val="00FE6698"/>
    <w:rsid w:val="00FE7973"/>
    <w:rsid w:val="00FF03E7"/>
    <w:rsid w:val="00FF1756"/>
    <w:rsid w:val="00FF2A3A"/>
    <w:rsid w:val="00FF2C4A"/>
    <w:rsid w:val="00FF2E81"/>
    <w:rsid w:val="00FF307E"/>
    <w:rsid w:val="00FF3CED"/>
    <w:rsid w:val="00FF6705"/>
    <w:rsid w:val="00FF7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qFormat="1"/>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styleId="TableofAuthorities">
    <w:name w:val="table of authorities"/>
    <w:basedOn w:val="Normal"/>
    <w:next w:val="Normal"/>
    <w:uiPriority w:val="99"/>
    <w:unhideWhenUsed/>
    <w:rsid w:val="00254472"/>
    <w:pPr>
      <w:ind w:left="220" w:hanging="220"/>
    </w:pPr>
  </w:style>
  <w:style w:type="paragraph" w:styleId="NoteHeading">
    <w:name w:val="Note Heading"/>
    <w:basedOn w:val="Normal"/>
    <w:next w:val="Normal"/>
    <w:link w:val="NoteHeadingChar"/>
    <w:uiPriority w:val="99"/>
    <w:semiHidden/>
    <w:unhideWhenUsed/>
    <w:rsid w:val="00254472"/>
    <w:pPr>
      <w:spacing w:before="0"/>
    </w:pPr>
  </w:style>
  <w:style w:type="character" w:customStyle="1" w:styleId="NoteHeadingChar">
    <w:name w:val="Note Heading Char"/>
    <w:basedOn w:val="DefaultParagraphFont"/>
    <w:link w:val="NoteHeading"/>
    <w:uiPriority w:val="99"/>
    <w:semiHidden/>
    <w:rsid w:val="0025447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qFormat="1"/>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styleId="TableofAuthorities">
    <w:name w:val="table of authorities"/>
    <w:basedOn w:val="Normal"/>
    <w:next w:val="Normal"/>
    <w:uiPriority w:val="99"/>
    <w:unhideWhenUsed/>
    <w:rsid w:val="00254472"/>
    <w:pPr>
      <w:ind w:left="220" w:hanging="220"/>
    </w:pPr>
  </w:style>
  <w:style w:type="paragraph" w:styleId="NoteHeading">
    <w:name w:val="Note Heading"/>
    <w:basedOn w:val="Normal"/>
    <w:next w:val="Normal"/>
    <w:link w:val="NoteHeadingChar"/>
    <w:uiPriority w:val="99"/>
    <w:semiHidden/>
    <w:unhideWhenUsed/>
    <w:rsid w:val="00254472"/>
    <w:pPr>
      <w:spacing w:before="0"/>
    </w:pPr>
  </w:style>
  <w:style w:type="character" w:customStyle="1" w:styleId="NoteHeadingChar">
    <w:name w:val="Note Heading Char"/>
    <w:basedOn w:val="DefaultParagraphFont"/>
    <w:link w:val="NoteHeading"/>
    <w:uiPriority w:val="99"/>
    <w:semiHidden/>
    <w:rsid w:val="0025447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467551681">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85691185">
      <w:bodyDiv w:val="1"/>
      <w:marLeft w:val="0"/>
      <w:marRight w:val="0"/>
      <w:marTop w:val="0"/>
      <w:marBottom w:val="0"/>
      <w:divBdr>
        <w:top w:val="none" w:sz="0" w:space="0" w:color="auto"/>
        <w:left w:val="none" w:sz="0" w:space="0" w:color="auto"/>
        <w:bottom w:val="none" w:sz="0" w:space="0" w:color="auto"/>
        <w:right w:val="none" w:sz="0" w:space="0" w:color="auto"/>
      </w:divBdr>
    </w:div>
    <w:div w:id="1106000969">
      <w:bodyDiv w:val="1"/>
      <w:marLeft w:val="0"/>
      <w:marRight w:val="0"/>
      <w:marTop w:val="0"/>
      <w:marBottom w:val="0"/>
      <w:divBdr>
        <w:top w:val="none" w:sz="0" w:space="0" w:color="auto"/>
        <w:left w:val="none" w:sz="0" w:space="0" w:color="auto"/>
        <w:bottom w:val="none" w:sz="0" w:space="0" w:color="auto"/>
        <w:right w:val="none" w:sz="0" w:space="0" w:color="auto"/>
      </w:divBdr>
    </w:div>
    <w:div w:id="135399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emf"/><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gif"/><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gif"/><Relationship Id="rId40" Type="http://schemas.openxmlformats.org/officeDocument/2006/relationships/image" Target="media/image24.jpeg"/><Relationship Id="rId45" Type="http://schemas.openxmlformats.org/officeDocument/2006/relationships/image" Target="media/image29.gi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gi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ompetitiontribunal.gov.au/current-matters/tribunal-documents/act-8-2016" TargetMode="External"/><Relationship Id="rId13" Type="http://schemas.openxmlformats.org/officeDocument/2006/relationships/hyperlink" Target="http://www.rba.gov.au/statistics/tables/index.html" TargetMode="External"/><Relationship Id="rId18" Type="http://schemas.openxmlformats.org/officeDocument/2006/relationships/hyperlink" Target="http://www.onthisday.com/date/2014" TargetMode="External"/><Relationship Id="rId26" Type="http://schemas.openxmlformats.org/officeDocument/2006/relationships/hyperlink" Target="http://www.rba.gov.au/statistics/tables/" TargetMode="External"/><Relationship Id="rId3" Type="http://schemas.openxmlformats.org/officeDocument/2006/relationships/hyperlink" Target="http://www.aer.gov.au/node/18859" TargetMode="External"/><Relationship Id="rId21" Type="http://schemas.openxmlformats.org/officeDocument/2006/relationships/hyperlink" Target="http://www.aer.gov.au/node/5453" TargetMode="External"/><Relationship Id="rId34" Type="http://schemas.openxmlformats.org/officeDocument/2006/relationships/hyperlink" Target="https://en.wikipedia.org/wiki/Chancellor_of_the_Exchequer"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aofm.gov.au/ags/" TargetMode="External"/><Relationship Id="rId17"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25"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33" Type="http://schemas.openxmlformats.org/officeDocument/2006/relationships/hyperlink" Target="https://www.bloomberg.com/news/articles/2016-08-10/norway-inflation-surge-casts-doubt-over-more-interest-rate-cuts" TargetMode="External"/><Relationship Id="rId2" Type="http://schemas.openxmlformats.org/officeDocument/2006/relationships/hyperlink" Target="http://www.aer.gov.au/node/18859" TargetMode="External"/><Relationship Id="rId16" Type="http://schemas.openxmlformats.org/officeDocument/2006/relationships/hyperlink" Target="https://www.apa.com.au/about-apa/our-history/" TargetMode="External"/><Relationship Id="rId20" Type="http://schemas.openxmlformats.org/officeDocument/2006/relationships/hyperlink" Target="http://www.aemc.gov.au/Energy-Rules/National-gas-rules/Gas-scheme-register/WA-Pilbara-Pipeline-System"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fitchratings.com/gws/en/esp/issr/80442187" TargetMode="External"/><Relationship Id="rId24" Type="http://schemas.openxmlformats.org/officeDocument/2006/relationships/hyperlink" Target="https://www.apa.com.au/about-apa/our-history/" TargetMode="External"/><Relationship Id="rId32" Type="http://schemas.openxmlformats.org/officeDocument/2006/relationships/hyperlink" Target="https://www.ft.com/content/2bd40fd7-6c27-3f79-9759-d109425cab6d" TargetMode="External"/><Relationship Id="rId5" Type="http://schemas.openxmlformats.org/officeDocument/2006/relationships/hyperlink" Target="http://www.aer.gov.au/node/27616" TargetMode="External"/><Relationship Id="rId15" Type="http://schemas.openxmlformats.org/officeDocument/2006/relationships/hyperlink" Target="http://pages.stern.nyu.edu/~adamodar/New_Home_Page/lectures/pe.html" TargetMode="External"/><Relationship Id="rId23" Type="http://schemas.openxmlformats.org/officeDocument/2006/relationships/hyperlink" Target="https://infrastructure.gov.au/aviation/airport/airport_economic_regulation/economic_regulation.aspx" TargetMode="External"/><Relationship Id="rId28" Type="http://schemas.openxmlformats.org/officeDocument/2006/relationships/hyperlink" Target="https://www.moodys.com/research/Moodys-downgrades-Asciano-to-Baa3-following-acquisition-approvals-outlook-stable--PR_352423" TargetMode="External"/><Relationship Id="rId36" Type="http://schemas.openxmlformats.org/officeDocument/2006/relationships/hyperlink" Target="https://www.treasurydirect.gov/govt/charts/principal/principal_debt.htm" TargetMode="External"/><Relationship Id="rId10" Type="http://schemas.openxmlformats.org/officeDocument/2006/relationships/hyperlink" Target="http://www.standardandpoors.com/prot/ratings/entityratings/" TargetMode="External"/><Relationship Id="rId19" Type="http://schemas.openxmlformats.org/officeDocument/2006/relationships/hyperlink" Target="http://www.asx.com.au/asx/statistics/announcements.do?by=asxCode&amp;asxCode=ENV&amp;timeframe=Y&amp;year=2014" TargetMode="External"/><Relationship Id="rId31" Type="http://schemas.openxmlformats.org/officeDocument/2006/relationships/hyperlink" Target="https://www.snb.ch/en/iabout/stat/statpub/zidea/id/current_interest_exchange_rates" TargetMode="External"/><Relationship Id="rId4" Type="http://schemas.openxmlformats.org/officeDocument/2006/relationships/hyperlink" Target="http://www.aer.gov.au/node/18859" TargetMode="External"/><Relationship Id="rId9" Type="http://schemas.openxmlformats.org/officeDocument/2006/relationships/hyperlink" Target="http://www.competitiontribunal.gov.au/current-matters/tribunal-documents/act-6-2016" TargetMode="External"/><Relationship Id="rId14" Type="http://schemas.openxmlformats.org/officeDocument/2006/relationships/hyperlink" Target="http://www.rba.gov.au/statistics/tables/xls/f03hist.xls" TargetMode="External"/><Relationship Id="rId22" Type="http://schemas.openxmlformats.org/officeDocument/2006/relationships/hyperlink" Target="http://www.aer.gov.au/node/5219" TargetMode="External"/><Relationship Id="rId27" Type="http://schemas.openxmlformats.org/officeDocument/2006/relationships/hyperlink" Target="https://www.bbhub.io/solutions/sites/8/2015/10/BVAL-Score-fact-sheet.pdf" TargetMode="External"/><Relationship Id="rId30" Type="http://schemas.openxmlformats.org/officeDocument/2006/relationships/hyperlink" Target="http://www.ecb.europa.eu/stats/policy_and_exchange_rates/key_ecb_interest_rates/html/index.en.html" TargetMode="External"/><Relationship Id="rId35" Type="http://schemas.openxmlformats.org/officeDocument/2006/relationships/hyperlink" Target="http://www.dmo.gov.uk/index.aspx?page=gilts/about_gilts"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72A4F6-BFA7-4427-A93A-357C50058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20C85D9C</Template>
  <TotalTime>0</TotalTime>
  <Pages>449</Pages>
  <Words>136734</Words>
  <Characters>779386</Characters>
  <Application>Microsoft Office Word</Application>
  <DocSecurity>0</DocSecurity>
  <Lines>6494</Lines>
  <Paragraphs>1828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2017-07-05T06:55:00Z</dcterms:created>
  <dcterms:modified xsi:type="dcterms:W3CDTF">2017-07-05T06:57:00Z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