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19" w:rsidRDefault="00EF0E19" w:rsidP="00EF0E19">
      <w:pPr>
        <w:pStyle w:val="AERtitle1"/>
      </w:pPr>
      <w:bookmarkStart w:id="0" w:name="_GoBack"/>
      <w:bookmarkEnd w:id="0"/>
      <w:r w:rsidRPr="00824CC8">
        <w:rPr>
          <w:noProof/>
        </w:rPr>
        <w:drawing>
          <wp:anchor distT="0" distB="0" distL="114300" distR="114300" simplePos="0" relativeHeight="251664384" behindDoc="1" locked="0" layoutInCell="1" allowOverlap="1" wp14:anchorId="567C241C" wp14:editId="73823A15">
            <wp:simplePos x="0" y="0"/>
            <wp:positionH relativeFrom="column">
              <wp:posOffset>-948513</wp:posOffset>
            </wp:positionH>
            <wp:positionV relativeFrom="paragraph">
              <wp:posOffset>-946298</wp:posOffset>
            </wp:positionV>
            <wp:extent cx="7657657" cy="10792047"/>
            <wp:effectExtent l="19050" t="0" r="443"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657" cy="10792047"/>
                    </a:xfrm>
                    <a:prstGeom prst="rect">
                      <a:avLst/>
                    </a:prstGeom>
                    <a:noFill/>
                    <a:ln w="9525">
                      <a:noFill/>
                      <a:miter lim="800000"/>
                      <a:headEnd/>
                      <a:tailEnd/>
                    </a:ln>
                  </pic:spPr>
                </pic:pic>
              </a:graphicData>
            </a:graphic>
          </wp:anchor>
        </w:drawing>
      </w: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r>
        <w:t xml:space="preserve">Draft </w:t>
      </w:r>
      <w:r w:rsidR="00525604">
        <w:t>decision</w:t>
      </w:r>
    </w:p>
    <w:p w:rsidR="00465C62" w:rsidRDefault="00E82908" w:rsidP="00EF0E19">
      <w:pPr>
        <w:pStyle w:val="AERtitle1"/>
      </w:pPr>
      <w:r>
        <w:t>Jemena Gas Networks</w:t>
      </w:r>
      <w:r w:rsidR="00465C62">
        <w:t xml:space="preserve"> </w:t>
      </w:r>
      <w:r w:rsidR="009429FF">
        <w:t>(NSW) Ltd</w:t>
      </w:r>
    </w:p>
    <w:p w:rsidR="007F06C1" w:rsidRDefault="00465C62" w:rsidP="00EF0E19">
      <w:pPr>
        <w:pStyle w:val="AERtitle1"/>
      </w:pPr>
      <w:r>
        <w:t>Access arrangement</w:t>
      </w:r>
      <w:r w:rsidR="009429FF">
        <w:t xml:space="preserve"> 2015–20</w:t>
      </w:r>
    </w:p>
    <w:p w:rsidR="007F06C1" w:rsidRDefault="007F06C1" w:rsidP="007F06C1">
      <w:pPr>
        <w:pStyle w:val="AERtitle1"/>
      </w:pPr>
    </w:p>
    <w:p w:rsidR="00EF0E19" w:rsidRDefault="007F06C1" w:rsidP="007F06C1">
      <w:pPr>
        <w:pStyle w:val="AERtitle1"/>
      </w:pPr>
      <w:r>
        <w:t xml:space="preserve">Attachment </w:t>
      </w:r>
      <w:r w:rsidR="0075370E">
        <w:t>8</w:t>
      </w:r>
      <w:r>
        <w:t xml:space="preserve"> –</w:t>
      </w:r>
      <w:r w:rsidR="005D0F54">
        <w:t xml:space="preserve"> </w:t>
      </w:r>
      <w:r w:rsidR="0075370E">
        <w:t>Corporate income tax</w:t>
      </w:r>
    </w:p>
    <w:p w:rsidR="00EF0E19" w:rsidRDefault="00EF0E19" w:rsidP="00EF0E19"/>
    <w:p w:rsidR="00EF0E19" w:rsidRPr="00F6235D" w:rsidRDefault="00EF0E19" w:rsidP="00EF0E19"/>
    <w:p w:rsidR="009429FF" w:rsidRDefault="009429FF" w:rsidP="00EF0E19">
      <w:pPr>
        <w:pStyle w:val="AERtitle2"/>
      </w:pPr>
    </w:p>
    <w:p w:rsidR="00EF0E19" w:rsidRPr="00F6235D" w:rsidRDefault="007F06C1" w:rsidP="00EF0E19">
      <w:pPr>
        <w:pStyle w:val="AERtitle2"/>
      </w:pPr>
      <w:r>
        <w:t>November</w:t>
      </w:r>
      <w:r w:rsidR="00525604">
        <w:t xml:space="preserve"> </w:t>
      </w:r>
      <w:r w:rsidR="00EF0E19">
        <w:t>20</w:t>
      </w:r>
      <w:r w:rsidR="00525604">
        <w:t>14</w:t>
      </w:r>
    </w:p>
    <w:p w:rsidR="00EF0E19" w:rsidRPr="00F6235D" w:rsidRDefault="00EF0E19" w:rsidP="00EF0E19">
      <w:r w:rsidRPr="00F6235D">
        <w:t xml:space="preserve"> </w:t>
      </w:r>
    </w:p>
    <w:p w:rsidR="00EF0E19" w:rsidRPr="00EF0E19" w:rsidRDefault="00EF0E19" w:rsidP="00EF0E19">
      <w:pPr>
        <w:rPr>
          <w:rStyle w:val="AERtextbold"/>
        </w:rPr>
      </w:pPr>
      <w:r>
        <w:rPr>
          <w:rStyle w:val="AERtextbold"/>
        </w:rPr>
        <w:br w:type="page"/>
      </w:r>
    </w:p>
    <w:p w:rsidR="00EF0E19" w:rsidRPr="008F1A4A" w:rsidRDefault="00EF0E19" w:rsidP="00F97CD9">
      <w:pPr>
        <w:pStyle w:val="AERbodytextnospace"/>
        <w:rPr>
          <w:rStyle w:val="AERtextbold"/>
        </w:rPr>
      </w:pPr>
      <w:r w:rsidRPr="008F1A4A">
        <w:rPr>
          <w:rStyle w:val="AERtextbold"/>
        </w:rPr>
        <w:lastRenderedPageBreak/>
        <w:t>© Commonwealth of Australia 201</w:t>
      </w:r>
      <w:r w:rsidR="00525604">
        <w:rPr>
          <w:rStyle w:val="AERtextbold"/>
        </w:rPr>
        <w:t>4</w:t>
      </w:r>
    </w:p>
    <w:p w:rsidR="008E43EB" w:rsidRDefault="00EF0E19" w:rsidP="008E43EB">
      <w:r w:rsidRPr="00F6235D">
        <w:t xml:space="preserve">This work is copyright. Apart from any use permitted by the Copyright Act 1968, </w:t>
      </w:r>
      <w:r w:rsidR="008E43EB" w:rsidRPr="008E43EB">
        <w:t>all material contained within this work is provided under a Creative Commons Attribution 3.0 Australia licence</w:t>
      </w:r>
      <w:r w:rsidR="008E43EB">
        <w:t xml:space="preserve"> </w:t>
      </w:r>
      <w:r w:rsidR="008E43EB" w:rsidRPr="008E43EB">
        <w:t>with the exception of:</w:t>
      </w:r>
    </w:p>
    <w:p w:rsidR="008E43EB" w:rsidRDefault="008E43EB" w:rsidP="008E43EB">
      <w:pPr>
        <w:pStyle w:val="AERbulletlistsecondstyle"/>
      </w:pPr>
      <w:r>
        <w:t>Commonwealth Coat of Arms</w:t>
      </w:r>
    </w:p>
    <w:p w:rsidR="008E43EB" w:rsidRDefault="008E43EB" w:rsidP="008E43EB">
      <w:pPr>
        <w:pStyle w:val="AERbulletlistsecondstyle"/>
      </w:pPr>
      <w:r>
        <w:t>the ACCC and AER logos</w:t>
      </w:r>
    </w:p>
    <w:p w:rsidR="008E43EB" w:rsidRPr="008E43EB" w:rsidRDefault="008E43EB" w:rsidP="008E43EB">
      <w:pPr>
        <w:pStyle w:val="AERbulletlistsecondstyle"/>
      </w:pPr>
      <w:r w:rsidRPr="008E43EB">
        <w:t>any illustration, diagram, photograph or graphic over which the Australian Competition and Consumer Commission does not hold copyright, but which may be part of or contained within this publication</w:t>
      </w:r>
    </w:p>
    <w:p w:rsidR="008E43EB" w:rsidRPr="008E43EB" w:rsidRDefault="008E43EB" w:rsidP="008E43EB">
      <w:pPr>
        <w:pStyle w:val="AERbodytext"/>
      </w:pPr>
      <w:r w:rsidRPr="008E43EB">
        <w:t>The details of the relevant licence conditions are available on the Creative Commons website, as is the full legal code for the CC BY 3.0 AU licence.</w:t>
      </w:r>
    </w:p>
    <w:p w:rsidR="008E43EB" w:rsidRPr="008E43EB" w:rsidRDefault="008E43EB" w:rsidP="008E43EB">
      <w:pPr>
        <w:pStyle w:val="AERbodytext"/>
      </w:pPr>
      <w:r w:rsidRPr="008E43EB">
        <w:t xml:space="preserve">Requests and inquiries concerning reproduction and rights should be addressed to the Director, Corporate Communications, ACCC, GPO Box 3131, Canberra ACT 2601, or </w:t>
      </w:r>
      <w:hyperlink r:id="rId9" w:history="1">
        <w:r w:rsidRPr="008E43EB">
          <w:rPr>
            <w:rStyle w:val="Hyperlink"/>
          </w:rPr>
          <w:t>publishing.unit@accc.gov.au</w:t>
        </w:r>
      </w:hyperlink>
      <w:r w:rsidRPr="008E43EB">
        <w:t>.</w:t>
      </w:r>
    </w:p>
    <w:p w:rsidR="008E43EB" w:rsidRDefault="008E43EB" w:rsidP="008E43EB">
      <w:pPr>
        <w:pStyle w:val="AERbodytext"/>
      </w:pPr>
      <w:r w:rsidRPr="008E43EB">
        <w:t>Inquiries about this decision should be addressed to:</w:t>
      </w:r>
    </w:p>
    <w:p w:rsidR="00EF0E19" w:rsidRDefault="00EF0E19" w:rsidP="008E43EB">
      <w:pPr>
        <w:pStyle w:val="AERbodytext"/>
        <w:numPr>
          <w:ilvl w:val="0"/>
          <w:numId w:val="0"/>
        </w:numPr>
      </w:pPr>
      <w:r>
        <w:t>Australian Energy Regulator</w:t>
      </w:r>
    </w:p>
    <w:p w:rsidR="00EF0E19" w:rsidRDefault="00EF0E19" w:rsidP="00F97CD9">
      <w:pPr>
        <w:pStyle w:val="AERbodytextnospace"/>
      </w:pPr>
      <w:r>
        <w:t>GPO Box 520</w:t>
      </w:r>
    </w:p>
    <w:p w:rsidR="00EF0E19" w:rsidRDefault="00EF0E19" w:rsidP="00F97CD9">
      <w:pPr>
        <w:pStyle w:val="AERbodytextnospace"/>
      </w:pPr>
      <w:r>
        <w:t>Melbourne  Vic  3001</w:t>
      </w:r>
    </w:p>
    <w:p w:rsidR="00EF0E19" w:rsidRDefault="00EF0E19" w:rsidP="00F97CD9">
      <w:pPr>
        <w:pStyle w:val="AERbodytextnospace"/>
      </w:pPr>
      <w:r>
        <w:t>Tel: (03) 9290 1444</w:t>
      </w:r>
    </w:p>
    <w:p w:rsidR="00EF0E19" w:rsidRDefault="00EF0E19" w:rsidP="00F97CD9">
      <w:pPr>
        <w:pStyle w:val="AERbodytextnospace"/>
      </w:pPr>
      <w:r>
        <w:t>Fax: (03) 9290 1457</w:t>
      </w:r>
    </w:p>
    <w:p w:rsidR="00EF0E19" w:rsidRDefault="00EF0E19" w:rsidP="00F97CD9">
      <w:pPr>
        <w:pStyle w:val="AERbodytextnospace"/>
      </w:pPr>
      <w:r>
        <w:t xml:space="preserve">Email: </w:t>
      </w:r>
      <w:hyperlink r:id="rId10" w:history="1">
        <w:r w:rsidRPr="003E184A">
          <w:rPr>
            <w:rStyle w:val="Hyperlink"/>
          </w:rPr>
          <w:t>AERInquiry@aer.gov.au</w:t>
        </w:r>
      </w:hyperlink>
    </w:p>
    <w:p w:rsidR="00EF0E19" w:rsidRPr="008F1A4A" w:rsidRDefault="00EF0E19" w:rsidP="00EF0E19"/>
    <w:p w:rsidR="00EF0E19" w:rsidRDefault="00EF0E19" w:rsidP="00EF0E19">
      <w:r>
        <w:t xml:space="preserve">AER reference:   </w:t>
      </w:r>
      <w:r w:rsidR="000C4920">
        <w:t>51741</w:t>
      </w:r>
    </w:p>
    <w:p w:rsidR="003324F7" w:rsidRDefault="003324F7"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1168DE" w:rsidRPr="00627323" w:rsidRDefault="001168DE" w:rsidP="001168DE">
      <w:pPr>
        <w:pStyle w:val="UnnumberedHeading"/>
        <w:numPr>
          <w:ilvl w:val="0"/>
          <w:numId w:val="8"/>
        </w:numPr>
        <w:rPr>
          <w:rStyle w:val="AERtextblue"/>
        </w:rPr>
      </w:pPr>
      <w:bookmarkStart w:id="1" w:name="_Toc404152781"/>
      <w:bookmarkStart w:id="2" w:name="_Toc404155792"/>
      <w:bookmarkStart w:id="3" w:name="_Toc404182757"/>
      <w:r w:rsidRPr="00627323">
        <w:rPr>
          <w:rStyle w:val="AERtextblue"/>
          <w:color w:val="E36C0A"/>
        </w:rPr>
        <w:lastRenderedPageBreak/>
        <w:t>Note</w:t>
      </w:r>
      <w:bookmarkEnd w:id="1"/>
      <w:bookmarkEnd w:id="2"/>
      <w:bookmarkEnd w:id="3"/>
    </w:p>
    <w:p w:rsidR="001168DE" w:rsidRDefault="001168DE" w:rsidP="001168DE">
      <w:r>
        <w:t>This attachment forms part of the AER's draft decision on Jemena Gas Networks</w:t>
      </w:r>
      <w:r w:rsidR="005A71EB">
        <w:t>'</w:t>
      </w:r>
      <w:r>
        <w:t xml:space="preserve"> 2015–20 access arrangement. It should be read with other parts of the draft decision.</w:t>
      </w:r>
    </w:p>
    <w:p w:rsidR="001168DE" w:rsidRDefault="001168DE" w:rsidP="001168DE">
      <w:r>
        <w:t>The draft decision includes the following documents:</w:t>
      </w:r>
    </w:p>
    <w:p w:rsidR="001168DE" w:rsidRDefault="001168DE" w:rsidP="001168DE">
      <w:r>
        <w:t>Overview</w:t>
      </w:r>
    </w:p>
    <w:p w:rsidR="001168DE" w:rsidRDefault="001168DE" w:rsidP="001168DE">
      <w:r>
        <w:t>Attachment 1 – services covered by the access arrangement</w:t>
      </w:r>
    </w:p>
    <w:p w:rsidR="001168DE" w:rsidRDefault="001168DE" w:rsidP="001168DE">
      <w:r>
        <w:t>Attachment 2 – capital base</w:t>
      </w:r>
    </w:p>
    <w:p w:rsidR="001168DE" w:rsidRDefault="001168DE" w:rsidP="001168DE">
      <w:r>
        <w:t>Attachment 3 – rate of return</w:t>
      </w:r>
    </w:p>
    <w:p w:rsidR="001168DE" w:rsidRDefault="001168DE" w:rsidP="001168DE">
      <w:r>
        <w:t>Attachment 4 – value of imputation credits</w:t>
      </w:r>
    </w:p>
    <w:p w:rsidR="001168DE" w:rsidRDefault="001168DE" w:rsidP="001168DE">
      <w:r>
        <w:t>Attachment 5 – regulatory depreciation</w:t>
      </w:r>
    </w:p>
    <w:p w:rsidR="001168DE" w:rsidRDefault="001168DE" w:rsidP="001168DE">
      <w:r>
        <w:t>Attachment 6 – capital expenditure</w:t>
      </w:r>
      <w:r w:rsidRPr="0012445F">
        <w:t xml:space="preserve"> </w:t>
      </w:r>
    </w:p>
    <w:p w:rsidR="001168DE" w:rsidRDefault="001168DE" w:rsidP="001168DE">
      <w:r>
        <w:t>Attachment 7 – operating expenditure</w:t>
      </w:r>
    </w:p>
    <w:p w:rsidR="001168DE" w:rsidRDefault="001168DE" w:rsidP="001168DE">
      <w:r>
        <w:t>Attachment 8 – corporate income tax</w:t>
      </w:r>
    </w:p>
    <w:p w:rsidR="005A71EB" w:rsidRPr="005A71EB" w:rsidRDefault="005A71EB" w:rsidP="005A71EB">
      <w:r w:rsidRPr="005A71EB">
        <w:t>Attachment 9 – efficiency carryover mechanism</w:t>
      </w:r>
    </w:p>
    <w:p w:rsidR="001168DE" w:rsidRDefault="001168DE" w:rsidP="001168DE">
      <w:r w:rsidRPr="00DF268E">
        <w:t xml:space="preserve">Attachment </w:t>
      </w:r>
      <w:r>
        <w:t>10</w:t>
      </w:r>
      <w:r w:rsidRPr="00DF268E">
        <w:t xml:space="preserve"> –</w:t>
      </w:r>
      <w:r>
        <w:t xml:space="preserve"> reference tariff setting</w:t>
      </w:r>
    </w:p>
    <w:p w:rsidR="001168DE" w:rsidRDefault="001168DE" w:rsidP="001168DE">
      <w:r w:rsidRPr="00DF268E">
        <w:t>Attachment 1</w:t>
      </w:r>
      <w:r>
        <w:t>1 – reference tariff variation mechanism</w:t>
      </w:r>
    </w:p>
    <w:p w:rsidR="001168DE" w:rsidRDefault="001168DE" w:rsidP="001168DE">
      <w:r w:rsidRPr="00DF268E">
        <w:t>Attachment 1</w:t>
      </w:r>
      <w:r>
        <w:t>2</w:t>
      </w:r>
      <w:r w:rsidRPr="00DF268E">
        <w:t xml:space="preserve"> –</w:t>
      </w:r>
      <w:r>
        <w:t xml:space="preserve"> non-tariff components</w:t>
      </w:r>
    </w:p>
    <w:p w:rsidR="000C4920" w:rsidRPr="0012445F" w:rsidRDefault="000C4920" w:rsidP="001168DE">
      <w:r>
        <w:t xml:space="preserve">Attachment 13 – demand </w:t>
      </w: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F54216" w:rsidRDefault="00F54216" w:rsidP="00525604">
      <w:pPr>
        <w:pStyle w:val="AERbodytext"/>
        <w:numPr>
          <w:ilvl w:val="0"/>
          <w:numId w:val="0"/>
        </w:numPr>
      </w:pPr>
    </w:p>
    <w:p w:rsidR="00525604" w:rsidRDefault="00525604" w:rsidP="00525604">
      <w:pPr>
        <w:pStyle w:val="AERbodytext"/>
        <w:numPr>
          <w:ilvl w:val="0"/>
          <w:numId w:val="0"/>
        </w:numPr>
      </w:pPr>
    </w:p>
    <w:p w:rsidR="00525604" w:rsidRDefault="00525604" w:rsidP="00F54216">
      <w:pPr>
        <w:pStyle w:val="UnnumberedHeading"/>
      </w:pPr>
      <w:bookmarkStart w:id="4" w:name="_Toc404182758"/>
      <w:r>
        <w:lastRenderedPageBreak/>
        <w:t>Contents</w:t>
      </w:r>
      <w:bookmarkEnd w:id="4"/>
    </w:p>
    <w:sdt>
      <w:sdtPr>
        <w:rPr>
          <w:rFonts w:ascii="Gautami" w:eastAsia="Calibri" w:hAnsi="Gautami"/>
          <w:b w:val="0"/>
          <w:bCs w:val="0"/>
          <w:color w:val="auto"/>
          <w:sz w:val="20"/>
          <w:szCs w:val="20"/>
          <w:lang w:val="en-AU"/>
        </w:rPr>
        <w:id w:val="2131349066"/>
        <w:docPartObj>
          <w:docPartGallery w:val="Table of Contents"/>
          <w:docPartUnique/>
        </w:docPartObj>
      </w:sdtPr>
      <w:sdtEndPr/>
      <w:sdtContent>
        <w:p w:rsidR="0084378B" w:rsidRPr="0084378B" w:rsidRDefault="0084378B">
          <w:pPr>
            <w:pStyle w:val="TOCHeading"/>
          </w:pPr>
        </w:p>
        <w:p w:rsidR="0075370E" w:rsidRDefault="001B26DC">
          <w:pPr>
            <w:pStyle w:val="TOC1"/>
            <w:tabs>
              <w:tab w:val="right" w:leader="dot" w:pos="9016"/>
            </w:tabs>
            <w:rPr>
              <w:rFonts w:asciiTheme="minorHAnsi" w:eastAsiaTheme="minorEastAsia" w:hAnsiTheme="minorHAnsi" w:cstheme="minorBidi"/>
              <w:b w:val="0"/>
              <w:bCs w:val="0"/>
              <w:noProof/>
              <w:sz w:val="22"/>
              <w:szCs w:val="22"/>
              <w:lang w:eastAsia="en-AU"/>
            </w:rPr>
          </w:pPr>
          <w:r>
            <w:rPr>
              <w:b w:val="0"/>
              <w:bCs w:val="0"/>
            </w:rPr>
            <w:fldChar w:fldCharType="begin"/>
          </w:r>
          <w:r>
            <w:rPr>
              <w:b w:val="0"/>
              <w:bCs w:val="0"/>
            </w:rPr>
            <w:instrText xml:space="preserve"> TOC \o "1-3" \h \z \u \t "Heading 7,1,Heading 8,2,Heading 9,3" </w:instrText>
          </w:r>
          <w:r>
            <w:rPr>
              <w:b w:val="0"/>
              <w:bCs w:val="0"/>
            </w:rPr>
            <w:fldChar w:fldCharType="separate"/>
          </w:r>
          <w:hyperlink w:anchor="_Toc404182758" w:history="1">
            <w:r w:rsidR="0075370E" w:rsidRPr="00513340">
              <w:rPr>
                <w:rStyle w:val="Hyperlink"/>
                <w:noProof/>
              </w:rPr>
              <w:t>Contents</w:t>
            </w:r>
            <w:r w:rsidR="0075370E">
              <w:rPr>
                <w:noProof/>
                <w:webHidden/>
              </w:rPr>
              <w:tab/>
            </w:r>
            <w:r w:rsidR="0075370E">
              <w:rPr>
                <w:noProof/>
                <w:webHidden/>
              </w:rPr>
              <w:fldChar w:fldCharType="begin"/>
            </w:r>
            <w:r w:rsidR="0075370E">
              <w:rPr>
                <w:noProof/>
                <w:webHidden/>
              </w:rPr>
              <w:instrText xml:space="preserve"> PAGEREF _Toc404182758 \h </w:instrText>
            </w:r>
            <w:r w:rsidR="0075370E">
              <w:rPr>
                <w:noProof/>
                <w:webHidden/>
              </w:rPr>
            </w:r>
            <w:r w:rsidR="0075370E">
              <w:rPr>
                <w:noProof/>
                <w:webHidden/>
              </w:rPr>
              <w:fldChar w:fldCharType="separate"/>
            </w:r>
            <w:r w:rsidR="004478BF">
              <w:rPr>
                <w:noProof/>
                <w:webHidden/>
              </w:rPr>
              <w:t>8-4</w:t>
            </w:r>
            <w:r w:rsidR="0075370E">
              <w:rPr>
                <w:noProof/>
                <w:webHidden/>
              </w:rPr>
              <w:fldChar w:fldCharType="end"/>
            </w:r>
          </w:hyperlink>
        </w:p>
        <w:p w:rsidR="0075370E" w:rsidRDefault="007211F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182759" w:history="1">
            <w:r w:rsidR="0075370E" w:rsidRPr="00513340">
              <w:rPr>
                <w:rStyle w:val="Hyperlink"/>
                <w:noProof/>
              </w:rPr>
              <w:t>Shortened forms</w:t>
            </w:r>
            <w:r w:rsidR="0075370E">
              <w:rPr>
                <w:noProof/>
                <w:webHidden/>
              </w:rPr>
              <w:tab/>
            </w:r>
            <w:r w:rsidR="0075370E">
              <w:rPr>
                <w:noProof/>
                <w:webHidden/>
              </w:rPr>
              <w:fldChar w:fldCharType="begin"/>
            </w:r>
            <w:r w:rsidR="0075370E">
              <w:rPr>
                <w:noProof/>
                <w:webHidden/>
              </w:rPr>
              <w:instrText xml:space="preserve"> PAGEREF _Toc404182759 \h </w:instrText>
            </w:r>
            <w:r w:rsidR="0075370E">
              <w:rPr>
                <w:noProof/>
                <w:webHidden/>
              </w:rPr>
            </w:r>
            <w:r w:rsidR="0075370E">
              <w:rPr>
                <w:noProof/>
                <w:webHidden/>
              </w:rPr>
              <w:fldChar w:fldCharType="separate"/>
            </w:r>
            <w:r w:rsidR="004478BF">
              <w:rPr>
                <w:noProof/>
                <w:webHidden/>
              </w:rPr>
              <w:t>8-5</w:t>
            </w:r>
            <w:r w:rsidR="0075370E">
              <w:rPr>
                <w:noProof/>
                <w:webHidden/>
              </w:rPr>
              <w:fldChar w:fldCharType="end"/>
            </w:r>
          </w:hyperlink>
        </w:p>
        <w:p w:rsidR="0075370E" w:rsidRDefault="007211F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182760" w:history="1">
            <w:r w:rsidR="0075370E" w:rsidRPr="00513340">
              <w:rPr>
                <w:rStyle w:val="Hyperlink"/>
                <w:noProof/>
              </w:rPr>
              <w:t>8</w:t>
            </w:r>
            <w:r w:rsidR="0075370E">
              <w:rPr>
                <w:rFonts w:asciiTheme="minorHAnsi" w:eastAsiaTheme="minorEastAsia" w:hAnsiTheme="minorHAnsi" w:cstheme="minorBidi"/>
                <w:b w:val="0"/>
                <w:bCs w:val="0"/>
                <w:noProof/>
                <w:sz w:val="22"/>
                <w:szCs w:val="22"/>
                <w:lang w:eastAsia="en-AU"/>
              </w:rPr>
              <w:tab/>
            </w:r>
            <w:r w:rsidR="0075370E" w:rsidRPr="00513340">
              <w:rPr>
                <w:rStyle w:val="Hyperlink"/>
                <w:noProof/>
              </w:rPr>
              <w:t>Corporate income tax</w:t>
            </w:r>
            <w:r w:rsidR="0075370E">
              <w:rPr>
                <w:noProof/>
                <w:webHidden/>
              </w:rPr>
              <w:tab/>
            </w:r>
            <w:r w:rsidR="0075370E">
              <w:rPr>
                <w:noProof/>
                <w:webHidden/>
              </w:rPr>
              <w:fldChar w:fldCharType="begin"/>
            </w:r>
            <w:r w:rsidR="0075370E">
              <w:rPr>
                <w:noProof/>
                <w:webHidden/>
              </w:rPr>
              <w:instrText xml:space="preserve"> PAGEREF _Toc404182760 \h </w:instrText>
            </w:r>
            <w:r w:rsidR="0075370E">
              <w:rPr>
                <w:noProof/>
                <w:webHidden/>
              </w:rPr>
            </w:r>
            <w:r w:rsidR="0075370E">
              <w:rPr>
                <w:noProof/>
                <w:webHidden/>
              </w:rPr>
              <w:fldChar w:fldCharType="separate"/>
            </w:r>
            <w:r w:rsidR="004478BF">
              <w:rPr>
                <w:noProof/>
                <w:webHidden/>
              </w:rPr>
              <w:t>8-7</w:t>
            </w:r>
            <w:r w:rsidR="0075370E">
              <w:rPr>
                <w:noProof/>
                <w:webHidden/>
              </w:rPr>
              <w:fldChar w:fldCharType="end"/>
            </w:r>
          </w:hyperlink>
        </w:p>
        <w:p w:rsidR="0075370E" w:rsidRDefault="007211F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2761" w:history="1">
            <w:r w:rsidR="0075370E" w:rsidRPr="00513340">
              <w:rPr>
                <w:rStyle w:val="Hyperlink"/>
                <w:noProof/>
              </w:rPr>
              <w:t>8.1</w:t>
            </w:r>
            <w:r w:rsidR="0075370E">
              <w:rPr>
                <w:rFonts w:asciiTheme="minorHAnsi" w:eastAsiaTheme="minorEastAsia" w:hAnsiTheme="minorHAnsi" w:cstheme="minorBidi"/>
                <w:iCs w:val="0"/>
                <w:noProof/>
                <w:sz w:val="22"/>
                <w:szCs w:val="22"/>
                <w:lang w:eastAsia="en-AU"/>
              </w:rPr>
              <w:tab/>
            </w:r>
            <w:r w:rsidR="0075370E" w:rsidRPr="00513340">
              <w:rPr>
                <w:rStyle w:val="Hyperlink"/>
                <w:noProof/>
              </w:rPr>
              <w:t>Draft decision</w:t>
            </w:r>
            <w:r w:rsidR="0075370E">
              <w:rPr>
                <w:noProof/>
                <w:webHidden/>
              </w:rPr>
              <w:tab/>
            </w:r>
            <w:r w:rsidR="0075370E">
              <w:rPr>
                <w:noProof/>
                <w:webHidden/>
              </w:rPr>
              <w:fldChar w:fldCharType="begin"/>
            </w:r>
            <w:r w:rsidR="0075370E">
              <w:rPr>
                <w:noProof/>
                <w:webHidden/>
              </w:rPr>
              <w:instrText xml:space="preserve"> PAGEREF _Toc404182761 \h </w:instrText>
            </w:r>
            <w:r w:rsidR="0075370E">
              <w:rPr>
                <w:noProof/>
                <w:webHidden/>
              </w:rPr>
            </w:r>
            <w:r w:rsidR="0075370E">
              <w:rPr>
                <w:noProof/>
                <w:webHidden/>
              </w:rPr>
              <w:fldChar w:fldCharType="separate"/>
            </w:r>
            <w:r w:rsidR="004478BF">
              <w:rPr>
                <w:noProof/>
                <w:webHidden/>
              </w:rPr>
              <w:t>8-7</w:t>
            </w:r>
            <w:r w:rsidR="0075370E">
              <w:rPr>
                <w:noProof/>
                <w:webHidden/>
              </w:rPr>
              <w:fldChar w:fldCharType="end"/>
            </w:r>
          </w:hyperlink>
        </w:p>
        <w:p w:rsidR="0075370E" w:rsidRDefault="007211F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2762" w:history="1">
            <w:r w:rsidR="0075370E" w:rsidRPr="00513340">
              <w:rPr>
                <w:rStyle w:val="Hyperlink"/>
                <w:noProof/>
              </w:rPr>
              <w:t>8.2</w:t>
            </w:r>
            <w:r w:rsidR="0075370E">
              <w:rPr>
                <w:rFonts w:asciiTheme="minorHAnsi" w:eastAsiaTheme="minorEastAsia" w:hAnsiTheme="minorHAnsi" w:cstheme="minorBidi"/>
                <w:iCs w:val="0"/>
                <w:noProof/>
                <w:sz w:val="22"/>
                <w:szCs w:val="22"/>
                <w:lang w:eastAsia="en-AU"/>
              </w:rPr>
              <w:tab/>
            </w:r>
            <w:r w:rsidR="0075370E" w:rsidRPr="00513340">
              <w:rPr>
                <w:rStyle w:val="Hyperlink"/>
                <w:noProof/>
              </w:rPr>
              <w:t>JGN proposal</w:t>
            </w:r>
            <w:r w:rsidR="0075370E">
              <w:rPr>
                <w:noProof/>
                <w:webHidden/>
              </w:rPr>
              <w:tab/>
            </w:r>
            <w:r w:rsidR="0075370E">
              <w:rPr>
                <w:noProof/>
                <w:webHidden/>
              </w:rPr>
              <w:fldChar w:fldCharType="begin"/>
            </w:r>
            <w:r w:rsidR="0075370E">
              <w:rPr>
                <w:noProof/>
                <w:webHidden/>
              </w:rPr>
              <w:instrText xml:space="preserve"> PAGEREF _Toc404182762 \h </w:instrText>
            </w:r>
            <w:r w:rsidR="0075370E">
              <w:rPr>
                <w:noProof/>
                <w:webHidden/>
              </w:rPr>
            </w:r>
            <w:r w:rsidR="0075370E">
              <w:rPr>
                <w:noProof/>
                <w:webHidden/>
              </w:rPr>
              <w:fldChar w:fldCharType="separate"/>
            </w:r>
            <w:r w:rsidR="004478BF">
              <w:rPr>
                <w:noProof/>
                <w:webHidden/>
              </w:rPr>
              <w:t>8-7</w:t>
            </w:r>
            <w:r w:rsidR="0075370E">
              <w:rPr>
                <w:noProof/>
                <w:webHidden/>
              </w:rPr>
              <w:fldChar w:fldCharType="end"/>
            </w:r>
          </w:hyperlink>
        </w:p>
        <w:p w:rsidR="0075370E" w:rsidRDefault="007211F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2763" w:history="1">
            <w:r w:rsidR="0075370E" w:rsidRPr="00513340">
              <w:rPr>
                <w:rStyle w:val="Hyperlink"/>
                <w:noProof/>
              </w:rPr>
              <w:t>8.3</w:t>
            </w:r>
            <w:r w:rsidR="0075370E">
              <w:rPr>
                <w:rFonts w:asciiTheme="minorHAnsi" w:eastAsiaTheme="minorEastAsia" w:hAnsiTheme="minorHAnsi" w:cstheme="minorBidi"/>
                <w:iCs w:val="0"/>
                <w:noProof/>
                <w:sz w:val="22"/>
                <w:szCs w:val="22"/>
                <w:lang w:eastAsia="en-AU"/>
              </w:rPr>
              <w:tab/>
            </w:r>
            <w:r w:rsidR="0075370E" w:rsidRPr="00513340">
              <w:rPr>
                <w:rStyle w:val="Hyperlink"/>
                <w:noProof/>
              </w:rPr>
              <w:t>AER assessment approach</w:t>
            </w:r>
            <w:r w:rsidR="0075370E">
              <w:rPr>
                <w:noProof/>
                <w:webHidden/>
              </w:rPr>
              <w:tab/>
            </w:r>
            <w:r w:rsidR="0075370E">
              <w:rPr>
                <w:noProof/>
                <w:webHidden/>
              </w:rPr>
              <w:fldChar w:fldCharType="begin"/>
            </w:r>
            <w:r w:rsidR="0075370E">
              <w:rPr>
                <w:noProof/>
                <w:webHidden/>
              </w:rPr>
              <w:instrText xml:space="preserve"> PAGEREF _Toc404182763 \h </w:instrText>
            </w:r>
            <w:r w:rsidR="0075370E">
              <w:rPr>
                <w:noProof/>
                <w:webHidden/>
              </w:rPr>
            </w:r>
            <w:r w:rsidR="0075370E">
              <w:rPr>
                <w:noProof/>
                <w:webHidden/>
              </w:rPr>
              <w:fldChar w:fldCharType="separate"/>
            </w:r>
            <w:r w:rsidR="004478BF">
              <w:rPr>
                <w:noProof/>
                <w:webHidden/>
              </w:rPr>
              <w:t>8-8</w:t>
            </w:r>
            <w:r w:rsidR="0075370E">
              <w:rPr>
                <w:noProof/>
                <w:webHidden/>
              </w:rPr>
              <w:fldChar w:fldCharType="end"/>
            </w:r>
          </w:hyperlink>
        </w:p>
        <w:p w:rsidR="0075370E" w:rsidRDefault="007211F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2764" w:history="1">
            <w:r w:rsidR="0075370E" w:rsidRPr="00513340">
              <w:rPr>
                <w:rStyle w:val="Hyperlink"/>
                <w:noProof/>
              </w:rPr>
              <w:t>8.3.1</w:t>
            </w:r>
            <w:r w:rsidR="0075370E">
              <w:rPr>
                <w:rFonts w:asciiTheme="minorHAnsi" w:eastAsiaTheme="minorEastAsia" w:hAnsiTheme="minorHAnsi" w:cstheme="minorBidi"/>
                <w:noProof/>
                <w:sz w:val="22"/>
                <w:szCs w:val="22"/>
                <w:lang w:eastAsia="en-AU"/>
              </w:rPr>
              <w:tab/>
            </w:r>
            <w:r w:rsidR="0075370E" w:rsidRPr="00513340">
              <w:rPr>
                <w:rStyle w:val="Hyperlink"/>
                <w:noProof/>
              </w:rPr>
              <w:t>Interrelationships</w:t>
            </w:r>
            <w:r w:rsidR="0075370E">
              <w:rPr>
                <w:noProof/>
                <w:webHidden/>
              </w:rPr>
              <w:tab/>
            </w:r>
            <w:r w:rsidR="0075370E">
              <w:rPr>
                <w:noProof/>
                <w:webHidden/>
              </w:rPr>
              <w:fldChar w:fldCharType="begin"/>
            </w:r>
            <w:r w:rsidR="0075370E">
              <w:rPr>
                <w:noProof/>
                <w:webHidden/>
              </w:rPr>
              <w:instrText xml:space="preserve"> PAGEREF _Toc404182764 \h </w:instrText>
            </w:r>
            <w:r w:rsidR="0075370E">
              <w:rPr>
                <w:noProof/>
                <w:webHidden/>
              </w:rPr>
            </w:r>
            <w:r w:rsidR="0075370E">
              <w:rPr>
                <w:noProof/>
                <w:webHidden/>
              </w:rPr>
              <w:fldChar w:fldCharType="separate"/>
            </w:r>
            <w:r w:rsidR="004478BF">
              <w:rPr>
                <w:noProof/>
                <w:webHidden/>
              </w:rPr>
              <w:t>8-9</w:t>
            </w:r>
            <w:r w:rsidR="0075370E">
              <w:rPr>
                <w:noProof/>
                <w:webHidden/>
              </w:rPr>
              <w:fldChar w:fldCharType="end"/>
            </w:r>
          </w:hyperlink>
        </w:p>
        <w:p w:rsidR="0075370E" w:rsidRDefault="007211F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182765" w:history="1">
            <w:r w:rsidR="0075370E" w:rsidRPr="00513340">
              <w:rPr>
                <w:rStyle w:val="Hyperlink"/>
                <w:noProof/>
              </w:rPr>
              <w:t>8.4</w:t>
            </w:r>
            <w:r w:rsidR="0075370E">
              <w:rPr>
                <w:rFonts w:asciiTheme="minorHAnsi" w:eastAsiaTheme="minorEastAsia" w:hAnsiTheme="minorHAnsi" w:cstheme="minorBidi"/>
                <w:iCs w:val="0"/>
                <w:noProof/>
                <w:sz w:val="22"/>
                <w:szCs w:val="22"/>
                <w:lang w:eastAsia="en-AU"/>
              </w:rPr>
              <w:tab/>
            </w:r>
            <w:r w:rsidR="0075370E" w:rsidRPr="00513340">
              <w:rPr>
                <w:rStyle w:val="Hyperlink"/>
                <w:noProof/>
              </w:rPr>
              <w:t>Reasons for the draft decision</w:t>
            </w:r>
            <w:r w:rsidR="0075370E">
              <w:rPr>
                <w:noProof/>
                <w:webHidden/>
              </w:rPr>
              <w:tab/>
            </w:r>
            <w:r w:rsidR="0075370E">
              <w:rPr>
                <w:noProof/>
                <w:webHidden/>
              </w:rPr>
              <w:fldChar w:fldCharType="begin"/>
            </w:r>
            <w:r w:rsidR="0075370E">
              <w:rPr>
                <w:noProof/>
                <w:webHidden/>
              </w:rPr>
              <w:instrText xml:space="preserve"> PAGEREF _Toc404182765 \h </w:instrText>
            </w:r>
            <w:r w:rsidR="0075370E">
              <w:rPr>
                <w:noProof/>
                <w:webHidden/>
              </w:rPr>
            </w:r>
            <w:r w:rsidR="0075370E">
              <w:rPr>
                <w:noProof/>
                <w:webHidden/>
              </w:rPr>
              <w:fldChar w:fldCharType="separate"/>
            </w:r>
            <w:r w:rsidR="004478BF">
              <w:rPr>
                <w:noProof/>
                <w:webHidden/>
              </w:rPr>
              <w:t>8-10</w:t>
            </w:r>
            <w:r w:rsidR="0075370E">
              <w:rPr>
                <w:noProof/>
                <w:webHidden/>
              </w:rPr>
              <w:fldChar w:fldCharType="end"/>
            </w:r>
          </w:hyperlink>
        </w:p>
        <w:p w:rsidR="0075370E" w:rsidRDefault="007211F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2766" w:history="1">
            <w:r w:rsidR="0075370E" w:rsidRPr="00513340">
              <w:rPr>
                <w:rStyle w:val="Hyperlink"/>
                <w:noProof/>
              </w:rPr>
              <w:t>8.4.1</w:t>
            </w:r>
            <w:r w:rsidR="0075370E">
              <w:rPr>
                <w:rFonts w:asciiTheme="minorHAnsi" w:eastAsiaTheme="minorEastAsia" w:hAnsiTheme="minorHAnsi" w:cstheme="minorBidi"/>
                <w:noProof/>
                <w:sz w:val="22"/>
                <w:szCs w:val="22"/>
                <w:lang w:eastAsia="en-AU"/>
              </w:rPr>
              <w:tab/>
            </w:r>
            <w:r w:rsidR="0075370E" w:rsidRPr="00513340">
              <w:rPr>
                <w:rStyle w:val="Hyperlink"/>
                <w:noProof/>
              </w:rPr>
              <w:t>Opening tax asset base as at 1 July 2015</w:t>
            </w:r>
            <w:r w:rsidR="0075370E">
              <w:rPr>
                <w:noProof/>
                <w:webHidden/>
              </w:rPr>
              <w:tab/>
            </w:r>
            <w:r w:rsidR="0075370E">
              <w:rPr>
                <w:noProof/>
                <w:webHidden/>
              </w:rPr>
              <w:fldChar w:fldCharType="begin"/>
            </w:r>
            <w:r w:rsidR="0075370E">
              <w:rPr>
                <w:noProof/>
                <w:webHidden/>
              </w:rPr>
              <w:instrText xml:space="preserve"> PAGEREF _Toc404182766 \h </w:instrText>
            </w:r>
            <w:r w:rsidR="0075370E">
              <w:rPr>
                <w:noProof/>
                <w:webHidden/>
              </w:rPr>
            </w:r>
            <w:r w:rsidR="0075370E">
              <w:rPr>
                <w:noProof/>
                <w:webHidden/>
              </w:rPr>
              <w:fldChar w:fldCharType="separate"/>
            </w:r>
            <w:r w:rsidR="004478BF">
              <w:rPr>
                <w:noProof/>
                <w:webHidden/>
              </w:rPr>
              <w:t>8-10</w:t>
            </w:r>
            <w:r w:rsidR="0075370E">
              <w:rPr>
                <w:noProof/>
                <w:webHidden/>
              </w:rPr>
              <w:fldChar w:fldCharType="end"/>
            </w:r>
          </w:hyperlink>
        </w:p>
        <w:p w:rsidR="0075370E" w:rsidRDefault="007211F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2767" w:history="1">
            <w:r w:rsidR="0075370E" w:rsidRPr="00513340">
              <w:rPr>
                <w:rStyle w:val="Hyperlink"/>
                <w:noProof/>
              </w:rPr>
              <w:t>8.4.2</w:t>
            </w:r>
            <w:r w:rsidR="0075370E">
              <w:rPr>
                <w:rFonts w:asciiTheme="minorHAnsi" w:eastAsiaTheme="minorEastAsia" w:hAnsiTheme="minorHAnsi" w:cstheme="minorBidi"/>
                <w:noProof/>
                <w:sz w:val="22"/>
                <w:szCs w:val="22"/>
                <w:lang w:eastAsia="en-AU"/>
              </w:rPr>
              <w:tab/>
            </w:r>
            <w:r w:rsidR="0075370E" w:rsidRPr="00513340">
              <w:rPr>
                <w:rStyle w:val="Hyperlink"/>
                <w:noProof/>
              </w:rPr>
              <w:t>Tax depreciation method</w:t>
            </w:r>
            <w:r w:rsidR="0075370E">
              <w:rPr>
                <w:noProof/>
                <w:webHidden/>
              </w:rPr>
              <w:tab/>
            </w:r>
            <w:r w:rsidR="0075370E">
              <w:rPr>
                <w:noProof/>
                <w:webHidden/>
              </w:rPr>
              <w:fldChar w:fldCharType="begin"/>
            </w:r>
            <w:r w:rsidR="0075370E">
              <w:rPr>
                <w:noProof/>
                <w:webHidden/>
              </w:rPr>
              <w:instrText xml:space="preserve"> PAGEREF _Toc404182767 \h </w:instrText>
            </w:r>
            <w:r w:rsidR="0075370E">
              <w:rPr>
                <w:noProof/>
                <w:webHidden/>
              </w:rPr>
            </w:r>
            <w:r w:rsidR="0075370E">
              <w:rPr>
                <w:noProof/>
                <w:webHidden/>
              </w:rPr>
              <w:fldChar w:fldCharType="separate"/>
            </w:r>
            <w:r w:rsidR="004478BF">
              <w:rPr>
                <w:noProof/>
                <w:webHidden/>
              </w:rPr>
              <w:t>8-11</w:t>
            </w:r>
            <w:r w:rsidR="0075370E">
              <w:rPr>
                <w:noProof/>
                <w:webHidden/>
              </w:rPr>
              <w:fldChar w:fldCharType="end"/>
            </w:r>
          </w:hyperlink>
        </w:p>
        <w:p w:rsidR="0075370E" w:rsidRDefault="007211F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182768" w:history="1">
            <w:r w:rsidR="0075370E" w:rsidRPr="00513340">
              <w:rPr>
                <w:rStyle w:val="Hyperlink"/>
                <w:noProof/>
              </w:rPr>
              <w:t>8.4.3</w:t>
            </w:r>
            <w:r w:rsidR="0075370E">
              <w:rPr>
                <w:rFonts w:asciiTheme="minorHAnsi" w:eastAsiaTheme="minorEastAsia" w:hAnsiTheme="minorHAnsi" w:cstheme="minorBidi"/>
                <w:noProof/>
                <w:sz w:val="22"/>
                <w:szCs w:val="22"/>
                <w:lang w:eastAsia="en-AU"/>
              </w:rPr>
              <w:tab/>
            </w:r>
            <w:r w:rsidR="0075370E" w:rsidRPr="00513340">
              <w:rPr>
                <w:rStyle w:val="Hyperlink"/>
                <w:noProof/>
              </w:rPr>
              <w:t>Revisions</w:t>
            </w:r>
            <w:r w:rsidR="0075370E">
              <w:rPr>
                <w:noProof/>
                <w:webHidden/>
              </w:rPr>
              <w:tab/>
            </w:r>
            <w:r w:rsidR="0075370E">
              <w:rPr>
                <w:noProof/>
                <w:webHidden/>
              </w:rPr>
              <w:fldChar w:fldCharType="begin"/>
            </w:r>
            <w:r w:rsidR="0075370E">
              <w:rPr>
                <w:noProof/>
                <w:webHidden/>
              </w:rPr>
              <w:instrText xml:space="preserve"> PAGEREF _Toc404182768 \h </w:instrText>
            </w:r>
            <w:r w:rsidR="0075370E">
              <w:rPr>
                <w:noProof/>
                <w:webHidden/>
              </w:rPr>
            </w:r>
            <w:r w:rsidR="0075370E">
              <w:rPr>
                <w:noProof/>
                <w:webHidden/>
              </w:rPr>
              <w:fldChar w:fldCharType="separate"/>
            </w:r>
            <w:r w:rsidR="004478BF">
              <w:rPr>
                <w:noProof/>
                <w:webHidden/>
              </w:rPr>
              <w:t>8-13</w:t>
            </w:r>
            <w:r w:rsidR="0075370E">
              <w:rPr>
                <w:noProof/>
                <w:webHidden/>
              </w:rPr>
              <w:fldChar w:fldCharType="end"/>
            </w:r>
          </w:hyperlink>
        </w:p>
        <w:p w:rsidR="0084378B" w:rsidRPr="0084378B" w:rsidRDefault="001B26DC">
          <w:r>
            <w:rPr>
              <w:b/>
              <w:bCs/>
            </w:rPr>
            <w:fldChar w:fldCharType="end"/>
          </w:r>
        </w:p>
      </w:sdtContent>
    </w:sdt>
    <w:p w:rsidR="00525604" w:rsidRDefault="00525604" w:rsidP="00525604">
      <w:pPr>
        <w:pStyle w:val="AERbodytext"/>
        <w:numPr>
          <w:ilvl w:val="0"/>
          <w:numId w:val="0"/>
        </w:numPr>
      </w:pPr>
    </w:p>
    <w:p w:rsidR="00525604" w:rsidRDefault="00525604" w:rsidP="00F54216">
      <w:pPr>
        <w:pStyle w:val="UnnumberedHeading"/>
      </w:pPr>
      <w:bookmarkStart w:id="5" w:name="_Toc404182759"/>
      <w:r>
        <w:lastRenderedPageBreak/>
        <w:t>Shortened forms</w:t>
      </w:r>
      <w:bookmarkEnd w:id="5"/>
    </w:p>
    <w:tbl>
      <w:tblPr>
        <w:tblStyle w:val="AERtable-numbers"/>
        <w:tblW w:w="0" w:type="auto"/>
        <w:tblLook w:val="04A0" w:firstRow="1" w:lastRow="0" w:firstColumn="1" w:lastColumn="0" w:noHBand="0" w:noVBand="1"/>
      </w:tblPr>
      <w:tblGrid>
        <w:gridCol w:w="4621"/>
        <w:gridCol w:w="4621"/>
      </w:tblGrid>
      <w:tr w:rsidR="000722CB" w:rsidTr="009433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0722CB" w:rsidRDefault="000722CB" w:rsidP="000722CB">
            <w:pPr>
              <w:pStyle w:val="AERbodytext"/>
            </w:pPr>
            <w:r>
              <w:t>Shortened form</w:t>
            </w:r>
          </w:p>
        </w:tc>
        <w:tc>
          <w:tcPr>
            <w:tcW w:w="4621" w:type="dxa"/>
          </w:tcPr>
          <w:p w:rsidR="000722CB" w:rsidRDefault="000722CB" w:rsidP="000722CB">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2010–15 access arrangement</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Access arrangement for JGN effective from 1 July 2010 to 30 June 2015 inclusive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Pr="00E854E3" w:rsidRDefault="001168DE" w:rsidP="00CD1010">
            <w:pPr>
              <w:pStyle w:val="AERbodytext"/>
            </w:pPr>
            <w:r w:rsidRPr="00E854E3">
              <w:t>2010–15 access arrangement</w:t>
            </w:r>
            <w:r>
              <w:t xml:space="preserve"> period</w:t>
            </w:r>
          </w:p>
        </w:tc>
        <w:tc>
          <w:tcPr>
            <w:tcW w:w="4621" w:type="dxa"/>
          </w:tcPr>
          <w:p w:rsidR="001168DE" w:rsidRPr="00E854E3"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rsidRPr="00E854E3">
              <w:t>1 July 2010 to 30 June 2015 inclusive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Pr="00E854E3" w:rsidRDefault="001168DE" w:rsidP="00CD1010">
            <w:pPr>
              <w:pStyle w:val="AERbodytext"/>
            </w:pPr>
            <w:r w:rsidRPr="00E854E3">
              <w:t>201</w:t>
            </w:r>
            <w:r>
              <w:t>5</w:t>
            </w:r>
            <w:r w:rsidRPr="00E854E3">
              <w:t>–</w:t>
            </w:r>
            <w:r>
              <w:t>20</w:t>
            </w:r>
            <w:r w:rsidRPr="00E854E3">
              <w:t xml:space="preserve"> access arrangement</w:t>
            </w:r>
          </w:p>
        </w:tc>
        <w:tc>
          <w:tcPr>
            <w:tcW w:w="4621" w:type="dxa"/>
          </w:tcPr>
          <w:p w:rsidR="001168DE" w:rsidRPr="00E854E3"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rsidRPr="00E854E3">
              <w:t>Access arrangement for JGN effective from 1 July 201</w:t>
            </w:r>
            <w:r>
              <w:t>5</w:t>
            </w:r>
            <w:r w:rsidRPr="00E854E3">
              <w:t xml:space="preserve"> to 30 June 20</w:t>
            </w:r>
            <w:r>
              <w:t>20</w:t>
            </w:r>
            <w:r w:rsidRPr="00E854E3">
              <w:t xml:space="preserve"> inclusive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Pr="00E854E3" w:rsidRDefault="001168DE" w:rsidP="00CD1010">
            <w:pPr>
              <w:pStyle w:val="AERbodytext"/>
            </w:pPr>
            <w:r w:rsidRPr="00E854E3">
              <w:t>201</w:t>
            </w:r>
            <w:r>
              <w:t>5</w:t>
            </w:r>
            <w:r w:rsidRPr="00E854E3">
              <w:t>–</w:t>
            </w:r>
            <w:r>
              <w:t>20</w:t>
            </w:r>
            <w:r w:rsidRPr="00E854E3">
              <w:t xml:space="preserve"> access arrangement period</w:t>
            </w:r>
          </w:p>
        </w:tc>
        <w:tc>
          <w:tcPr>
            <w:tcW w:w="4621" w:type="dxa"/>
          </w:tcPr>
          <w:p w:rsidR="001168DE" w:rsidRPr="00E854E3"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rsidRPr="00E854E3">
              <w:t>1 July 201</w:t>
            </w:r>
            <w:r>
              <w:t>5</w:t>
            </w:r>
            <w:r w:rsidRPr="00E854E3">
              <w:t xml:space="preserve"> to 30 June 20</w:t>
            </w:r>
            <w:r>
              <w:t>20</w:t>
            </w:r>
            <w:r w:rsidRPr="00E854E3">
              <w:t xml:space="preserve"> inclusive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Access arrangement information</w:t>
            </w:r>
          </w:p>
        </w:tc>
        <w:tc>
          <w:tcPr>
            <w:tcW w:w="4621" w:type="dxa"/>
          </w:tcPr>
          <w:p w:rsidR="001168DE" w:rsidRDefault="001168DE" w:rsidP="008B0479">
            <w:pPr>
              <w:pStyle w:val="AERbodytext"/>
              <w:cnfStyle w:val="000000000000" w:firstRow="0" w:lastRow="0" w:firstColumn="0" w:lastColumn="0" w:oddVBand="0" w:evenVBand="0" w:oddHBand="0" w:evenHBand="0" w:firstRowFirstColumn="0" w:firstRowLastColumn="0" w:lastRowFirstColumn="0" w:lastRowLastColumn="0"/>
            </w:pPr>
            <w:r w:rsidRPr="00A41D43">
              <w:t xml:space="preserve">Jemena Gas Networks (NSW) Ltd, </w:t>
            </w:r>
            <w:r w:rsidRPr="00A41D43">
              <w:rPr>
                <w:rStyle w:val="AERtextitalic"/>
              </w:rPr>
              <w:t>Access Arrangement Informatio</w:t>
            </w:r>
            <w:r>
              <w:rPr>
                <w:rStyle w:val="AERtextitalic"/>
              </w:rPr>
              <w:t>n 2015–20</w:t>
            </w:r>
            <w:r w:rsidRPr="00A41D43">
              <w:t>, 30 June 2014</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Access arrangement proposal</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rsidRPr="00A41D43">
              <w:t xml:space="preserve">Jemena Gas Networks (NSW) Ltd,  </w:t>
            </w:r>
            <w:r w:rsidRPr="00A41D43">
              <w:rPr>
                <w:rStyle w:val="AERtextitalic"/>
              </w:rPr>
              <w:t>Access arrangement, JGN’s NSW gas distribution networks, 1 July 2015 – 30 June 2020</w:t>
            </w:r>
            <w:r w:rsidRPr="00A41D43">
              <w:t>, 30 June 2014</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AER</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Australian Energy Regulator</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capex</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capital expenditure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CAPM</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capital asset pricing model</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CCP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Code</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National Third Party Access Code for Natural Gas Pipeline Systems</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CPI</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DRP</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ERP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JGN</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Jemena Gas Networks (NSW) Ltd (CAN 003 004 322)</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MRP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market risk premium</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NGL</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national gas law</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NGO</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national gas objective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NGR</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national gas rules</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lastRenderedPageBreak/>
              <w:t>opex</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PPI</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PTRM</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RAB</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RBA</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Reference service agreement proposal</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rsidRPr="00A41D43">
              <w:t xml:space="preserve">Jemena Gas Networks (NSW) Ltd, </w:t>
            </w:r>
            <w:r w:rsidRPr="00A41D43">
              <w:rPr>
                <w:rStyle w:val="AERtextitalic"/>
              </w:rPr>
              <w:t>Reference Service Agreement, JGN’s NSW gas distribution networks</w:t>
            </w:r>
            <w:r w:rsidRPr="00A41D43">
              <w:t>, 30 June 2014</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RFM</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RIN</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RPP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 xml:space="preserve">revenue </w:t>
            </w:r>
            <w:r w:rsidR="008664BF">
              <w:t xml:space="preserve">and </w:t>
            </w:r>
            <w:r>
              <w:t>pricing principles</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SLCAPM</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WACC</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C557F2" w:rsidRPr="00C557F2" w:rsidRDefault="00C557F2" w:rsidP="00C557F2">
      <w:pPr>
        <w:pStyle w:val="AERbodytext"/>
      </w:pPr>
    </w:p>
    <w:p w:rsidR="008B4932" w:rsidRPr="008B4932" w:rsidRDefault="008B4932" w:rsidP="008B4932">
      <w:pPr>
        <w:pStyle w:val="AERbodytext"/>
        <w:numPr>
          <w:ilvl w:val="0"/>
          <w:numId w:val="0"/>
        </w:numPr>
      </w:pPr>
    </w:p>
    <w:p w:rsidR="00525604" w:rsidRPr="003E6299" w:rsidRDefault="0075370E" w:rsidP="0075370E">
      <w:pPr>
        <w:pStyle w:val="Heading1"/>
      </w:pPr>
      <w:bookmarkStart w:id="6" w:name="_Toc404182760"/>
      <w:r>
        <w:lastRenderedPageBreak/>
        <w:t>Corporate income tax</w:t>
      </w:r>
      <w:bookmarkEnd w:id="6"/>
      <w:r w:rsidR="005D0F54">
        <w:t xml:space="preserve"> </w:t>
      </w:r>
    </w:p>
    <w:p w:rsidR="0075370E" w:rsidRPr="00FD50DB" w:rsidRDefault="0075370E" w:rsidP="0075370E">
      <w:pPr>
        <w:pStyle w:val="AERbodytext"/>
      </w:pPr>
      <w:bookmarkStart w:id="7" w:name="_Toc388623123"/>
      <w:r w:rsidRPr="00FD50DB">
        <w:t>When determining the total revenue for JGN, we must estimate JGN’s cost of corporate income tax.</w:t>
      </w:r>
      <w:r w:rsidRPr="00FD50DB">
        <w:rPr>
          <w:rStyle w:val="FootnoteReference"/>
        </w:rPr>
        <w:footnoteReference w:id="1"/>
      </w:r>
      <w:r w:rsidRPr="00FD50DB">
        <w:t xml:space="preserve"> JGN has adopted the post-tax framework to derive its revenue requirement for the 2015–20 access arrangement period.</w:t>
      </w:r>
      <w:r w:rsidRPr="00FD50DB">
        <w:rPr>
          <w:rStyle w:val="FootnoteReference"/>
        </w:rPr>
        <w:footnoteReference w:id="2"/>
      </w:r>
      <w:r w:rsidRPr="00FD50DB">
        <w:t xml:space="preserve"> Under the post-tax framework, a separate corporate income tax allowance is calculated as part of the building blocks assessment. </w:t>
      </w:r>
    </w:p>
    <w:p w:rsidR="0075370E" w:rsidRPr="00FD50DB" w:rsidRDefault="0075370E" w:rsidP="0075370E">
      <w:pPr>
        <w:pStyle w:val="Heading2"/>
      </w:pPr>
      <w:bookmarkStart w:id="8" w:name="_Toc403463353"/>
      <w:bookmarkStart w:id="9" w:name="_Toc404182761"/>
      <w:r w:rsidRPr="00FD50DB">
        <w:t>Draft decision</w:t>
      </w:r>
      <w:bookmarkEnd w:id="7"/>
      <w:bookmarkEnd w:id="8"/>
      <w:bookmarkEnd w:id="9"/>
      <w:r w:rsidRPr="00FD50DB">
        <w:t xml:space="preserve"> </w:t>
      </w:r>
    </w:p>
    <w:p w:rsidR="0075370E" w:rsidRPr="00F17F59" w:rsidRDefault="0075370E" w:rsidP="0075370E">
      <w:pPr>
        <w:pStyle w:val="AERbodytext"/>
        <w:rPr>
          <w:rStyle w:val="AERbody"/>
        </w:rPr>
      </w:pPr>
      <w:r w:rsidRPr="00FD50DB">
        <w:t xml:space="preserve">We do not approve JGN’s proposed corporate income tax allowance of $126.3 million ($nominal) for the </w:t>
      </w:r>
      <w:r w:rsidRPr="00FD50DB">
        <w:rPr>
          <w:rStyle w:val="AERbody"/>
        </w:rPr>
        <w:t xml:space="preserve">2015–20 </w:t>
      </w:r>
      <w:r w:rsidRPr="00FD50DB">
        <w:t xml:space="preserve">access arrangement period. This is mainly </w:t>
      </w:r>
      <w:r>
        <w:t xml:space="preserve">a consequence </w:t>
      </w:r>
      <w:r w:rsidRPr="00FD50DB">
        <w:t xml:space="preserve">of our adjustments to JGN's </w:t>
      </w:r>
      <w:r w:rsidRPr="00F17F59">
        <w:rPr>
          <w:rStyle w:val="AERbody"/>
        </w:rPr>
        <w:t xml:space="preserve">value of imputation credits—gamma—(attachment </w:t>
      </w:r>
      <w:r>
        <w:rPr>
          <w:rStyle w:val="AERbody"/>
        </w:rPr>
        <w:t>4</w:t>
      </w:r>
      <w:r w:rsidRPr="00F17F59">
        <w:rPr>
          <w:rStyle w:val="AERbody"/>
        </w:rPr>
        <w:t>)</w:t>
      </w:r>
      <w:r w:rsidR="00A37E50">
        <w:rPr>
          <w:rStyle w:val="AERbody"/>
        </w:rPr>
        <w:t xml:space="preserve"> and the rate of return on capital (attachment 3)</w:t>
      </w:r>
      <w:r w:rsidRPr="00F17F59">
        <w:rPr>
          <w:rStyle w:val="AERbody"/>
        </w:rPr>
        <w:t>.</w:t>
      </w:r>
      <w:r w:rsidR="00A37E50">
        <w:rPr>
          <w:rStyle w:val="FootnoteReference"/>
        </w:rPr>
        <w:footnoteReference w:id="3"/>
      </w:r>
    </w:p>
    <w:p w:rsidR="0075370E" w:rsidRPr="00FD50DB" w:rsidRDefault="0075370E" w:rsidP="0075370E">
      <w:pPr>
        <w:pStyle w:val="AERbodytext"/>
      </w:pPr>
      <w:r w:rsidRPr="00FD50DB">
        <w:t xml:space="preserve">Our adjustments result in an estimated corporate income tax allowance </w:t>
      </w:r>
      <w:r w:rsidRPr="002616BC">
        <w:rPr>
          <w:rStyle w:val="AERbody"/>
        </w:rPr>
        <w:t>of $6</w:t>
      </w:r>
      <w:r>
        <w:rPr>
          <w:rStyle w:val="AERbody"/>
        </w:rPr>
        <w:t>0</w:t>
      </w:r>
      <w:r w:rsidRPr="002616BC">
        <w:rPr>
          <w:rStyle w:val="AERbody"/>
        </w:rPr>
        <w:t>.</w:t>
      </w:r>
      <w:r>
        <w:rPr>
          <w:rStyle w:val="AERbody"/>
        </w:rPr>
        <w:t>5</w:t>
      </w:r>
      <w:r w:rsidRPr="002616BC">
        <w:rPr>
          <w:rStyle w:val="AERbody"/>
        </w:rPr>
        <w:t xml:space="preserve"> million</w:t>
      </w:r>
      <w:r w:rsidRPr="00FD50DB">
        <w:t xml:space="preserve"> ($nominal) for JGN as shown in </w:t>
      </w:r>
      <w:r>
        <w:fldChar w:fldCharType="begin"/>
      </w:r>
      <w:r>
        <w:instrText xml:space="preserve"> REF  _Ref398553891 \* Lower \h </w:instrText>
      </w:r>
      <w:r>
        <w:fldChar w:fldCharType="separate"/>
      </w:r>
      <w:r w:rsidR="004478BF" w:rsidRPr="00FD50DB">
        <w:t xml:space="preserve">table </w:t>
      </w:r>
      <w:r w:rsidR="004478BF">
        <w:rPr>
          <w:noProof/>
        </w:rPr>
        <w:t>8</w:t>
      </w:r>
      <w:r w:rsidR="004478BF">
        <w:noBreakHyphen/>
      </w:r>
      <w:r w:rsidR="004478BF">
        <w:rPr>
          <w:noProof/>
        </w:rPr>
        <w:t>1</w:t>
      </w:r>
      <w:r>
        <w:fldChar w:fldCharType="end"/>
      </w:r>
      <w:r>
        <w:t xml:space="preserve">. </w:t>
      </w:r>
    </w:p>
    <w:p w:rsidR="0075370E" w:rsidRPr="00FD50DB" w:rsidRDefault="0075370E" w:rsidP="0075370E">
      <w:pPr>
        <w:pStyle w:val="Caption"/>
      </w:pPr>
      <w:bookmarkStart w:id="10" w:name="_Ref398553891"/>
      <w:r w:rsidRPr="00FD50DB">
        <w:t xml:space="preserve">Table </w:t>
      </w:r>
      <w:r w:rsidRPr="00F17F59">
        <w:fldChar w:fldCharType="begin"/>
      </w:r>
      <w:r>
        <w:instrText xml:space="preserve"> STYLEREF 1 \s </w:instrText>
      </w:r>
      <w:r w:rsidRPr="00F17F59">
        <w:fldChar w:fldCharType="separate"/>
      </w:r>
      <w:r w:rsidR="004478BF">
        <w:rPr>
          <w:noProof/>
        </w:rPr>
        <w:t>8</w:t>
      </w:r>
      <w:r w:rsidRPr="00F17F59">
        <w:fldChar w:fldCharType="end"/>
      </w:r>
      <w:r>
        <w:noBreakHyphen/>
      </w:r>
      <w:r w:rsidRPr="00F17F59">
        <w:fldChar w:fldCharType="begin"/>
      </w:r>
      <w:r>
        <w:instrText xml:space="preserve"> SEQ Table \* ARABIC \s 1 </w:instrText>
      </w:r>
      <w:r w:rsidRPr="00F17F59">
        <w:fldChar w:fldCharType="separate"/>
      </w:r>
      <w:r w:rsidR="004478BF">
        <w:rPr>
          <w:noProof/>
        </w:rPr>
        <w:t>1</w:t>
      </w:r>
      <w:r w:rsidRPr="00F17F59">
        <w:fldChar w:fldCharType="end"/>
      </w:r>
      <w:bookmarkEnd w:id="10"/>
      <w:r w:rsidRPr="00FD50DB">
        <w:tab/>
        <w:t xml:space="preserve">AER's draft decision on corporate income tax allowance for JGN ($million, nominal)  </w:t>
      </w:r>
    </w:p>
    <w:tbl>
      <w:tblPr>
        <w:tblStyle w:val="AERtable-numbers"/>
        <w:tblW w:w="9180" w:type="dxa"/>
        <w:tblLayout w:type="fixed"/>
        <w:tblLook w:val="01E0" w:firstRow="1" w:lastRow="1" w:firstColumn="1" w:lastColumn="1" w:noHBand="0" w:noVBand="0"/>
      </w:tblPr>
      <w:tblGrid>
        <w:gridCol w:w="3085"/>
        <w:gridCol w:w="873"/>
        <w:gridCol w:w="1044"/>
        <w:gridCol w:w="1045"/>
        <w:gridCol w:w="1044"/>
        <w:gridCol w:w="1044"/>
        <w:gridCol w:w="1045"/>
      </w:tblGrid>
      <w:tr w:rsidR="0075370E" w:rsidRPr="004E311C" w:rsidTr="001F01A6">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085" w:type="dxa"/>
          </w:tcPr>
          <w:p w:rsidR="0075370E" w:rsidRPr="00FD50DB" w:rsidRDefault="0075370E" w:rsidP="005A2AE5">
            <w:pPr>
              <w:pStyle w:val="AERtabletextleft"/>
            </w:pPr>
          </w:p>
        </w:tc>
        <w:tc>
          <w:tcPr>
            <w:tcW w:w="873" w:type="dxa"/>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FD50DB">
              <w:t>2015-16</w:t>
            </w:r>
          </w:p>
        </w:tc>
        <w:tc>
          <w:tcPr>
            <w:tcW w:w="1044" w:type="dxa"/>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FD50DB">
              <w:t>2016-17</w:t>
            </w:r>
          </w:p>
        </w:tc>
        <w:tc>
          <w:tcPr>
            <w:tcW w:w="1045" w:type="dxa"/>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FD50DB">
              <w:t>2017-18</w:t>
            </w:r>
          </w:p>
        </w:tc>
        <w:tc>
          <w:tcPr>
            <w:tcW w:w="1044" w:type="dxa"/>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FD50DB">
              <w:t>2018-19</w:t>
            </w:r>
          </w:p>
        </w:tc>
        <w:tc>
          <w:tcPr>
            <w:tcW w:w="1044" w:type="dxa"/>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FD50DB">
              <w:t>2019-20</w:t>
            </w:r>
          </w:p>
        </w:tc>
        <w:tc>
          <w:tcPr>
            <w:tcW w:w="1045" w:type="dxa"/>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FD50DB">
              <w:t>Total</w:t>
            </w:r>
          </w:p>
        </w:tc>
      </w:tr>
      <w:tr w:rsidR="00A37E50" w:rsidTr="001F01A6">
        <w:trPr>
          <w:trHeight w:val="337"/>
        </w:trPr>
        <w:tc>
          <w:tcPr>
            <w:cnfStyle w:val="001000000000" w:firstRow="0" w:lastRow="0" w:firstColumn="1" w:lastColumn="0" w:oddVBand="0" w:evenVBand="0" w:oddHBand="0" w:evenHBand="0" w:firstRowFirstColumn="0" w:firstRowLastColumn="0" w:lastRowFirstColumn="0" w:lastRowLastColumn="0"/>
            <w:tcW w:w="3085" w:type="dxa"/>
          </w:tcPr>
          <w:p w:rsidR="00A37E50" w:rsidRPr="00A37E50" w:rsidRDefault="00A37E50" w:rsidP="00A37E50">
            <w:pPr>
              <w:pStyle w:val="AERtabletextleft"/>
            </w:pPr>
            <w:r w:rsidRPr="00A37E50">
              <w:t>Tax payable</w:t>
            </w:r>
          </w:p>
        </w:tc>
        <w:tc>
          <w:tcPr>
            <w:tcW w:w="873" w:type="dxa"/>
          </w:tcPr>
          <w:p w:rsidR="00A37E50" w:rsidRPr="00A37E50" w:rsidRDefault="00A37E50" w:rsidP="00A37E50">
            <w:pPr>
              <w:pStyle w:val="AERtabletextleft"/>
              <w:cnfStyle w:val="000000000000" w:firstRow="0" w:lastRow="0" w:firstColumn="0" w:lastColumn="0" w:oddVBand="0" w:evenVBand="0" w:oddHBand="0" w:evenHBand="0" w:firstRowFirstColumn="0" w:firstRowLastColumn="0" w:lastRowFirstColumn="0" w:lastRowLastColumn="0"/>
            </w:pPr>
            <w:r w:rsidRPr="00A37E50">
              <w:t>15.0</w:t>
            </w:r>
          </w:p>
        </w:tc>
        <w:tc>
          <w:tcPr>
            <w:tcW w:w="1044" w:type="dxa"/>
          </w:tcPr>
          <w:p w:rsidR="00A37E50" w:rsidRPr="00A37E50" w:rsidRDefault="00A37E50" w:rsidP="00A37E50">
            <w:pPr>
              <w:pStyle w:val="AERtabletextleft"/>
              <w:cnfStyle w:val="000000000000" w:firstRow="0" w:lastRow="0" w:firstColumn="0" w:lastColumn="0" w:oddVBand="0" w:evenVBand="0" w:oddHBand="0" w:evenHBand="0" w:firstRowFirstColumn="0" w:firstRowLastColumn="0" w:lastRowFirstColumn="0" w:lastRowLastColumn="0"/>
            </w:pPr>
            <w:r w:rsidRPr="00A37E50">
              <w:t>17.5</w:t>
            </w:r>
          </w:p>
        </w:tc>
        <w:tc>
          <w:tcPr>
            <w:tcW w:w="1045" w:type="dxa"/>
          </w:tcPr>
          <w:p w:rsidR="00A37E50" w:rsidRPr="00A37E50" w:rsidRDefault="00A37E50" w:rsidP="00A37E50">
            <w:pPr>
              <w:pStyle w:val="AERtabletextleft"/>
              <w:cnfStyle w:val="000000000000" w:firstRow="0" w:lastRow="0" w:firstColumn="0" w:lastColumn="0" w:oddVBand="0" w:evenVBand="0" w:oddHBand="0" w:evenHBand="0" w:firstRowFirstColumn="0" w:firstRowLastColumn="0" w:lastRowFirstColumn="0" w:lastRowLastColumn="0"/>
            </w:pPr>
            <w:r w:rsidRPr="00A37E50">
              <w:t>21.1</w:t>
            </w:r>
          </w:p>
        </w:tc>
        <w:tc>
          <w:tcPr>
            <w:tcW w:w="1044" w:type="dxa"/>
          </w:tcPr>
          <w:p w:rsidR="00A37E50" w:rsidRPr="00A37E50" w:rsidRDefault="00A37E50" w:rsidP="00A37E50">
            <w:pPr>
              <w:pStyle w:val="AERtabletextleft"/>
              <w:cnfStyle w:val="000000000000" w:firstRow="0" w:lastRow="0" w:firstColumn="0" w:lastColumn="0" w:oddVBand="0" w:evenVBand="0" w:oddHBand="0" w:evenHBand="0" w:firstRowFirstColumn="0" w:firstRowLastColumn="0" w:lastRowFirstColumn="0" w:lastRowLastColumn="0"/>
            </w:pPr>
            <w:r w:rsidRPr="00A37E50">
              <w:t>25.1</w:t>
            </w:r>
          </w:p>
        </w:tc>
        <w:tc>
          <w:tcPr>
            <w:tcW w:w="1044" w:type="dxa"/>
          </w:tcPr>
          <w:p w:rsidR="00A37E50" w:rsidRPr="00A37E50" w:rsidRDefault="00A37E50" w:rsidP="00A37E50">
            <w:pPr>
              <w:pStyle w:val="AERtabletextleft"/>
              <w:cnfStyle w:val="000000000000" w:firstRow="0" w:lastRow="0" w:firstColumn="0" w:lastColumn="0" w:oddVBand="0" w:evenVBand="0" w:oddHBand="0" w:evenHBand="0" w:firstRowFirstColumn="0" w:firstRowLastColumn="0" w:lastRowFirstColumn="0" w:lastRowLastColumn="0"/>
            </w:pPr>
            <w:r w:rsidRPr="00A37E50">
              <w:t>22.0</w:t>
            </w:r>
          </w:p>
        </w:tc>
        <w:tc>
          <w:tcPr>
            <w:tcW w:w="1045" w:type="dxa"/>
          </w:tcPr>
          <w:p w:rsidR="00A37E50" w:rsidRPr="00A37E50" w:rsidRDefault="00A37E50" w:rsidP="00A37E50">
            <w:pPr>
              <w:pStyle w:val="AERtabletextleft"/>
              <w:cnfStyle w:val="000000000000" w:firstRow="0" w:lastRow="0" w:firstColumn="0" w:lastColumn="0" w:oddVBand="0" w:evenVBand="0" w:oddHBand="0" w:evenHBand="0" w:firstRowFirstColumn="0" w:firstRowLastColumn="0" w:lastRowFirstColumn="0" w:lastRowLastColumn="0"/>
            </w:pPr>
            <w:r w:rsidRPr="00A37E50">
              <w:t>100.8</w:t>
            </w:r>
          </w:p>
        </w:tc>
      </w:tr>
      <w:tr w:rsidR="00A37E50" w:rsidTr="001F01A6">
        <w:trPr>
          <w:cnfStyle w:val="000000010000" w:firstRow="0" w:lastRow="0" w:firstColumn="0" w:lastColumn="0" w:oddVBand="0" w:evenVBand="0" w:oddHBand="0" w:evenHBand="1"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085" w:type="dxa"/>
          </w:tcPr>
          <w:p w:rsidR="00A37E50" w:rsidRPr="00A37E50" w:rsidRDefault="00A37E50" w:rsidP="00A37E50">
            <w:pPr>
              <w:pStyle w:val="AERtabletextleft"/>
            </w:pPr>
            <w:r w:rsidRPr="00A37E50">
              <w:rPr>
                <w:rStyle w:val="AERtextitalic"/>
              </w:rPr>
              <w:t>Less</w:t>
            </w:r>
            <w:r w:rsidRPr="00A37E50">
              <w:t>: value of imputation credits</w:t>
            </w:r>
          </w:p>
        </w:tc>
        <w:tc>
          <w:tcPr>
            <w:tcW w:w="873" w:type="dxa"/>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6.0</w:t>
            </w:r>
          </w:p>
        </w:tc>
        <w:tc>
          <w:tcPr>
            <w:tcW w:w="1044" w:type="dxa"/>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7.0</w:t>
            </w:r>
          </w:p>
        </w:tc>
        <w:tc>
          <w:tcPr>
            <w:tcW w:w="1045" w:type="dxa"/>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8.5</w:t>
            </w:r>
          </w:p>
        </w:tc>
        <w:tc>
          <w:tcPr>
            <w:tcW w:w="1044" w:type="dxa"/>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10.0</w:t>
            </w:r>
          </w:p>
        </w:tc>
        <w:tc>
          <w:tcPr>
            <w:tcW w:w="1044" w:type="dxa"/>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8.8</w:t>
            </w:r>
          </w:p>
        </w:tc>
        <w:tc>
          <w:tcPr>
            <w:tcW w:w="1045" w:type="dxa"/>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40.3</w:t>
            </w:r>
          </w:p>
        </w:tc>
      </w:tr>
      <w:tr w:rsidR="00A37E50" w:rsidRPr="001F01A6" w:rsidTr="001F01A6">
        <w:trPr>
          <w:trHeight w:val="331"/>
        </w:trPr>
        <w:tc>
          <w:tcPr>
            <w:cnfStyle w:val="001000000000" w:firstRow="0" w:lastRow="0" w:firstColumn="1" w:lastColumn="0" w:oddVBand="0" w:evenVBand="0" w:oddHBand="0" w:evenHBand="0" w:firstRowFirstColumn="0" w:firstRowLastColumn="0" w:lastRowFirstColumn="0" w:lastRowLastColumn="0"/>
            <w:tcW w:w="3085" w:type="dxa"/>
          </w:tcPr>
          <w:p w:rsidR="00A37E50" w:rsidRPr="001F01A6" w:rsidRDefault="00A37E50" w:rsidP="00A37E50">
            <w:pPr>
              <w:pStyle w:val="AERtabletextleft"/>
              <w:rPr>
                <w:rStyle w:val="AERtextbold"/>
              </w:rPr>
            </w:pPr>
            <w:r w:rsidRPr="001F01A6">
              <w:rPr>
                <w:rStyle w:val="AERtextbold"/>
              </w:rPr>
              <w:t>Net corporate income tax allowance</w:t>
            </w:r>
          </w:p>
        </w:tc>
        <w:tc>
          <w:tcPr>
            <w:tcW w:w="873" w:type="dxa"/>
          </w:tcPr>
          <w:p w:rsidR="00A37E50" w:rsidRPr="001F01A6" w:rsidRDefault="00A37E50" w:rsidP="00A37E50">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1F01A6">
              <w:rPr>
                <w:rStyle w:val="AERtextbold"/>
              </w:rPr>
              <w:t>9.0</w:t>
            </w:r>
          </w:p>
        </w:tc>
        <w:tc>
          <w:tcPr>
            <w:tcW w:w="1044" w:type="dxa"/>
          </w:tcPr>
          <w:p w:rsidR="00A37E50" w:rsidRPr="001F01A6" w:rsidRDefault="00A37E50" w:rsidP="00A37E50">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1F01A6">
              <w:rPr>
                <w:rStyle w:val="AERtextbold"/>
              </w:rPr>
              <w:t>10.5</w:t>
            </w:r>
          </w:p>
        </w:tc>
        <w:tc>
          <w:tcPr>
            <w:tcW w:w="1045" w:type="dxa"/>
          </w:tcPr>
          <w:p w:rsidR="00A37E50" w:rsidRPr="001F01A6" w:rsidRDefault="00A37E50" w:rsidP="00A37E50">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1F01A6">
              <w:rPr>
                <w:rStyle w:val="AERtextbold"/>
              </w:rPr>
              <w:t>12.7</w:t>
            </w:r>
          </w:p>
        </w:tc>
        <w:tc>
          <w:tcPr>
            <w:tcW w:w="1044" w:type="dxa"/>
          </w:tcPr>
          <w:p w:rsidR="00A37E50" w:rsidRPr="001F01A6" w:rsidRDefault="00A37E50" w:rsidP="00A37E50">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1F01A6">
              <w:rPr>
                <w:rStyle w:val="AERtextbold"/>
              </w:rPr>
              <w:t>15.1</w:t>
            </w:r>
          </w:p>
        </w:tc>
        <w:tc>
          <w:tcPr>
            <w:tcW w:w="1044" w:type="dxa"/>
          </w:tcPr>
          <w:p w:rsidR="00A37E50" w:rsidRPr="001F01A6" w:rsidRDefault="00A37E50" w:rsidP="00A37E50">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1F01A6">
              <w:rPr>
                <w:rStyle w:val="AERtextbold"/>
              </w:rPr>
              <w:t>13.2</w:t>
            </w:r>
          </w:p>
        </w:tc>
        <w:tc>
          <w:tcPr>
            <w:tcW w:w="1045" w:type="dxa"/>
          </w:tcPr>
          <w:p w:rsidR="00A37E50" w:rsidRPr="001F01A6" w:rsidRDefault="00A37E50" w:rsidP="00A37E50">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1F01A6">
              <w:rPr>
                <w:rStyle w:val="AERtextbold"/>
              </w:rPr>
              <w:t>60.5</w:t>
            </w:r>
          </w:p>
        </w:tc>
      </w:tr>
    </w:tbl>
    <w:p w:rsidR="0075370E" w:rsidRPr="00FD50DB" w:rsidRDefault="0075370E" w:rsidP="0075370E">
      <w:pPr>
        <w:pStyle w:val="AERtablesource"/>
      </w:pPr>
      <w:r w:rsidRPr="00FD50DB">
        <w:t xml:space="preserve">Source: </w:t>
      </w:r>
      <w:r w:rsidRPr="00FD50DB">
        <w:tab/>
        <w:t>AER analysis.</w:t>
      </w:r>
    </w:p>
    <w:p w:rsidR="0075370E" w:rsidRPr="00FD50DB" w:rsidRDefault="0075370E" w:rsidP="0075370E">
      <w:pPr>
        <w:pStyle w:val="Heading2"/>
      </w:pPr>
      <w:bookmarkStart w:id="11" w:name="_Toc403463354"/>
      <w:bookmarkStart w:id="12" w:name="_Toc404182762"/>
      <w:bookmarkStart w:id="13" w:name="_Toc388623124"/>
      <w:r w:rsidRPr="00FD50DB">
        <w:t>JGN proposal</w:t>
      </w:r>
      <w:bookmarkEnd w:id="11"/>
      <w:bookmarkEnd w:id="12"/>
    </w:p>
    <w:p w:rsidR="0075370E" w:rsidRDefault="0075370E" w:rsidP="0075370E">
      <w:pPr>
        <w:pStyle w:val="AERbodytext"/>
      </w:pPr>
      <w:bookmarkStart w:id="14" w:name="_Ref308172283"/>
      <w:r>
        <w:t xml:space="preserve">JGN's proposed roll forward of its tax asset base (TAB) over the 2010–15 access arrangement period is set out in </w:t>
      </w:r>
      <w:r>
        <w:fldChar w:fldCharType="begin"/>
      </w:r>
      <w:r>
        <w:instrText xml:space="preserve"> REF  _Ref398551924 \* Lower \h </w:instrText>
      </w:r>
      <w:r>
        <w:fldChar w:fldCharType="separate"/>
      </w:r>
      <w:r w:rsidR="004478BF">
        <w:t xml:space="preserve">table </w:t>
      </w:r>
      <w:r w:rsidR="004478BF">
        <w:rPr>
          <w:noProof/>
        </w:rPr>
        <w:t>8</w:t>
      </w:r>
      <w:r w:rsidR="004478BF">
        <w:noBreakHyphen/>
      </w:r>
      <w:r w:rsidR="004478BF">
        <w:rPr>
          <w:noProof/>
        </w:rPr>
        <w:t>2</w:t>
      </w:r>
      <w:r>
        <w:fldChar w:fldCharType="end"/>
      </w:r>
      <w:r>
        <w:t>.</w:t>
      </w:r>
    </w:p>
    <w:p w:rsidR="0075370E" w:rsidRDefault="0075370E" w:rsidP="0075370E">
      <w:pPr>
        <w:pStyle w:val="Caption"/>
      </w:pPr>
      <w:bookmarkStart w:id="15" w:name="_Ref398551924"/>
      <w:r>
        <w:t xml:space="preserve">Table </w:t>
      </w:r>
      <w:r w:rsidRPr="00F17F59">
        <w:fldChar w:fldCharType="begin"/>
      </w:r>
      <w:r>
        <w:instrText xml:space="preserve"> STYLEREF 1 \s </w:instrText>
      </w:r>
      <w:r w:rsidRPr="00F17F59">
        <w:fldChar w:fldCharType="separate"/>
      </w:r>
      <w:r w:rsidR="004478BF">
        <w:rPr>
          <w:noProof/>
        </w:rPr>
        <w:t>8</w:t>
      </w:r>
      <w:r w:rsidRPr="00F17F59">
        <w:fldChar w:fldCharType="end"/>
      </w:r>
      <w:r>
        <w:noBreakHyphen/>
      </w:r>
      <w:r w:rsidRPr="00F17F59">
        <w:fldChar w:fldCharType="begin"/>
      </w:r>
      <w:r>
        <w:instrText xml:space="preserve"> SEQ Table \* ARABIC \s 1 </w:instrText>
      </w:r>
      <w:r w:rsidRPr="00F17F59">
        <w:fldChar w:fldCharType="separate"/>
      </w:r>
      <w:r w:rsidR="004478BF">
        <w:rPr>
          <w:noProof/>
        </w:rPr>
        <w:t>2</w:t>
      </w:r>
      <w:r w:rsidRPr="00F17F59">
        <w:fldChar w:fldCharType="end"/>
      </w:r>
      <w:bookmarkEnd w:id="15"/>
      <w:r>
        <w:tab/>
        <w:t>JGN's proposed tax asset base roll forward over the current 2010–15 access arrangement period ($million, nominal)</w:t>
      </w:r>
    </w:p>
    <w:tbl>
      <w:tblPr>
        <w:tblStyle w:val="AERtable-numbers"/>
        <w:tblW w:w="9180" w:type="dxa"/>
        <w:tblLook w:val="04A0" w:firstRow="1" w:lastRow="0" w:firstColumn="1" w:lastColumn="0" w:noHBand="0" w:noVBand="1"/>
      </w:tblPr>
      <w:tblGrid>
        <w:gridCol w:w="2943"/>
        <w:gridCol w:w="1247"/>
        <w:gridCol w:w="1247"/>
        <w:gridCol w:w="1248"/>
        <w:gridCol w:w="1247"/>
        <w:gridCol w:w="1248"/>
      </w:tblGrid>
      <w:tr w:rsidR="0075370E" w:rsidRPr="000F2AA1" w:rsidTr="00013A1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43" w:type="dxa"/>
            <w:hideMark/>
          </w:tcPr>
          <w:p w:rsidR="0075370E" w:rsidRPr="00F17F59" w:rsidRDefault="0075370E" w:rsidP="005A2AE5">
            <w:pPr>
              <w:pStyle w:val="AERtabletextleft"/>
            </w:pPr>
            <w:r w:rsidRPr="000F2AA1">
              <w:t>Details</w:t>
            </w:r>
          </w:p>
        </w:tc>
        <w:tc>
          <w:tcPr>
            <w:tcW w:w="1247" w:type="dxa"/>
            <w:hideMark/>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0F2AA1">
              <w:t>2010-11</w:t>
            </w:r>
          </w:p>
        </w:tc>
        <w:tc>
          <w:tcPr>
            <w:tcW w:w="1247" w:type="dxa"/>
            <w:hideMark/>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0F2AA1">
              <w:t>2011-12</w:t>
            </w:r>
          </w:p>
        </w:tc>
        <w:tc>
          <w:tcPr>
            <w:tcW w:w="1248" w:type="dxa"/>
            <w:hideMark/>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0F2AA1">
              <w:t>2012-13</w:t>
            </w:r>
          </w:p>
        </w:tc>
        <w:tc>
          <w:tcPr>
            <w:tcW w:w="1247" w:type="dxa"/>
            <w:hideMark/>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0F2AA1">
              <w:t>2013-14</w:t>
            </w:r>
          </w:p>
        </w:tc>
        <w:tc>
          <w:tcPr>
            <w:tcW w:w="1248" w:type="dxa"/>
            <w:hideMark/>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0F2AA1">
              <w:t>2014-15</w:t>
            </w:r>
          </w:p>
        </w:tc>
      </w:tr>
      <w:tr w:rsidR="00A37E50" w:rsidRPr="000F2AA1" w:rsidTr="00013A16">
        <w:trPr>
          <w:trHeight w:val="690"/>
        </w:trPr>
        <w:tc>
          <w:tcPr>
            <w:cnfStyle w:val="001000000000" w:firstRow="0" w:lastRow="0" w:firstColumn="1" w:lastColumn="0" w:oddVBand="0" w:evenVBand="0" w:oddHBand="0" w:evenHBand="0" w:firstRowFirstColumn="0" w:firstRowLastColumn="0" w:lastRowFirstColumn="0" w:lastRowLastColumn="0"/>
            <w:tcW w:w="2943" w:type="dxa"/>
            <w:hideMark/>
          </w:tcPr>
          <w:p w:rsidR="00A37E50" w:rsidRPr="00A37E50" w:rsidRDefault="00A37E50" w:rsidP="00A37E50">
            <w:pPr>
              <w:pStyle w:val="AERtabletextleft"/>
            </w:pPr>
            <w:r w:rsidRPr="00A37E50">
              <w:t>Opening tax asset base</w:t>
            </w:r>
          </w:p>
        </w:tc>
        <w:tc>
          <w:tcPr>
            <w:tcW w:w="1247" w:type="dxa"/>
            <w:hideMark/>
          </w:tcPr>
          <w:p w:rsidR="00A37E50" w:rsidRPr="00A37E50" w:rsidRDefault="00A37E50" w:rsidP="00A37E50">
            <w:pPr>
              <w:pStyle w:val="AERtabletextleft"/>
              <w:cnfStyle w:val="000000000000" w:firstRow="0" w:lastRow="0" w:firstColumn="0" w:lastColumn="0" w:oddVBand="0" w:evenVBand="0" w:oddHBand="0" w:evenHBand="0" w:firstRowFirstColumn="0" w:firstRowLastColumn="0" w:lastRowFirstColumn="0" w:lastRowLastColumn="0"/>
            </w:pPr>
            <w:r w:rsidRPr="00A37E50">
              <w:t>600.1</w:t>
            </w:r>
          </w:p>
        </w:tc>
        <w:tc>
          <w:tcPr>
            <w:tcW w:w="1247" w:type="dxa"/>
            <w:hideMark/>
          </w:tcPr>
          <w:p w:rsidR="00A37E50" w:rsidRPr="00A37E50" w:rsidRDefault="00A37E50" w:rsidP="00A37E50">
            <w:pPr>
              <w:pStyle w:val="AERtabletextleft"/>
              <w:cnfStyle w:val="000000000000" w:firstRow="0" w:lastRow="0" w:firstColumn="0" w:lastColumn="0" w:oddVBand="0" w:evenVBand="0" w:oddHBand="0" w:evenHBand="0" w:firstRowFirstColumn="0" w:firstRowLastColumn="0" w:lastRowFirstColumn="0" w:lastRowLastColumn="0"/>
            </w:pPr>
            <w:r w:rsidRPr="00A37E50">
              <w:t>679.3</w:t>
            </w:r>
          </w:p>
        </w:tc>
        <w:tc>
          <w:tcPr>
            <w:tcW w:w="1248" w:type="dxa"/>
            <w:hideMark/>
          </w:tcPr>
          <w:p w:rsidR="00A37E50" w:rsidRPr="00A37E50" w:rsidRDefault="00A37E50" w:rsidP="00A37E50">
            <w:pPr>
              <w:pStyle w:val="AERtabletextleft"/>
              <w:cnfStyle w:val="000000000000" w:firstRow="0" w:lastRow="0" w:firstColumn="0" w:lastColumn="0" w:oddVBand="0" w:evenVBand="0" w:oddHBand="0" w:evenHBand="0" w:firstRowFirstColumn="0" w:firstRowLastColumn="0" w:lastRowFirstColumn="0" w:lastRowLastColumn="0"/>
            </w:pPr>
            <w:r w:rsidRPr="00A37E50">
              <w:t>753.5</w:t>
            </w:r>
          </w:p>
        </w:tc>
        <w:tc>
          <w:tcPr>
            <w:tcW w:w="1247" w:type="dxa"/>
            <w:hideMark/>
          </w:tcPr>
          <w:p w:rsidR="00A37E50" w:rsidRPr="00A37E50" w:rsidRDefault="00A37E50" w:rsidP="00A37E50">
            <w:pPr>
              <w:pStyle w:val="AERtabletextleft"/>
              <w:cnfStyle w:val="000000000000" w:firstRow="0" w:lastRow="0" w:firstColumn="0" w:lastColumn="0" w:oddVBand="0" w:evenVBand="0" w:oddHBand="0" w:evenHBand="0" w:firstRowFirstColumn="0" w:firstRowLastColumn="0" w:lastRowFirstColumn="0" w:lastRowLastColumn="0"/>
            </w:pPr>
            <w:r w:rsidRPr="00A37E50">
              <w:t>786.7</w:t>
            </w:r>
          </w:p>
        </w:tc>
        <w:tc>
          <w:tcPr>
            <w:tcW w:w="1248" w:type="dxa"/>
            <w:hideMark/>
          </w:tcPr>
          <w:p w:rsidR="00A37E50" w:rsidRPr="00A37E50" w:rsidRDefault="00A37E50" w:rsidP="00A37E50">
            <w:pPr>
              <w:pStyle w:val="AERtabletextleft"/>
              <w:cnfStyle w:val="000000000000" w:firstRow="0" w:lastRow="0" w:firstColumn="0" w:lastColumn="0" w:oddVBand="0" w:evenVBand="0" w:oddHBand="0" w:evenHBand="0" w:firstRowFirstColumn="0" w:firstRowLastColumn="0" w:lastRowFirstColumn="0" w:lastRowLastColumn="0"/>
            </w:pPr>
            <w:r w:rsidRPr="00A37E50">
              <w:t>867.6</w:t>
            </w:r>
          </w:p>
        </w:tc>
      </w:tr>
      <w:tr w:rsidR="00A37E50" w:rsidRPr="000F2AA1" w:rsidTr="00013A16">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943" w:type="dxa"/>
            <w:hideMark/>
          </w:tcPr>
          <w:p w:rsidR="00A37E50" w:rsidRPr="00A37E50" w:rsidRDefault="00A37E50" w:rsidP="00A37E50">
            <w:pPr>
              <w:pStyle w:val="AERtabletextleft"/>
            </w:pPr>
            <w:r w:rsidRPr="00A37E50">
              <w:t>Capex</w:t>
            </w:r>
          </w:p>
        </w:tc>
        <w:tc>
          <w:tcPr>
            <w:tcW w:w="1247" w:type="dxa"/>
            <w:hideMark/>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159.9</w:t>
            </w:r>
          </w:p>
        </w:tc>
        <w:tc>
          <w:tcPr>
            <w:tcW w:w="1247" w:type="dxa"/>
            <w:hideMark/>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169.3</w:t>
            </w:r>
          </w:p>
        </w:tc>
        <w:tc>
          <w:tcPr>
            <w:tcW w:w="1248" w:type="dxa"/>
            <w:hideMark/>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132.2</w:t>
            </w:r>
          </w:p>
        </w:tc>
        <w:tc>
          <w:tcPr>
            <w:tcW w:w="1247" w:type="dxa"/>
            <w:hideMark/>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182.7</w:t>
            </w:r>
          </w:p>
        </w:tc>
        <w:tc>
          <w:tcPr>
            <w:tcW w:w="1248" w:type="dxa"/>
            <w:hideMark/>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245.3</w:t>
            </w:r>
          </w:p>
        </w:tc>
      </w:tr>
      <w:tr w:rsidR="00A37E50" w:rsidRPr="000F2AA1" w:rsidTr="00013A16">
        <w:trPr>
          <w:trHeight w:val="690"/>
        </w:trPr>
        <w:tc>
          <w:tcPr>
            <w:cnfStyle w:val="001000000000" w:firstRow="0" w:lastRow="0" w:firstColumn="1" w:lastColumn="0" w:oddVBand="0" w:evenVBand="0" w:oddHBand="0" w:evenHBand="0" w:firstRowFirstColumn="0" w:firstRowLastColumn="0" w:lastRowFirstColumn="0" w:lastRowLastColumn="0"/>
            <w:tcW w:w="2943" w:type="dxa"/>
            <w:hideMark/>
          </w:tcPr>
          <w:p w:rsidR="00A37E50" w:rsidRPr="00A37E50" w:rsidRDefault="00A37E50" w:rsidP="00A37E50">
            <w:pPr>
              <w:pStyle w:val="AERtabletextleft"/>
            </w:pPr>
            <w:r w:rsidRPr="00A37E50">
              <w:rPr>
                <w:rStyle w:val="AERtextitalic"/>
              </w:rPr>
              <w:t>Less:</w:t>
            </w:r>
            <w:r w:rsidRPr="00A37E50">
              <w:t xml:space="preserve"> tax depreciation</w:t>
            </w:r>
          </w:p>
        </w:tc>
        <w:tc>
          <w:tcPr>
            <w:tcW w:w="1247" w:type="dxa"/>
            <w:hideMark/>
          </w:tcPr>
          <w:p w:rsidR="00A37E50" w:rsidRPr="00A37E50" w:rsidRDefault="00013A16" w:rsidP="00A37E50">
            <w:pPr>
              <w:pStyle w:val="AERtabletextleft"/>
              <w:cnfStyle w:val="000000000000" w:firstRow="0" w:lastRow="0" w:firstColumn="0" w:lastColumn="0" w:oddVBand="0" w:evenVBand="0" w:oddHBand="0" w:evenHBand="0" w:firstRowFirstColumn="0" w:firstRowLastColumn="0" w:lastRowFirstColumn="0" w:lastRowLastColumn="0"/>
            </w:pPr>
            <w:r>
              <w:t>–</w:t>
            </w:r>
            <w:r w:rsidR="00A37E50" w:rsidRPr="00A37E50">
              <w:t>80.6</w:t>
            </w:r>
          </w:p>
        </w:tc>
        <w:tc>
          <w:tcPr>
            <w:tcW w:w="1247" w:type="dxa"/>
            <w:hideMark/>
          </w:tcPr>
          <w:p w:rsidR="00A37E50" w:rsidRPr="00A37E50" w:rsidRDefault="00013A16" w:rsidP="00A37E50">
            <w:pPr>
              <w:pStyle w:val="AERtabletextleft"/>
              <w:cnfStyle w:val="000000000000" w:firstRow="0" w:lastRow="0" w:firstColumn="0" w:lastColumn="0" w:oddVBand="0" w:evenVBand="0" w:oddHBand="0" w:evenHBand="0" w:firstRowFirstColumn="0" w:firstRowLastColumn="0" w:lastRowFirstColumn="0" w:lastRowLastColumn="0"/>
            </w:pPr>
            <w:r>
              <w:t>–</w:t>
            </w:r>
            <w:r w:rsidR="00A37E50" w:rsidRPr="00A37E50">
              <w:t>95.1</w:t>
            </w:r>
          </w:p>
        </w:tc>
        <w:tc>
          <w:tcPr>
            <w:tcW w:w="1248" w:type="dxa"/>
            <w:hideMark/>
          </w:tcPr>
          <w:p w:rsidR="00A37E50" w:rsidRPr="00A37E50" w:rsidRDefault="00013A16" w:rsidP="00A37E50">
            <w:pPr>
              <w:pStyle w:val="AERtabletextleft"/>
              <w:cnfStyle w:val="000000000000" w:firstRow="0" w:lastRow="0" w:firstColumn="0" w:lastColumn="0" w:oddVBand="0" w:evenVBand="0" w:oddHBand="0" w:evenHBand="0" w:firstRowFirstColumn="0" w:firstRowLastColumn="0" w:lastRowFirstColumn="0" w:lastRowLastColumn="0"/>
            </w:pPr>
            <w:r>
              <w:t>–</w:t>
            </w:r>
            <w:r w:rsidR="00A37E50" w:rsidRPr="00A37E50">
              <w:t>99.1</w:t>
            </w:r>
          </w:p>
        </w:tc>
        <w:tc>
          <w:tcPr>
            <w:tcW w:w="1247" w:type="dxa"/>
            <w:hideMark/>
          </w:tcPr>
          <w:p w:rsidR="00A37E50" w:rsidRPr="00A37E50" w:rsidRDefault="00013A16" w:rsidP="00A37E50">
            <w:pPr>
              <w:pStyle w:val="AERtabletextleft"/>
              <w:cnfStyle w:val="000000000000" w:firstRow="0" w:lastRow="0" w:firstColumn="0" w:lastColumn="0" w:oddVBand="0" w:evenVBand="0" w:oddHBand="0" w:evenHBand="0" w:firstRowFirstColumn="0" w:firstRowLastColumn="0" w:lastRowFirstColumn="0" w:lastRowLastColumn="0"/>
            </w:pPr>
            <w:r>
              <w:t>–</w:t>
            </w:r>
            <w:r w:rsidR="00A37E50" w:rsidRPr="00A37E50">
              <w:t>101.8</w:t>
            </w:r>
          </w:p>
        </w:tc>
        <w:tc>
          <w:tcPr>
            <w:tcW w:w="1248" w:type="dxa"/>
            <w:hideMark/>
          </w:tcPr>
          <w:p w:rsidR="00A37E50" w:rsidRPr="00A37E50" w:rsidRDefault="00013A16" w:rsidP="00A37E50">
            <w:pPr>
              <w:pStyle w:val="AERtabletextleft"/>
              <w:cnfStyle w:val="000000000000" w:firstRow="0" w:lastRow="0" w:firstColumn="0" w:lastColumn="0" w:oddVBand="0" w:evenVBand="0" w:oddHBand="0" w:evenHBand="0" w:firstRowFirstColumn="0" w:firstRowLastColumn="0" w:lastRowFirstColumn="0" w:lastRowLastColumn="0"/>
            </w:pPr>
            <w:r>
              <w:t>–</w:t>
            </w:r>
            <w:r w:rsidR="00A37E50" w:rsidRPr="00A37E50">
              <w:t>116.2</w:t>
            </w:r>
          </w:p>
        </w:tc>
      </w:tr>
      <w:tr w:rsidR="00A37E50" w:rsidRPr="000F2AA1" w:rsidTr="00013A16">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943" w:type="dxa"/>
            <w:hideMark/>
          </w:tcPr>
          <w:p w:rsidR="00A37E50" w:rsidRPr="00A37E50" w:rsidRDefault="00A37E50" w:rsidP="00A37E50">
            <w:pPr>
              <w:pStyle w:val="AERtabletextleft"/>
            </w:pPr>
            <w:r w:rsidRPr="00A37E50">
              <w:t>Closing tax asset base</w:t>
            </w:r>
          </w:p>
        </w:tc>
        <w:tc>
          <w:tcPr>
            <w:tcW w:w="1247" w:type="dxa"/>
            <w:hideMark/>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679.3</w:t>
            </w:r>
          </w:p>
        </w:tc>
        <w:tc>
          <w:tcPr>
            <w:tcW w:w="1247" w:type="dxa"/>
            <w:hideMark/>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753.5</w:t>
            </w:r>
          </w:p>
        </w:tc>
        <w:tc>
          <w:tcPr>
            <w:tcW w:w="1248" w:type="dxa"/>
            <w:hideMark/>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786.7</w:t>
            </w:r>
          </w:p>
        </w:tc>
        <w:tc>
          <w:tcPr>
            <w:tcW w:w="1247" w:type="dxa"/>
            <w:hideMark/>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867.6</w:t>
            </w:r>
          </w:p>
        </w:tc>
        <w:tc>
          <w:tcPr>
            <w:tcW w:w="1248" w:type="dxa"/>
            <w:hideMark/>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996.7</w:t>
            </w:r>
          </w:p>
        </w:tc>
      </w:tr>
    </w:tbl>
    <w:p w:rsidR="0075370E" w:rsidRPr="00F17F59" w:rsidRDefault="0075370E" w:rsidP="0075370E">
      <w:pPr>
        <w:pStyle w:val="AERtablesource"/>
        <w:rPr>
          <w:rFonts w:eastAsia="Calibri"/>
        </w:rPr>
      </w:pPr>
      <w:r>
        <w:t xml:space="preserve"> </w:t>
      </w:r>
      <w:r w:rsidRPr="00F17F59">
        <w:rPr>
          <w:rFonts w:eastAsia="Calibri"/>
        </w:rPr>
        <w:t xml:space="preserve">Source: </w:t>
      </w:r>
      <w:r w:rsidRPr="00F17F59">
        <w:rPr>
          <w:rFonts w:eastAsia="Calibri"/>
        </w:rPr>
        <w:tab/>
      </w:r>
      <w:r w:rsidRPr="000F2AA1">
        <w:t xml:space="preserve">JGN, </w:t>
      </w:r>
      <w:r w:rsidRPr="000F2AA1">
        <w:rPr>
          <w:rStyle w:val="AERtextitalic"/>
        </w:rPr>
        <w:t>Access arrangement information</w:t>
      </w:r>
      <w:r w:rsidRPr="000F2AA1">
        <w:t xml:space="preserve">, June 2014, Table </w:t>
      </w:r>
      <w:r>
        <w:t>10</w:t>
      </w:r>
      <w:r w:rsidRPr="000F2AA1">
        <w:t>-</w:t>
      </w:r>
      <w:r>
        <w:t>1</w:t>
      </w:r>
      <w:r w:rsidRPr="000F2AA1">
        <w:t xml:space="preserve">, p. </w:t>
      </w:r>
      <w:r>
        <w:t>101</w:t>
      </w:r>
      <w:r w:rsidRPr="000F2AA1">
        <w:t>.</w:t>
      </w:r>
      <w:r w:rsidRPr="00F17F59">
        <w:rPr>
          <w:rFonts w:eastAsia="Calibri"/>
        </w:rPr>
        <w:t xml:space="preserve"> </w:t>
      </w:r>
    </w:p>
    <w:p w:rsidR="0075370E" w:rsidRPr="00FD50DB" w:rsidRDefault="0075370E" w:rsidP="0075370E">
      <w:pPr>
        <w:pStyle w:val="AERbodytext"/>
      </w:pPr>
      <w:r w:rsidRPr="00FD50DB">
        <w:lastRenderedPageBreak/>
        <w:t xml:space="preserve">For the </w:t>
      </w:r>
      <w:r w:rsidRPr="00FD50DB">
        <w:rPr>
          <w:rStyle w:val="AERbody"/>
        </w:rPr>
        <w:t xml:space="preserve">2015–20 </w:t>
      </w:r>
      <w:r w:rsidRPr="00FD50DB">
        <w:t>access arrangement period, JGN proposed a total corporate income tax allowance of $126.3 million ($nominal) as set out in</w:t>
      </w:r>
      <w:r>
        <w:t xml:space="preserve"> </w:t>
      </w:r>
      <w:r>
        <w:fldChar w:fldCharType="begin"/>
      </w:r>
      <w:r>
        <w:instrText xml:space="preserve"> REF  _Ref398279252 \* Lower \h </w:instrText>
      </w:r>
      <w:r>
        <w:fldChar w:fldCharType="separate"/>
      </w:r>
      <w:r w:rsidR="004478BF" w:rsidRPr="00FD50DB">
        <w:t xml:space="preserve">table </w:t>
      </w:r>
      <w:r w:rsidR="004478BF">
        <w:rPr>
          <w:noProof/>
        </w:rPr>
        <w:t>8</w:t>
      </w:r>
      <w:r w:rsidR="004478BF">
        <w:noBreakHyphen/>
      </w:r>
      <w:r w:rsidR="004478BF">
        <w:rPr>
          <w:noProof/>
        </w:rPr>
        <w:t>3</w:t>
      </w:r>
      <w:r>
        <w:fldChar w:fldCharType="end"/>
      </w:r>
      <w:r w:rsidRPr="00FD50DB">
        <w:t>.</w:t>
      </w:r>
    </w:p>
    <w:p w:rsidR="0075370E" w:rsidRPr="00FD50DB" w:rsidRDefault="0075370E" w:rsidP="0075370E">
      <w:pPr>
        <w:pStyle w:val="Caption"/>
      </w:pPr>
      <w:bookmarkStart w:id="16" w:name="_Ref398279252"/>
      <w:bookmarkStart w:id="17" w:name="_Ref398907457"/>
      <w:r w:rsidRPr="00FD50DB">
        <w:t xml:space="preserve">Table </w:t>
      </w:r>
      <w:r w:rsidRPr="00F17F59">
        <w:fldChar w:fldCharType="begin"/>
      </w:r>
      <w:r>
        <w:instrText xml:space="preserve"> STYLEREF 1 \s </w:instrText>
      </w:r>
      <w:r w:rsidRPr="00F17F59">
        <w:fldChar w:fldCharType="separate"/>
      </w:r>
      <w:r w:rsidR="004478BF">
        <w:rPr>
          <w:noProof/>
        </w:rPr>
        <w:t>8</w:t>
      </w:r>
      <w:r w:rsidRPr="00F17F59">
        <w:fldChar w:fldCharType="end"/>
      </w:r>
      <w:r>
        <w:noBreakHyphen/>
      </w:r>
      <w:r w:rsidRPr="00F17F59">
        <w:fldChar w:fldCharType="begin"/>
      </w:r>
      <w:r>
        <w:instrText xml:space="preserve"> SEQ Table \* ARABIC \s 1 </w:instrText>
      </w:r>
      <w:r w:rsidRPr="00F17F59">
        <w:fldChar w:fldCharType="separate"/>
      </w:r>
      <w:r w:rsidR="004478BF">
        <w:rPr>
          <w:noProof/>
        </w:rPr>
        <w:t>3</w:t>
      </w:r>
      <w:r w:rsidRPr="00F17F59">
        <w:fldChar w:fldCharType="end"/>
      </w:r>
      <w:bookmarkEnd w:id="16"/>
      <w:r w:rsidRPr="00FD50DB">
        <w:tab/>
        <w:t>JGN</w:t>
      </w:r>
      <w:r>
        <w:t>'s</w:t>
      </w:r>
      <w:r w:rsidRPr="00FD50DB">
        <w:t xml:space="preserve"> proposed corporate income tax </w:t>
      </w:r>
      <w:r>
        <w:t xml:space="preserve">allowance </w:t>
      </w:r>
      <w:r w:rsidRPr="00FD50DB">
        <w:t>for the 2015–20 access arrangement period ($million, nominal)</w:t>
      </w:r>
      <w:bookmarkEnd w:id="17"/>
    </w:p>
    <w:tbl>
      <w:tblPr>
        <w:tblStyle w:val="AERtable-numbers"/>
        <w:tblW w:w="9203" w:type="dxa"/>
        <w:tblLook w:val="04A0" w:firstRow="1" w:lastRow="0" w:firstColumn="1" w:lastColumn="0" w:noHBand="0" w:noVBand="1"/>
      </w:tblPr>
      <w:tblGrid>
        <w:gridCol w:w="2563"/>
        <w:gridCol w:w="1106"/>
        <w:gridCol w:w="1107"/>
        <w:gridCol w:w="1107"/>
        <w:gridCol w:w="1106"/>
        <w:gridCol w:w="1107"/>
        <w:gridCol w:w="1107"/>
      </w:tblGrid>
      <w:tr w:rsidR="0075370E" w:rsidRPr="00BF79C4" w:rsidTr="005A2AE5">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63" w:type="dxa"/>
            <w:hideMark/>
          </w:tcPr>
          <w:p w:rsidR="0075370E" w:rsidRPr="00F17F59" w:rsidRDefault="0075370E" w:rsidP="005A2AE5">
            <w:pPr>
              <w:pStyle w:val="AERtabletextleft"/>
            </w:pPr>
            <w:r w:rsidRPr="00FD50DB">
              <w:t xml:space="preserve"> </w:t>
            </w:r>
          </w:p>
        </w:tc>
        <w:tc>
          <w:tcPr>
            <w:tcW w:w="1106" w:type="dxa"/>
            <w:hideMark/>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FD50DB">
              <w:t>2015-16</w:t>
            </w:r>
          </w:p>
        </w:tc>
        <w:tc>
          <w:tcPr>
            <w:tcW w:w="1107" w:type="dxa"/>
            <w:hideMark/>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FD50DB">
              <w:t>2016-17</w:t>
            </w:r>
          </w:p>
        </w:tc>
        <w:tc>
          <w:tcPr>
            <w:tcW w:w="1107" w:type="dxa"/>
            <w:hideMark/>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FD50DB">
              <w:t>2017-18</w:t>
            </w:r>
          </w:p>
        </w:tc>
        <w:tc>
          <w:tcPr>
            <w:tcW w:w="1106" w:type="dxa"/>
            <w:hideMark/>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FD50DB">
              <w:t>2018-19</w:t>
            </w:r>
          </w:p>
        </w:tc>
        <w:tc>
          <w:tcPr>
            <w:tcW w:w="1107" w:type="dxa"/>
            <w:hideMark/>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FD50DB">
              <w:t>2019-20</w:t>
            </w:r>
          </w:p>
        </w:tc>
        <w:tc>
          <w:tcPr>
            <w:tcW w:w="1107" w:type="dxa"/>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t>Total</w:t>
            </w:r>
          </w:p>
        </w:tc>
      </w:tr>
      <w:tr w:rsidR="00A37E50" w:rsidRPr="00BF79C4" w:rsidTr="00A37E50">
        <w:trPr>
          <w:trHeight w:val="240"/>
        </w:trPr>
        <w:tc>
          <w:tcPr>
            <w:cnfStyle w:val="001000000000" w:firstRow="0" w:lastRow="0" w:firstColumn="1" w:lastColumn="0" w:oddVBand="0" w:evenVBand="0" w:oddHBand="0" w:evenHBand="0" w:firstRowFirstColumn="0" w:firstRowLastColumn="0" w:lastRowFirstColumn="0" w:lastRowLastColumn="0"/>
            <w:tcW w:w="2563" w:type="dxa"/>
            <w:hideMark/>
          </w:tcPr>
          <w:p w:rsidR="00A37E50" w:rsidRPr="00A37E50" w:rsidRDefault="00A37E50" w:rsidP="00A37E50">
            <w:pPr>
              <w:pStyle w:val="AERtabletextleft"/>
            </w:pPr>
            <w:r w:rsidRPr="00A37E50">
              <w:t>Tax payable</w:t>
            </w:r>
          </w:p>
        </w:tc>
        <w:tc>
          <w:tcPr>
            <w:tcW w:w="1106" w:type="dxa"/>
            <w:hideMark/>
          </w:tcPr>
          <w:p w:rsidR="00A37E50" w:rsidRPr="00A37E50" w:rsidRDefault="00A37E50" w:rsidP="00A37E50">
            <w:pPr>
              <w:pStyle w:val="AERtabletextleft"/>
              <w:cnfStyle w:val="000000000000" w:firstRow="0" w:lastRow="0" w:firstColumn="0" w:lastColumn="0" w:oddVBand="0" w:evenVBand="0" w:oddHBand="0" w:evenHBand="0" w:firstRowFirstColumn="0" w:firstRowLastColumn="0" w:lastRowFirstColumn="0" w:lastRowLastColumn="0"/>
            </w:pPr>
            <w:r w:rsidRPr="00A37E50">
              <w:t>28.2</w:t>
            </w:r>
          </w:p>
        </w:tc>
        <w:tc>
          <w:tcPr>
            <w:tcW w:w="1107" w:type="dxa"/>
            <w:hideMark/>
          </w:tcPr>
          <w:p w:rsidR="00A37E50" w:rsidRPr="00A37E50" w:rsidRDefault="00A37E50" w:rsidP="00A37E50">
            <w:pPr>
              <w:pStyle w:val="AERtabletextleft"/>
              <w:cnfStyle w:val="000000000000" w:firstRow="0" w:lastRow="0" w:firstColumn="0" w:lastColumn="0" w:oddVBand="0" w:evenVBand="0" w:oddHBand="0" w:evenHBand="0" w:firstRowFirstColumn="0" w:firstRowLastColumn="0" w:lastRowFirstColumn="0" w:lastRowLastColumn="0"/>
            </w:pPr>
            <w:r w:rsidRPr="00A37E50">
              <w:t>30.9</w:t>
            </w:r>
          </w:p>
        </w:tc>
        <w:tc>
          <w:tcPr>
            <w:tcW w:w="1107" w:type="dxa"/>
            <w:hideMark/>
          </w:tcPr>
          <w:p w:rsidR="00A37E50" w:rsidRPr="00A37E50" w:rsidRDefault="00A37E50" w:rsidP="00A37E50">
            <w:pPr>
              <w:pStyle w:val="AERtabletextleft"/>
              <w:cnfStyle w:val="000000000000" w:firstRow="0" w:lastRow="0" w:firstColumn="0" w:lastColumn="0" w:oddVBand="0" w:evenVBand="0" w:oddHBand="0" w:evenHBand="0" w:firstRowFirstColumn="0" w:firstRowLastColumn="0" w:lastRowFirstColumn="0" w:lastRowLastColumn="0"/>
            </w:pPr>
            <w:r w:rsidRPr="00A37E50">
              <w:t>34.8</w:t>
            </w:r>
          </w:p>
        </w:tc>
        <w:tc>
          <w:tcPr>
            <w:tcW w:w="1106" w:type="dxa"/>
            <w:hideMark/>
          </w:tcPr>
          <w:p w:rsidR="00A37E50" w:rsidRPr="00A37E50" w:rsidRDefault="00A37E50" w:rsidP="00A37E50">
            <w:pPr>
              <w:pStyle w:val="AERtabletextleft"/>
              <w:cnfStyle w:val="000000000000" w:firstRow="0" w:lastRow="0" w:firstColumn="0" w:lastColumn="0" w:oddVBand="0" w:evenVBand="0" w:oddHBand="0" w:evenHBand="0" w:firstRowFirstColumn="0" w:firstRowLastColumn="0" w:lastRowFirstColumn="0" w:lastRowLastColumn="0"/>
            </w:pPr>
            <w:r w:rsidRPr="00A37E50">
              <w:t>38.6</w:t>
            </w:r>
          </w:p>
        </w:tc>
        <w:tc>
          <w:tcPr>
            <w:tcW w:w="1107" w:type="dxa"/>
            <w:hideMark/>
          </w:tcPr>
          <w:p w:rsidR="00A37E50" w:rsidRPr="00A37E50" w:rsidRDefault="00A37E50" w:rsidP="00A37E50">
            <w:pPr>
              <w:pStyle w:val="AERtabletextleft"/>
              <w:cnfStyle w:val="000000000000" w:firstRow="0" w:lastRow="0" w:firstColumn="0" w:lastColumn="0" w:oddVBand="0" w:evenVBand="0" w:oddHBand="0" w:evenHBand="0" w:firstRowFirstColumn="0" w:firstRowLastColumn="0" w:lastRowFirstColumn="0" w:lastRowLastColumn="0"/>
            </w:pPr>
            <w:r w:rsidRPr="00A37E50">
              <w:t>35.7</w:t>
            </w:r>
          </w:p>
        </w:tc>
        <w:tc>
          <w:tcPr>
            <w:tcW w:w="1107" w:type="dxa"/>
          </w:tcPr>
          <w:p w:rsidR="00A37E50" w:rsidRPr="00A37E50" w:rsidRDefault="00A37E50" w:rsidP="00A37E50">
            <w:pPr>
              <w:pStyle w:val="AERtabletextleft"/>
              <w:cnfStyle w:val="000000000000" w:firstRow="0" w:lastRow="0" w:firstColumn="0" w:lastColumn="0" w:oddVBand="0" w:evenVBand="0" w:oddHBand="0" w:evenHBand="0" w:firstRowFirstColumn="0" w:firstRowLastColumn="0" w:lastRowFirstColumn="0" w:lastRowLastColumn="0"/>
            </w:pPr>
            <w:r w:rsidRPr="00A37E50">
              <w:t>168.4</w:t>
            </w:r>
          </w:p>
        </w:tc>
      </w:tr>
      <w:tr w:rsidR="00A37E50" w:rsidRPr="00BF79C4" w:rsidTr="00A37E50">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63" w:type="dxa"/>
            <w:hideMark/>
          </w:tcPr>
          <w:p w:rsidR="00A37E50" w:rsidRPr="00A37E50" w:rsidRDefault="00A37E50" w:rsidP="00A37E50">
            <w:pPr>
              <w:pStyle w:val="AERtabletextleft"/>
            </w:pPr>
            <w:r w:rsidRPr="00A37E50">
              <w:rPr>
                <w:rStyle w:val="AERtextitalic"/>
              </w:rPr>
              <w:t>Less</w:t>
            </w:r>
            <w:r w:rsidRPr="00A37E50">
              <w:t>: Value of imputation credits</w:t>
            </w:r>
          </w:p>
        </w:tc>
        <w:tc>
          <w:tcPr>
            <w:tcW w:w="1106" w:type="dxa"/>
            <w:hideMark/>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7.1</w:t>
            </w:r>
          </w:p>
        </w:tc>
        <w:tc>
          <w:tcPr>
            <w:tcW w:w="1107" w:type="dxa"/>
            <w:hideMark/>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7.7</w:t>
            </w:r>
          </w:p>
        </w:tc>
        <w:tc>
          <w:tcPr>
            <w:tcW w:w="1107" w:type="dxa"/>
            <w:hideMark/>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8.7</w:t>
            </w:r>
          </w:p>
        </w:tc>
        <w:tc>
          <w:tcPr>
            <w:tcW w:w="1106" w:type="dxa"/>
            <w:hideMark/>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9.7</w:t>
            </w:r>
          </w:p>
        </w:tc>
        <w:tc>
          <w:tcPr>
            <w:tcW w:w="1107" w:type="dxa"/>
            <w:hideMark/>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8.9</w:t>
            </w:r>
          </w:p>
        </w:tc>
        <w:tc>
          <w:tcPr>
            <w:tcW w:w="1107" w:type="dxa"/>
          </w:tcPr>
          <w:p w:rsidR="00A37E50" w:rsidRPr="00A37E50" w:rsidRDefault="00A37E50" w:rsidP="00A37E50">
            <w:pPr>
              <w:pStyle w:val="AERtabletextleft"/>
              <w:cnfStyle w:val="000000010000" w:firstRow="0" w:lastRow="0" w:firstColumn="0" w:lastColumn="0" w:oddVBand="0" w:evenVBand="0" w:oddHBand="0" w:evenHBand="1" w:firstRowFirstColumn="0" w:firstRowLastColumn="0" w:lastRowFirstColumn="0" w:lastRowLastColumn="0"/>
            </w:pPr>
            <w:r w:rsidRPr="00A37E50">
              <w:t>42.1</w:t>
            </w:r>
          </w:p>
        </w:tc>
      </w:tr>
      <w:tr w:rsidR="00A37E50" w:rsidRPr="001F01A6" w:rsidTr="00A37E50">
        <w:trPr>
          <w:trHeight w:val="240"/>
        </w:trPr>
        <w:tc>
          <w:tcPr>
            <w:cnfStyle w:val="001000000000" w:firstRow="0" w:lastRow="0" w:firstColumn="1" w:lastColumn="0" w:oddVBand="0" w:evenVBand="0" w:oddHBand="0" w:evenHBand="0" w:firstRowFirstColumn="0" w:firstRowLastColumn="0" w:lastRowFirstColumn="0" w:lastRowLastColumn="0"/>
            <w:tcW w:w="2563" w:type="dxa"/>
            <w:hideMark/>
          </w:tcPr>
          <w:p w:rsidR="00A37E50" w:rsidRPr="001F01A6" w:rsidRDefault="00A37E50" w:rsidP="00A37E50">
            <w:pPr>
              <w:pStyle w:val="AERtabletextleft"/>
              <w:rPr>
                <w:rStyle w:val="AERtextbold"/>
              </w:rPr>
            </w:pPr>
            <w:r w:rsidRPr="001F01A6">
              <w:rPr>
                <w:rStyle w:val="AERtextbold"/>
              </w:rPr>
              <w:t>Net cost of corporate tax</w:t>
            </w:r>
          </w:p>
        </w:tc>
        <w:tc>
          <w:tcPr>
            <w:tcW w:w="1106" w:type="dxa"/>
            <w:hideMark/>
          </w:tcPr>
          <w:p w:rsidR="00A37E50" w:rsidRPr="001F01A6" w:rsidRDefault="00A37E50" w:rsidP="00A37E50">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1F01A6">
              <w:rPr>
                <w:rStyle w:val="AERtextbold"/>
              </w:rPr>
              <w:t>21.2</w:t>
            </w:r>
          </w:p>
        </w:tc>
        <w:tc>
          <w:tcPr>
            <w:tcW w:w="1107" w:type="dxa"/>
            <w:hideMark/>
          </w:tcPr>
          <w:p w:rsidR="00A37E50" w:rsidRPr="001F01A6" w:rsidRDefault="00A37E50" w:rsidP="00A37E50">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1F01A6">
              <w:rPr>
                <w:rStyle w:val="AERtextbold"/>
              </w:rPr>
              <w:t>23.2</w:t>
            </w:r>
          </w:p>
        </w:tc>
        <w:tc>
          <w:tcPr>
            <w:tcW w:w="1107" w:type="dxa"/>
            <w:hideMark/>
          </w:tcPr>
          <w:p w:rsidR="00A37E50" w:rsidRPr="001F01A6" w:rsidRDefault="00A37E50" w:rsidP="00A37E50">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1F01A6">
              <w:rPr>
                <w:rStyle w:val="AERtextbold"/>
              </w:rPr>
              <w:t>26.1</w:t>
            </w:r>
          </w:p>
        </w:tc>
        <w:tc>
          <w:tcPr>
            <w:tcW w:w="1106" w:type="dxa"/>
            <w:hideMark/>
          </w:tcPr>
          <w:p w:rsidR="00A37E50" w:rsidRPr="001F01A6" w:rsidRDefault="00A37E50" w:rsidP="00A37E50">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1F01A6">
              <w:rPr>
                <w:rStyle w:val="AERtextbold"/>
              </w:rPr>
              <w:t>29.0</w:t>
            </w:r>
          </w:p>
        </w:tc>
        <w:tc>
          <w:tcPr>
            <w:tcW w:w="1107" w:type="dxa"/>
            <w:hideMark/>
          </w:tcPr>
          <w:p w:rsidR="00A37E50" w:rsidRPr="001F01A6" w:rsidRDefault="00A37E50" w:rsidP="00A37E50">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1F01A6">
              <w:rPr>
                <w:rStyle w:val="AERtextbold"/>
              </w:rPr>
              <w:t>26.8</w:t>
            </w:r>
          </w:p>
        </w:tc>
        <w:tc>
          <w:tcPr>
            <w:tcW w:w="1107" w:type="dxa"/>
          </w:tcPr>
          <w:p w:rsidR="00A37E50" w:rsidRPr="001F01A6" w:rsidRDefault="00A37E50" w:rsidP="00A37E50">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1F01A6">
              <w:rPr>
                <w:rStyle w:val="AERtextbold"/>
              </w:rPr>
              <w:t>126.3</w:t>
            </w:r>
          </w:p>
        </w:tc>
      </w:tr>
    </w:tbl>
    <w:p w:rsidR="0075370E" w:rsidRPr="00FD50DB" w:rsidRDefault="0075370E" w:rsidP="0075370E">
      <w:pPr>
        <w:pStyle w:val="AERtablesource"/>
      </w:pPr>
      <w:r w:rsidRPr="00F17F59">
        <w:rPr>
          <w:rFonts w:eastAsia="Calibri"/>
        </w:rPr>
        <w:t xml:space="preserve">Source: </w:t>
      </w:r>
      <w:r w:rsidRPr="00F17F59">
        <w:rPr>
          <w:rFonts w:eastAsia="Calibri"/>
        </w:rPr>
        <w:tab/>
      </w:r>
      <w:r w:rsidRPr="00FD50DB">
        <w:t xml:space="preserve">JGN, </w:t>
      </w:r>
      <w:r w:rsidRPr="00FD50DB">
        <w:rPr>
          <w:rStyle w:val="AERtextitalic"/>
        </w:rPr>
        <w:t>Access arrangement information</w:t>
      </w:r>
      <w:r w:rsidRPr="00FD50DB">
        <w:t>, June 2014, Table 10–2, p. 101.</w:t>
      </w:r>
    </w:p>
    <w:p w:rsidR="0075370E" w:rsidRPr="00FD50DB" w:rsidRDefault="0075370E" w:rsidP="0075370E">
      <w:pPr>
        <w:pStyle w:val="AERbodytext"/>
      </w:pPr>
      <w:r w:rsidRPr="00FD50DB">
        <w:t xml:space="preserve">JGN proposed to use </w:t>
      </w:r>
      <w:r>
        <w:t xml:space="preserve">the </w:t>
      </w:r>
      <w:r w:rsidRPr="00FD50DB">
        <w:t>diminishing value</w:t>
      </w:r>
      <w:r>
        <w:t xml:space="preserve"> method for</w:t>
      </w:r>
      <w:r w:rsidRPr="00FD50DB">
        <w:t xml:space="preserve"> tax depreciation to estimate the value of </w:t>
      </w:r>
      <w:r>
        <w:t>its TAB</w:t>
      </w:r>
      <w:r w:rsidRPr="00FD50DB">
        <w:t xml:space="preserve"> as at the beginning of the 2015</w:t>
      </w:r>
      <w:r>
        <w:t>–</w:t>
      </w:r>
      <w:r w:rsidRPr="00FD50DB">
        <w:t>16 regulatory year and to roll that value forward through the 2015–20 access arrangement period. JGN stated that the reasons for this are that:</w:t>
      </w:r>
      <w:r w:rsidRPr="00FD50DB">
        <w:rPr>
          <w:rStyle w:val="FootnoteReference"/>
        </w:rPr>
        <w:footnoteReference w:id="4"/>
      </w:r>
    </w:p>
    <w:p w:rsidR="0075370E" w:rsidRPr="00021421" w:rsidRDefault="0075370E" w:rsidP="0075370E">
      <w:pPr>
        <w:pStyle w:val="AERbulletlistfirststyle"/>
      </w:pPr>
      <w:r w:rsidRPr="00021421">
        <w:t>it elects using diminishing value tax depreciation for the bulk of its assets when determining its tax liability with the Australian Tax Office</w:t>
      </w:r>
    </w:p>
    <w:p w:rsidR="0075370E" w:rsidRPr="00021421" w:rsidRDefault="0075370E" w:rsidP="0075370E">
      <w:pPr>
        <w:pStyle w:val="AERbulletlistfirststyle"/>
      </w:pPr>
      <w:r w:rsidRPr="00FD50DB">
        <w:t>a rational benchmark efficient entity could be expected to use the diminishing value method because it minimises near term tax liability</w:t>
      </w:r>
    </w:p>
    <w:p w:rsidR="0075370E" w:rsidRPr="00021421" w:rsidRDefault="0075370E" w:rsidP="0075370E">
      <w:pPr>
        <w:pStyle w:val="AERbulletlistfirststyle"/>
      </w:pPr>
      <w:r w:rsidRPr="00FD50DB">
        <w:t>the AER approved J</w:t>
      </w:r>
      <w:r w:rsidRPr="00021421">
        <w:t>GN’s use of the dimini</w:t>
      </w:r>
      <w:r>
        <w:t>shing value method for the 2010–</w:t>
      </w:r>
      <w:r w:rsidRPr="00021421">
        <w:t xml:space="preserve">15 </w:t>
      </w:r>
      <w:r>
        <w:t>access arrangement</w:t>
      </w:r>
      <w:r w:rsidRPr="00021421">
        <w:t xml:space="preserve"> period, so continued use of this method maintains consistency between periods. </w:t>
      </w:r>
    </w:p>
    <w:p w:rsidR="0075370E" w:rsidRPr="00FD50DB" w:rsidRDefault="0075370E" w:rsidP="0075370E">
      <w:pPr>
        <w:pStyle w:val="AERbodytext"/>
      </w:pPr>
      <w:r w:rsidRPr="00FD50DB">
        <w:t xml:space="preserve">JGN has adopted the legislated income tax rate of 30 per cent and a gamma value of </w:t>
      </w:r>
      <w:r>
        <w:t>0.</w:t>
      </w:r>
      <w:r w:rsidRPr="00FD50DB">
        <w:t>25.</w:t>
      </w:r>
    </w:p>
    <w:p w:rsidR="0075370E" w:rsidRPr="00FD50DB" w:rsidRDefault="0075370E" w:rsidP="0075370E">
      <w:pPr>
        <w:pStyle w:val="Heading2"/>
      </w:pPr>
      <w:bookmarkStart w:id="18" w:name="_Toc403463355"/>
      <w:bookmarkStart w:id="19" w:name="_Toc404182763"/>
      <w:bookmarkEnd w:id="14"/>
      <w:r w:rsidRPr="00FD50DB">
        <w:t>AER assessment approach</w:t>
      </w:r>
      <w:bookmarkEnd w:id="18"/>
      <w:bookmarkEnd w:id="19"/>
    </w:p>
    <w:p w:rsidR="0075370E" w:rsidRPr="00FD50DB" w:rsidRDefault="0075370E" w:rsidP="0075370E">
      <w:pPr>
        <w:pStyle w:val="AERbodytext"/>
      </w:pPr>
      <w:r w:rsidRPr="00FD50DB">
        <w:t>We consider the cost of corporate income tax for JGN should be calculated based on the estimated taxable income that would be earned by a</w:t>
      </w:r>
      <w:r>
        <w:t xml:space="preserve"> benchmark</w:t>
      </w:r>
      <w:r w:rsidRPr="00FD50DB">
        <w:t xml:space="preserve"> efficient company operating JGN's </w:t>
      </w:r>
      <w:r>
        <w:t>pipeline</w:t>
      </w:r>
      <w:r w:rsidRPr="00FD50DB">
        <w:t xml:space="preserve">. </w:t>
      </w:r>
      <w:r>
        <w:t xml:space="preserve">As part of this calculation, tax expenses such as interest and depreciation need to be estimated. </w:t>
      </w:r>
      <w:r w:rsidRPr="00FD50DB">
        <w:t xml:space="preserve">Interest tax expense should be estimated using a benchmark 60 per cent gearing, rather than JGN’s actual gearing. Tax depreciation is calculated using a separate </w:t>
      </w:r>
      <w:r>
        <w:t>TAB</w:t>
      </w:r>
      <w:r w:rsidRPr="00FD50DB">
        <w:t xml:space="preserve">. All tax expenses (including other expenses such as operating expenditure) are offset against the service provider's forecast revenue to estimate the taxable income. The statutory income tax rate of 30 per cent is then applied to the estimated taxable income to arrive at a notional amount of tax payable. We then apply a discount to that notional amount of tax payable to account for the </w:t>
      </w:r>
      <w:r>
        <w:t xml:space="preserve">value of imputation credits (gamma). </w:t>
      </w:r>
      <w:r w:rsidRPr="002616BC">
        <w:t>T</w:t>
      </w:r>
      <w:r w:rsidRPr="002616BC">
        <w:rPr>
          <w:rStyle w:val="AERtexthighlight"/>
          <w:shd w:val="clear" w:color="auto" w:fill="auto"/>
        </w:rPr>
        <w:t>he value of imputation credits attachment (attachment 4)</w:t>
      </w:r>
      <w:r w:rsidRPr="002616BC">
        <w:t xml:space="preserve"> details</w:t>
      </w:r>
      <w:r>
        <w:t xml:space="preserve"> our draft decision on gamma. The discounted nominal </w:t>
      </w:r>
      <w:r w:rsidRPr="00FD50DB">
        <w:t xml:space="preserve">amount </w:t>
      </w:r>
      <w:r>
        <w:t xml:space="preserve">of tax payable </w:t>
      </w:r>
      <w:r w:rsidRPr="00FD50DB">
        <w:t>is then included as a separate building block in determining JGN’s total revenue.</w:t>
      </w:r>
      <w:r w:rsidRPr="00FD50DB">
        <w:rPr>
          <w:rStyle w:val="FootnoteReference"/>
        </w:rPr>
        <w:footnoteReference w:id="5"/>
      </w:r>
      <w:r w:rsidRPr="00FD50DB">
        <w:t xml:space="preserve"> </w:t>
      </w:r>
    </w:p>
    <w:p w:rsidR="0075370E" w:rsidRPr="00FD50DB" w:rsidRDefault="0075370E" w:rsidP="0075370E">
      <w:pPr>
        <w:pStyle w:val="AERbodytext"/>
      </w:pPr>
      <w:r w:rsidRPr="00FD50DB">
        <w:t>JGN calculated the corporate income tax allowance using its revenue model.</w:t>
      </w:r>
      <w:r>
        <w:rPr>
          <w:rStyle w:val="FootnoteReference"/>
        </w:rPr>
        <w:footnoteReference w:id="6"/>
      </w:r>
      <w:r w:rsidRPr="00FD50DB">
        <w:t xml:space="preserve"> We </w:t>
      </w:r>
      <w:r>
        <w:t xml:space="preserve">have </w:t>
      </w:r>
      <w:r w:rsidRPr="00FD50DB">
        <w:t xml:space="preserve">therefore assessed JGN's proposed corporate income tax allowance by analysing </w:t>
      </w:r>
      <w:r>
        <w:t>its</w:t>
      </w:r>
      <w:r w:rsidRPr="00FD50DB">
        <w:t xml:space="preserve"> proposed inputs to the revenue model for calculating the tax allowance. These inputs include: </w:t>
      </w:r>
    </w:p>
    <w:p w:rsidR="0075370E" w:rsidRPr="00FD50DB" w:rsidRDefault="0075370E" w:rsidP="0075370E">
      <w:pPr>
        <w:pStyle w:val="AERbulletlistfirststyle"/>
      </w:pPr>
      <w:r w:rsidRPr="00FD50DB">
        <w:t xml:space="preserve">the opening </w:t>
      </w:r>
      <w:r>
        <w:t>TAB</w:t>
      </w:r>
      <w:r w:rsidRPr="00FD50DB">
        <w:t xml:space="preserve"> as at 1 July 2015 </w:t>
      </w:r>
    </w:p>
    <w:p w:rsidR="0075370E" w:rsidRPr="00FD50DB" w:rsidRDefault="0075370E" w:rsidP="0075370E">
      <w:pPr>
        <w:pStyle w:val="AERbulletlistfirststyle"/>
      </w:pPr>
      <w:r w:rsidRPr="00FD50DB">
        <w:lastRenderedPageBreak/>
        <w:t>the tax depreciation approach for each asset class</w:t>
      </w:r>
    </w:p>
    <w:p w:rsidR="0075370E" w:rsidRPr="00FD50DB" w:rsidRDefault="0075370E" w:rsidP="0075370E">
      <w:pPr>
        <w:pStyle w:val="AERbulletlistfirststyle"/>
      </w:pPr>
      <w:r>
        <w:t>the d</w:t>
      </w:r>
      <w:r w:rsidRPr="007E37B2">
        <w:t>iminishing value rate for tax depreciation</w:t>
      </w:r>
      <w:r>
        <w:t xml:space="preserve"> for </w:t>
      </w:r>
      <w:r w:rsidRPr="00FD50DB">
        <w:t>each asset class</w:t>
      </w:r>
    </w:p>
    <w:p w:rsidR="0075370E" w:rsidRPr="00FD50DB" w:rsidRDefault="0075370E" w:rsidP="0075370E">
      <w:pPr>
        <w:pStyle w:val="AERbulletlistfirststyle"/>
      </w:pPr>
      <w:r w:rsidRPr="00FD50DB">
        <w:t xml:space="preserve">the income tax rate </w:t>
      </w:r>
    </w:p>
    <w:p w:rsidR="0075370E" w:rsidRPr="00FD50DB" w:rsidRDefault="0075370E" w:rsidP="0075370E">
      <w:pPr>
        <w:pStyle w:val="AERbulletlistfirststyle"/>
      </w:pPr>
      <w:r w:rsidRPr="00FD50DB">
        <w:t>the value of gamma.</w:t>
      </w:r>
    </w:p>
    <w:p w:rsidR="0075370E" w:rsidRPr="00FD50DB" w:rsidRDefault="0075370E" w:rsidP="0075370E">
      <w:pPr>
        <w:pStyle w:val="AERbodytext"/>
      </w:pPr>
      <w:r w:rsidRPr="00FD50DB">
        <w:rPr>
          <w:rStyle w:val="AERbody"/>
        </w:rPr>
        <w:t>In assessing JGN's proposal, we ha</w:t>
      </w:r>
      <w:r>
        <w:rPr>
          <w:rStyle w:val="AERbody"/>
        </w:rPr>
        <w:t>ve</w:t>
      </w:r>
      <w:r w:rsidRPr="00FD50DB">
        <w:rPr>
          <w:rStyle w:val="AERbody"/>
        </w:rPr>
        <w:t xml:space="preserve"> had regard to the NGO and the revenue and pricing principles.</w:t>
      </w:r>
      <w:r w:rsidRPr="00FD50DB">
        <w:rPr>
          <w:rStyle w:val="FootnoteReference"/>
        </w:rPr>
        <w:footnoteReference w:id="7"/>
      </w:r>
    </w:p>
    <w:p w:rsidR="0075370E" w:rsidRPr="00FD50DB" w:rsidRDefault="0075370E" w:rsidP="0075370E">
      <w:pPr>
        <w:pStyle w:val="AERbodytext"/>
      </w:pPr>
      <w:r>
        <w:t>We consider</w:t>
      </w:r>
      <w:r w:rsidRPr="00FD50DB">
        <w:t xml:space="preserve"> that the roll forward of the opening </w:t>
      </w:r>
      <w:r>
        <w:t>TAB</w:t>
      </w:r>
      <w:r w:rsidRPr="00FD50DB">
        <w:t xml:space="preserve"> to 1 July 2015 should be based on the approved opening </w:t>
      </w:r>
      <w:r>
        <w:t>TAB</w:t>
      </w:r>
      <w:r w:rsidRPr="00FD50DB">
        <w:t xml:space="preserve"> as at 1 July 2010 and JGN’s actual capex in </w:t>
      </w:r>
      <w:r>
        <w:t>the 2010–15 access arrangement period</w:t>
      </w:r>
      <w:r w:rsidRPr="00FD50DB">
        <w:t xml:space="preserve">. The value of the </w:t>
      </w:r>
      <w:r w:rsidRPr="002616BC">
        <w:rPr>
          <w:rStyle w:val="AERbody"/>
        </w:rPr>
        <w:t>actual capex used for rolling forward the TAB is subject to our assessment of these values as discussed in attachment 6.</w:t>
      </w:r>
      <w:r w:rsidRPr="00FD50DB">
        <w:rPr>
          <w:rStyle w:val="FootnoteReference"/>
        </w:rPr>
        <w:footnoteReference w:id="8"/>
      </w:r>
    </w:p>
    <w:p w:rsidR="0075370E" w:rsidRPr="00FD50DB" w:rsidRDefault="0075370E" w:rsidP="0075370E">
      <w:pPr>
        <w:pStyle w:val="AERbodytext"/>
      </w:pPr>
      <w:r w:rsidRPr="00FD50DB">
        <w:t xml:space="preserve">We </w:t>
      </w:r>
      <w:r>
        <w:t xml:space="preserve">have </w:t>
      </w:r>
      <w:r w:rsidRPr="00FD50DB">
        <w:t>assess</w:t>
      </w:r>
      <w:r>
        <w:t>ed</w:t>
      </w:r>
      <w:r w:rsidRPr="00FD50DB">
        <w:t xml:space="preserve"> JGN's proposed </w:t>
      </w:r>
      <w:r>
        <w:t xml:space="preserve">diminishing rates, where appropriate, by comparing them against the rates approved </w:t>
      </w:r>
      <w:r w:rsidRPr="00FD50DB">
        <w:t xml:space="preserve">in the </w:t>
      </w:r>
      <w:r>
        <w:t>2010–15</w:t>
      </w:r>
      <w:r w:rsidRPr="00FD50DB">
        <w:t xml:space="preserve"> access arrangement period </w:t>
      </w:r>
      <w:r>
        <w:t xml:space="preserve">as well as </w:t>
      </w:r>
      <w:r w:rsidRPr="00D079C3">
        <w:t xml:space="preserve">those prescribed by the Commissioner for </w:t>
      </w:r>
      <w:r>
        <w:t>t</w:t>
      </w:r>
      <w:r w:rsidRPr="00D079C3">
        <w:t xml:space="preserve">axation in </w:t>
      </w:r>
      <w:r>
        <w:t>t</w:t>
      </w:r>
      <w:r w:rsidRPr="00D079C3">
        <w:t xml:space="preserve">ax </w:t>
      </w:r>
      <w:r>
        <w:t>r</w:t>
      </w:r>
      <w:r w:rsidRPr="00D079C3">
        <w:t xml:space="preserve">uling </w:t>
      </w:r>
      <w:r w:rsidRPr="002616BC">
        <w:rPr>
          <w:rStyle w:val="AERbody"/>
        </w:rPr>
        <w:t>2014/4</w:t>
      </w:r>
      <w:r w:rsidRPr="00FD50DB">
        <w:t>.</w:t>
      </w:r>
      <w:r>
        <w:rPr>
          <w:rStyle w:val="FootnoteReference"/>
        </w:rPr>
        <w:footnoteReference w:id="9"/>
      </w:r>
      <w:r w:rsidRPr="00FD50DB">
        <w:t xml:space="preserve"> </w:t>
      </w:r>
    </w:p>
    <w:p w:rsidR="0075370E" w:rsidRPr="00FD50DB" w:rsidRDefault="0075370E" w:rsidP="0075370E">
      <w:pPr>
        <w:pStyle w:val="Heading3"/>
      </w:pPr>
      <w:bookmarkStart w:id="20" w:name="_Toc386793095"/>
      <w:bookmarkStart w:id="21" w:name="_Toc387065827"/>
      <w:bookmarkStart w:id="22" w:name="_Toc388623125"/>
      <w:bookmarkStart w:id="23" w:name="_Toc403463356"/>
      <w:bookmarkStart w:id="24" w:name="_Toc404182764"/>
      <w:r w:rsidRPr="00FD50DB">
        <w:t>Interrelationships</w:t>
      </w:r>
      <w:bookmarkEnd w:id="20"/>
      <w:bookmarkEnd w:id="21"/>
      <w:bookmarkEnd w:id="22"/>
      <w:bookmarkEnd w:id="23"/>
      <w:bookmarkEnd w:id="24"/>
    </w:p>
    <w:p w:rsidR="0075370E" w:rsidRPr="00FD50DB" w:rsidRDefault="0075370E" w:rsidP="0075370E">
      <w:pPr>
        <w:pStyle w:val="AERbodytext"/>
      </w:pPr>
      <w:r w:rsidRPr="00FD50DB">
        <w:t>The corporate income tax building block feeds directly into the annual revenue requirement. This tax allowance is determined by four factors:</w:t>
      </w:r>
    </w:p>
    <w:p w:rsidR="0075370E" w:rsidRPr="00FD50DB" w:rsidRDefault="0075370E" w:rsidP="0075370E">
      <w:pPr>
        <w:pStyle w:val="AERbulletlistfirststyle"/>
      </w:pPr>
      <w:r w:rsidRPr="00FD50DB">
        <w:t xml:space="preserve">pre-tax revenues </w:t>
      </w:r>
    </w:p>
    <w:p w:rsidR="0075370E" w:rsidRPr="00FD50DB" w:rsidRDefault="0075370E" w:rsidP="0075370E">
      <w:pPr>
        <w:pStyle w:val="AERbulletlistfirststyle"/>
      </w:pPr>
      <w:r w:rsidRPr="00FD50DB">
        <w:t>tax expenses (including tax depreciation)</w:t>
      </w:r>
    </w:p>
    <w:p w:rsidR="0075370E" w:rsidRPr="00FD50DB" w:rsidRDefault="0075370E" w:rsidP="0075370E">
      <w:pPr>
        <w:pStyle w:val="AERbulletlistfirststyle"/>
      </w:pPr>
      <w:r w:rsidRPr="00FD50DB">
        <w:t>the corporate tax rate</w:t>
      </w:r>
    </w:p>
    <w:p w:rsidR="0075370E" w:rsidRPr="00FD50DB" w:rsidRDefault="0075370E" w:rsidP="0075370E">
      <w:pPr>
        <w:pStyle w:val="AERbulletlistfirststyle"/>
      </w:pPr>
      <w:r w:rsidRPr="00FD50DB">
        <w:t xml:space="preserve">gamma—the expected proportion of company tax that is returned to investors through the utilisation of imputation credits—which offsets against the corporate income tax allowance. This is discussed further at </w:t>
      </w:r>
      <w:r w:rsidRPr="002616BC">
        <w:rPr>
          <w:rStyle w:val="AERtexthighlight"/>
          <w:shd w:val="clear" w:color="auto" w:fill="auto"/>
        </w:rPr>
        <w:t>attachment 4</w:t>
      </w:r>
      <w:r w:rsidRPr="00FD50DB">
        <w:t>.</w:t>
      </w:r>
    </w:p>
    <w:p w:rsidR="0075370E" w:rsidRPr="00FD50DB" w:rsidRDefault="0075370E" w:rsidP="0075370E">
      <w:pPr>
        <w:pStyle w:val="AERbodytext"/>
      </w:pPr>
      <w:r w:rsidRPr="00FD50DB">
        <w:t>Of these four factors, the corporate tax rate is set externally by the Government. The higher the tax rate the higher the required tax allowance.</w:t>
      </w:r>
    </w:p>
    <w:p w:rsidR="0075370E" w:rsidRPr="00FD50DB" w:rsidRDefault="0075370E" w:rsidP="0075370E">
      <w:pPr>
        <w:pStyle w:val="AERbodytext"/>
      </w:pPr>
      <w:r w:rsidRPr="00FD50DB">
        <w:t xml:space="preserve">The pre-tax revenues depend on all the building block components. Any factor that affects revenue will therefore affect pre-tax revenues. </w:t>
      </w:r>
      <w:r>
        <w:t>H</w:t>
      </w:r>
      <w:r w:rsidRPr="00FD50DB">
        <w:t xml:space="preserve">igher pre-tax revenues </w:t>
      </w:r>
      <w:r>
        <w:t>can</w:t>
      </w:r>
      <w:r w:rsidRPr="00FD50DB">
        <w:t xml:space="preserve"> increase the corporate income tax allowance.</w:t>
      </w:r>
      <w:r w:rsidRPr="00FD50DB">
        <w:rPr>
          <w:rStyle w:val="FootnoteReference"/>
        </w:rPr>
        <w:footnoteReference w:id="10"/>
      </w:r>
      <w:r w:rsidRPr="00396F41">
        <w:rPr>
          <w:rStyle w:val="FootnoteReference"/>
        </w:rPr>
        <w:t xml:space="preserve"> </w:t>
      </w:r>
      <w:r w:rsidRPr="004B25F4">
        <w:t>Depending on the source of the revenue increase, the tax increase may be equal to or less than proportional to the company tax rate.</w:t>
      </w:r>
      <w:r>
        <w:rPr>
          <w:rStyle w:val="FootnoteReference"/>
        </w:rPr>
        <w:footnoteReference w:id="11"/>
      </w:r>
      <w:r w:rsidRPr="004656C5">
        <w:t xml:space="preserve">   </w:t>
      </w:r>
    </w:p>
    <w:p w:rsidR="0075370E" w:rsidRPr="00FD50DB" w:rsidRDefault="0075370E" w:rsidP="0075370E">
      <w:pPr>
        <w:pStyle w:val="AERbodytext"/>
      </w:pPr>
      <w:r w:rsidRPr="00FD50DB">
        <w:lastRenderedPageBreak/>
        <w:t xml:space="preserve">The tax expenses depend on various building block components and their size. Some components give rise to tax expenses, such as opex, interest payments and tax depreciation of assets. However, others do not, such as increases in return on equity. Higher tax expenses offset revenues as deductions in the tax calculation and therefore reduce the tax allowance (all </w:t>
      </w:r>
      <w:r>
        <w:t>else</w:t>
      </w:r>
      <w:r w:rsidRPr="00FD50DB">
        <w:t xml:space="preserve"> being equal). Tax expenses include:</w:t>
      </w:r>
    </w:p>
    <w:p w:rsidR="0075370E" w:rsidRPr="00FD50DB" w:rsidRDefault="0075370E" w:rsidP="0075370E">
      <w:pPr>
        <w:pStyle w:val="AERbulletlistfirststyle"/>
      </w:pPr>
      <w:r w:rsidRPr="00FD50DB">
        <w:t>Interest on debt – Interest is a tax offset. The size of which depends on the ratio of debt to equity and therefore the proportion of the capital base funded through debt. It also depends on the allowed return on debt and the size of the capital base.</w:t>
      </w:r>
    </w:p>
    <w:p w:rsidR="0075370E" w:rsidRPr="00FD50DB" w:rsidRDefault="0075370E" w:rsidP="0075370E">
      <w:pPr>
        <w:pStyle w:val="AERbulletlistfirststyle"/>
      </w:pPr>
      <w:r w:rsidRPr="00FD50DB">
        <w:t>General expenses – In the main these expenses will match the opex allowance.</w:t>
      </w:r>
    </w:p>
    <w:p w:rsidR="0075370E" w:rsidRPr="00FD50DB" w:rsidRDefault="0075370E" w:rsidP="0075370E">
      <w:pPr>
        <w:pStyle w:val="AERbulletlistfirststyle"/>
      </w:pPr>
      <w:r w:rsidRPr="00FD50DB">
        <w:t xml:space="preserve">Tax depreciation – A separate </w:t>
      </w:r>
      <w:r>
        <w:t>TAB</w:t>
      </w:r>
      <w:r w:rsidRPr="00FD50DB">
        <w:t xml:space="preserve"> is maintained for the service provide</w:t>
      </w:r>
      <w:r>
        <w:t>r</w:t>
      </w:r>
      <w:r w:rsidRPr="00FD50DB">
        <w:t xml:space="preserve"> reflecting tax rules. This </w:t>
      </w:r>
      <w:r>
        <w:t>TAB</w:t>
      </w:r>
      <w:r w:rsidRPr="00FD50DB">
        <w:t xml:space="preserve"> is affected by many of the same factors as the capital base, such as capex, although unlike the capital base value it is maintained at its historical cost with no indexation. The </w:t>
      </w:r>
      <w:r>
        <w:t>TAB</w:t>
      </w:r>
      <w:r w:rsidRPr="00FD50DB">
        <w:t xml:space="preserve"> is also affected by the depreciation rate and</w:t>
      </w:r>
      <w:r>
        <w:t>/or</w:t>
      </w:r>
      <w:r w:rsidRPr="00FD50DB">
        <w:t xml:space="preserve"> asset lives assigned for tax depreciation purposes.</w:t>
      </w:r>
    </w:p>
    <w:p w:rsidR="0075370E" w:rsidRPr="006A5792" w:rsidRDefault="0075370E" w:rsidP="0075370E">
      <w:pPr>
        <w:pStyle w:val="AERbodytext"/>
      </w:pPr>
      <w:r w:rsidRPr="002616BC">
        <w:rPr>
          <w:rStyle w:val="AERbody"/>
        </w:rPr>
        <w:t>A ten</w:t>
      </w:r>
      <w:r>
        <w:rPr>
          <w:rStyle w:val="AERbody"/>
        </w:rPr>
        <w:t xml:space="preserve"> </w:t>
      </w:r>
      <w:r w:rsidRPr="002616BC">
        <w:rPr>
          <w:rStyle w:val="AERbody"/>
        </w:rPr>
        <w:t xml:space="preserve">per cent increase in the corporate income tax allowance would cause revenues to increase by about </w:t>
      </w:r>
      <w:r>
        <w:rPr>
          <w:rStyle w:val="AERbody"/>
        </w:rPr>
        <w:t>0.</w:t>
      </w:r>
      <w:r w:rsidR="005A2AE5">
        <w:rPr>
          <w:rStyle w:val="AERbody"/>
        </w:rPr>
        <w:t>4 </w:t>
      </w:r>
      <w:r w:rsidRPr="002616BC">
        <w:rPr>
          <w:rStyle w:val="AERbody"/>
        </w:rPr>
        <w:t xml:space="preserve">per cent. The proposed gamma of 0.25 compared to the AER's decision of 0.4, would increase the corporate income tax allowance by </w:t>
      </w:r>
      <w:r>
        <w:rPr>
          <w:rStyle w:val="AERbody"/>
        </w:rPr>
        <w:t xml:space="preserve">25 </w:t>
      </w:r>
      <w:r w:rsidRPr="002616BC">
        <w:rPr>
          <w:rStyle w:val="AERbody"/>
        </w:rPr>
        <w:t xml:space="preserve">per cent and total revenues by about </w:t>
      </w:r>
      <w:r w:rsidR="005A2AE5">
        <w:rPr>
          <w:rStyle w:val="AERbody"/>
        </w:rPr>
        <w:t>0.9 </w:t>
      </w:r>
      <w:r w:rsidRPr="002616BC">
        <w:rPr>
          <w:rStyle w:val="AERbody"/>
        </w:rPr>
        <w:t>per cent</w:t>
      </w:r>
      <w:r w:rsidRPr="006A5792">
        <w:t>.</w:t>
      </w:r>
    </w:p>
    <w:p w:rsidR="0075370E" w:rsidRPr="00FD50DB" w:rsidRDefault="0075370E" w:rsidP="0075370E">
      <w:pPr>
        <w:pStyle w:val="Heading2"/>
      </w:pPr>
      <w:bookmarkStart w:id="25" w:name="_Toc403463357"/>
      <w:bookmarkStart w:id="26" w:name="_Toc404182765"/>
      <w:r w:rsidRPr="00FD50DB">
        <w:t>Reasons for the draft decision</w:t>
      </w:r>
      <w:bookmarkEnd w:id="25"/>
      <w:bookmarkEnd w:id="26"/>
      <w:r w:rsidRPr="00FD50DB">
        <w:t xml:space="preserve">  </w:t>
      </w:r>
      <w:bookmarkEnd w:id="13"/>
    </w:p>
    <w:p w:rsidR="0075370E" w:rsidRPr="00407443" w:rsidRDefault="0075370E" w:rsidP="0075370E">
      <w:pPr>
        <w:pStyle w:val="AERbodytext"/>
      </w:pPr>
      <w:r w:rsidRPr="00407443">
        <w:t xml:space="preserve">Our </w:t>
      </w:r>
      <w:r w:rsidRPr="002616BC">
        <w:rPr>
          <w:rStyle w:val="AERbody"/>
        </w:rPr>
        <w:t>draft decision on JGN’s corporate income tax allowance is $6</w:t>
      </w:r>
      <w:r>
        <w:rPr>
          <w:rStyle w:val="AERbody"/>
        </w:rPr>
        <w:t>0</w:t>
      </w:r>
      <w:r w:rsidRPr="002616BC">
        <w:rPr>
          <w:rStyle w:val="AERbody"/>
        </w:rPr>
        <w:t>.</w:t>
      </w:r>
      <w:r>
        <w:rPr>
          <w:rStyle w:val="AERbody"/>
        </w:rPr>
        <w:t>5</w:t>
      </w:r>
      <w:r w:rsidRPr="002616BC">
        <w:rPr>
          <w:rStyle w:val="AERbody"/>
        </w:rPr>
        <w:t xml:space="preserve"> million ($nominal), which is a reduction of $6</w:t>
      </w:r>
      <w:r>
        <w:rPr>
          <w:rStyle w:val="AERbody"/>
        </w:rPr>
        <w:t>5</w:t>
      </w:r>
      <w:r w:rsidRPr="002616BC">
        <w:rPr>
          <w:rStyle w:val="AERbody"/>
        </w:rPr>
        <w:t>.</w:t>
      </w:r>
      <w:r>
        <w:rPr>
          <w:rStyle w:val="AERbody"/>
        </w:rPr>
        <w:t>8</w:t>
      </w:r>
      <w:r w:rsidRPr="002616BC">
        <w:rPr>
          <w:rStyle w:val="AERbody"/>
        </w:rPr>
        <w:t xml:space="preserve"> million ($nominal) or 5</w:t>
      </w:r>
      <w:r>
        <w:rPr>
          <w:rStyle w:val="AERbody"/>
        </w:rPr>
        <w:t>2</w:t>
      </w:r>
      <w:r w:rsidRPr="002616BC">
        <w:rPr>
          <w:rStyle w:val="AERbody"/>
        </w:rPr>
        <w:t xml:space="preserve"> per cent</w:t>
      </w:r>
      <w:r w:rsidRPr="00407443">
        <w:t xml:space="preserve"> of JGN's proposal.</w:t>
      </w:r>
    </w:p>
    <w:p w:rsidR="0075370E" w:rsidRPr="00407443" w:rsidRDefault="0075370E" w:rsidP="0075370E">
      <w:pPr>
        <w:pStyle w:val="AERbodytext"/>
      </w:pPr>
      <w:r w:rsidRPr="00407443">
        <w:t>We accept JGN’s proposed method for calculating the corporate income tax allowance, including the proposed opening TAB as at 1 July 2015 and tax depreciation rates. However, we adjusted several inputs proposed by JGN for calculating the corporate income tax allowance. These relate to:</w:t>
      </w:r>
    </w:p>
    <w:p w:rsidR="0075370E" w:rsidRPr="00407443" w:rsidRDefault="0075370E" w:rsidP="0075370E">
      <w:pPr>
        <w:pStyle w:val="AERbulletlistfirststyle"/>
        <w:rPr>
          <w:rStyle w:val="AERtexthighlight"/>
        </w:rPr>
      </w:pPr>
      <w:r w:rsidRPr="00407443">
        <w:t xml:space="preserve">changing the value of </w:t>
      </w:r>
      <w:r w:rsidRPr="002616BC">
        <w:rPr>
          <w:rStyle w:val="AERbody"/>
        </w:rPr>
        <w:t>gamma to 0.4 from 0.25 (attachment 4)</w:t>
      </w:r>
    </w:p>
    <w:p w:rsidR="0075370E" w:rsidRDefault="0075370E" w:rsidP="0075370E">
      <w:pPr>
        <w:pStyle w:val="AERbulletlistfirststyle"/>
      </w:pPr>
      <w:r w:rsidRPr="00407443">
        <w:t xml:space="preserve">changes </w:t>
      </w:r>
      <w:r w:rsidRPr="002616BC">
        <w:rPr>
          <w:rStyle w:val="AERbody"/>
        </w:rPr>
        <w:t xml:space="preserve">to other building block components including forecast </w:t>
      </w:r>
      <w:r w:rsidR="00013A16">
        <w:rPr>
          <w:rStyle w:val="AERbody"/>
        </w:rPr>
        <w:t>rate of return on capital</w:t>
      </w:r>
      <w:r w:rsidR="00013A16" w:rsidRPr="002616BC">
        <w:rPr>
          <w:rStyle w:val="AERbody"/>
        </w:rPr>
        <w:t xml:space="preserve"> </w:t>
      </w:r>
      <w:r w:rsidRPr="002616BC">
        <w:rPr>
          <w:rStyle w:val="AERbody"/>
        </w:rPr>
        <w:t>(attachment</w:t>
      </w:r>
      <w:r w:rsidR="00013A16">
        <w:rPr>
          <w:rStyle w:val="AERbody"/>
        </w:rPr>
        <w:t> 3</w:t>
      </w:r>
      <w:r w:rsidRPr="002616BC">
        <w:rPr>
          <w:rStyle w:val="AERbody"/>
        </w:rPr>
        <w:t>) and forecast capex (attachment 6) that</w:t>
      </w:r>
      <w:r w:rsidRPr="00407443">
        <w:t xml:space="preserve"> impact total revenues, and therefore also impact the forecast corporate income tax allowance.</w:t>
      </w:r>
      <w:r w:rsidRPr="00407443">
        <w:rPr>
          <w:rStyle w:val="FootnoteReference"/>
        </w:rPr>
        <w:footnoteReference w:id="12"/>
      </w:r>
      <w:r w:rsidRPr="00407443">
        <w:t xml:space="preserve"> </w:t>
      </w:r>
    </w:p>
    <w:p w:rsidR="0075370E" w:rsidRPr="00896D81" w:rsidRDefault="0075370E" w:rsidP="0075370E">
      <w:pPr>
        <w:pStyle w:val="Heading3"/>
      </w:pPr>
      <w:bookmarkStart w:id="27" w:name="_Toc403463358"/>
      <w:bookmarkStart w:id="28" w:name="_Toc404182766"/>
      <w:r w:rsidRPr="00896D81">
        <w:t>Opening tax asset base as at 1 July 2015</w:t>
      </w:r>
      <w:bookmarkEnd w:id="27"/>
      <w:bookmarkEnd w:id="28"/>
    </w:p>
    <w:p w:rsidR="0075370E" w:rsidRDefault="0075370E" w:rsidP="0075370E">
      <w:pPr>
        <w:pStyle w:val="AERbodytext"/>
      </w:pPr>
      <w:r w:rsidRPr="00896D81">
        <w:t xml:space="preserve">We accept JGN's approach to determine the opening </w:t>
      </w:r>
      <w:r>
        <w:t>TAB</w:t>
      </w:r>
      <w:r w:rsidR="00644ABD">
        <w:t xml:space="preserve">, and after minor updates to the inputs, determine a </w:t>
      </w:r>
      <w:r>
        <w:t xml:space="preserve">TAB </w:t>
      </w:r>
      <w:r w:rsidRPr="00896D81">
        <w:t xml:space="preserve">value of </w:t>
      </w:r>
      <w:r w:rsidRPr="00896D81">
        <w:rPr>
          <w:rStyle w:val="AERbody"/>
        </w:rPr>
        <w:t>$996.</w:t>
      </w:r>
      <w:r w:rsidR="00644ABD">
        <w:rPr>
          <w:rStyle w:val="AERbody"/>
        </w:rPr>
        <w:t>5</w:t>
      </w:r>
      <w:r>
        <w:rPr>
          <w:rStyle w:val="AERbody"/>
        </w:rPr>
        <w:t> </w:t>
      </w:r>
      <w:r w:rsidRPr="00896D81">
        <w:rPr>
          <w:rStyle w:val="AERbody"/>
        </w:rPr>
        <w:t>million ($nominal</w:t>
      </w:r>
      <w:r w:rsidRPr="00896D81">
        <w:t xml:space="preserve">) as at 1 July 2015. </w:t>
      </w:r>
    </w:p>
    <w:p w:rsidR="004478BF" w:rsidRDefault="004478BF">
      <w:pPr>
        <w:spacing w:after="0" w:line="240" w:lineRule="auto"/>
        <w:jc w:val="left"/>
        <w:rPr>
          <w:rFonts w:eastAsia="Times New Roman"/>
          <w:szCs w:val="24"/>
        </w:rPr>
      </w:pPr>
      <w:r>
        <w:br w:type="page"/>
      </w:r>
    </w:p>
    <w:p w:rsidR="0075370E" w:rsidRPr="00896D81" w:rsidRDefault="0075370E" w:rsidP="0075370E">
      <w:pPr>
        <w:pStyle w:val="AERbodytext"/>
      </w:pPr>
      <w:r>
        <w:lastRenderedPageBreak/>
        <w:fldChar w:fldCharType="begin"/>
      </w:r>
      <w:r>
        <w:instrText xml:space="preserve"> REF _Ref398907505 \h </w:instrText>
      </w:r>
      <w:r>
        <w:fldChar w:fldCharType="separate"/>
      </w:r>
      <w:r w:rsidR="004478BF" w:rsidRPr="00896D81">
        <w:t xml:space="preserve">Table </w:t>
      </w:r>
      <w:r w:rsidR="004478BF">
        <w:rPr>
          <w:noProof/>
        </w:rPr>
        <w:t>8</w:t>
      </w:r>
      <w:r w:rsidR="004478BF" w:rsidRPr="00896D81">
        <w:noBreakHyphen/>
      </w:r>
      <w:r w:rsidR="004478BF">
        <w:rPr>
          <w:noProof/>
        </w:rPr>
        <w:t>4</w:t>
      </w:r>
      <w:r>
        <w:fldChar w:fldCharType="end"/>
      </w:r>
      <w:r>
        <w:t xml:space="preserve"> </w:t>
      </w:r>
      <w:r w:rsidRPr="00896D81">
        <w:t xml:space="preserve">sets out our draft decision on the roll forward of JGN's </w:t>
      </w:r>
      <w:r>
        <w:t xml:space="preserve">TAB </w:t>
      </w:r>
      <w:r w:rsidRPr="00896D81">
        <w:t xml:space="preserve">values. </w:t>
      </w:r>
    </w:p>
    <w:p w:rsidR="0075370E" w:rsidRPr="00896D81" w:rsidRDefault="0075370E" w:rsidP="0075370E">
      <w:pPr>
        <w:pStyle w:val="Caption"/>
      </w:pPr>
      <w:bookmarkStart w:id="29" w:name="_Ref398907505"/>
      <w:r w:rsidRPr="00896D81">
        <w:t xml:space="preserve">Table </w:t>
      </w:r>
      <w:r w:rsidRPr="00F17F59">
        <w:fldChar w:fldCharType="begin"/>
      </w:r>
      <w:r>
        <w:instrText xml:space="preserve"> STYLEREF 1 \s </w:instrText>
      </w:r>
      <w:r w:rsidRPr="00F17F59">
        <w:fldChar w:fldCharType="separate"/>
      </w:r>
      <w:r w:rsidR="004478BF">
        <w:rPr>
          <w:noProof/>
        </w:rPr>
        <w:t>8</w:t>
      </w:r>
      <w:r w:rsidRPr="00F17F59">
        <w:fldChar w:fldCharType="end"/>
      </w:r>
      <w:r w:rsidRPr="00896D81">
        <w:noBreakHyphen/>
      </w:r>
      <w:r w:rsidRPr="00F17F59">
        <w:fldChar w:fldCharType="begin"/>
      </w:r>
      <w:r>
        <w:instrText xml:space="preserve"> SEQ Table \* ARABIC \s 1 </w:instrText>
      </w:r>
      <w:r w:rsidRPr="00F17F59">
        <w:fldChar w:fldCharType="separate"/>
      </w:r>
      <w:r w:rsidR="004478BF">
        <w:rPr>
          <w:noProof/>
        </w:rPr>
        <w:t>4</w:t>
      </w:r>
      <w:r w:rsidRPr="00F17F59">
        <w:fldChar w:fldCharType="end"/>
      </w:r>
      <w:bookmarkEnd w:id="29"/>
      <w:r w:rsidRPr="00896D81">
        <w:tab/>
        <w:t xml:space="preserve">AER's draft decision on JGN's tax asset base roll forward for the 2010–15 </w:t>
      </w:r>
      <w:r>
        <w:t>access arrangement</w:t>
      </w:r>
      <w:r w:rsidRPr="00896D81">
        <w:t xml:space="preserve"> period ($million, nominal)</w:t>
      </w:r>
    </w:p>
    <w:tbl>
      <w:tblPr>
        <w:tblStyle w:val="AERtable-numbers"/>
        <w:tblW w:w="9180" w:type="dxa"/>
        <w:tblLook w:val="04A0" w:firstRow="1" w:lastRow="0" w:firstColumn="1" w:lastColumn="0" w:noHBand="0" w:noVBand="1"/>
      </w:tblPr>
      <w:tblGrid>
        <w:gridCol w:w="2566"/>
        <w:gridCol w:w="1322"/>
        <w:gridCol w:w="1323"/>
        <w:gridCol w:w="1323"/>
        <w:gridCol w:w="1323"/>
        <w:gridCol w:w="1323"/>
      </w:tblGrid>
      <w:tr w:rsidR="0075370E" w:rsidRPr="0035646D" w:rsidTr="005A2AE5">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66" w:type="dxa"/>
            <w:hideMark/>
          </w:tcPr>
          <w:p w:rsidR="0075370E" w:rsidRPr="00F17F59" w:rsidRDefault="0075370E" w:rsidP="005A2AE5">
            <w:pPr>
              <w:pStyle w:val="AERtabletextleft"/>
            </w:pPr>
            <w:r w:rsidRPr="00896D81">
              <w:t>Details</w:t>
            </w:r>
          </w:p>
        </w:tc>
        <w:tc>
          <w:tcPr>
            <w:tcW w:w="1322" w:type="dxa"/>
            <w:hideMark/>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896D81">
              <w:t>2010-11</w:t>
            </w:r>
          </w:p>
        </w:tc>
        <w:tc>
          <w:tcPr>
            <w:tcW w:w="1323" w:type="dxa"/>
            <w:hideMark/>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896D81">
              <w:t>2011-12</w:t>
            </w:r>
          </w:p>
        </w:tc>
        <w:tc>
          <w:tcPr>
            <w:tcW w:w="1323" w:type="dxa"/>
            <w:hideMark/>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896D81">
              <w:t>2012-13</w:t>
            </w:r>
          </w:p>
        </w:tc>
        <w:tc>
          <w:tcPr>
            <w:tcW w:w="1323" w:type="dxa"/>
            <w:hideMark/>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896D81">
              <w:t>2013-14</w:t>
            </w:r>
          </w:p>
        </w:tc>
        <w:tc>
          <w:tcPr>
            <w:tcW w:w="1323" w:type="dxa"/>
            <w:hideMark/>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896D81">
              <w:t>2014-15</w:t>
            </w:r>
          </w:p>
        </w:tc>
      </w:tr>
      <w:tr w:rsidR="00644ABD" w:rsidRPr="0035646D" w:rsidTr="00644ABD">
        <w:trPr>
          <w:trHeight w:val="240"/>
        </w:trPr>
        <w:tc>
          <w:tcPr>
            <w:cnfStyle w:val="001000000000" w:firstRow="0" w:lastRow="0" w:firstColumn="1" w:lastColumn="0" w:oddVBand="0" w:evenVBand="0" w:oddHBand="0" w:evenHBand="0" w:firstRowFirstColumn="0" w:firstRowLastColumn="0" w:lastRowFirstColumn="0" w:lastRowLastColumn="0"/>
            <w:tcW w:w="2566" w:type="dxa"/>
            <w:hideMark/>
          </w:tcPr>
          <w:p w:rsidR="00644ABD" w:rsidRPr="00644ABD" w:rsidRDefault="00644ABD" w:rsidP="00644ABD">
            <w:pPr>
              <w:pStyle w:val="AERtabletextleft"/>
            </w:pPr>
            <w:r w:rsidRPr="00644ABD">
              <w:t>Opening tax asset base</w:t>
            </w:r>
          </w:p>
        </w:tc>
        <w:tc>
          <w:tcPr>
            <w:tcW w:w="1322" w:type="dxa"/>
            <w:hideMark/>
          </w:tcPr>
          <w:p w:rsidR="00644ABD" w:rsidRPr="00644ABD" w:rsidRDefault="00644ABD" w:rsidP="00644ABD">
            <w:pPr>
              <w:pStyle w:val="AERtabletextleft"/>
              <w:cnfStyle w:val="000000000000" w:firstRow="0" w:lastRow="0" w:firstColumn="0" w:lastColumn="0" w:oddVBand="0" w:evenVBand="0" w:oddHBand="0" w:evenHBand="0" w:firstRowFirstColumn="0" w:firstRowLastColumn="0" w:lastRowFirstColumn="0" w:lastRowLastColumn="0"/>
            </w:pPr>
            <w:r w:rsidRPr="00644ABD">
              <w:t>600.1</w:t>
            </w:r>
          </w:p>
        </w:tc>
        <w:tc>
          <w:tcPr>
            <w:tcW w:w="1323" w:type="dxa"/>
            <w:hideMark/>
          </w:tcPr>
          <w:p w:rsidR="00644ABD" w:rsidRPr="00644ABD" w:rsidRDefault="00644ABD" w:rsidP="00644ABD">
            <w:pPr>
              <w:pStyle w:val="AERtabletextleft"/>
              <w:cnfStyle w:val="000000000000" w:firstRow="0" w:lastRow="0" w:firstColumn="0" w:lastColumn="0" w:oddVBand="0" w:evenVBand="0" w:oddHBand="0" w:evenHBand="0" w:firstRowFirstColumn="0" w:firstRowLastColumn="0" w:lastRowFirstColumn="0" w:lastRowLastColumn="0"/>
            </w:pPr>
            <w:r w:rsidRPr="00644ABD">
              <w:t>679.3</w:t>
            </w:r>
          </w:p>
        </w:tc>
        <w:tc>
          <w:tcPr>
            <w:tcW w:w="1323" w:type="dxa"/>
            <w:hideMark/>
          </w:tcPr>
          <w:p w:rsidR="00644ABD" w:rsidRPr="00644ABD" w:rsidRDefault="00644ABD" w:rsidP="00644ABD">
            <w:pPr>
              <w:pStyle w:val="AERtabletextleft"/>
              <w:cnfStyle w:val="000000000000" w:firstRow="0" w:lastRow="0" w:firstColumn="0" w:lastColumn="0" w:oddVBand="0" w:evenVBand="0" w:oddHBand="0" w:evenHBand="0" w:firstRowFirstColumn="0" w:firstRowLastColumn="0" w:lastRowFirstColumn="0" w:lastRowLastColumn="0"/>
            </w:pPr>
            <w:r w:rsidRPr="00644ABD">
              <w:t>753.5</w:t>
            </w:r>
          </w:p>
        </w:tc>
        <w:tc>
          <w:tcPr>
            <w:tcW w:w="1323" w:type="dxa"/>
            <w:hideMark/>
          </w:tcPr>
          <w:p w:rsidR="00644ABD" w:rsidRPr="00644ABD" w:rsidRDefault="00644ABD" w:rsidP="00644ABD">
            <w:pPr>
              <w:pStyle w:val="AERtabletextleft"/>
              <w:cnfStyle w:val="000000000000" w:firstRow="0" w:lastRow="0" w:firstColumn="0" w:lastColumn="0" w:oddVBand="0" w:evenVBand="0" w:oddHBand="0" w:evenHBand="0" w:firstRowFirstColumn="0" w:firstRowLastColumn="0" w:lastRowFirstColumn="0" w:lastRowLastColumn="0"/>
            </w:pPr>
            <w:r w:rsidRPr="00644ABD">
              <w:t>786.7</w:t>
            </w:r>
          </w:p>
        </w:tc>
        <w:tc>
          <w:tcPr>
            <w:tcW w:w="1323" w:type="dxa"/>
            <w:hideMark/>
          </w:tcPr>
          <w:p w:rsidR="00644ABD" w:rsidRPr="00644ABD" w:rsidRDefault="00644ABD" w:rsidP="00644ABD">
            <w:pPr>
              <w:pStyle w:val="AERtabletextleft"/>
              <w:cnfStyle w:val="000000000000" w:firstRow="0" w:lastRow="0" w:firstColumn="0" w:lastColumn="0" w:oddVBand="0" w:evenVBand="0" w:oddHBand="0" w:evenHBand="0" w:firstRowFirstColumn="0" w:firstRowLastColumn="0" w:lastRowFirstColumn="0" w:lastRowLastColumn="0"/>
            </w:pPr>
            <w:r w:rsidRPr="00644ABD">
              <w:t>867.6</w:t>
            </w:r>
          </w:p>
        </w:tc>
      </w:tr>
      <w:tr w:rsidR="00644ABD" w:rsidRPr="0035646D" w:rsidTr="00644ABD">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66" w:type="dxa"/>
            <w:hideMark/>
          </w:tcPr>
          <w:p w:rsidR="00644ABD" w:rsidRPr="00644ABD" w:rsidRDefault="00644ABD" w:rsidP="00644ABD">
            <w:pPr>
              <w:pStyle w:val="AERtabletextleft"/>
            </w:pPr>
            <w:r w:rsidRPr="00644ABD">
              <w:t xml:space="preserve"> Capex</w:t>
            </w:r>
          </w:p>
        </w:tc>
        <w:tc>
          <w:tcPr>
            <w:tcW w:w="1322" w:type="dxa"/>
            <w:hideMark/>
          </w:tcPr>
          <w:p w:rsidR="00644ABD" w:rsidRPr="00644ABD" w:rsidRDefault="00644ABD" w:rsidP="00644ABD">
            <w:pPr>
              <w:pStyle w:val="AERtabletextleft"/>
              <w:cnfStyle w:val="000000010000" w:firstRow="0" w:lastRow="0" w:firstColumn="0" w:lastColumn="0" w:oddVBand="0" w:evenVBand="0" w:oddHBand="0" w:evenHBand="1" w:firstRowFirstColumn="0" w:firstRowLastColumn="0" w:lastRowFirstColumn="0" w:lastRowLastColumn="0"/>
            </w:pPr>
            <w:r w:rsidRPr="00644ABD">
              <w:t>159.9</w:t>
            </w:r>
          </w:p>
        </w:tc>
        <w:tc>
          <w:tcPr>
            <w:tcW w:w="1323" w:type="dxa"/>
            <w:hideMark/>
          </w:tcPr>
          <w:p w:rsidR="00644ABD" w:rsidRPr="00644ABD" w:rsidRDefault="00644ABD" w:rsidP="00644ABD">
            <w:pPr>
              <w:pStyle w:val="AERtabletextleft"/>
              <w:cnfStyle w:val="000000010000" w:firstRow="0" w:lastRow="0" w:firstColumn="0" w:lastColumn="0" w:oddVBand="0" w:evenVBand="0" w:oddHBand="0" w:evenHBand="1" w:firstRowFirstColumn="0" w:firstRowLastColumn="0" w:lastRowFirstColumn="0" w:lastRowLastColumn="0"/>
            </w:pPr>
            <w:r w:rsidRPr="00644ABD">
              <w:t>169.3</w:t>
            </w:r>
          </w:p>
        </w:tc>
        <w:tc>
          <w:tcPr>
            <w:tcW w:w="1323" w:type="dxa"/>
            <w:hideMark/>
          </w:tcPr>
          <w:p w:rsidR="00644ABD" w:rsidRPr="00644ABD" w:rsidRDefault="00644ABD" w:rsidP="00644ABD">
            <w:pPr>
              <w:pStyle w:val="AERtabletextleft"/>
              <w:cnfStyle w:val="000000010000" w:firstRow="0" w:lastRow="0" w:firstColumn="0" w:lastColumn="0" w:oddVBand="0" w:evenVBand="0" w:oddHBand="0" w:evenHBand="1" w:firstRowFirstColumn="0" w:firstRowLastColumn="0" w:lastRowFirstColumn="0" w:lastRowLastColumn="0"/>
            </w:pPr>
            <w:r w:rsidRPr="00644ABD">
              <w:t>132.2</w:t>
            </w:r>
          </w:p>
        </w:tc>
        <w:tc>
          <w:tcPr>
            <w:tcW w:w="1323" w:type="dxa"/>
            <w:hideMark/>
          </w:tcPr>
          <w:p w:rsidR="00644ABD" w:rsidRPr="00644ABD" w:rsidRDefault="00644ABD" w:rsidP="00644ABD">
            <w:pPr>
              <w:pStyle w:val="AERtabletextleft"/>
              <w:cnfStyle w:val="000000010000" w:firstRow="0" w:lastRow="0" w:firstColumn="0" w:lastColumn="0" w:oddVBand="0" w:evenVBand="0" w:oddHBand="0" w:evenHBand="1" w:firstRowFirstColumn="0" w:firstRowLastColumn="0" w:lastRowFirstColumn="0" w:lastRowLastColumn="0"/>
            </w:pPr>
            <w:r w:rsidRPr="00644ABD">
              <w:t>182.7</w:t>
            </w:r>
          </w:p>
        </w:tc>
        <w:tc>
          <w:tcPr>
            <w:tcW w:w="1323" w:type="dxa"/>
            <w:hideMark/>
          </w:tcPr>
          <w:p w:rsidR="00644ABD" w:rsidRPr="00644ABD" w:rsidRDefault="00644ABD" w:rsidP="00644ABD">
            <w:pPr>
              <w:pStyle w:val="AERtabletextleft"/>
              <w:cnfStyle w:val="000000010000" w:firstRow="0" w:lastRow="0" w:firstColumn="0" w:lastColumn="0" w:oddVBand="0" w:evenVBand="0" w:oddHBand="0" w:evenHBand="1" w:firstRowFirstColumn="0" w:firstRowLastColumn="0" w:lastRowFirstColumn="0" w:lastRowLastColumn="0"/>
            </w:pPr>
            <w:r w:rsidRPr="00644ABD">
              <w:t>245.1</w:t>
            </w:r>
          </w:p>
        </w:tc>
      </w:tr>
      <w:tr w:rsidR="00644ABD" w:rsidRPr="0035646D" w:rsidTr="00644ABD">
        <w:trPr>
          <w:trHeight w:val="240"/>
        </w:trPr>
        <w:tc>
          <w:tcPr>
            <w:cnfStyle w:val="001000000000" w:firstRow="0" w:lastRow="0" w:firstColumn="1" w:lastColumn="0" w:oddVBand="0" w:evenVBand="0" w:oddHBand="0" w:evenHBand="0" w:firstRowFirstColumn="0" w:firstRowLastColumn="0" w:lastRowFirstColumn="0" w:lastRowLastColumn="0"/>
            <w:tcW w:w="2566" w:type="dxa"/>
            <w:hideMark/>
          </w:tcPr>
          <w:p w:rsidR="00644ABD" w:rsidRPr="00644ABD" w:rsidRDefault="00644ABD" w:rsidP="00644ABD">
            <w:pPr>
              <w:pStyle w:val="AERtabletextleft"/>
            </w:pPr>
            <w:r w:rsidRPr="00644ABD">
              <w:t>Tax depreciation</w:t>
            </w:r>
          </w:p>
        </w:tc>
        <w:tc>
          <w:tcPr>
            <w:tcW w:w="1322" w:type="dxa"/>
            <w:hideMark/>
          </w:tcPr>
          <w:p w:rsidR="00644ABD" w:rsidRPr="00644ABD" w:rsidRDefault="009531D2" w:rsidP="00644ABD">
            <w:pPr>
              <w:pStyle w:val="AERtabletextleft"/>
              <w:cnfStyle w:val="000000000000" w:firstRow="0" w:lastRow="0" w:firstColumn="0" w:lastColumn="0" w:oddVBand="0" w:evenVBand="0" w:oddHBand="0" w:evenHBand="0" w:firstRowFirstColumn="0" w:firstRowLastColumn="0" w:lastRowFirstColumn="0" w:lastRowLastColumn="0"/>
            </w:pPr>
            <w:r>
              <w:t>–</w:t>
            </w:r>
            <w:r w:rsidR="00644ABD" w:rsidRPr="00644ABD">
              <w:t>80.6</w:t>
            </w:r>
          </w:p>
        </w:tc>
        <w:tc>
          <w:tcPr>
            <w:tcW w:w="1323" w:type="dxa"/>
            <w:hideMark/>
          </w:tcPr>
          <w:p w:rsidR="00644ABD" w:rsidRPr="00644ABD" w:rsidRDefault="009531D2" w:rsidP="00644ABD">
            <w:pPr>
              <w:pStyle w:val="AERtabletextleft"/>
              <w:cnfStyle w:val="000000000000" w:firstRow="0" w:lastRow="0" w:firstColumn="0" w:lastColumn="0" w:oddVBand="0" w:evenVBand="0" w:oddHBand="0" w:evenHBand="0" w:firstRowFirstColumn="0" w:firstRowLastColumn="0" w:lastRowFirstColumn="0" w:lastRowLastColumn="0"/>
            </w:pPr>
            <w:r>
              <w:t>–</w:t>
            </w:r>
            <w:r w:rsidR="00644ABD" w:rsidRPr="00644ABD">
              <w:t>95.1</w:t>
            </w:r>
          </w:p>
        </w:tc>
        <w:tc>
          <w:tcPr>
            <w:tcW w:w="1323" w:type="dxa"/>
            <w:hideMark/>
          </w:tcPr>
          <w:p w:rsidR="00644ABD" w:rsidRPr="00644ABD" w:rsidRDefault="009531D2" w:rsidP="00644ABD">
            <w:pPr>
              <w:pStyle w:val="AERtabletextleft"/>
              <w:cnfStyle w:val="000000000000" w:firstRow="0" w:lastRow="0" w:firstColumn="0" w:lastColumn="0" w:oddVBand="0" w:evenVBand="0" w:oddHBand="0" w:evenHBand="0" w:firstRowFirstColumn="0" w:firstRowLastColumn="0" w:lastRowFirstColumn="0" w:lastRowLastColumn="0"/>
            </w:pPr>
            <w:r>
              <w:t>–</w:t>
            </w:r>
            <w:r w:rsidR="00644ABD" w:rsidRPr="00644ABD">
              <w:t>99.1</w:t>
            </w:r>
          </w:p>
        </w:tc>
        <w:tc>
          <w:tcPr>
            <w:tcW w:w="1323" w:type="dxa"/>
            <w:hideMark/>
          </w:tcPr>
          <w:p w:rsidR="00644ABD" w:rsidRPr="00644ABD" w:rsidRDefault="009531D2" w:rsidP="00644ABD">
            <w:pPr>
              <w:pStyle w:val="AERtabletextleft"/>
              <w:cnfStyle w:val="000000000000" w:firstRow="0" w:lastRow="0" w:firstColumn="0" w:lastColumn="0" w:oddVBand="0" w:evenVBand="0" w:oddHBand="0" w:evenHBand="0" w:firstRowFirstColumn="0" w:firstRowLastColumn="0" w:lastRowFirstColumn="0" w:lastRowLastColumn="0"/>
            </w:pPr>
            <w:r>
              <w:t>–</w:t>
            </w:r>
            <w:r w:rsidR="00644ABD" w:rsidRPr="00644ABD">
              <w:t>101.8</w:t>
            </w:r>
          </w:p>
        </w:tc>
        <w:tc>
          <w:tcPr>
            <w:tcW w:w="1323" w:type="dxa"/>
            <w:hideMark/>
          </w:tcPr>
          <w:p w:rsidR="00644ABD" w:rsidRPr="00644ABD" w:rsidRDefault="009531D2" w:rsidP="00644ABD">
            <w:pPr>
              <w:pStyle w:val="AERtabletextleft"/>
              <w:cnfStyle w:val="000000000000" w:firstRow="0" w:lastRow="0" w:firstColumn="0" w:lastColumn="0" w:oddVBand="0" w:evenVBand="0" w:oddHBand="0" w:evenHBand="0" w:firstRowFirstColumn="0" w:firstRowLastColumn="0" w:lastRowFirstColumn="0" w:lastRowLastColumn="0"/>
            </w:pPr>
            <w:r>
              <w:t>–</w:t>
            </w:r>
            <w:r w:rsidR="00644ABD" w:rsidRPr="00644ABD">
              <w:t>116.2</w:t>
            </w:r>
          </w:p>
        </w:tc>
      </w:tr>
      <w:tr w:rsidR="00644ABD" w:rsidRPr="0035646D" w:rsidTr="00644ABD">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66" w:type="dxa"/>
            <w:hideMark/>
          </w:tcPr>
          <w:p w:rsidR="00644ABD" w:rsidRPr="00644ABD" w:rsidRDefault="00644ABD" w:rsidP="00644ABD">
            <w:pPr>
              <w:pStyle w:val="AERtabletextleft"/>
            </w:pPr>
            <w:r w:rsidRPr="00644ABD">
              <w:t>Closing tax asset base</w:t>
            </w:r>
          </w:p>
        </w:tc>
        <w:tc>
          <w:tcPr>
            <w:tcW w:w="1322" w:type="dxa"/>
            <w:hideMark/>
          </w:tcPr>
          <w:p w:rsidR="00644ABD" w:rsidRPr="00644ABD" w:rsidRDefault="00644ABD" w:rsidP="00644ABD">
            <w:pPr>
              <w:pStyle w:val="AERtabletextleft"/>
              <w:cnfStyle w:val="000000010000" w:firstRow="0" w:lastRow="0" w:firstColumn="0" w:lastColumn="0" w:oddVBand="0" w:evenVBand="0" w:oddHBand="0" w:evenHBand="1" w:firstRowFirstColumn="0" w:firstRowLastColumn="0" w:lastRowFirstColumn="0" w:lastRowLastColumn="0"/>
            </w:pPr>
            <w:r w:rsidRPr="00644ABD">
              <w:t>679.3</w:t>
            </w:r>
          </w:p>
        </w:tc>
        <w:tc>
          <w:tcPr>
            <w:tcW w:w="1323" w:type="dxa"/>
            <w:hideMark/>
          </w:tcPr>
          <w:p w:rsidR="00644ABD" w:rsidRPr="00644ABD" w:rsidRDefault="00644ABD" w:rsidP="00644ABD">
            <w:pPr>
              <w:pStyle w:val="AERtabletextleft"/>
              <w:cnfStyle w:val="000000010000" w:firstRow="0" w:lastRow="0" w:firstColumn="0" w:lastColumn="0" w:oddVBand="0" w:evenVBand="0" w:oddHBand="0" w:evenHBand="1" w:firstRowFirstColumn="0" w:firstRowLastColumn="0" w:lastRowFirstColumn="0" w:lastRowLastColumn="0"/>
            </w:pPr>
            <w:r w:rsidRPr="00644ABD">
              <w:t>753.5</w:t>
            </w:r>
          </w:p>
        </w:tc>
        <w:tc>
          <w:tcPr>
            <w:tcW w:w="1323" w:type="dxa"/>
            <w:hideMark/>
          </w:tcPr>
          <w:p w:rsidR="00644ABD" w:rsidRPr="00644ABD" w:rsidRDefault="00644ABD" w:rsidP="00644ABD">
            <w:pPr>
              <w:pStyle w:val="AERtabletextleft"/>
              <w:cnfStyle w:val="000000010000" w:firstRow="0" w:lastRow="0" w:firstColumn="0" w:lastColumn="0" w:oddVBand="0" w:evenVBand="0" w:oddHBand="0" w:evenHBand="1" w:firstRowFirstColumn="0" w:firstRowLastColumn="0" w:lastRowFirstColumn="0" w:lastRowLastColumn="0"/>
            </w:pPr>
            <w:r w:rsidRPr="00644ABD">
              <w:t>786.7</w:t>
            </w:r>
          </w:p>
        </w:tc>
        <w:tc>
          <w:tcPr>
            <w:tcW w:w="1323" w:type="dxa"/>
            <w:hideMark/>
          </w:tcPr>
          <w:p w:rsidR="00644ABD" w:rsidRPr="00644ABD" w:rsidRDefault="00644ABD" w:rsidP="00644ABD">
            <w:pPr>
              <w:pStyle w:val="AERtabletextleft"/>
              <w:cnfStyle w:val="000000010000" w:firstRow="0" w:lastRow="0" w:firstColumn="0" w:lastColumn="0" w:oddVBand="0" w:evenVBand="0" w:oddHBand="0" w:evenHBand="1" w:firstRowFirstColumn="0" w:firstRowLastColumn="0" w:lastRowFirstColumn="0" w:lastRowLastColumn="0"/>
            </w:pPr>
            <w:r w:rsidRPr="00644ABD">
              <w:t>867.6</w:t>
            </w:r>
          </w:p>
        </w:tc>
        <w:tc>
          <w:tcPr>
            <w:tcW w:w="1323" w:type="dxa"/>
            <w:hideMark/>
          </w:tcPr>
          <w:p w:rsidR="00644ABD" w:rsidRPr="00644ABD" w:rsidRDefault="00644ABD" w:rsidP="00644ABD">
            <w:pPr>
              <w:pStyle w:val="AERtabletextleft"/>
              <w:cnfStyle w:val="000000010000" w:firstRow="0" w:lastRow="0" w:firstColumn="0" w:lastColumn="0" w:oddVBand="0" w:evenVBand="0" w:oddHBand="0" w:evenHBand="1" w:firstRowFirstColumn="0" w:firstRowLastColumn="0" w:lastRowFirstColumn="0" w:lastRowLastColumn="0"/>
            </w:pPr>
            <w:r w:rsidRPr="00644ABD">
              <w:t>996.5</w:t>
            </w:r>
          </w:p>
        </w:tc>
      </w:tr>
    </w:tbl>
    <w:p w:rsidR="0075370E" w:rsidRPr="00F17F59" w:rsidRDefault="0075370E" w:rsidP="0075370E">
      <w:pPr>
        <w:pStyle w:val="AERtablesource"/>
        <w:rPr>
          <w:rFonts w:eastAsia="Calibri"/>
        </w:rPr>
      </w:pPr>
      <w:r w:rsidRPr="00896D81">
        <w:t xml:space="preserve">Source: </w:t>
      </w:r>
      <w:r w:rsidRPr="00896D81">
        <w:tab/>
        <w:t xml:space="preserve">JGN, </w:t>
      </w:r>
      <w:r w:rsidRPr="00896D81">
        <w:rPr>
          <w:rStyle w:val="AERtextitalic"/>
        </w:rPr>
        <w:t>Access arrangement information</w:t>
      </w:r>
      <w:r w:rsidRPr="00896D81">
        <w:t>, June 2014, Table 10-1, p. 101.</w:t>
      </w:r>
      <w:r w:rsidRPr="00F17F59">
        <w:rPr>
          <w:rFonts w:eastAsia="Calibri"/>
        </w:rPr>
        <w:t xml:space="preserve"> </w:t>
      </w:r>
    </w:p>
    <w:p w:rsidR="0075370E" w:rsidRPr="00896D81" w:rsidRDefault="0075370E" w:rsidP="0075370E">
      <w:pPr>
        <w:pStyle w:val="AERtablesource"/>
      </w:pPr>
      <w:r w:rsidRPr="00F17F59">
        <w:rPr>
          <w:rFonts w:eastAsia="Calibri"/>
        </w:rPr>
        <w:tab/>
      </w:r>
      <w:r w:rsidRPr="00896D81">
        <w:t>AER analysis.</w:t>
      </w:r>
    </w:p>
    <w:p w:rsidR="0075370E" w:rsidRDefault="0075370E" w:rsidP="0075370E">
      <w:pPr>
        <w:pStyle w:val="AERbodytext"/>
      </w:pPr>
      <w:r w:rsidRPr="00D940F4">
        <w:t xml:space="preserve">We </w:t>
      </w:r>
      <w:r>
        <w:t>assessed the</w:t>
      </w:r>
      <w:r w:rsidRPr="00D940F4">
        <w:t xml:space="preserve"> inputs </w:t>
      </w:r>
      <w:r w:rsidRPr="00896D81">
        <w:t xml:space="preserve">JGN </w:t>
      </w:r>
      <w:r>
        <w:t xml:space="preserve">used to </w:t>
      </w:r>
      <w:r w:rsidRPr="00896D81">
        <w:t>roll forward the TAB over</w:t>
      </w:r>
      <w:r>
        <w:t xml:space="preserve"> the 2010–15 access arrangement. This includes </w:t>
      </w:r>
      <w:r w:rsidRPr="00896D81">
        <w:t>actual capex and depreciat</w:t>
      </w:r>
      <w:r>
        <w:t xml:space="preserve">ion data for 2010–11 to 2012–13, </w:t>
      </w:r>
      <w:r w:rsidRPr="00896D81">
        <w:t>and forecas</w:t>
      </w:r>
      <w:r>
        <w:t>t data for 2013–14 and 2014–15.</w:t>
      </w:r>
      <w:r w:rsidR="00644ABD">
        <w:t xml:space="preserve"> Subsequent to lodging its proposal, JGN provided a minor update which reduced forecast 2014–15 capex by $0.2 million.</w:t>
      </w:r>
      <w:r w:rsidR="00644ABD">
        <w:rPr>
          <w:rStyle w:val="FootnoteReference"/>
        </w:rPr>
        <w:footnoteReference w:id="13"/>
      </w:r>
      <w:r>
        <w:t xml:space="preserve"> </w:t>
      </w:r>
    </w:p>
    <w:p w:rsidR="0075370E" w:rsidRPr="002616BC" w:rsidRDefault="009531D2" w:rsidP="0075370E">
      <w:pPr>
        <w:pStyle w:val="AERbodytext"/>
      </w:pPr>
      <w:r>
        <w:t>After incorporating this minor update, w</w:t>
      </w:r>
      <w:r w:rsidR="0075370E" w:rsidRPr="002616BC">
        <w:t>e are satisfied the capex over the 2010–15 access arrangement period reflect</w:t>
      </w:r>
      <w:r>
        <w:t>s</w:t>
      </w:r>
      <w:r w:rsidR="0075370E" w:rsidRPr="002616BC">
        <w:t xml:space="preserve"> the requirements of rule 79 of the NGR. Our detailed assessment of this conforming capex is set out in </w:t>
      </w:r>
      <w:r w:rsidR="0075370E" w:rsidRPr="002616BC">
        <w:rPr>
          <w:rStyle w:val="AERtexthighlight"/>
          <w:shd w:val="clear" w:color="auto" w:fill="auto"/>
        </w:rPr>
        <w:t>attachment 6</w:t>
      </w:r>
      <w:r w:rsidR="0075370E" w:rsidRPr="002616BC">
        <w:t xml:space="preserve">. We note that the capex </w:t>
      </w:r>
      <w:r>
        <w:t xml:space="preserve">determined </w:t>
      </w:r>
      <w:r w:rsidR="0075370E" w:rsidRPr="002616BC">
        <w:t>in this draft decision for 2013–14 and 2014–15 are estimates. As part of the final decision, we expect the estimate of capex for 2013–14 to be replaced by actuals. We also expect the estimate of capex for 2014–15 to be revised based on more up to date information and that JGN would provide this revision in its revised proposal.</w:t>
      </w:r>
    </w:p>
    <w:p w:rsidR="0075370E" w:rsidRPr="002616BC" w:rsidRDefault="0075370E" w:rsidP="0075370E">
      <w:pPr>
        <w:pStyle w:val="AERbodytext"/>
      </w:pPr>
      <w:r w:rsidRPr="002616BC">
        <w:t xml:space="preserve">We are satisfied </w:t>
      </w:r>
      <w:r w:rsidR="00644ABD">
        <w:t xml:space="preserve">the </w:t>
      </w:r>
      <w:r w:rsidRPr="002616BC">
        <w:t xml:space="preserve">tax depreciation values </w:t>
      </w:r>
      <w:r w:rsidR="00644ABD">
        <w:t xml:space="preserve">we have determined </w:t>
      </w:r>
      <w:r w:rsidRPr="002616BC">
        <w:t>over the 2010–15 access arrangement period are appropriate for the purposes of the TAB roll forward over that period. This is because the tax depreciation values were calculated using the same approach and tax depreciation rates as approved for the 2010–15 access arrangement.</w:t>
      </w:r>
      <w:r w:rsidRPr="009531D2">
        <w:rPr>
          <w:rStyle w:val="AERsuperscript"/>
        </w:rPr>
        <w:footnoteReference w:id="14"/>
      </w:r>
      <w:r w:rsidRPr="002616BC">
        <w:t xml:space="preserve"> We are also satisfied with the inputs for calculating the tax depreciation, such as gross capex </w:t>
      </w:r>
      <w:r w:rsidR="009531D2">
        <w:t xml:space="preserve">(as updated) </w:t>
      </w:r>
      <w:r w:rsidRPr="002616BC">
        <w:t xml:space="preserve">and disposals. Our detailed assessment of these inputs is set out in </w:t>
      </w:r>
      <w:r w:rsidRPr="002616BC">
        <w:rPr>
          <w:rStyle w:val="AERtexthighlight"/>
          <w:shd w:val="clear" w:color="auto" w:fill="auto"/>
        </w:rPr>
        <w:t>attachment 6</w:t>
      </w:r>
      <w:r w:rsidRPr="002616BC">
        <w:t xml:space="preserve">.   </w:t>
      </w:r>
    </w:p>
    <w:p w:rsidR="0075370E" w:rsidRPr="00407443" w:rsidRDefault="0075370E" w:rsidP="0075370E">
      <w:pPr>
        <w:pStyle w:val="Heading3"/>
      </w:pPr>
      <w:bookmarkStart w:id="30" w:name="_Toc403463359"/>
      <w:bookmarkStart w:id="31" w:name="_Toc404182767"/>
      <w:r w:rsidRPr="00407443">
        <w:t>Tax depreciation method</w:t>
      </w:r>
      <w:bookmarkEnd w:id="30"/>
      <w:bookmarkEnd w:id="31"/>
    </w:p>
    <w:p w:rsidR="0075370E" w:rsidRDefault="0075370E" w:rsidP="0075370E">
      <w:pPr>
        <w:pStyle w:val="AERbodytext"/>
      </w:pPr>
      <w:r w:rsidRPr="00751B75">
        <w:t>We accept JGN's proposal to use the diminishing value method for estimating tax depreciation. This method is consistent with th</w:t>
      </w:r>
      <w:r>
        <w:t>at approved for th</w:t>
      </w:r>
      <w:r w:rsidRPr="00751B75">
        <w:t>e 20</w:t>
      </w:r>
      <w:r>
        <w:t>10–15 access arrangement period.</w:t>
      </w:r>
      <w:r w:rsidRPr="00751B75">
        <w:rPr>
          <w:rStyle w:val="FootnoteReference"/>
        </w:rPr>
        <w:footnoteReference w:id="15"/>
      </w:r>
      <w:r w:rsidRPr="00751B75">
        <w:t xml:space="preserve"> </w:t>
      </w:r>
    </w:p>
    <w:p w:rsidR="0075370E" w:rsidRDefault="0075370E" w:rsidP="0075370E">
      <w:pPr>
        <w:pStyle w:val="AERbodytext"/>
      </w:pPr>
      <w:r w:rsidRPr="00407443">
        <w:t>We assessed JGN's proposed diminishing value rates for tax de</w:t>
      </w:r>
      <w:r>
        <w:t xml:space="preserve">preciation for each asset class, which are the </w:t>
      </w:r>
      <w:r w:rsidRPr="002616BC">
        <w:t xml:space="preserve">same as those approved for the 2010–15 access arrangement period. We have also compared the rates, where appropriate, against those prescribed by the Commissioner for taxation in tax ruling </w:t>
      </w:r>
      <w:r w:rsidRPr="002616BC">
        <w:rPr>
          <w:rStyle w:val="AERtexthighlight"/>
          <w:shd w:val="clear" w:color="auto" w:fill="auto"/>
        </w:rPr>
        <w:t>2014/4</w:t>
      </w:r>
      <w:r w:rsidRPr="002616BC">
        <w:t>.</w:t>
      </w:r>
      <w:r w:rsidRPr="001C31C1">
        <w:rPr>
          <w:rStyle w:val="FootnoteReference"/>
        </w:rPr>
        <w:footnoteReference w:id="16"/>
      </w:r>
      <w:r w:rsidRPr="001C31C1">
        <w:t xml:space="preserve"> </w:t>
      </w:r>
      <w:r w:rsidRPr="00407443">
        <w:t>We are satisfied that the pro</w:t>
      </w:r>
      <w:r>
        <w:t xml:space="preserve">posed tax depreciation rates </w:t>
      </w:r>
      <w:r w:rsidRPr="00407443">
        <w:t>remain appropriate for applying over the 2015–20</w:t>
      </w:r>
      <w:r>
        <w:t xml:space="preserve"> </w:t>
      </w:r>
      <w:r w:rsidRPr="00407443">
        <w:t xml:space="preserve">access arrangement period. </w:t>
      </w:r>
    </w:p>
    <w:p w:rsidR="0075370E" w:rsidRPr="00407443" w:rsidRDefault="0075370E" w:rsidP="0075370E">
      <w:pPr>
        <w:pStyle w:val="AERbodytext"/>
      </w:pPr>
      <w:r>
        <w:lastRenderedPageBreak/>
        <w:t>W</w:t>
      </w:r>
      <w:r w:rsidRPr="008D0B55">
        <w:t xml:space="preserve">e note that JGN </w:t>
      </w:r>
      <w:r>
        <w:t>did not propose any forecast equity raising cost</w:t>
      </w:r>
      <w:r w:rsidR="009531D2">
        <w:t>s</w:t>
      </w:r>
      <w:r>
        <w:t xml:space="preserve"> in the 2015–20 access arrangement period. For this reason, the diminishing value rate for this asset class is only used to calculate tax depreciation on equity r</w:t>
      </w:r>
      <w:r w:rsidR="009531D2">
        <w:t>a</w:t>
      </w:r>
      <w:r>
        <w:t>ising cost</w:t>
      </w:r>
      <w:r w:rsidR="009531D2">
        <w:t>s</w:t>
      </w:r>
      <w:r>
        <w:t xml:space="preserve"> as at 1 July 2015, which was added to the TAB in the </w:t>
      </w:r>
      <w:r w:rsidRPr="00815EC3">
        <w:t>201</w:t>
      </w:r>
      <w:r>
        <w:t>0</w:t>
      </w:r>
      <w:r w:rsidRPr="00815EC3">
        <w:t>–</w:t>
      </w:r>
      <w:r>
        <w:t>15</w:t>
      </w:r>
      <w:r w:rsidRPr="00815EC3">
        <w:t xml:space="preserve"> access arrangement period</w:t>
      </w:r>
      <w:r>
        <w:t xml:space="preserve">. </w:t>
      </w:r>
    </w:p>
    <w:p w:rsidR="0075370E" w:rsidRPr="00407443" w:rsidRDefault="0075370E" w:rsidP="0075370E">
      <w:pPr>
        <w:pStyle w:val="AERbodytext"/>
      </w:pPr>
      <w:r>
        <w:fldChar w:fldCharType="begin"/>
      </w:r>
      <w:r>
        <w:instrText xml:space="preserve"> REF _Ref398907677 \h </w:instrText>
      </w:r>
      <w:r>
        <w:fldChar w:fldCharType="separate"/>
      </w:r>
      <w:r w:rsidR="004478BF" w:rsidRPr="00407443">
        <w:t xml:space="preserve">Table </w:t>
      </w:r>
      <w:r w:rsidR="004478BF">
        <w:rPr>
          <w:noProof/>
        </w:rPr>
        <w:t>8</w:t>
      </w:r>
      <w:r w:rsidR="004478BF" w:rsidRPr="00407443">
        <w:noBreakHyphen/>
      </w:r>
      <w:r w:rsidR="004478BF">
        <w:rPr>
          <w:noProof/>
        </w:rPr>
        <w:t>5</w:t>
      </w:r>
      <w:r>
        <w:fldChar w:fldCharType="end"/>
      </w:r>
      <w:r>
        <w:t xml:space="preserve"> </w:t>
      </w:r>
      <w:r w:rsidRPr="00407443">
        <w:t xml:space="preserve">sets out our draft decision on JGN's diminishing value rates for tax depreciation over the 2015–20 access arrangement period. </w:t>
      </w:r>
    </w:p>
    <w:p w:rsidR="0075370E" w:rsidRDefault="0075370E" w:rsidP="0075370E">
      <w:pPr>
        <w:pStyle w:val="Caption"/>
      </w:pPr>
      <w:bookmarkStart w:id="32" w:name="_Ref398907677"/>
      <w:r w:rsidRPr="00407443">
        <w:t xml:space="preserve">Table </w:t>
      </w:r>
      <w:r w:rsidRPr="00F17F59">
        <w:fldChar w:fldCharType="begin"/>
      </w:r>
      <w:r>
        <w:instrText xml:space="preserve"> STYLEREF 1 \s </w:instrText>
      </w:r>
      <w:r w:rsidRPr="00F17F59">
        <w:fldChar w:fldCharType="separate"/>
      </w:r>
      <w:r w:rsidR="004478BF">
        <w:rPr>
          <w:noProof/>
        </w:rPr>
        <w:t>8</w:t>
      </w:r>
      <w:r w:rsidRPr="00F17F59">
        <w:fldChar w:fldCharType="end"/>
      </w:r>
      <w:r w:rsidRPr="00407443">
        <w:noBreakHyphen/>
      </w:r>
      <w:r w:rsidRPr="00F17F59">
        <w:fldChar w:fldCharType="begin"/>
      </w:r>
      <w:r>
        <w:instrText xml:space="preserve"> SEQ Table \* ARABIC \s 1 </w:instrText>
      </w:r>
      <w:r w:rsidRPr="00F17F59">
        <w:fldChar w:fldCharType="separate"/>
      </w:r>
      <w:r w:rsidR="004478BF">
        <w:rPr>
          <w:noProof/>
        </w:rPr>
        <w:t>5</w:t>
      </w:r>
      <w:r w:rsidRPr="00F17F59">
        <w:fldChar w:fldCharType="end"/>
      </w:r>
      <w:bookmarkEnd w:id="32"/>
      <w:r w:rsidRPr="00407443">
        <w:tab/>
        <w:t>AER's draft decision on JGN's diminishing value rate</w:t>
      </w:r>
      <w:r>
        <w:t>s</w:t>
      </w:r>
      <w:r w:rsidRPr="00407443">
        <w:t xml:space="preserve"> for tax depreciation calculation (per cent)</w:t>
      </w:r>
    </w:p>
    <w:tbl>
      <w:tblPr>
        <w:tblStyle w:val="AERtable-numbers"/>
        <w:tblW w:w="9180" w:type="dxa"/>
        <w:tblLook w:val="04A0" w:firstRow="1" w:lastRow="0" w:firstColumn="1" w:lastColumn="0" w:noHBand="0" w:noVBand="1"/>
      </w:tblPr>
      <w:tblGrid>
        <w:gridCol w:w="4361"/>
        <w:gridCol w:w="4819"/>
      </w:tblGrid>
      <w:tr w:rsidR="0075370E" w:rsidRPr="00DB21FF" w:rsidTr="005A2AE5">
        <w:trPr>
          <w:cnfStyle w:val="100000000000" w:firstRow="1" w:lastRow="0" w:firstColumn="0" w:lastColumn="0" w:oddVBand="0" w:evenVBand="0" w:oddHBand="0" w:evenHBand="0" w:firstRowFirstColumn="0" w:firstRowLastColumn="0" w:lastRowFirstColumn="0" w:lastRowLastColumn="0"/>
          <w:trHeight w:hRule="exact" w:val="533"/>
        </w:trPr>
        <w:tc>
          <w:tcPr>
            <w:cnfStyle w:val="001000000000" w:firstRow="0" w:lastRow="0" w:firstColumn="1" w:lastColumn="0" w:oddVBand="0" w:evenVBand="0" w:oddHBand="0" w:evenHBand="0" w:firstRowFirstColumn="0" w:firstRowLastColumn="0" w:lastRowFirstColumn="0" w:lastRowLastColumn="0"/>
            <w:tcW w:w="4361" w:type="dxa"/>
            <w:hideMark/>
          </w:tcPr>
          <w:p w:rsidR="0075370E" w:rsidRPr="00F17F59" w:rsidRDefault="0075370E" w:rsidP="005A2AE5">
            <w:pPr>
              <w:pStyle w:val="AERtabletextleft"/>
            </w:pPr>
            <w:r w:rsidRPr="00DB21FF">
              <w:t>Asset class</w:t>
            </w:r>
          </w:p>
        </w:tc>
        <w:tc>
          <w:tcPr>
            <w:tcW w:w="4819" w:type="dxa"/>
            <w:hideMark/>
          </w:tcPr>
          <w:p w:rsidR="0075370E" w:rsidRPr="00F17F59" w:rsidRDefault="0075370E" w:rsidP="005A2AE5">
            <w:pPr>
              <w:pStyle w:val="AERtabletextleft"/>
              <w:cnfStyle w:val="100000000000" w:firstRow="1" w:lastRow="0" w:firstColumn="0" w:lastColumn="0" w:oddVBand="0" w:evenVBand="0" w:oddHBand="0" w:evenHBand="0" w:firstRowFirstColumn="0" w:firstRowLastColumn="0" w:lastRowFirstColumn="0" w:lastRowLastColumn="0"/>
            </w:pPr>
            <w:r w:rsidRPr="00DB21FF">
              <w:t>Diminishing value rate for tax depreciation</w:t>
            </w:r>
          </w:p>
        </w:tc>
      </w:tr>
      <w:tr w:rsidR="0075370E" w:rsidRPr="00DB21FF" w:rsidTr="005A2AE5">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Trunk Wilton-Sydney</w:t>
            </w:r>
          </w:p>
        </w:tc>
        <w:tc>
          <w:tcPr>
            <w:tcW w:w="4819" w:type="dxa"/>
            <w:noWrap/>
            <w:hideMark/>
          </w:tcPr>
          <w:p w:rsidR="0075370E" w:rsidRPr="00F17F59" w:rsidRDefault="0075370E" w:rsidP="005A2AE5">
            <w:pPr>
              <w:pStyle w:val="AERtabletextleft"/>
              <w:cnfStyle w:val="000000000000" w:firstRow="0" w:lastRow="0" w:firstColumn="0" w:lastColumn="0" w:oddVBand="0" w:evenVBand="0" w:oddHBand="0" w:evenHBand="0" w:firstRowFirstColumn="0" w:firstRowLastColumn="0" w:lastRowFirstColumn="0" w:lastRowLastColumn="0"/>
            </w:pPr>
            <w:r w:rsidRPr="00DB21FF">
              <w:t>10%</w:t>
            </w:r>
          </w:p>
        </w:tc>
      </w:tr>
      <w:tr w:rsidR="0075370E" w:rsidRPr="00DB21FF" w:rsidTr="005A2AE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Trunk Sydney-Newcastle</w:t>
            </w:r>
          </w:p>
        </w:tc>
        <w:tc>
          <w:tcPr>
            <w:tcW w:w="4819" w:type="dxa"/>
            <w:noWrap/>
            <w:hideMark/>
          </w:tcPr>
          <w:p w:rsidR="0075370E" w:rsidRPr="00F17F59" w:rsidRDefault="0075370E" w:rsidP="005A2AE5">
            <w:pPr>
              <w:pStyle w:val="AERtabletextleft"/>
              <w:cnfStyle w:val="000000010000" w:firstRow="0" w:lastRow="0" w:firstColumn="0" w:lastColumn="0" w:oddVBand="0" w:evenVBand="0" w:oddHBand="0" w:evenHBand="1" w:firstRowFirstColumn="0" w:firstRowLastColumn="0" w:lastRowFirstColumn="0" w:lastRowLastColumn="0"/>
            </w:pPr>
            <w:r w:rsidRPr="00DB21FF">
              <w:t>10%</w:t>
            </w:r>
          </w:p>
        </w:tc>
      </w:tr>
      <w:tr w:rsidR="0075370E" w:rsidRPr="00DB21FF" w:rsidTr="005A2AE5">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Transmission pipeline  (Wilton-Wollongong)</w:t>
            </w:r>
          </w:p>
        </w:tc>
        <w:tc>
          <w:tcPr>
            <w:tcW w:w="4819" w:type="dxa"/>
            <w:noWrap/>
            <w:hideMark/>
          </w:tcPr>
          <w:p w:rsidR="0075370E" w:rsidRPr="00F17F59" w:rsidRDefault="0075370E" w:rsidP="005A2AE5">
            <w:pPr>
              <w:pStyle w:val="AERtabletextleft"/>
              <w:cnfStyle w:val="000000000000" w:firstRow="0" w:lastRow="0" w:firstColumn="0" w:lastColumn="0" w:oddVBand="0" w:evenVBand="0" w:oddHBand="0" w:evenHBand="0" w:firstRowFirstColumn="0" w:firstRowLastColumn="0" w:lastRowFirstColumn="0" w:lastRowLastColumn="0"/>
            </w:pPr>
            <w:r w:rsidRPr="00DB21FF">
              <w:t>10%</w:t>
            </w:r>
          </w:p>
        </w:tc>
      </w:tr>
      <w:tr w:rsidR="0075370E" w:rsidRPr="00DB21FF" w:rsidTr="005A2AE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Contract meters</w:t>
            </w:r>
          </w:p>
        </w:tc>
        <w:tc>
          <w:tcPr>
            <w:tcW w:w="4819" w:type="dxa"/>
            <w:noWrap/>
            <w:hideMark/>
          </w:tcPr>
          <w:p w:rsidR="0075370E" w:rsidRPr="00F17F59" w:rsidRDefault="0075370E" w:rsidP="005A2AE5">
            <w:pPr>
              <w:pStyle w:val="AERtabletextleft"/>
              <w:cnfStyle w:val="000000010000" w:firstRow="0" w:lastRow="0" w:firstColumn="0" w:lastColumn="0" w:oddVBand="0" w:evenVBand="0" w:oddHBand="0" w:evenHBand="1" w:firstRowFirstColumn="0" w:firstRowLastColumn="0" w:lastRowFirstColumn="0" w:lastRowLastColumn="0"/>
            </w:pPr>
            <w:r w:rsidRPr="00DB21FF">
              <w:t>10%</w:t>
            </w:r>
          </w:p>
        </w:tc>
      </w:tr>
      <w:tr w:rsidR="0075370E" w:rsidRPr="00DB21FF" w:rsidTr="005A2AE5">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Fixed Plant - distribution</w:t>
            </w:r>
          </w:p>
        </w:tc>
        <w:tc>
          <w:tcPr>
            <w:tcW w:w="4819" w:type="dxa"/>
            <w:noWrap/>
            <w:hideMark/>
          </w:tcPr>
          <w:p w:rsidR="0075370E" w:rsidRPr="00F17F59" w:rsidRDefault="0075370E" w:rsidP="005A2AE5">
            <w:pPr>
              <w:pStyle w:val="AERtabletextleft"/>
              <w:cnfStyle w:val="000000000000" w:firstRow="0" w:lastRow="0" w:firstColumn="0" w:lastColumn="0" w:oddVBand="0" w:evenVBand="0" w:oddHBand="0" w:evenHBand="0" w:firstRowFirstColumn="0" w:firstRowLastColumn="0" w:lastRowFirstColumn="0" w:lastRowLastColumn="0"/>
            </w:pPr>
            <w:r w:rsidRPr="00DB21FF">
              <w:t>10%</w:t>
            </w:r>
          </w:p>
        </w:tc>
      </w:tr>
      <w:tr w:rsidR="0075370E" w:rsidRPr="00DB21FF" w:rsidTr="005A2AE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HP mains</w:t>
            </w:r>
          </w:p>
        </w:tc>
        <w:tc>
          <w:tcPr>
            <w:tcW w:w="4819" w:type="dxa"/>
            <w:noWrap/>
            <w:hideMark/>
          </w:tcPr>
          <w:p w:rsidR="0075370E" w:rsidRPr="00F17F59" w:rsidRDefault="0075370E" w:rsidP="005A2AE5">
            <w:pPr>
              <w:pStyle w:val="AERtabletextleft"/>
              <w:cnfStyle w:val="000000010000" w:firstRow="0" w:lastRow="0" w:firstColumn="0" w:lastColumn="0" w:oddVBand="0" w:evenVBand="0" w:oddHBand="0" w:evenHBand="1" w:firstRowFirstColumn="0" w:firstRowLastColumn="0" w:lastRowFirstColumn="0" w:lastRowLastColumn="0"/>
            </w:pPr>
            <w:r w:rsidRPr="00DB21FF">
              <w:t>10%</w:t>
            </w:r>
          </w:p>
        </w:tc>
      </w:tr>
      <w:tr w:rsidR="0075370E" w:rsidRPr="00DB21FF" w:rsidTr="005A2AE5">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HP services</w:t>
            </w:r>
          </w:p>
        </w:tc>
        <w:tc>
          <w:tcPr>
            <w:tcW w:w="4819" w:type="dxa"/>
            <w:noWrap/>
            <w:hideMark/>
          </w:tcPr>
          <w:p w:rsidR="0075370E" w:rsidRPr="00F17F59" w:rsidRDefault="0075370E" w:rsidP="005A2AE5">
            <w:pPr>
              <w:pStyle w:val="AERtabletextleft"/>
              <w:cnfStyle w:val="000000000000" w:firstRow="0" w:lastRow="0" w:firstColumn="0" w:lastColumn="0" w:oddVBand="0" w:evenVBand="0" w:oddHBand="0" w:evenHBand="0" w:firstRowFirstColumn="0" w:firstRowLastColumn="0" w:lastRowFirstColumn="0" w:lastRowLastColumn="0"/>
            </w:pPr>
            <w:r w:rsidRPr="00DB21FF">
              <w:t>10%</w:t>
            </w:r>
          </w:p>
        </w:tc>
      </w:tr>
      <w:tr w:rsidR="0075370E" w:rsidRPr="00DB21FF" w:rsidTr="005A2AE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MP mains</w:t>
            </w:r>
          </w:p>
        </w:tc>
        <w:tc>
          <w:tcPr>
            <w:tcW w:w="4819" w:type="dxa"/>
            <w:noWrap/>
            <w:hideMark/>
          </w:tcPr>
          <w:p w:rsidR="0075370E" w:rsidRPr="00F17F59" w:rsidRDefault="0075370E" w:rsidP="005A2AE5">
            <w:pPr>
              <w:pStyle w:val="AERtabletextleft"/>
              <w:cnfStyle w:val="000000010000" w:firstRow="0" w:lastRow="0" w:firstColumn="0" w:lastColumn="0" w:oddVBand="0" w:evenVBand="0" w:oddHBand="0" w:evenHBand="1" w:firstRowFirstColumn="0" w:firstRowLastColumn="0" w:lastRowFirstColumn="0" w:lastRowLastColumn="0"/>
            </w:pPr>
            <w:r w:rsidRPr="00DB21FF">
              <w:t>10%</w:t>
            </w:r>
          </w:p>
        </w:tc>
      </w:tr>
      <w:tr w:rsidR="0075370E" w:rsidRPr="00DB21FF" w:rsidTr="005A2AE5">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MP services</w:t>
            </w:r>
          </w:p>
        </w:tc>
        <w:tc>
          <w:tcPr>
            <w:tcW w:w="4819" w:type="dxa"/>
            <w:noWrap/>
            <w:hideMark/>
          </w:tcPr>
          <w:p w:rsidR="0075370E" w:rsidRPr="00F17F59" w:rsidRDefault="0075370E" w:rsidP="005A2AE5">
            <w:pPr>
              <w:pStyle w:val="AERtabletextleft"/>
              <w:cnfStyle w:val="000000000000" w:firstRow="0" w:lastRow="0" w:firstColumn="0" w:lastColumn="0" w:oddVBand="0" w:evenVBand="0" w:oddHBand="0" w:evenHBand="0" w:firstRowFirstColumn="0" w:firstRowLastColumn="0" w:lastRowFirstColumn="0" w:lastRowLastColumn="0"/>
            </w:pPr>
            <w:r w:rsidRPr="00DB21FF">
              <w:t>10%</w:t>
            </w:r>
          </w:p>
        </w:tc>
      </w:tr>
      <w:tr w:rsidR="0075370E" w:rsidRPr="00DB21FF" w:rsidTr="005A2AE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Meter reading devices</w:t>
            </w:r>
          </w:p>
        </w:tc>
        <w:tc>
          <w:tcPr>
            <w:tcW w:w="4819" w:type="dxa"/>
            <w:noWrap/>
            <w:hideMark/>
          </w:tcPr>
          <w:p w:rsidR="0075370E" w:rsidRPr="00F17F59" w:rsidRDefault="0075370E" w:rsidP="005A2AE5">
            <w:pPr>
              <w:pStyle w:val="AERtabletextleft"/>
              <w:cnfStyle w:val="000000010000" w:firstRow="0" w:lastRow="0" w:firstColumn="0" w:lastColumn="0" w:oddVBand="0" w:evenVBand="0" w:oddHBand="0" w:evenHBand="1" w:firstRowFirstColumn="0" w:firstRowLastColumn="0" w:lastRowFirstColumn="0" w:lastRowLastColumn="0"/>
            </w:pPr>
            <w:r w:rsidRPr="00DB21FF">
              <w:t>10%</w:t>
            </w:r>
          </w:p>
        </w:tc>
      </w:tr>
      <w:tr w:rsidR="0075370E" w:rsidRPr="00DB21FF" w:rsidTr="005A2AE5">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Country POTS </w:t>
            </w:r>
          </w:p>
        </w:tc>
        <w:tc>
          <w:tcPr>
            <w:tcW w:w="4819" w:type="dxa"/>
            <w:noWrap/>
            <w:hideMark/>
          </w:tcPr>
          <w:p w:rsidR="0075370E" w:rsidRPr="00F17F59" w:rsidRDefault="0075370E" w:rsidP="005A2AE5">
            <w:pPr>
              <w:pStyle w:val="AERtabletextleft"/>
              <w:cnfStyle w:val="000000000000" w:firstRow="0" w:lastRow="0" w:firstColumn="0" w:lastColumn="0" w:oddVBand="0" w:evenVBand="0" w:oddHBand="0" w:evenHBand="0" w:firstRowFirstColumn="0" w:firstRowLastColumn="0" w:lastRowFirstColumn="0" w:lastRowLastColumn="0"/>
            </w:pPr>
            <w:r w:rsidRPr="00DB21FF">
              <w:t>10%</w:t>
            </w:r>
          </w:p>
        </w:tc>
      </w:tr>
      <w:tr w:rsidR="0075370E" w:rsidRPr="00DB21FF" w:rsidTr="005A2AE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Tariff meters</w:t>
            </w:r>
          </w:p>
        </w:tc>
        <w:tc>
          <w:tcPr>
            <w:tcW w:w="4819" w:type="dxa"/>
            <w:noWrap/>
            <w:hideMark/>
          </w:tcPr>
          <w:p w:rsidR="0075370E" w:rsidRPr="00F17F59" w:rsidRDefault="0075370E" w:rsidP="005A2AE5">
            <w:pPr>
              <w:pStyle w:val="AERtabletextleft"/>
              <w:cnfStyle w:val="000000010000" w:firstRow="0" w:lastRow="0" w:firstColumn="0" w:lastColumn="0" w:oddVBand="0" w:evenVBand="0" w:oddHBand="0" w:evenHBand="1" w:firstRowFirstColumn="0" w:firstRowLastColumn="0" w:lastRowFirstColumn="0" w:lastRowLastColumn="0"/>
            </w:pPr>
            <w:r w:rsidRPr="00DB21FF">
              <w:t>10%</w:t>
            </w:r>
          </w:p>
        </w:tc>
      </w:tr>
      <w:tr w:rsidR="0075370E" w:rsidRPr="00DB21FF" w:rsidTr="005A2AE5">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Building </w:t>
            </w:r>
          </w:p>
        </w:tc>
        <w:tc>
          <w:tcPr>
            <w:tcW w:w="4819" w:type="dxa"/>
            <w:noWrap/>
            <w:hideMark/>
          </w:tcPr>
          <w:p w:rsidR="0075370E" w:rsidRPr="00F17F59" w:rsidRDefault="0075370E" w:rsidP="005A2AE5">
            <w:pPr>
              <w:pStyle w:val="AERtabletextleft"/>
              <w:cnfStyle w:val="000000000000" w:firstRow="0" w:lastRow="0" w:firstColumn="0" w:lastColumn="0" w:oddVBand="0" w:evenVBand="0" w:oddHBand="0" w:evenHBand="0" w:firstRowFirstColumn="0" w:firstRowLastColumn="0" w:lastRowFirstColumn="0" w:lastRowLastColumn="0"/>
            </w:pPr>
            <w:r w:rsidRPr="00DB21FF">
              <w:t>3%</w:t>
            </w:r>
          </w:p>
        </w:tc>
      </w:tr>
      <w:tr w:rsidR="0075370E" w:rsidRPr="00DB21FF" w:rsidTr="005A2AE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Computers</w:t>
            </w:r>
          </w:p>
        </w:tc>
        <w:tc>
          <w:tcPr>
            <w:tcW w:w="4819" w:type="dxa"/>
            <w:noWrap/>
            <w:hideMark/>
          </w:tcPr>
          <w:p w:rsidR="0075370E" w:rsidRPr="00F17F59" w:rsidRDefault="0075370E" w:rsidP="005A2AE5">
            <w:pPr>
              <w:pStyle w:val="AERtabletextleft"/>
              <w:cnfStyle w:val="000000010000" w:firstRow="0" w:lastRow="0" w:firstColumn="0" w:lastColumn="0" w:oddVBand="0" w:evenVBand="0" w:oddHBand="0" w:evenHBand="1" w:firstRowFirstColumn="0" w:firstRowLastColumn="0" w:lastRowFirstColumn="0" w:lastRowLastColumn="0"/>
            </w:pPr>
            <w:r w:rsidRPr="00DB21FF">
              <w:t>40%</w:t>
            </w:r>
          </w:p>
        </w:tc>
      </w:tr>
      <w:tr w:rsidR="0075370E" w:rsidRPr="00DB21FF" w:rsidTr="005A2AE5">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Software</w:t>
            </w:r>
          </w:p>
        </w:tc>
        <w:tc>
          <w:tcPr>
            <w:tcW w:w="4819" w:type="dxa"/>
            <w:noWrap/>
            <w:hideMark/>
          </w:tcPr>
          <w:p w:rsidR="0075370E" w:rsidRPr="00F17F59" w:rsidRDefault="0075370E" w:rsidP="005A2AE5">
            <w:pPr>
              <w:pStyle w:val="AERtabletextleft"/>
              <w:cnfStyle w:val="000000000000" w:firstRow="0" w:lastRow="0" w:firstColumn="0" w:lastColumn="0" w:oddVBand="0" w:evenVBand="0" w:oddHBand="0" w:evenHBand="0" w:firstRowFirstColumn="0" w:firstRowLastColumn="0" w:lastRowFirstColumn="0" w:lastRowLastColumn="0"/>
            </w:pPr>
            <w:r w:rsidRPr="00DB21FF">
              <w:t>50%</w:t>
            </w:r>
          </w:p>
        </w:tc>
      </w:tr>
      <w:tr w:rsidR="0075370E" w:rsidRPr="00DB21FF" w:rsidTr="005A2AE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Fixed plant</w:t>
            </w:r>
          </w:p>
        </w:tc>
        <w:tc>
          <w:tcPr>
            <w:tcW w:w="4819" w:type="dxa"/>
            <w:noWrap/>
            <w:hideMark/>
          </w:tcPr>
          <w:p w:rsidR="0075370E" w:rsidRPr="00F17F59" w:rsidRDefault="0075370E" w:rsidP="005A2AE5">
            <w:pPr>
              <w:pStyle w:val="AERtabletextleft"/>
              <w:cnfStyle w:val="000000010000" w:firstRow="0" w:lastRow="0" w:firstColumn="0" w:lastColumn="0" w:oddVBand="0" w:evenVBand="0" w:oddHBand="0" w:evenHBand="1" w:firstRowFirstColumn="0" w:firstRowLastColumn="0" w:lastRowFirstColumn="0" w:lastRowLastColumn="0"/>
            </w:pPr>
            <w:r w:rsidRPr="00DB21FF">
              <w:t>20%</w:t>
            </w:r>
          </w:p>
        </w:tc>
      </w:tr>
      <w:tr w:rsidR="0075370E" w:rsidRPr="00DB21FF" w:rsidTr="005A2AE5">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Furniture</w:t>
            </w:r>
          </w:p>
        </w:tc>
        <w:tc>
          <w:tcPr>
            <w:tcW w:w="4819" w:type="dxa"/>
            <w:noWrap/>
            <w:hideMark/>
          </w:tcPr>
          <w:p w:rsidR="0075370E" w:rsidRPr="00F17F59" w:rsidRDefault="0075370E" w:rsidP="005A2AE5">
            <w:pPr>
              <w:pStyle w:val="AERtabletextleft"/>
              <w:cnfStyle w:val="000000000000" w:firstRow="0" w:lastRow="0" w:firstColumn="0" w:lastColumn="0" w:oddVBand="0" w:evenVBand="0" w:oddHBand="0" w:evenHBand="0" w:firstRowFirstColumn="0" w:firstRowLastColumn="0" w:lastRowFirstColumn="0" w:lastRowLastColumn="0"/>
            </w:pPr>
            <w:r w:rsidRPr="00DB21FF">
              <w:t>20%</w:t>
            </w:r>
          </w:p>
        </w:tc>
      </w:tr>
      <w:tr w:rsidR="0075370E" w:rsidRPr="00DB21FF" w:rsidTr="005A2AE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Land</w:t>
            </w:r>
          </w:p>
        </w:tc>
        <w:tc>
          <w:tcPr>
            <w:tcW w:w="4819" w:type="dxa"/>
            <w:noWrap/>
            <w:hideMark/>
          </w:tcPr>
          <w:p w:rsidR="0075370E" w:rsidRPr="00F17F59" w:rsidRDefault="0075370E" w:rsidP="005A2AE5">
            <w:pPr>
              <w:pStyle w:val="AERtabletextleft"/>
              <w:cnfStyle w:val="000000010000" w:firstRow="0" w:lastRow="0" w:firstColumn="0" w:lastColumn="0" w:oddVBand="0" w:evenVBand="0" w:oddHBand="0" w:evenHBand="1" w:firstRowFirstColumn="0" w:firstRowLastColumn="0" w:lastRowFirstColumn="0" w:lastRowLastColumn="0"/>
            </w:pPr>
            <w:r w:rsidRPr="00DB21FF">
              <w:t xml:space="preserve">               n/a  </w:t>
            </w:r>
          </w:p>
        </w:tc>
      </w:tr>
      <w:tr w:rsidR="0075370E" w:rsidRPr="00DB21FF" w:rsidTr="005A2AE5">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Leasehold improvements</w:t>
            </w:r>
          </w:p>
        </w:tc>
        <w:tc>
          <w:tcPr>
            <w:tcW w:w="4819" w:type="dxa"/>
            <w:noWrap/>
            <w:hideMark/>
          </w:tcPr>
          <w:p w:rsidR="0075370E" w:rsidRPr="00F17F59" w:rsidRDefault="0075370E" w:rsidP="005A2AE5">
            <w:pPr>
              <w:pStyle w:val="AERtabletextleft"/>
              <w:cnfStyle w:val="000000000000" w:firstRow="0" w:lastRow="0" w:firstColumn="0" w:lastColumn="0" w:oddVBand="0" w:evenVBand="0" w:oddHBand="0" w:evenHBand="0" w:firstRowFirstColumn="0" w:firstRowLastColumn="0" w:lastRowFirstColumn="0" w:lastRowLastColumn="0"/>
            </w:pPr>
            <w:r w:rsidRPr="00DB21FF">
              <w:t>3%</w:t>
            </w:r>
          </w:p>
        </w:tc>
      </w:tr>
      <w:tr w:rsidR="0075370E" w:rsidRPr="00DB21FF" w:rsidTr="005A2AE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Low value assets</w:t>
            </w:r>
          </w:p>
        </w:tc>
        <w:tc>
          <w:tcPr>
            <w:tcW w:w="4819" w:type="dxa"/>
            <w:noWrap/>
            <w:hideMark/>
          </w:tcPr>
          <w:p w:rsidR="0075370E" w:rsidRPr="00F17F59" w:rsidRDefault="0075370E" w:rsidP="005A2AE5">
            <w:pPr>
              <w:pStyle w:val="AERtabletextleft"/>
              <w:cnfStyle w:val="000000010000" w:firstRow="0" w:lastRow="0" w:firstColumn="0" w:lastColumn="0" w:oddVBand="0" w:evenVBand="0" w:oddHBand="0" w:evenHBand="1" w:firstRowFirstColumn="0" w:firstRowLastColumn="0" w:lastRowFirstColumn="0" w:lastRowLastColumn="0"/>
            </w:pPr>
            <w:r w:rsidRPr="00DB21FF">
              <w:t>60%</w:t>
            </w:r>
          </w:p>
        </w:tc>
      </w:tr>
      <w:tr w:rsidR="0075370E" w:rsidRPr="00DB21FF" w:rsidTr="005A2AE5">
        <w:trPr>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Mobile plant</w:t>
            </w:r>
          </w:p>
        </w:tc>
        <w:tc>
          <w:tcPr>
            <w:tcW w:w="4819" w:type="dxa"/>
            <w:noWrap/>
            <w:hideMark/>
          </w:tcPr>
          <w:p w:rsidR="0075370E" w:rsidRPr="00F17F59" w:rsidRDefault="0075370E" w:rsidP="005A2AE5">
            <w:pPr>
              <w:pStyle w:val="AERtabletextleft"/>
              <w:cnfStyle w:val="000000000000" w:firstRow="0" w:lastRow="0" w:firstColumn="0" w:lastColumn="0" w:oddVBand="0" w:evenVBand="0" w:oddHBand="0" w:evenHBand="0" w:firstRowFirstColumn="0" w:firstRowLastColumn="0" w:lastRowFirstColumn="0" w:lastRowLastColumn="0"/>
            </w:pPr>
            <w:r w:rsidRPr="00DB21FF">
              <w:t>20%</w:t>
            </w:r>
          </w:p>
        </w:tc>
      </w:tr>
      <w:tr w:rsidR="0075370E" w:rsidRPr="00DB21FF" w:rsidTr="005A2AE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Vehicles</w:t>
            </w:r>
          </w:p>
        </w:tc>
        <w:tc>
          <w:tcPr>
            <w:tcW w:w="4819" w:type="dxa"/>
            <w:noWrap/>
            <w:hideMark/>
          </w:tcPr>
          <w:p w:rsidR="0075370E" w:rsidRPr="00F17F59" w:rsidRDefault="0075370E" w:rsidP="005A2AE5">
            <w:pPr>
              <w:pStyle w:val="AERtabletextleft"/>
              <w:cnfStyle w:val="000000010000" w:firstRow="0" w:lastRow="0" w:firstColumn="0" w:lastColumn="0" w:oddVBand="0" w:evenVBand="0" w:oddHBand="0" w:evenHBand="1" w:firstRowFirstColumn="0" w:firstRowLastColumn="0" w:lastRowFirstColumn="0" w:lastRowLastColumn="0"/>
            </w:pPr>
            <w:r w:rsidRPr="00DB21FF">
              <w:t>25%</w:t>
            </w:r>
          </w:p>
        </w:tc>
      </w:tr>
      <w:tr w:rsidR="0075370E" w:rsidRPr="00DB21FF" w:rsidTr="005A2AE5">
        <w:trPr>
          <w:trHeight w:val="315"/>
        </w:trPr>
        <w:tc>
          <w:tcPr>
            <w:cnfStyle w:val="001000000000" w:firstRow="0" w:lastRow="0" w:firstColumn="1" w:lastColumn="0" w:oddVBand="0" w:evenVBand="0" w:oddHBand="0" w:evenHBand="0" w:firstRowFirstColumn="0" w:firstRowLastColumn="0" w:lastRowFirstColumn="0" w:lastRowLastColumn="0"/>
            <w:tcW w:w="4361" w:type="dxa"/>
            <w:noWrap/>
            <w:hideMark/>
          </w:tcPr>
          <w:p w:rsidR="0075370E" w:rsidRPr="00F17F59" w:rsidRDefault="0075370E" w:rsidP="005A2AE5">
            <w:pPr>
              <w:pStyle w:val="AERtabletextleft"/>
            </w:pPr>
            <w:r w:rsidRPr="00DB21FF">
              <w:t xml:space="preserve"> Equity raising costs</w:t>
            </w:r>
          </w:p>
        </w:tc>
        <w:tc>
          <w:tcPr>
            <w:tcW w:w="4819" w:type="dxa"/>
            <w:noWrap/>
            <w:hideMark/>
          </w:tcPr>
          <w:p w:rsidR="0075370E" w:rsidRPr="00F17F59" w:rsidRDefault="0075370E" w:rsidP="005A2AE5">
            <w:pPr>
              <w:pStyle w:val="AERtabletextleft"/>
              <w:cnfStyle w:val="000000000000" w:firstRow="0" w:lastRow="0" w:firstColumn="0" w:lastColumn="0" w:oddVBand="0" w:evenVBand="0" w:oddHBand="0" w:evenHBand="0" w:firstRowFirstColumn="0" w:firstRowLastColumn="0" w:lastRowFirstColumn="0" w:lastRowLastColumn="0"/>
            </w:pPr>
            <w:r w:rsidRPr="00DB21FF">
              <w:t>11%</w:t>
            </w:r>
          </w:p>
        </w:tc>
      </w:tr>
    </w:tbl>
    <w:p w:rsidR="0075370E" w:rsidRPr="00407443" w:rsidRDefault="0075370E" w:rsidP="0075370E">
      <w:pPr>
        <w:pStyle w:val="AERtablesource"/>
      </w:pPr>
      <w:r w:rsidRPr="00407443">
        <w:t xml:space="preserve">Source: </w:t>
      </w:r>
      <w:r w:rsidRPr="00407443">
        <w:tab/>
        <w:t xml:space="preserve">JGN, </w:t>
      </w:r>
      <w:r w:rsidRPr="00407443">
        <w:rPr>
          <w:rStyle w:val="AERtextitalic"/>
        </w:rPr>
        <w:t>Access arrangement proposal Appendix 12.1 Revenue model</w:t>
      </w:r>
      <w:r w:rsidRPr="00407443">
        <w:t xml:space="preserve">, June 2014. </w:t>
      </w:r>
    </w:p>
    <w:p w:rsidR="0075370E" w:rsidRDefault="0075370E" w:rsidP="0075370E">
      <w:pPr>
        <w:pStyle w:val="AERtablesource"/>
      </w:pPr>
      <w:r>
        <w:tab/>
        <w:t xml:space="preserve">AER analysis. </w:t>
      </w:r>
    </w:p>
    <w:p w:rsidR="001F01A6" w:rsidRDefault="001F01A6">
      <w:pPr>
        <w:spacing w:after="0" w:line="240" w:lineRule="auto"/>
        <w:jc w:val="left"/>
        <w:rPr>
          <w:rFonts w:eastAsia="Times New Roman"/>
          <w:b/>
          <w:bCs/>
          <w:color w:val="E36C0A"/>
          <w:sz w:val="24"/>
          <w:szCs w:val="26"/>
        </w:rPr>
      </w:pPr>
      <w:bookmarkStart w:id="33" w:name="_Toc403463361"/>
      <w:bookmarkStart w:id="34" w:name="_Toc404182768"/>
      <w:r>
        <w:br w:type="page"/>
      </w:r>
    </w:p>
    <w:p w:rsidR="0075370E" w:rsidRPr="00407443" w:rsidRDefault="0075370E" w:rsidP="0075370E">
      <w:pPr>
        <w:pStyle w:val="Heading3"/>
      </w:pPr>
      <w:r w:rsidRPr="00407443">
        <w:lastRenderedPageBreak/>
        <w:t>Revisions</w:t>
      </w:r>
      <w:bookmarkEnd w:id="33"/>
      <w:bookmarkEnd w:id="34"/>
    </w:p>
    <w:p w:rsidR="0075370E" w:rsidRPr="00407443" w:rsidRDefault="0075370E" w:rsidP="0075370E">
      <w:pPr>
        <w:pStyle w:val="AERbodytext"/>
      </w:pPr>
      <w:r w:rsidRPr="00407443">
        <w:rPr>
          <w:rStyle w:val="AERbody"/>
        </w:rPr>
        <w:t>The AER requires the following revisions to make the access arrangement proposal acceptable</w:t>
      </w:r>
      <w:r w:rsidRPr="00407443">
        <w:t>:</w:t>
      </w:r>
    </w:p>
    <w:p w:rsidR="0075370E" w:rsidRPr="00F17F59" w:rsidRDefault="0075370E" w:rsidP="0075370E">
      <w:pPr>
        <w:pStyle w:val="AERrevisionbox"/>
        <w:rPr>
          <w:rFonts w:eastAsia="Calibri"/>
        </w:rPr>
      </w:pPr>
      <w:r w:rsidRPr="00F17F59">
        <w:rPr>
          <w:rStyle w:val="AERtextbold"/>
          <w:rFonts w:eastAsia="Calibri"/>
        </w:rPr>
        <w:t xml:space="preserve">Revision </w:t>
      </w:r>
      <w:r>
        <w:rPr>
          <w:rStyle w:val="AERtextbold"/>
          <w:rFonts w:eastAsia="Calibri"/>
        </w:rPr>
        <w:t>8</w:t>
      </w:r>
      <w:r w:rsidRPr="00F17F59">
        <w:rPr>
          <w:rStyle w:val="AERtextbold"/>
          <w:rFonts w:eastAsia="Calibri"/>
        </w:rPr>
        <w:t>.1</w:t>
      </w:r>
      <w:r w:rsidRPr="00F17F59">
        <w:rPr>
          <w:rFonts w:eastAsia="Calibri"/>
        </w:rPr>
        <w:t xml:space="preserve"> Make all necessary amendments to reflect the AER's draft decision on the proposed corporate income tax allowance for the 2015–20 access arrangement period, as set out in </w:t>
      </w:r>
      <w:r w:rsidRPr="00F17F59">
        <w:rPr>
          <w:rFonts w:eastAsia="Calibri"/>
        </w:rPr>
        <w:fldChar w:fldCharType="begin"/>
      </w:r>
      <w:r w:rsidRPr="00F17F59">
        <w:rPr>
          <w:rFonts w:eastAsia="Calibri"/>
        </w:rPr>
        <w:instrText xml:space="preserve"> REF  _Ref398553891 \* Lower \h </w:instrText>
      </w:r>
      <w:r w:rsidRPr="00F17F59">
        <w:rPr>
          <w:rFonts w:eastAsia="Calibri"/>
        </w:rPr>
      </w:r>
      <w:r w:rsidRPr="00F17F59">
        <w:rPr>
          <w:rFonts w:eastAsia="Calibri"/>
        </w:rPr>
        <w:fldChar w:fldCharType="separate"/>
      </w:r>
      <w:r w:rsidR="004478BF" w:rsidRPr="00FD50DB">
        <w:t xml:space="preserve">table </w:t>
      </w:r>
      <w:r w:rsidR="004478BF">
        <w:rPr>
          <w:noProof/>
        </w:rPr>
        <w:t>8</w:t>
      </w:r>
      <w:r w:rsidR="004478BF">
        <w:noBreakHyphen/>
      </w:r>
      <w:r w:rsidR="004478BF">
        <w:rPr>
          <w:noProof/>
        </w:rPr>
        <w:t>1</w:t>
      </w:r>
      <w:r w:rsidRPr="00F17F59">
        <w:rPr>
          <w:rFonts w:eastAsia="Calibri"/>
        </w:rPr>
        <w:fldChar w:fldCharType="end"/>
      </w:r>
      <w:r w:rsidRPr="00F17F59">
        <w:rPr>
          <w:rFonts w:eastAsia="Calibri"/>
        </w:rPr>
        <w:t xml:space="preserve">. </w:t>
      </w:r>
    </w:p>
    <w:p w:rsidR="001B26DC" w:rsidRPr="00574A1D" w:rsidRDefault="001B26DC" w:rsidP="001B26DC"/>
    <w:sectPr w:rsidR="001B26DC" w:rsidRPr="00574A1D" w:rsidSect="003D1269">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AE5" w:rsidRPr="00AB4345" w:rsidRDefault="005A2AE5" w:rsidP="00AB4345">
      <w:r>
        <w:separator/>
      </w:r>
    </w:p>
  </w:endnote>
  <w:endnote w:type="continuationSeparator" w:id="0">
    <w:p w:rsidR="005A2AE5" w:rsidRPr="00AB4345" w:rsidRDefault="005A2AE5"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5A2AE5" w:rsidRPr="00824CC8" w:rsidRDefault="005A2AE5" w:rsidP="00824CC8">
        <w:pPr>
          <w:pStyle w:val="Footer"/>
        </w:pPr>
        <w:r w:rsidRPr="00824CC8">
          <w:fldChar w:fldCharType="begin"/>
        </w:r>
        <w:r w:rsidRPr="00824CC8">
          <w:instrText xml:space="preserve"> PAGE   \* MERGEFORMAT </w:instrText>
        </w:r>
        <w:r w:rsidRPr="00824CC8">
          <w:fldChar w:fldCharType="separate"/>
        </w:r>
        <w:r w:rsidR="007211FF">
          <w:rPr>
            <w:noProof/>
          </w:rPr>
          <w:t>8-12</w:t>
        </w:r>
        <w:r w:rsidRPr="00824CC8">
          <w:fldChar w:fldCharType="end"/>
        </w:r>
        <w:r w:rsidRPr="00824CC8">
          <w:tab/>
        </w:r>
        <w:r w:rsidR="001F01A6">
          <w:t xml:space="preserve">                                           </w:t>
        </w:r>
        <w:r w:rsidRPr="00824CC8">
          <w:rPr>
            <w:rStyle w:val="AERbody"/>
          </w:rPr>
          <w:t>Attachment</w:t>
        </w:r>
        <w:r>
          <w:rPr>
            <w:rStyle w:val="AERbody"/>
          </w:rPr>
          <w:t xml:space="preserve"> 8 Corporate income tax </w:t>
        </w:r>
        <w:r w:rsidRPr="00824CC8">
          <w:rPr>
            <w:rStyle w:val="AERbody"/>
          </w:rPr>
          <w:t xml:space="preserve">| </w:t>
        </w:r>
        <w:r>
          <w:rPr>
            <w:rStyle w:val="AERbody"/>
          </w:rPr>
          <w:t>Jemena Gas Networks 2015–20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AE5" w:rsidRPr="00824CC8" w:rsidRDefault="005A2AE5" w:rsidP="00824CC8">
    <w:pPr>
      <w:pStyle w:val="Footer"/>
      <w:rPr>
        <w:rStyle w:val="AERbody"/>
      </w:rPr>
    </w:pPr>
    <w:r>
      <w:rPr>
        <w:rStyle w:val="AERbody"/>
      </w:rPr>
      <w:t>Jemena Gas Networks 2015–20</w:t>
    </w:r>
    <w:r w:rsidRPr="00210880">
      <w:rPr>
        <w:rStyle w:val="AERbody"/>
      </w:rPr>
      <w:t xml:space="preserve"> | </w:t>
    </w:r>
    <w:r w:rsidRPr="00824CC8">
      <w:rPr>
        <w:rStyle w:val="AERbody"/>
      </w:rPr>
      <w:t xml:space="preserve">Attachment </w:t>
    </w:r>
    <w:r>
      <w:rPr>
        <w:rStyle w:val="AERbody"/>
      </w:rPr>
      <w:t>8 Corporate income tax</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7211FF">
      <w:rPr>
        <w:rStyle w:val="AERbody"/>
        <w:noProof/>
      </w:rPr>
      <w:t>8-13</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AE5" w:rsidRPr="00AB4345" w:rsidRDefault="005A2AE5" w:rsidP="00AB4345">
      <w:r>
        <w:separator/>
      </w:r>
    </w:p>
  </w:footnote>
  <w:footnote w:type="continuationSeparator" w:id="0">
    <w:p w:rsidR="005A2AE5" w:rsidRPr="00AB4345" w:rsidRDefault="005A2AE5" w:rsidP="00AB4345">
      <w:r>
        <w:continuationSeparator/>
      </w:r>
    </w:p>
  </w:footnote>
  <w:footnote w:id="1">
    <w:p w:rsidR="005A2AE5" w:rsidRDefault="005A2AE5" w:rsidP="0075370E">
      <w:pPr>
        <w:pStyle w:val="FootnoteText"/>
      </w:pPr>
      <w:r>
        <w:rPr>
          <w:rStyle w:val="FootnoteReference"/>
        </w:rPr>
        <w:footnoteRef/>
      </w:r>
      <w:r>
        <w:t xml:space="preserve"> </w:t>
      </w:r>
      <w:r>
        <w:tab/>
        <w:t>NGR, r. 76(c).</w:t>
      </w:r>
    </w:p>
  </w:footnote>
  <w:footnote w:id="2">
    <w:p w:rsidR="005A2AE5" w:rsidRDefault="005A2AE5" w:rsidP="0075370E">
      <w:pPr>
        <w:pStyle w:val="FootnoteText"/>
      </w:pPr>
      <w:r>
        <w:rPr>
          <w:rStyle w:val="FootnoteReference"/>
        </w:rPr>
        <w:footnoteRef/>
      </w:r>
      <w:r>
        <w:t xml:space="preserve"> </w:t>
      </w:r>
      <w:r>
        <w:tab/>
      </w:r>
      <w:r w:rsidRPr="007C6DD2">
        <w:t>JGN</w:t>
      </w:r>
      <w:r w:rsidRPr="00F406F0">
        <w:t xml:space="preserve">, </w:t>
      </w:r>
      <w:r w:rsidRPr="00F406F0">
        <w:rPr>
          <w:rStyle w:val="AERtextitalic"/>
        </w:rPr>
        <w:t>Access arrangement information</w:t>
      </w:r>
      <w:r w:rsidRPr="00F406F0">
        <w:t xml:space="preserve">, June 2014, p. </w:t>
      </w:r>
      <w:r>
        <w:t>99</w:t>
      </w:r>
      <w:r w:rsidRPr="00F406F0">
        <w:t>.</w:t>
      </w:r>
    </w:p>
  </w:footnote>
  <w:footnote w:id="3">
    <w:p w:rsidR="00A37E50" w:rsidRDefault="00A37E50">
      <w:pPr>
        <w:pStyle w:val="FootnoteText"/>
      </w:pPr>
      <w:r>
        <w:rPr>
          <w:rStyle w:val="FootnoteReference"/>
        </w:rPr>
        <w:footnoteRef/>
      </w:r>
      <w:r>
        <w:t xml:space="preserve"> </w:t>
      </w:r>
      <w:r>
        <w:tab/>
        <w:t>Changes to other building block costs affect revenues, which also impact the tax calculation.</w:t>
      </w:r>
    </w:p>
  </w:footnote>
  <w:footnote w:id="4">
    <w:p w:rsidR="005A2AE5" w:rsidRDefault="005A2AE5" w:rsidP="0075370E">
      <w:pPr>
        <w:pStyle w:val="FootnoteText"/>
      </w:pPr>
      <w:r>
        <w:rPr>
          <w:rStyle w:val="FootnoteReference"/>
        </w:rPr>
        <w:footnoteRef/>
      </w:r>
      <w:r>
        <w:t xml:space="preserve"> </w:t>
      </w:r>
      <w:r>
        <w:tab/>
      </w:r>
      <w:r w:rsidRPr="007C6DD2">
        <w:t>JGN</w:t>
      </w:r>
      <w:r w:rsidRPr="00AA290B">
        <w:t xml:space="preserve">, </w:t>
      </w:r>
      <w:r w:rsidRPr="00AA290B">
        <w:rPr>
          <w:rStyle w:val="AERtextitalic"/>
        </w:rPr>
        <w:t>Access arrangement information</w:t>
      </w:r>
      <w:r>
        <w:t>, June 2014, p. 100</w:t>
      </w:r>
      <w:r w:rsidRPr="00AA290B">
        <w:t>.</w:t>
      </w:r>
    </w:p>
  </w:footnote>
  <w:footnote w:id="5">
    <w:p w:rsidR="005A2AE5" w:rsidRDefault="005A2AE5" w:rsidP="0075370E">
      <w:pPr>
        <w:pStyle w:val="FootnoteText"/>
      </w:pPr>
      <w:r>
        <w:rPr>
          <w:rStyle w:val="FootnoteReference"/>
        </w:rPr>
        <w:footnoteRef/>
      </w:r>
      <w:r>
        <w:t xml:space="preserve"> </w:t>
      </w:r>
      <w:r>
        <w:tab/>
        <w:t>NGR, r. 76(c).</w:t>
      </w:r>
    </w:p>
  </w:footnote>
  <w:footnote w:id="6">
    <w:p w:rsidR="005A2AE5" w:rsidRDefault="005A2AE5" w:rsidP="0075370E">
      <w:pPr>
        <w:pStyle w:val="FootnoteText"/>
      </w:pPr>
      <w:r>
        <w:rPr>
          <w:rStyle w:val="FootnoteReference"/>
        </w:rPr>
        <w:footnoteRef/>
      </w:r>
      <w:r>
        <w:t xml:space="preserve"> </w:t>
      </w:r>
      <w:r>
        <w:tab/>
      </w:r>
      <w:r w:rsidRPr="007C6DD2">
        <w:t>JGN</w:t>
      </w:r>
      <w:r w:rsidRPr="00FF6B6C">
        <w:t xml:space="preserve">, </w:t>
      </w:r>
      <w:r w:rsidRPr="00FF6B6C">
        <w:rPr>
          <w:rStyle w:val="AERtextitalic"/>
        </w:rPr>
        <w:t>Access arrangement proposal Appendix 12.1 Revenue model</w:t>
      </w:r>
      <w:r w:rsidRPr="00FF6B6C">
        <w:t>, June 2014.</w:t>
      </w:r>
    </w:p>
  </w:footnote>
  <w:footnote w:id="7">
    <w:p w:rsidR="005A2AE5" w:rsidRDefault="005A2AE5" w:rsidP="0075370E">
      <w:pPr>
        <w:pStyle w:val="FootnoteText"/>
      </w:pPr>
      <w:r>
        <w:rPr>
          <w:rStyle w:val="FootnoteReference"/>
        </w:rPr>
        <w:footnoteRef/>
      </w:r>
      <w:r>
        <w:t xml:space="preserve"> </w:t>
      </w:r>
      <w:r>
        <w:tab/>
        <w:t>NGL, s</w:t>
      </w:r>
      <w:r w:rsidRPr="002E5E36">
        <w:rPr>
          <w:rFonts w:eastAsia="Calibri"/>
        </w:rPr>
        <w:t xml:space="preserve"> 28; NGR r. 100(1). The NGO is set out in NGL, s. 23. The revenue and pricing principles are set out in NGL, s. 24.</w:t>
      </w:r>
    </w:p>
  </w:footnote>
  <w:footnote w:id="8">
    <w:p w:rsidR="005A2AE5" w:rsidRDefault="005A2AE5" w:rsidP="0075370E">
      <w:pPr>
        <w:pStyle w:val="FootnoteText"/>
      </w:pPr>
      <w:r>
        <w:rPr>
          <w:rStyle w:val="FootnoteReference"/>
        </w:rPr>
        <w:footnoteRef/>
      </w:r>
      <w:r>
        <w:t xml:space="preserve"> </w:t>
      </w:r>
      <w:r>
        <w:tab/>
        <w:t>The asset classes differ between the capital base roll forward and the tax asset base roll forward. However, the total values of annual capex in the 2008–12 access arrangement period will be consistent.</w:t>
      </w:r>
    </w:p>
  </w:footnote>
  <w:footnote w:id="9">
    <w:p w:rsidR="005A2AE5" w:rsidRDefault="005A2AE5" w:rsidP="0075370E">
      <w:pPr>
        <w:pStyle w:val="FootnoteText"/>
      </w:pPr>
      <w:r>
        <w:rPr>
          <w:rStyle w:val="FootnoteReference"/>
        </w:rPr>
        <w:footnoteRef/>
      </w:r>
      <w:r>
        <w:t xml:space="preserve"> </w:t>
      </w:r>
      <w:r>
        <w:tab/>
        <w:t xml:space="preserve">Australian Taxation Office, </w:t>
      </w:r>
      <w:r w:rsidRPr="00896D81">
        <w:rPr>
          <w:rStyle w:val="AERtextitalic"/>
        </w:rPr>
        <w:t>Taxation Ruling Income tax: effective life of depreciating assets (applicable from 1 July 2014)</w:t>
      </w:r>
      <w:r>
        <w:t xml:space="preserve">, August 2014, </w:t>
      </w:r>
      <w:hyperlink r:id="rId1" w:history="1">
        <w:r w:rsidRPr="009673F3">
          <w:rPr>
            <w:rStyle w:val="Hyperlink"/>
          </w:rPr>
          <w:t>http://law.ato.gov.au/atolaw/view.htm?docid=%22TXR%2FTR20144%2FNAT%2FATO%2F00001%22</w:t>
        </w:r>
      </w:hyperlink>
      <w:r>
        <w:t xml:space="preserve"> </w:t>
      </w:r>
      <w:r w:rsidRPr="00896D81">
        <w:t xml:space="preserve">  </w:t>
      </w:r>
    </w:p>
  </w:footnote>
  <w:footnote w:id="10">
    <w:p w:rsidR="005A2AE5" w:rsidRDefault="005A2AE5" w:rsidP="0075370E">
      <w:pPr>
        <w:pStyle w:val="FootnoteText"/>
      </w:pPr>
      <w:r>
        <w:rPr>
          <w:rStyle w:val="FootnoteReference"/>
        </w:rPr>
        <w:footnoteRef/>
      </w:r>
      <w:r>
        <w:t xml:space="preserve"> </w:t>
      </w:r>
      <w:r>
        <w:tab/>
      </w:r>
      <w:r w:rsidRPr="00332431">
        <w:t xml:space="preserve">In fact, there is an iterative relationship between tax and revenues. That is, revenues lead to tax, being applied, which increases revenues and leads to slightly more tax and so on. The </w:t>
      </w:r>
      <w:r>
        <w:t xml:space="preserve">revenue model should </w:t>
      </w:r>
      <w:r w:rsidRPr="00332431">
        <w:t xml:space="preserve">therefore </w:t>
      </w:r>
      <w:r>
        <w:t xml:space="preserve">be </w:t>
      </w:r>
      <w:r w:rsidRPr="00332431">
        <w:t>set up to run an iterative process until the revenue and tax allowances become stable.</w:t>
      </w:r>
    </w:p>
  </w:footnote>
  <w:footnote w:id="11">
    <w:p w:rsidR="005A2AE5" w:rsidRDefault="005A2AE5" w:rsidP="0075370E">
      <w:pPr>
        <w:pStyle w:val="FootnoteText"/>
      </w:pPr>
      <w:r>
        <w:rPr>
          <w:rStyle w:val="FootnoteReference"/>
        </w:rPr>
        <w:footnoteRef/>
      </w:r>
      <w:r>
        <w:t xml:space="preserve"> </w:t>
      </w:r>
      <w:r>
        <w:tab/>
      </w:r>
      <w:r w:rsidRPr="008A212B">
        <w:t>For example, although increased opex adds to revenue requirement, these expenses are also offset against the revenues as deductions in determining tax, so there is no net impact in this case. A higher return on equity, in contrast, gives rise to no offsetting tax expenses and therefore increases the tax allowance in proportion to the company tax rate.</w:t>
      </w:r>
    </w:p>
  </w:footnote>
  <w:footnote w:id="12">
    <w:p w:rsidR="005A2AE5" w:rsidRDefault="005A2AE5" w:rsidP="0075370E">
      <w:pPr>
        <w:pStyle w:val="FootnoteText"/>
      </w:pPr>
      <w:r>
        <w:rPr>
          <w:rStyle w:val="FootnoteReference"/>
        </w:rPr>
        <w:footnoteRef/>
      </w:r>
      <w:r>
        <w:t xml:space="preserve"> </w:t>
      </w:r>
      <w:r>
        <w:tab/>
        <w:t>NGR, r. 87A.</w:t>
      </w:r>
    </w:p>
  </w:footnote>
  <w:footnote w:id="13">
    <w:p w:rsidR="00644ABD" w:rsidRDefault="00644ABD">
      <w:pPr>
        <w:pStyle w:val="FootnoteText"/>
      </w:pPr>
      <w:r>
        <w:rPr>
          <w:rStyle w:val="FootnoteReference"/>
        </w:rPr>
        <w:footnoteRef/>
      </w:r>
      <w:r>
        <w:t xml:space="preserve"> </w:t>
      </w:r>
      <w:r>
        <w:tab/>
      </w:r>
      <w:r w:rsidRPr="00644ABD">
        <w:t xml:space="preserve">JGN, </w:t>
      </w:r>
      <w:r w:rsidRPr="009531D2">
        <w:rPr>
          <w:rStyle w:val="AERtextitalic"/>
        </w:rPr>
        <w:t>Email response to information request AER JGN 025a, Submissions on JGN proposal (pricing issues) - follow up</w:t>
      </w:r>
      <w:r w:rsidRPr="00644ABD">
        <w:t>, 25 September 2014.</w:t>
      </w:r>
    </w:p>
  </w:footnote>
  <w:footnote w:id="14">
    <w:p w:rsidR="005A2AE5" w:rsidRDefault="005A2AE5" w:rsidP="0075370E">
      <w:pPr>
        <w:pStyle w:val="FootnoteText"/>
      </w:pPr>
      <w:r>
        <w:rPr>
          <w:rStyle w:val="FootnoteReference"/>
        </w:rPr>
        <w:footnoteRef/>
      </w:r>
      <w:r>
        <w:t xml:space="preserve"> </w:t>
      </w:r>
      <w:r>
        <w:tab/>
      </w:r>
      <w:r w:rsidRPr="00796A51">
        <w:rPr>
          <w:rFonts w:eastAsia="Calibri"/>
        </w:rPr>
        <w:t xml:space="preserve">AER, </w:t>
      </w:r>
      <w:r w:rsidRPr="00796A51">
        <w:rPr>
          <w:rStyle w:val="AERtextitalic"/>
          <w:rFonts w:eastAsia="Calibri"/>
        </w:rPr>
        <w:t>Final decision: JGN access arrangement 2010–15</w:t>
      </w:r>
      <w:r w:rsidRPr="00796A51">
        <w:rPr>
          <w:rFonts w:eastAsia="Calibri"/>
        </w:rPr>
        <w:t>, June 2010, p</w:t>
      </w:r>
      <w:r>
        <w:rPr>
          <w:rFonts w:eastAsia="Calibri"/>
        </w:rPr>
        <w:t>p</w:t>
      </w:r>
      <w:r w:rsidRPr="00796A51">
        <w:rPr>
          <w:rFonts w:eastAsia="Calibri"/>
        </w:rPr>
        <w:t xml:space="preserve">. </w:t>
      </w:r>
      <w:r>
        <w:rPr>
          <w:rFonts w:eastAsia="Calibri"/>
        </w:rPr>
        <w:t>205–207</w:t>
      </w:r>
      <w:r w:rsidRPr="00796A51">
        <w:rPr>
          <w:rFonts w:eastAsia="Calibri"/>
        </w:rPr>
        <w:t>.</w:t>
      </w:r>
    </w:p>
  </w:footnote>
  <w:footnote w:id="15">
    <w:p w:rsidR="005A2AE5" w:rsidRDefault="005A2AE5" w:rsidP="0075370E">
      <w:pPr>
        <w:pStyle w:val="FootnoteText"/>
      </w:pPr>
      <w:r>
        <w:rPr>
          <w:rStyle w:val="FootnoteReference"/>
        </w:rPr>
        <w:footnoteRef/>
      </w:r>
      <w:r>
        <w:t xml:space="preserve"> </w:t>
      </w:r>
      <w:r>
        <w:tab/>
      </w:r>
      <w:r w:rsidRPr="00983E31">
        <w:rPr>
          <w:rFonts w:eastAsia="Calibri"/>
        </w:rPr>
        <w:t xml:space="preserve">AER, </w:t>
      </w:r>
      <w:r>
        <w:rPr>
          <w:rStyle w:val="AERtextitalic"/>
          <w:rFonts w:eastAsia="Calibri"/>
        </w:rPr>
        <w:t>Final</w:t>
      </w:r>
      <w:r w:rsidRPr="00983E31">
        <w:rPr>
          <w:rStyle w:val="AERtextitalic"/>
          <w:rFonts w:eastAsia="Calibri"/>
        </w:rPr>
        <w:t xml:space="preserve"> decision: </w:t>
      </w:r>
      <w:r>
        <w:rPr>
          <w:rStyle w:val="AERtextitalic"/>
          <w:rFonts w:eastAsia="Calibri"/>
        </w:rPr>
        <w:t>JGN</w:t>
      </w:r>
      <w:r w:rsidRPr="00983E31">
        <w:rPr>
          <w:rStyle w:val="AERtextitalic"/>
          <w:rFonts w:eastAsia="Calibri"/>
        </w:rPr>
        <w:t xml:space="preserve"> access arrangement</w:t>
      </w:r>
      <w:r>
        <w:rPr>
          <w:rStyle w:val="AERtextitalic"/>
          <w:rFonts w:eastAsia="Calibri"/>
        </w:rPr>
        <w:t xml:space="preserve"> 2010–15</w:t>
      </w:r>
      <w:r w:rsidRPr="00983E31">
        <w:rPr>
          <w:rFonts w:eastAsia="Calibri"/>
        </w:rPr>
        <w:t xml:space="preserve">, </w:t>
      </w:r>
      <w:r>
        <w:rPr>
          <w:rFonts w:eastAsia="Calibri"/>
        </w:rPr>
        <w:t>June</w:t>
      </w:r>
      <w:r w:rsidRPr="00983E31">
        <w:rPr>
          <w:rFonts w:eastAsia="Calibri"/>
        </w:rPr>
        <w:t xml:space="preserve"> 201</w:t>
      </w:r>
      <w:r>
        <w:rPr>
          <w:rFonts w:eastAsia="Calibri"/>
        </w:rPr>
        <w:t>0, p. 14.</w:t>
      </w:r>
    </w:p>
  </w:footnote>
  <w:footnote w:id="16">
    <w:p w:rsidR="005A2AE5" w:rsidRDefault="005A2AE5" w:rsidP="0075370E">
      <w:pPr>
        <w:pStyle w:val="FootnoteText"/>
      </w:pPr>
      <w:r>
        <w:rPr>
          <w:rStyle w:val="FootnoteReference"/>
        </w:rPr>
        <w:footnoteRef/>
      </w:r>
      <w:r>
        <w:t xml:space="preserve"> </w:t>
      </w:r>
      <w:r>
        <w:tab/>
        <w:t xml:space="preserve">Australian Taxation Office, </w:t>
      </w:r>
      <w:r w:rsidRPr="00896D81">
        <w:rPr>
          <w:rStyle w:val="AERtextitalic"/>
        </w:rPr>
        <w:t>Taxation Ruling Income tax: effective life of depreciating assets (applicable from 1 July 2014)</w:t>
      </w:r>
      <w:r>
        <w:t xml:space="preserve">, August 2014, </w:t>
      </w:r>
      <w:hyperlink r:id="rId2" w:history="1">
        <w:r w:rsidRPr="009673F3">
          <w:rPr>
            <w:rStyle w:val="Hyperlink"/>
          </w:rPr>
          <w:t>http://law.ato.gov.au/atolaw/view.htm?docid=%22TXR%2FTR20144%2FNAT%2FATO%2F00001%22</w:t>
        </w:r>
      </w:hyperlink>
      <w:r>
        <w:t xml:space="preserve"> </w:t>
      </w:r>
      <w:r w:rsidRPr="00896D81">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8"/>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01B31FF"/>
    <w:multiLevelType w:val="multilevel"/>
    <w:tmpl w:val="6B1233F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8">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2BF0570"/>
    <w:multiLevelType w:val="hybridMultilevel"/>
    <w:tmpl w:val="2C38EE7E"/>
    <w:styleLink w:val="1ai"/>
    <w:lvl w:ilvl="0" w:tplc="605E865A">
      <w:start w:val="1"/>
      <w:numFmt w:val="bullet"/>
      <w:lvlText w:val=""/>
      <w:lvlJc w:val="left"/>
      <w:pPr>
        <w:tabs>
          <w:tab w:val="num" w:pos="870"/>
        </w:tabs>
        <w:ind w:left="870" w:hanging="360"/>
      </w:pPr>
      <w:rPr>
        <w:rFonts w:ascii="Wingdings" w:hAnsi="Wingdings" w:hint="default"/>
        <w:color w:val="auto"/>
        <w:sz w:val="16"/>
        <w:szCs w:val="16"/>
      </w:rPr>
    </w:lvl>
    <w:lvl w:ilvl="1" w:tplc="FFFFFFFF" w:tentative="1">
      <w:start w:val="1"/>
      <w:numFmt w:val="bullet"/>
      <w:lvlText w:val="o"/>
      <w:lvlJc w:val="left"/>
      <w:pPr>
        <w:tabs>
          <w:tab w:val="num" w:pos="1590"/>
        </w:tabs>
        <w:ind w:left="1590" w:hanging="360"/>
      </w:pPr>
      <w:rPr>
        <w:rFonts w:ascii="Courier New" w:hAnsi="Courier New" w:cs="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cs="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cs="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1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AAC6DD7"/>
    <w:multiLevelType w:val="multilevel"/>
    <w:tmpl w:val="950A1C52"/>
    <w:numStyleLink w:val="AERHeadings"/>
  </w:abstractNum>
  <w:abstractNum w:abstractNumId="12">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AEF67FF"/>
    <w:multiLevelType w:val="multilevel"/>
    <w:tmpl w:val="E1F4D8C6"/>
    <w:lvl w:ilvl="0">
      <w:start w:val="1"/>
      <w:numFmt w:val="bullet"/>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2"/>
  </w:num>
  <w:num w:numId="2">
    <w:abstractNumId w:val="6"/>
  </w:num>
  <w:num w:numId="3">
    <w:abstractNumId w:val="4"/>
  </w:num>
  <w:num w:numId="4">
    <w:abstractNumId w:val="12"/>
  </w:num>
  <w:num w:numId="5">
    <w:abstractNumId w:val="0"/>
  </w:num>
  <w:num w:numId="6">
    <w:abstractNumId w:val="8"/>
  </w:num>
  <w:num w:numId="7">
    <w:abstractNumId w:val="5"/>
  </w:num>
  <w:num w:numId="8">
    <w:abstractNumId w:val="11"/>
  </w:num>
  <w:num w:numId="9">
    <w:abstractNumId w:val="7"/>
    <w:lvlOverride w:ilvl="0">
      <w:startOverride w:val="1"/>
    </w:lvlOverride>
  </w:num>
  <w:num w:numId="10">
    <w:abstractNumId w:val="6"/>
  </w:num>
  <w:num w:numId="11">
    <w:abstractNumId w:val="11"/>
  </w:num>
  <w:num w:numId="12">
    <w:abstractNumId w:val="11"/>
  </w:num>
  <w:num w:numId="13">
    <w:abstractNumId w:val="11"/>
  </w:num>
  <w:num w:numId="14">
    <w:abstractNumId w:val="11"/>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5"/>
        <w:numFmt w:val="decimal"/>
        <w:pStyle w:val="Heading1"/>
        <w:lvlText w:val="%1%2"/>
        <w:lvlJc w:val="left"/>
        <w:pPr>
          <w:tabs>
            <w:tab w:val="num" w:pos="0"/>
          </w:tabs>
          <w:ind w:left="0" w:hanging="851"/>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3">
    <w:abstractNumId w:val="1"/>
  </w:num>
  <w:num w:numId="24">
    <w:abstractNumId w:val="1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7">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documentProtection w:formatting="1" w:enforcement="1" w:cryptProviderType="rsaFull" w:cryptAlgorithmClass="hash" w:cryptAlgorithmType="typeAny" w:cryptAlgorithmSid="4" w:cryptSpinCount="100000" w:hash="W/4LHYTARLGtT5NRfEZyR5SZXsc=" w:salt="H91uWBatQfbCL58yjo21fg=="/>
  <w:defaultTabStop w:val="720"/>
  <w:evenAndOddHeaders/>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7784\AER14 8393  Jemena Gas 2014 - operating expenditure  - AER draft decision - confidential.DOCX"/>
  </w:docVars>
  <w:rsids>
    <w:rsidRoot w:val="000C052F"/>
    <w:rsid w:val="0000077D"/>
    <w:rsid w:val="00011129"/>
    <w:rsid w:val="00013A16"/>
    <w:rsid w:val="00022493"/>
    <w:rsid w:val="00022606"/>
    <w:rsid w:val="00040599"/>
    <w:rsid w:val="00040749"/>
    <w:rsid w:val="00060877"/>
    <w:rsid w:val="00067A6E"/>
    <w:rsid w:val="000722CB"/>
    <w:rsid w:val="00091E13"/>
    <w:rsid w:val="00093E0D"/>
    <w:rsid w:val="000A1730"/>
    <w:rsid w:val="000A1CC2"/>
    <w:rsid w:val="000A333F"/>
    <w:rsid w:val="000A5342"/>
    <w:rsid w:val="000B0C71"/>
    <w:rsid w:val="000B15CA"/>
    <w:rsid w:val="000C052F"/>
    <w:rsid w:val="000C2CC6"/>
    <w:rsid w:val="000C3430"/>
    <w:rsid w:val="000C4920"/>
    <w:rsid w:val="000C5F5D"/>
    <w:rsid w:val="000C6D71"/>
    <w:rsid w:val="000D03C2"/>
    <w:rsid w:val="000D04B1"/>
    <w:rsid w:val="000D1496"/>
    <w:rsid w:val="000D401F"/>
    <w:rsid w:val="000E1A25"/>
    <w:rsid w:val="000E6418"/>
    <w:rsid w:val="000E689D"/>
    <w:rsid w:val="000F3A6A"/>
    <w:rsid w:val="001033B3"/>
    <w:rsid w:val="00105636"/>
    <w:rsid w:val="00106F84"/>
    <w:rsid w:val="00111B01"/>
    <w:rsid w:val="001168DE"/>
    <w:rsid w:val="001215CC"/>
    <w:rsid w:val="00121FBC"/>
    <w:rsid w:val="0013022D"/>
    <w:rsid w:val="00142E50"/>
    <w:rsid w:val="00147A4A"/>
    <w:rsid w:val="001543D2"/>
    <w:rsid w:val="001708CC"/>
    <w:rsid w:val="00174026"/>
    <w:rsid w:val="001836BF"/>
    <w:rsid w:val="001856EE"/>
    <w:rsid w:val="0018578C"/>
    <w:rsid w:val="00194744"/>
    <w:rsid w:val="00194C3C"/>
    <w:rsid w:val="00196100"/>
    <w:rsid w:val="001B26DC"/>
    <w:rsid w:val="001B6619"/>
    <w:rsid w:val="001C12E5"/>
    <w:rsid w:val="001D0C6B"/>
    <w:rsid w:val="001F01A6"/>
    <w:rsid w:val="001F2038"/>
    <w:rsid w:val="001F5BE2"/>
    <w:rsid w:val="001F67AF"/>
    <w:rsid w:val="00201D22"/>
    <w:rsid w:val="002023C1"/>
    <w:rsid w:val="0020711E"/>
    <w:rsid w:val="00210880"/>
    <w:rsid w:val="00212B7E"/>
    <w:rsid w:val="00213992"/>
    <w:rsid w:val="002242A6"/>
    <w:rsid w:val="002257B9"/>
    <w:rsid w:val="0022766D"/>
    <w:rsid w:val="0023137D"/>
    <w:rsid w:val="00266710"/>
    <w:rsid w:val="00271281"/>
    <w:rsid w:val="00274E61"/>
    <w:rsid w:val="002805B8"/>
    <w:rsid w:val="00291950"/>
    <w:rsid w:val="002938CE"/>
    <w:rsid w:val="00296327"/>
    <w:rsid w:val="002B5813"/>
    <w:rsid w:val="002B6640"/>
    <w:rsid w:val="002D61AC"/>
    <w:rsid w:val="002E4720"/>
    <w:rsid w:val="00303452"/>
    <w:rsid w:val="00305716"/>
    <w:rsid w:val="00311EE2"/>
    <w:rsid w:val="003153DD"/>
    <w:rsid w:val="0031732A"/>
    <w:rsid w:val="003302B9"/>
    <w:rsid w:val="003324F7"/>
    <w:rsid w:val="00334F88"/>
    <w:rsid w:val="0033654C"/>
    <w:rsid w:val="0034264C"/>
    <w:rsid w:val="00351732"/>
    <w:rsid w:val="00352941"/>
    <w:rsid w:val="0035558A"/>
    <w:rsid w:val="003668AB"/>
    <w:rsid w:val="003676B7"/>
    <w:rsid w:val="003707DB"/>
    <w:rsid w:val="003719B5"/>
    <w:rsid w:val="00375AEC"/>
    <w:rsid w:val="00376236"/>
    <w:rsid w:val="0037652C"/>
    <w:rsid w:val="003800E4"/>
    <w:rsid w:val="00380FF5"/>
    <w:rsid w:val="003841CE"/>
    <w:rsid w:val="00384D85"/>
    <w:rsid w:val="00391596"/>
    <w:rsid w:val="003A4BAC"/>
    <w:rsid w:val="003A6174"/>
    <w:rsid w:val="003A7C8A"/>
    <w:rsid w:val="003A7EE5"/>
    <w:rsid w:val="003B6BFA"/>
    <w:rsid w:val="003C0C81"/>
    <w:rsid w:val="003D1269"/>
    <w:rsid w:val="003E411D"/>
    <w:rsid w:val="003E6299"/>
    <w:rsid w:val="003F55FC"/>
    <w:rsid w:val="004005EB"/>
    <w:rsid w:val="004030AB"/>
    <w:rsid w:val="00404222"/>
    <w:rsid w:val="00404EAB"/>
    <w:rsid w:val="00410517"/>
    <w:rsid w:val="00412282"/>
    <w:rsid w:val="004256BA"/>
    <w:rsid w:val="00431999"/>
    <w:rsid w:val="00433475"/>
    <w:rsid w:val="00435682"/>
    <w:rsid w:val="00436C61"/>
    <w:rsid w:val="004478BF"/>
    <w:rsid w:val="00456081"/>
    <w:rsid w:val="00464F5D"/>
    <w:rsid w:val="00465C62"/>
    <w:rsid w:val="0046605D"/>
    <w:rsid w:val="004708F5"/>
    <w:rsid w:val="00474FBD"/>
    <w:rsid w:val="0047790E"/>
    <w:rsid w:val="0048437F"/>
    <w:rsid w:val="00491D7D"/>
    <w:rsid w:val="004964DB"/>
    <w:rsid w:val="004C115A"/>
    <w:rsid w:val="004C3F45"/>
    <w:rsid w:val="004D2E88"/>
    <w:rsid w:val="004D3B47"/>
    <w:rsid w:val="004D3FDE"/>
    <w:rsid w:val="004E40EF"/>
    <w:rsid w:val="004E73F7"/>
    <w:rsid w:val="004F0195"/>
    <w:rsid w:val="004F76A0"/>
    <w:rsid w:val="00500E7F"/>
    <w:rsid w:val="00501919"/>
    <w:rsid w:val="00510278"/>
    <w:rsid w:val="00512D17"/>
    <w:rsid w:val="00520094"/>
    <w:rsid w:val="0052179D"/>
    <w:rsid w:val="00525604"/>
    <w:rsid w:val="005311F1"/>
    <w:rsid w:val="005456A9"/>
    <w:rsid w:val="00555D52"/>
    <w:rsid w:val="005566D7"/>
    <w:rsid w:val="00561F7F"/>
    <w:rsid w:val="00564677"/>
    <w:rsid w:val="00566B35"/>
    <w:rsid w:val="005715BC"/>
    <w:rsid w:val="005732CC"/>
    <w:rsid w:val="00575422"/>
    <w:rsid w:val="005938C6"/>
    <w:rsid w:val="005A0431"/>
    <w:rsid w:val="005A2AE5"/>
    <w:rsid w:val="005A71EB"/>
    <w:rsid w:val="005A733C"/>
    <w:rsid w:val="005B2DD0"/>
    <w:rsid w:val="005B3752"/>
    <w:rsid w:val="005B61C2"/>
    <w:rsid w:val="005C5D3E"/>
    <w:rsid w:val="005D0F54"/>
    <w:rsid w:val="005D1F46"/>
    <w:rsid w:val="005D26B7"/>
    <w:rsid w:val="005D4AA1"/>
    <w:rsid w:val="005D594C"/>
    <w:rsid w:val="005E3E0C"/>
    <w:rsid w:val="005E56FE"/>
    <w:rsid w:val="0060146C"/>
    <w:rsid w:val="0060207D"/>
    <w:rsid w:val="006039F2"/>
    <w:rsid w:val="006049FB"/>
    <w:rsid w:val="006061B0"/>
    <w:rsid w:val="0060732E"/>
    <w:rsid w:val="006076A9"/>
    <w:rsid w:val="00614D8E"/>
    <w:rsid w:val="00622AE3"/>
    <w:rsid w:val="006346A7"/>
    <w:rsid w:val="00635671"/>
    <w:rsid w:val="00644ABD"/>
    <w:rsid w:val="0065014D"/>
    <w:rsid w:val="0065125A"/>
    <w:rsid w:val="006544EA"/>
    <w:rsid w:val="0066569F"/>
    <w:rsid w:val="00665CAE"/>
    <w:rsid w:val="00666F46"/>
    <w:rsid w:val="00681367"/>
    <w:rsid w:val="0069004B"/>
    <w:rsid w:val="006962A0"/>
    <w:rsid w:val="006B08EB"/>
    <w:rsid w:val="006B319B"/>
    <w:rsid w:val="006B481F"/>
    <w:rsid w:val="006C10BB"/>
    <w:rsid w:val="006D7DC9"/>
    <w:rsid w:val="006F638E"/>
    <w:rsid w:val="00703E42"/>
    <w:rsid w:val="00705F01"/>
    <w:rsid w:val="00713058"/>
    <w:rsid w:val="007211FF"/>
    <w:rsid w:val="00721D7F"/>
    <w:rsid w:val="007335FD"/>
    <w:rsid w:val="007368AD"/>
    <w:rsid w:val="00751D2A"/>
    <w:rsid w:val="0075370E"/>
    <w:rsid w:val="00754DC8"/>
    <w:rsid w:val="00755095"/>
    <w:rsid w:val="007550E1"/>
    <w:rsid w:val="00791A78"/>
    <w:rsid w:val="00796A07"/>
    <w:rsid w:val="007B0BB0"/>
    <w:rsid w:val="007B3B61"/>
    <w:rsid w:val="007B5D8B"/>
    <w:rsid w:val="007C3B99"/>
    <w:rsid w:val="007C5E48"/>
    <w:rsid w:val="007D1665"/>
    <w:rsid w:val="007E1B95"/>
    <w:rsid w:val="007F06C1"/>
    <w:rsid w:val="007F10E3"/>
    <w:rsid w:val="007F212D"/>
    <w:rsid w:val="007F2C0E"/>
    <w:rsid w:val="007F6B32"/>
    <w:rsid w:val="00804AEB"/>
    <w:rsid w:val="008216A9"/>
    <w:rsid w:val="00824CC8"/>
    <w:rsid w:val="00831491"/>
    <w:rsid w:val="00836D17"/>
    <w:rsid w:val="00840A55"/>
    <w:rsid w:val="00841E25"/>
    <w:rsid w:val="0084378B"/>
    <w:rsid w:val="008464CD"/>
    <w:rsid w:val="008515EE"/>
    <w:rsid w:val="0085249B"/>
    <w:rsid w:val="00854AEE"/>
    <w:rsid w:val="0085593A"/>
    <w:rsid w:val="0086160E"/>
    <w:rsid w:val="00861C4E"/>
    <w:rsid w:val="008664BF"/>
    <w:rsid w:val="00866D21"/>
    <w:rsid w:val="00872448"/>
    <w:rsid w:val="00872D85"/>
    <w:rsid w:val="00880D0C"/>
    <w:rsid w:val="00883DDA"/>
    <w:rsid w:val="00883F67"/>
    <w:rsid w:val="008841DB"/>
    <w:rsid w:val="00891FF9"/>
    <w:rsid w:val="00893367"/>
    <w:rsid w:val="00893D07"/>
    <w:rsid w:val="008B0479"/>
    <w:rsid w:val="008B262C"/>
    <w:rsid w:val="008B3194"/>
    <w:rsid w:val="008B4932"/>
    <w:rsid w:val="008B7956"/>
    <w:rsid w:val="008C3722"/>
    <w:rsid w:val="008C3B67"/>
    <w:rsid w:val="008C3F48"/>
    <w:rsid w:val="008D1473"/>
    <w:rsid w:val="008D2B51"/>
    <w:rsid w:val="008D49B4"/>
    <w:rsid w:val="008D7498"/>
    <w:rsid w:val="008E43EB"/>
    <w:rsid w:val="008E630D"/>
    <w:rsid w:val="00920432"/>
    <w:rsid w:val="00927984"/>
    <w:rsid w:val="00932E96"/>
    <w:rsid w:val="00933484"/>
    <w:rsid w:val="009418E6"/>
    <w:rsid w:val="0094235F"/>
    <w:rsid w:val="0094279F"/>
    <w:rsid w:val="009429FF"/>
    <w:rsid w:val="00943341"/>
    <w:rsid w:val="00946B98"/>
    <w:rsid w:val="0095052A"/>
    <w:rsid w:val="009516DF"/>
    <w:rsid w:val="009531D2"/>
    <w:rsid w:val="00957F1D"/>
    <w:rsid w:val="00963AFA"/>
    <w:rsid w:val="009658F0"/>
    <w:rsid w:val="00971655"/>
    <w:rsid w:val="00971C63"/>
    <w:rsid w:val="00972175"/>
    <w:rsid w:val="0097658F"/>
    <w:rsid w:val="00980D9B"/>
    <w:rsid w:val="00983C6C"/>
    <w:rsid w:val="00985A25"/>
    <w:rsid w:val="009A4AE9"/>
    <w:rsid w:val="009A73F2"/>
    <w:rsid w:val="009C17AC"/>
    <w:rsid w:val="009C71D5"/>
    <w:rsid w:val="009D013F"/>
    <w:rsid w:val="009D02E8"/>
    <w:rsid w:val="009D5F52"/>
    <w:rsid w:val="009E0833"/>
    <w:rsid w:val="009F6E3A"/>
    <w:rsid w:val="009F7CE4"/>
    <w:rsid w:val="00A03483"/>
    <w:rsid w:val="00A036EE"/>
    <w:rsid w:val="00A11162"/>
    <w:rsid w:val="00A1253E"/>
    <w:rsid w:val="00A3053C"/>
    <w:rsid w:val="00A37E50"/>
    <w:rsid w:val="00A37F0F"/>
    <w:rsid w:val="00A43227"/>
    <w:rsid w:val="00A46CCD"/>
    <w:rsid w:val="00A5047C"/>
    <w:rsid w:val="00A62D21"/>
    <w:rsid w:val="00A65133"/>
    <w:rsid w:val="00A652C5"/>
    <w:rsid w:val="00A73A0F"/>
    <w:rsid w:val="00A7774C"/>
    <w:rsid w:val="00A831F6"/>
    <w:rsid w:val="00A85C5A"/>
    <w:rsid w:val="00A9309D"/>
    <w:rsid w:val="00A96A08"/>
    <w:rsid w:val="00AA0161"/>
    <w:rsid w:val="00AA4CC1"/>
    <w:rsid w:val="00AB1D08"/>
    <w:rsid w:val="00AB3BE9"/>
    <w:rsid w:val="00AB4345"/>
    <w:rsid w:val="00AB472F"/>
    <w:rsid w:val="00AB5BD7"/>
    <w:rsid w:val="00AC0135"/>
    <w:rsid w:val="00AC070D"/>
    <w:rsid w:val="00AC1B94"/>
    <w:rsid w:val="00AC48A1"/>
    <w:rsid w:val="00AD0616"/>
    <w:rsid w:val="00AD34FF"/>
    <w:rsid w:val="00AD4DE6"/>
    <w:rsid w:val="00AE6DBC"/>
    <w:rsid w:val="00AE7BE2"/>
    <w:rsid w:val="00AE7C53"/>
    <w:rsid w:val="00AF3E95"/>
    <w:rsid w:val="00AF7C67"/>
    <w:rsid w:val="00B14C33"/>
    <w:rsid w:val="00B15FE9"/>
    <w:rsid w:val="00B2004B"/>
    <w:rsid w:val="00B2412C"/>
    <w:rsid w:val="00B26B38"/>
    <w:rsid w:val="00B36C53"/>
    <w:rsid w:val="00B37927"/>
    <w:rsid w:val="00B44BC6"/>
    <w:rsid w:val="00B51883"/>
    <w:rsid w:val="00B60D45"/>
    <w:rsid w:val="00B61FD4"/>
    <w:rsid w:val="00B62AFF"/>
    <w:rsid w:val="00B674DB"/>
    <w:rsid w:val="00B82E8D"/>
    <w:rsid w:val="00B8622C"/>
    <w:rsid w:val="00B9264D"/>
    <w:rsid w:val="00B94D99"/>
    <w:rsid w:val="00BB3FA1"/>
    <w:rsid w:val="00BB62BB"/>
    <w:rsid w:val="00BB6419"/>
    <w:rsid w:val="00BC05C5"/>
    <w:rsid w:val="00BC4779"/>
    <w:rsid w:val="00BC57A6"/>
    <w:rsid w:val="00BC5B1F"/>
    <w:rsid w:val="00BD04BE"/>
    <w:rsid w:val="00BD203B"/>
    <w:rsid w:val="00BD2A5A"/>
    <w:rsid w:val="00BE6F28"/>
    <w:rsid w:val="00BF1CAF"/>
    <w:rsid w:val="00BF29FA"/>
    <w:rsid w:val="00C03E5F"/>
    <w:rsid w:val="00C04D2B"/>
    <w:rsid w:val="00C122F8"/>
    <w:rsid w:val="00C1324E"/>
    <w:rsid w:val="00C21585"/>
    <w:rsid w:val="00C272B4"/>
    <w:rsid w:val="00C277B2"/>
    <w:rsid w:val="00C557F2"/>
    <w:rsid w:val="00C737C5"/>
    <w:rsid w:val="00C85F9A"/>
    <w:rsid w:val="00C90B93"/>
    <w:rsid w:val="00C91879"/>
    <w:rsid w:val="00CA0B34"/>
    <w:rsid w:val="00CA3540"/>
    <w:rsid w:val="00CA6DED"/>
    <w:rsid w:val="00CC49D4"/>
    <w:rsid w:val="00CD1010"/>
    <w:rsid w:val="00CE00A3"/>
    <w:rsid w:val="00CE6F5A"/>
    <w:rsid w:val="00CF2AD4"/>
    <w:rsid w:val="00CF42CF"/>
    <w:rsid w:val="00CF6994"/>
    <w:rsid w:val="00D04377"/>
    <w:rsid w:val="00D102E9"/>
    <w:rsid w:val="00D14AA4"/>
    <w:rsid w:val="00D1688F"/>
    <w:rsid w:val="00D20390"/>
    <w:rsid w:val="00D2117F"/>
    <w:rsid w:val="00D21A6A"/>
    <w:rsid w:val="00D25317"/>
    <w:rsid w:val="00D31E37"/>
    <w:rsid w:val="00D470CA"/>
    <w:rsid w:val="00D603A4"/>
    <w:rsid w:val="00D60821"/>
    <w:rsid w:val="00D62997"/>
    <w:rsid w:val="00D66E8B"/>
    <w:rsid w:val="00D81B53"/>
    <w:rsid w:val="00D82184"/>
    <w:rsid w:val="00D834B7"/>
    <w:rsid w:val="00D85715"/>
    <w:rsid w:val="00D85B90"/>
    <w:rsid w:val="00D85DF1"/>
    <w:rsid w:val="00D8706C"/>
    <w:rsid w:val="00DA4C62"/>
    <w:rsid w:val="00DA76E6"/>
    <w:rsid w:val="00DA7967"/>
    <w:rsid w:val="00DB6A17"/>
    <w:rsid w:val="00DD4E84"/>
    <w:rsid w:val="00DD5520"/>
    <w:rsid w:val="00DE22F1"/>
    <w:rsid w:val="00DF16C2"/>
    <w:rsid w:val="00E00F76"/>
    <w:rsid w:val="00E21E75"/>
    <w:rsid w:val="00E244E4"/>
    <w:rsid w:val="00E30377"/>
    <w:rsid w:val="00E41CD5"/>
    <w:rsid w:val="00E47128"/>
    <w:rsid w:val="00E519DC"/>
    <w:rsid w:val="00E649AC"/>
    <w:rsid w:val="00E6571F"/>
    <w:rsid w:val="00E807DA"/>
    <w:rsid w:val="00E82908"/>
    <w:rsid w:val="00E833E2"/>
    <w:rsid w:val="00E84E3A"/>
    <w:rsid w:val="00E868CF"/>
    <w:rsid w:val="00E902E6"/>
    <w:rsid w:val="00E91F70"/>
    <w:rsid w:val="00E95DF8"/>
    <w:rsid w:val="00E97CFD"/>
    <w:rsid w:val="00EA05AF"/>
    <w:rsid w:val="00EA5036"/>
    <w:rsid w:val="00EA50CD"/>
    <w:rsid w:val="00EB5CDF"/>
    <w:rsid w:val="00EC43B9"/>
    <w:rsid w:val="00ED08EA"/>
    <w:rsid w:val="00ED4963"/>
    <w:rsid w:val="00ED4D69"/>
    <w:rsid w:val="00ED6FB9"/>
    <w:rsid w:val="00EE0E2F"/>
    <w:rsid w:val="00EE362F"/>
    <w:rsid w:val="00EF0E19"/>
    <w:rsid w:val="00F01C9D"/>
    <w:rsid w:val="00F05478"/>
    <w:rsid w:val="00F06EA7"/>
    <w:rsid w:val="00F114AE"/>
    <w:rsid w:val="00F27FD7"/>
    <w:rsid w:val="00F43CA0"/>
    <w:rsid w:val="00F54216"/>
    <w:rsid w:val="00F55030"/>
    <w:rsid w:val="00F636D6"/>
    <w:rsid w:val="00F63E70"/>
    <w:rsid w:val="00F66FFC"/>
    <w:rsid w:val="00F674AC"/>
    <w:rsid w:val="00F7696F"/>
    <w:rsid w:val="00F8209B"/>
    <w:rsid w:val="00F97CD9"/>
    <w:rsid w:val="00FA0576"/>
    <w:rsid w:val="00FB4C7F"/>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qFormat="1"/>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D81B53"/>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5"/>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EndnoteText">
    <w:name w:val="endnote text"/>
    <w:basedOn w:val="Normal"/>
    <w:link w:val="EndnoteTextChar"/>
    <w:uiPriority w:val="99"/>
    <w:semiHidden/>
    <w:unhideWhenUsed/>
    <w:rsid w:val="00D20390"/>
    <w:pPr>
      <w:spacing w:after="0" w:line="240" w:lineRule="auto"/>
    </w:pPr>
  </w:style>
  <w:style w:type="character" w:customStyle="1" w:styleId="EndnoteTextChar">
    <w:name w:val="Endnote Text Char"/>
    <w:basedOn w:val="DefaultParagraphFont"/>
    <w:link w:val="EndnoteText"/>
    <w:uiPriority w:val="99"/>
    <w:semiHidden/>
    <w:rsid w:val="00D20390"/>
    <w:rPr>
      <w:lang w:eastAsia="en-US"/>
    </w:rPr>
  </w:style>
  <w:style w:type="character" w:styleId="EndnoteReference">
    <w:name w:val="endnote reference"/>
    <w:basedOn w:val="DefaultParagraphFont"/>
    <w:uiPriority w:val="99"/>
    <w:semiHidden/>
    <w:unhideWhenUsed/>
    <w:rsid w:val="00D20390"/>
    <w:rPr>
      <w:vertAlign w:val="superscript"/>
    </w:rPr>
  </w:style>
  <w:style w:type="paragraph" w:styleId="Title">
    <w:name w:val="Title"/>
    <w:next w:val="Subtitle"/>
    <w:link w:val="TitleChar"/>
    <w:uiPriority w:val="10"/>
    <w:qFormat/>
    <w:rsid w:val="00D85B90"/>
    <w:pPr>
      <w:spacing w:before="2400" w:after="1920"/>
      <w:jc w:val="center"/>
    </w:pPr>
    <w:rPr>
      <w:rFonts w:ascii="Arial" w:eastAsia="Times New Roman" w:hAnsi="Arial" w:cs="Arial"/>
      <w:b/>
      <w:bCs/>
      <w:kern w:val="28"/>
      <w:sz w:val="36"/>
      <w:szCs w:val="32"/>
      <w:lang w:eastAsia="en-US"/>
    </w:rPr>
  </w:style>
  <w:style w:type="character" w:customStyle="1" w:styleId="TitleChar">
    <w:name w:val="Title Char"/>
    <w:basedOn w:val="DefaultParagraphFont"/>
    <w:link w:val="Title"/>
    <w:uiPriority w:val="10"/>
    <w:rsid w:val="00D85B90"/>
    <w:rPr>
      <w:rFonts w:ascii="Arial" w:eastAsia="Times New Roman" w:hAnsi="Arial" w:cs="Arial"/>
      <w:b/>
      <w:bCs/>
      <w:kern w:val="28"/>
      <w:sz w:val="36"/>
      <w:szCs w:val="32"/>
      <w:lang w:eastAsia="en-US"/>
    </w:rPr>
  </w:style>
  <w:style w:type="paragraph" w:styleId="Subtitle">
    <w:name w:val="Subtitle"/>
    <w:link w:val="SubtitleChar"/>
    <w:uiPriority w:val="11"/>
    <w:qFormat/>
    <w:rsid w:val="00D85B90"/>
    <w:pPr>
      <w:spacing w:after="60"/>
      <w:jc w:val="center"/>
      <w:outlineLvl w:val="1"/>
    </w:pPr>
    <w:rPr>
      <w:rFonts w:ascii="Arial" w:eastAsia="Times New Roman" w:hAnsi="Arial" w:cs="Arial"/>
      <w:sz w:val="28"/>
      <w:szCs w:val="24"/>
      <w:lang w:eastAsia="en-US"/>
    </w:rPr>
  </w:style>
  <w:style w:type="character" w:customStyle="1" w:styleId="SubtitleChar">
    <w:name w:val="Subtitle Char"/>
    <w:basedOn w:val="DefaultParagraphFont"/>
    <w:link w:val="Subtitle"/>
    <w:uiPriority w:val="11"/>
    <w:rsid w:val="00D85B90"/>
    <w:rPr>
      <w:rFonts w:ascii="Arial" w:eastAsia="Times New Roman" w:hAnsi="Arial" w:cs="Arial"/>
      <w:sz w:val="28"/>
      <w:szCs w:val="24"/>
      <w:lang w:eastAsia="en-US"/>
    </w:rPr>
  </w:style>
  <w:style w:type="paragraph" w:styleId="Revision">
    <w:name w:val="Revision"/>
    <w:hidden/>
    <w:uiPriority w:val="99"/>
    <w:semiHidden/>
    <w:rsid w:val="00F674AC"/>
    <w:rPr>
      <w:rFonts w:eastAsia="Times New Roman"/>
      <w:szCs w:val="24"/>
    </w:rPr>
  </w:style>
  <w:style w:type="numbering" w:styleId="1ai">
    <w:name w:val="Outline List 1"/>
    <w:basedOn w:val="NoList"/>
    <w:uiPriority w:val="99"/>
    <w:semiHidden/>
    <w:unhideWhenUsed/>
    <w:locked/>
    <w:rsid w:val="00F674AC"/>
    <w:pPr>
      <w:numPr>
        <w:numId w:val="17"/>
      </w:numPr>
    </w:pPr>
  </w:style>
  <w:style w:type="paragraph" w:styleId="Quote">
    <w:name w:val="Quote"/>
    <w:basedOn w:val="Normal"/>
    <w:next w:val="Normal"/>
    <w:link w:val="QuoteChar"/>
    <w:uiPriority w:val="29"/>
    <w:qFormat/>
    <w:rsid w:val="00F674AC"/>
    <w:pPr>
      <w:spacing w:after="0" w:line="240" w:lineRule="auto"/>
      <w:jc w:val="left"/>
    </w:pPr>
    <w:rPr>
      <w:rFonts w:ascii="Times New Roman" w:eastAsia="Times New Roman" w:hAnsi="Times New Roman"/>
      <w:i/>
      <w:iCs/>
      <w:color w:val="000000"/>
      <w:sz w:val="24"/>
      <w:szCs w:val="24"/>
      <w:lang w:eastAsia="en-AU"/>
    </w:rPr>
  </w:style>
  <w:style w:type="character" w:customStyle="1" w:styleId="QuoteChar">
    <w:name w:val="Quote Char"/>
    <w:basedOn w:val="DefaultParagraphFont"/>
    <w:link w:val="Quote"/>
    <w:uiPriority w:val="29"/>
    <w:rsid w:val="00F674AC"/>
    <w:rPr>
      <w:rFonts w:ascii="Times New Roman" w:eastAsia="Times New Roman" w:hAnsi="Times New Roman"/>
      <w:i/>
      <w:iCs/>
      <w:color w:val="000000"/>
      <w:sz w:val="24"/>
      <w:szCs w:val="24"/>
    </w:rPr>
  </w:style>
  <w:style w:type="paragraph" w:styleId="NoSpacing">
    <w:name w:val="No Spacing"/>
    <w:uiPriority w:val="1"/>
    <w:qFormat/>
    <w:rsid w:val="00F674AC"/>
    <w:pPr>
      <w:jc w:val="both"/>
    </w:pPr>
    <w:rPr>
      <w:rFonts w:eastAsia="Times New Roman"/>
      <w:szCs w:val="24"/>
    </w:rPr>
  </w:style>
  <w:style w:type="character" w:styleId="FollowedHyperlink">
    <w:name w:val="FollowedHyperlink"/>
    <w:basedOn w:val="DefaultParagraphFont"/>
    <w:uiPriority w:val="99"/>
    <w:semiHidden/>
    <w:unhideWhenUsed/>
    <w:rsid w:val="00F674AC"/>
    <w:rPr>
      <w:color w:val="800080"/>
      <w:u w:val="single"/>
    </w:rPr>
  </w:style>
  <w:style w:type="paragraph" w:styleId="DocumentMap">
    <w:name w:val="Document Map"/>
    <w:basedOn w:val="Normal"/>
    <w:link w:val="DocumentMapChar"/>
    <w:uiPriority w:val="99"/>
    <w:semiHidden/>
    <w:unhideWhenUsed/>
    <w:rsid w:val="00F674AC"/>
    <w:pPr>
      <w:spacing w:after="0" w:line="240" w:lineRule="auto"/>
      <w:jc w:val="left"/>
    </w:pPr>
    <w:rPr>
      <w:rFonts w:ascii="Tahoma" w:eastAsia="Times New Roman" w:hAnsi="Tahoma" w:cs="Tahoma"/>
      <w:sz w:val="16"/>
      <w:szCs w:val="16"/>
      <w:lang w:eastAsia="en-AU"/>
    </w:rPr>
  </w:style>
  <w:style w:type="character" w:customStyle="1" w:styleId="DocumentMapChar">
    <w:name w:val="Document Map Char"/>
    <w:basedOn w:val="DefaultParagraphFont"/>
    <w:link w:val="DocumentMap"/>
    <w:uiPriority w:val="99"/>
    <w:semiHidden/>
    <w:rsid w:val="00F674AC"/>
    <w:rPr>
      <w:rFonts w:ascii="Tahoma" w:eastAsia="Times New Roman" w:hAnsi="Tahoma" w:cs="Tahoma"/>
      <w:sz w:val="16"/>
      <w:szCs w:val="16"/>
    </w:rPr>
  </w:style>
  <w:style w:type="paragraph" w:styleId="ListBullet">
    <w:name w:val="List Bullet"/>
    <w:basedOn w:val="Normal"/>
    <w:uiPriority w:val="99"/>
    <w:semiHidden/>
    <w:unhideWhenUsed/>
    <w:locked/>
    <w:rsid w:val="00F674AC"/>
    <w:pPr>
      <w:tabs>
        <w:tab w:val="num" w:pos="0"/>
      </w:tabs>
      <w:spacing w:after="0" w:line="240" w:lineRule="auto"/>
      <w:contextualSpacing/>
      <w:jc w:val="left"/>
    </w:pPr>
    <w:rPr>
      <w:rFonts w:ascii="Times New Roman" w:eastAsia="Times New Roman" w:hAnsi="Times New Roman"/>
      <w:sz w:val="24"/>
      <w:szCs w:val="24"/>
      <w:lang w:eastAsia="en-AU"/>
    </w:rPr>
  </w:style>
  <w:style w:type="character" w:styleId="IntenseReference">
    <w:name w:val="Intense Reference"/>
    <w:uiPriority w:val="32"/>
    <w:qFormat/>
    <w:rsid w:val="00F674AC"/>
    <w:rPr>
      <w:smallCaps/>
      <w:spacing w:val="5"/>
      <w:u w:val="single"/>
    </w:rPr>
  </w:style>
  <w:style w:type="character" w:styleId="PlaceholderText">
    <w:name w:val="Placeholder Text"/>
    <w:basedOn w:val="DefaultParagraphFont"/>
    <w:uiPriority w:val="99"/>
    <w:unhideWhenUsed/>
    <w:rsid w:val="00F674AC"/>
    <w:rPr>
      <w:color w:val="808080"/>
    </w:rPr>
  </w:style>
  <w:style w:type="paragraph" w:styleId="ListNumber2">
    <w:name w:val="List Number 2"/>
    <w:basedOn w:val="Normal"/>
    <w:uiPriority w:val="99"/>
    <w:semiHidden/>
    <w:unhideWhenUsed/>
    <w:locked/>
    <w:rsid w:val="001B26DC"/>
    <w:pPr>
      <w:tabs>
        <w:tab w:val="num" w:pos="0"/>
      </w:tabs>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 w:type="numbering" w:customStyle="1" w:styleId="Heading3Char">
    <w:name w:val="1ai"/>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4520">
      <w:bodyDiv w:val="1"/>
      <w:marLeft w:val="0"/>
      <w:marRight w:val="0"/>
      <w:marTop w:val="0"/>
      <w:marBottom w:val="0"/>
      <w:divBdr>
        <w:top w:val="none" w:sz="0" w:space="0" w:color="auto"/>
        <w:left w:val="none" w:sz="0" w:space="0" w:color="auto"/>
        <w:bottom w:val="none" w:sz="0" w:space="0" w:color="auto"/>
        <w:right w:val="none" w:sz="0" w:space="0" w:color="auto"/>
      </w:divBdr>
    </w:div>
    <w:div w:id="306857222">
      <w:bodyDiv w:val="1"/>
      <w:marLeft w:val="0"/>
      <w:marRight w:val="0"/>
      <w:marTop w:val="0"/>
      <w:marBottom w:val="0"/>
      <w:divBdr>
        <w:top w:val="none" w:sz="0" w:space="0" w:color="auto"/>
        <w:left w:val="none" w:sz="0" w:space="0" w:color="auto"/>
        <w:bottom w:val="none" w:sz="0" w:space="0" w:color="auto"/>
        <w:right w:val="none" w:sz="0" w:space="0" w:color="auto"/>
      </w:divBdr>
    </w:div>
    <w:div w:id="741605736">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361979677">
      <w:bodyDiv w:val="1"/>
      <w:marLeft w:val="0"/>
      <w:marRight w:val="0"/>
      <w:marTop w:val="0"/>
      <w:marBottom w:val="0"/>
      <w:divBdr>
        <w:top w:val="none" w:sz="0" w:space="0" w:color="auto"/>
        <w:left w:val="none" w:sz="0" w:space="0" w:color="auto"/>
        <w:bottom w:val="none" w:sz="0" w:space="0" w:color="auto"/>
        <w:right w:val="none" w:sz="0" w:space="0" w:color="auto"/>
      </w:divBdr>
    </w:div>
    <w:div w:id="1540052541">
      <w:bodyDiv w:val="1"/>
      <w:marLeft w:val="0"/>
      <w:marRight w:val="0"/>
      <w:marTop w:val="0"/>
      <w:marBottom w:val="0"/>
      <w:divBdr>
        <w:top w:val="none" w:sz="0" w:space="0" w:color="auto"/>
        <w:left w:val="none" w:sz="0" w:space="0" w:color="auto"/>
        <w:bottom w:val="none" w:sz="0" w:space="0" w:color="auto"/>
        <w:right w:val="none" w:sz="0" w:space="0" w:color="auto"/>
      </w:divBdr>
    </w:div>
    <w:div w:id="201965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law.ato.gov.au/atolaw/view.htm?docid=%22TXR%2FTR20144%2FNAT%2FATO%2F00001%22" TargetMode="External"/><Relationship Id="rId1" Type="http://schemas.openxmlformats.org/officeDocument/2006/relationships/hyperlink" Target="http://law.ato.gov.au/atolaw/view.htm?docid=%22TXR%2FTR20144%2FNAT%2FATO%2F0000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3BE4543D.dotm</Template>
  <TotalTime>0</TotalTime>
  <Pages>13</Pages>
  <Words>2700</Words>
  <Characters>15392</Characters>
  <Application>Microsoft Office Word</Application>
  <DocSecurity>0</DocSecurity>
  <Lines>128</Lines>
  <Paragraphs>36</Paragraphs>
  <ScaleCrop>false</ScaleCrop>
  <Company/>
  <LinksUpToDate>false</LinksUpToDate>
  <CharactersWithSpaces>18056</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2014-11-26T04:09:00Z</dcterms:created>
  <dcterms:modified xsi:type="dcterms:W3CDTF">2014-11-26T04:09:00Z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8308352</vt:lpwstr>
  </property>
</Properties>
</file>