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E19" w:rsidRDefault="00EF0E19" w:rsidP="00EF0E19">
      <w:pPr>
        <w:pStyle w:val="AERtitle1"/>
      </w:pPr>
      <w:bookmarkStart w:id="0" w:name="_GoBack"/>
      <w:bookmarkEnd w:id="0"/>
      <w:r w:rsidRPr="00824CC8">
        <w:rPr>
          <w:noProof/>
        </w:rPr>
        <w:drawing>
          <wp:anchor distT="0" distB="0" distL="114300" distR="114300" simplePos="0" relativeHeight="251664384" behindDoc="1" locked="0" layoutInCell="1" allowOverlap="1" wp14:anchorId="5B58247F" wp14:editId="5F7CFAFF">
            <wp:simplePos x="0" y="0"/>
            <wp:positionH relativeFrom="column">
              <wp:posOffset>-948513</wp:posOffset>
            </wp:positionH>
            <wp:positionV relativeFrom="paragraph">
              <wp:posOffset>-946298</wp:posOffset>
            </wp:positionV>
            <wp:extent cx="7657657" cy="10792047"/>
            <wp:effectExtent l="19050" t="0" r="443"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657" cy="10792047"/>
                    </a:xfrm>
                    <a:prstGeom prst="rect">
                      <a:avLst/>
                    </a:prstGeom>
                    <a:noFill/>
                    <a:ln w="9525">
                      <a:noFill/>
                      <a:miter lim="800000"/>
                      <a:headEnd/>
                      <a:tailEnd/>
                    </a:ln>
                  </pic:spPr>
                </pic:pic>
              </a:graphicData>
            </a:graphic>
          </wp:anchor>
        </w:drawing>
      </w:r>
    </w:p>
    <w:p w:rsidR="00EF0E19" w:rsidRDefault="00EF0E19" w:rsidP="00EF0E19">
      <w:pPr>
        <w:pStyle w:val="AERtitle1"/>
      </w:pPr>
    </w:p>
    <w:p w:rsidR="00EF0E19" w:rsidRDefault="00EF0E19" w:rsidP="00EF0E19">
      <w:pPr>
        <w:pStyle w:val="AERtitle1"/>
      </w:pPr>
    </w:p>
    <w:p w:rsidR="00EF0E19" w:rsidRDefault="00EF0E19" w:rsidP="00EF0E19">
      <w:pPr>
        <w:pStyle w:val="AERtitle1"/>
      </w:pPr>
    </w:p>
    <w:p w:rsidR="00EF0E19" w:rsidRDefault="00EF0E19" w:rsidP="00EF0E19">
      <w:pPr>
        <w:pStyle w:val="AERtitle1"/>
      </w:pPr>
    </w:p>
    <w:p w:rsidR="00EF0E19" w:rsidRDefault="00EF0E19" w:rsidP="00EF0E19">
      <w:pPr>
        <w:pStyle w:val="AERtitle1"/>
      </w:pPr>
      <w:r>
        <w:t xml:space="preserve">Draft </w:t>
      </w:r>
      <w:r w:rsidR="00525604">
        <w:t>decision</w:t>
      </w:r>
    </w:p>
    <w:p w:rsidR="00465C62" w:rsidRDefault="00E82908" w:rsidP="00EF0E19">
      <w:pPr>
        <w:pStyle w:val="AERtitle1"/>
      </w:pPr>
      <w:r>
        <w:t>Jemena Gas Networks</w:t>
      </w:r>
      <w:r w:rsidR="00465C62">
        <w:t xml:space="preserve"> </w:t>
      </w:r>
      <w:r w:rsidR="009429FF">
        <w:t>(NSW) Ltd</w:t>
      </w:r>
    </w:p>
    <w:p w:rsidR="007F06C1" w:rsidRDefault="00465C62" w:rsidP="00EF0E19">
      <w:pPr>
        <w:pStyle w:val="AERtitle1"/>
      </w:pPr>
      <w:r>
        <w:t>Access arrangement</w:t>
      </w:r>
      <w:r w:rsidR="009429FF">
        <w:t xml:space="preserve"> 2015–20</w:t>
      </w:r>
    </w:p>
    <w:p w:rsidR="007F06C1" w:rsidRDefault="007F06C1" w:rsidP="007F06C1">
      <w:pPr>
        <w:pStyle w:val="AERtitle1"/>
      </w:pPr>
    </w:p>
    <w:p w:rsidR="00EF0E19" w:rsidRDefault="007F06C1" w:rsidP="007F06C1">
      <w:pPr>
        <w:pStyle w:val="AERtitle1"/>
      </w:pPr>
      <w:r>
        <w:t xml:space="preserve">Attachment </w:t>
      </w:r>
      <w:r w:rsidR="00F674AC">
        <w:t>2</w:t>
      </w:r>
      <w:r>
        <w:t xml:space="preserve"> – </w:t>
      </w:r>
      <w:r w:rsidR="00F674AC">
        <w:t>Capital base</w:t>
      </w:r>
    </w:p>
    <w:p w:rsidR="00EF0E19" w:rsidRDefault="00EF0E19" w:rsidP="00EF0E19"/>
    <w:p w:rsidR="00EF0E19" w:rsidRPr="00F6235D" w:rsidRDefault="00EF0E19" w:rsidP="00EF0E19"/>
    <w:p w:rsidR="009429FF" w:rsidRDefault="009429FF" w:rsidP="00EF0E19">
      <w:pPr>
        <w:pStyle w:val="AERtitle2"/>
      </w:pPr>
    </w:p>
    <w:p w:rsidR="00EF0E19" w:rsidRPr="00F6235D" w:rsidRDefault="007F06C1" w:rsidP="00EF0E19">
      <w:pPr>
        <w:pStyle w:val="AERtitle2"/>
      </w:pPr>
      <w:r>
        <w:t>November</w:t>
      </w:r>
      <w:r w:rsidR="00525604">
        <w:t xml:space="preserve"> </w:t>
      </w:r>
      <w:r w:rsidR="00EF0E19">
        <w:t>20</w:t>
      </w:r>
      <w:r w:rsidR="00525604">
        <w:t>14</w:t>
      </w:r>
    </w:p>
    <w:p w:rsidR="00EF0E19" w:rsidRPr="00F6235D" w:rsidRDefault="00EF0E19" w:rsidP="00EF0E19">
      <w:r w:rsidRPr="00F6235D">
        <w:t xml:space="preserve"> </w:t>
      </w:r>
    </w:p>
    <w:p w:rsidR="00EF0E19" w:rsidRPr="00EF0E19" w:rsidRDefault="00EF0E19" w:rsidP="00EF0E19">
      <w:pPr>
        <w:rPr>
          <w:rStyle w:val="AERtextbold"/>
        </w:rPr>
      </w:pPr>
      <w:r>
        <w:rPr>
          <w:rStyle w:val="AERtextbold"/>
        </w:rPr>
        <w:br w:type="page"/>
      </w:r>
    </w:p>
    <w:p w:rsidR="00EF0E19" w:rsidRPr="008F1A4A" w:rsidRDefault="00EF0E19" w:rsidP="00F97CD9">
      <w:pPr>
        <w:pStyle w:val="AERbodytextnospace"/>
        <w:rPr>
          <w:rStyle w:val="AERtextbold"/>
        </w:rPr>
      </w:pPr>
      <w:r w:rsidRPr="008F1A4A">
        <w:rPr>
          <w:rStyle w:val="AERtextbold"/>
        </w:rPr>
        <w:lastRenderedPageBreak/>
        <w:t>© Commonwealth of Australia 201</w:t>
      </w:r>
      <w:r w:rsidR="00525604">
        <w:rPr>
          <w:rStyle w:val="AERtextbold"/>
        </w:rPr>
        <w:t>4</w:t>
      </w:r>
    </w:p>
    <w:p w:rsidR="008E43EB" w:rsidRDefault="00EF0E19" w:rsidP="008E43EB">
      <w:r w:rsidRPr="00F6235D">
        <w:t xml:space="preserve">This work is copyright. Apart from any use permitted by the Copyright Act 1968, </w:t>
      </w:r>
      <w:r w:rsidR="008E43EB" w:rsidRPr="008E43EB">
        <w:t>all material contained within this work is provided under a Creative Commons Attribution 3.0 Australia licence</w:t>
      </w:r>
      <w:r w:rsidR="008E43EB">
        <w:t xml:space="preserve"> </w:t>
      </w:r>
      <w:r w:rsidR="008E43EB" w:rsidRPr="008E43EB">
        <w:t>with the exception of:</w:t>
      </w:r>
    </w:p>
    <w:p w:rsidR="008E43EB" w:rsidRDefault="008E43EB" w:rsidP="008E43EB">
      <w:pPr>
        <w:pStyle w:val="AERbulletlistsecondstyle"/>
      </w:pPr>
      <w:r>
        <w:t>Commonwealth Coat of Arms</w:t>
      </w:r>
    </w:p>
    <w:p w:rsidR="008E43EB" w:rsidRDefault="008E43EB" w:rsidP="008E43EB">
      <w:pPr>
        <w:pStyle w:val="AERbulletlistsecondstyle"/>
      </w:pPr>
      <w:r>
        <w:t>the ACCC and AER logos</w:t>
      </w:r>
    </w:p>
    <w:p w:rsidR="008E43EB" w:rsidRPr="008E43EB" w:rsidRDefault="008E43EB" w:rsidP="008E43EB">
      <w:pPr>
        <w:pStyle w:val="AERbulletlistsecondstyle"/>
      </w:pPr>
      <w:r w:rsidRPr="008E43EB">
        <w:t>any illustration, diagram, photograph or graphic over which the Australian Competition and Consumer Commission does not hold copyright, but which may be part of or contained within this publication</w:t>
      </w:r>
    </w:p>
    <w:p w:rsidR="008E43EB" w:rsidRPr="008E43EB" w:rsidRDefault="008E43EB" w:rsidP="008E43EB">
      <w:pPr>
        <w:pStyle w:val="AERbodytext"/>
      </w:pPr>
      <w:r w:rsidRPr="008E43EB">
        <w:t>The details of the relevant licence conditions are available on the Creative Commons website, as is the full legal code for the CC BY 3.0 AU licence.</w:t>
      </w:r>
    </w:p>
    <w:p w:rsidR="008E43EB" w:rsidRPr="008E43EB" w:rsidRDefault="008E43EB" w:rsidP="008E43EB">
      <w:pPr>
        <w:pStyle w:val="AERbodytext"/>
      </w:pPr>
      <w:r w:rsidRPr="008E43EB">
        <w:t xml:space="preserve">Requests and inquiries concerning reproduction and rights should be addressed to the Director, Corporate Communications, ACCC, GPO Box 3131, Canberra ACT 2601, or </w:t>
      </w:r>
      <w:hyperlink r:id="rId9" w:history="1">
        <w:r w:rsidRPr="008E43EB">
          <w:rPr>
            <w:rStyle w:val="Hyperlink"/>
          </w:rPr>
          <w:t>publishing.unit@accc.gov.au</w:t>
        </w:r>
      </w:hyperlink>
      <w:r w:rsidRPr="008E43EB">
        <w:t xml:space="preserve"> .</w:t>
      </w:r>
    </w:p>
    <w:p w:rsidR="008E43EB" w:rsidRDefault="008E43EB" w:rsidP="008E43EB">
      <w:pPr>
        <w:pStyle w:val="AERbodytext"/>
      </w:pPr>
      <w:r w:rsidRPr="008E43EB">
        <w:t>Inquiries about this decision should be addressed to:</w:t>
      </w:r>
    </w:p>
    <w:p w:rsidR="00EF0E19" w:rsidRDefault="00EF0E19" w:rsidP="008E43EB">
      <w:pPr>
        <w:pStyle w:val="AERbodytext"/>
        <w:numPr>
          <w:ilvl w:val="0"/>
          <w:numId w:val="0"/>
        </w:numPr>
      </w:pPr>
      <w:r>
        <w:t>Australian Energy Regulator</w:t>
      </w:r>
    </w:p>
    <w:p w:rsidR="00EF0E19" w:rsidRDefault="00EF0E19" w:rsidP="00F97CD9">
      <w:pPr>
        <w:pStyle w:val="AERbodytextnospace"/>
      </w:pPr>
      <w:r>
        <w:t>GPO Box 520</w:t>
      </w:r>
    </w:p>
    <w:p w:rsidR="00EF0E19" w:rsidRDefault="00EF0E19" w:rsidP="00F97CD9">
      <w:pPr>
        <w:pStyle w:val="AERbodytextnospace"/>
      </w:pPr>
      <w:r>
        <w:t>Melbourne  Vic  3001</w:t>
      </w:r>
    </w:p>
    <w:p w:rsidR="00EF0E19" w:rsidRDefault="00EF0E19" w:rsidP="00F97CD9">
      <w:pPr>
        <w:pStyle w:val="AERbodytextnospace"/>
      </w:pPr>
      <w:r>
        <w:t>Tel: (03) 9290 1444</w:t>
      </w:r>
    </w:p>
    <w:p w:rsidR="00EF0E19" w:rsidRDefault="00EF0E19" w:rsidP="00F97CD9">
      <w:pPr>
        <w:pStyle w:val="AERbodytextnospace"/>
      </w:pPr>
      <w:r>
        <w:t>Fax: (03) 9290 1457</w:t>
      </w:r>
    </w:p>
    <w:p w:rsidR="00EF0E19" w:rsidRDefault="00EF0E19" w:rsidP="00F97CD9">
      <w:pPr>
        <w:pStyle w:val="AERbodytextnospace"/>
      </w:pPr>
      <w:r>
        <w:t xml:space="preserve">Email: </w:t>
      </w:r>
      <w:hyperlink r:id="rId10" w:history="1">
        <w:r w:rsidRPr="003E184A">
          <w:rPr>
            <w:rStyle w:val="Hyperlink"/>
          </w:rPr>
          <w:t>AERInquiry@aer.gov.au</w:t>
        </w:r>
      </w:hyperlink>
    </w:p>
    <w:p w:rsidR="00EF0E19" w:rsidRPr="008F1A4A" w:rsidRDefault="00EF0E19" w:rsidP="00EF0E19"/>
    <w:p w:rsidR="00EF0E19" w:rsidRDefault="00EF0E19" w:rsidP="00EF0E19">
      <w:r>
        <w:t xml:space="preserve">AER reference:   </w:t>
      </w:r>
      <w:r w:rsidR="009903BE">
        <w:t>51741</w:t>
      </w:r>
    </w:p>
    <w:p w:rsidR="003324F7" w:rsidRDefault="003324F7"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1168DE" w:rsidRPr="00627323" w:rsidRDefault="001168DE" w:rsidP="001168DE">
      <w:pPr>
        <w:pStyle w:val="UnnumberedHeading"/>
        <w:numPr>
          <w:ilvl w:val="0"/>
          <w:numId w:val="8"/>
        </w:numPr>
        <w:rPr>
          <w:rStyle w:val="AERtextblue"/>
        </w:rPr>
      </w:pPr>
      <w:bookmarkStart w:id="1" w:name="_Toc404152781"/>
      <w:bookmarkStart w:id="2" w:name="_Toc404155792"/>
      <w:bookmarkStart w:id="3" w:name="_Toc404256793"/>
      <w:r w:rsidRPr="00627323">
        <w:rPr>
          <w:rStyle w:val="AERtextblue"/>
          <w:color w:val="E36C0A"/>
        </w:rPr>
        <w:lastRenderedPageBreak/>
        <w:t>Note</w:t>
      </w:r>
      <w:bookmarkEnd w:id="1"/>
      <w:bookmarkEnd w:id="2"/>
      <w:bookmarkEnd w:id="3"/>
    </w:p>
    <w:p w:rsidR="001168DE" w:rsidRDefault="001168DE" w:rsidP="001168DE">
      <w:r>
        <w:t>This attachment forms part of the AER's draft decision on Jemena Gas Networks</w:t>
      </w:r>
      <w:r w:rsidR="00C86695">
        <w:t>'</w:t>
      </w:r>
      <w:r>
        <w:t xml:space="preserve"> 2015–20 access arrangement. It should be read with other parts of the draft decision.</w:t>
      </w:r>
    </w:p>
    <w:p w:rsidR="001168DE" w:rsidRDefault="001168DE" w:rsidP="001168DE">
      <w:r>
        <w:t>The draft decision includes the following documents:</w:t>
      </w:r>
    </w:p>
    <w:p w:rsidR="001168DE" w:rsidRDefault="001168DE" w:rsidP="001168DE">
      <w:r>
        <w:t>Overview</w:t>
      </w:r>
    </w:p>
    <w:p w:rsidR="001168DE" w:rsidRDefault="001168DE" w:rsidP="001168DE">
      <w:r>
        <w:t>Attachment 1 – services covered by the access arrangement</w:t>
      </w:r>
    </w:p>
    <w:p w:rsidR="001168DE" w:rsidRDefault="001168DE" w:rsidP="001168DE">
      <w:r>
        <w:t>Attachment 2 – capital base</w:t>
      </w:r>
    </w:p>
    <w:p w:rsidR="001168DE" w:rsidRDefault="001168DE" w:rsidP="001168DE">
      <w:r>
        <w:t>Attachment 3 – rate of return</w:t>
      </w:r>
    </w:p>
    <w:p w:rsidR="001168DE" w:rsidRDefault="001168DE" w:rsidP="001168DE">
      <w:r>
        <w:t>Attachment 4 – value of imputation credits</w:t>
      </w:r>
    </w:p>
    <w:p w:rsidR="001168DE" w:rsidRDefault="001168DE" w:rsidP="001168DE">
      <w:r>
        <w:t>Attachment 5 – regulatory depreciation</w:t>
      </w:r>
    </w:p>
    <w:p w:rsidR="001168DE" w:rsidRDefault="001168DE" w:rsidP="001168DE">
      <w:r>
        <w:t>Attachment 6 – capital expenditure</w:t>
      </w:r>
      <w:r w:rsidRPr="0012445F">
        <w:t xml:space="preserve"> </w:t>
      </w:r>
    </w:p>
    <w:p w:rsidR="001168DE" w:rsidRDefault="001168DE" w:rsidP="001168DE">
      <w:r>
        <w:t>Attachment 7 – operating expenditure</w:t>
      </w:r>
    </w:p>
    <w:p w:rsidR="001168DE" w:rsidRDefault="001168DE" w:rsidP="001168DE">
      <w:r>
        <w:t>Attachment 8 – corporate income tax</w:t>
      </w:r>
    </w:p>
    <w:p w:rsidR="00C86695" w:rsidRDefault="00C86695" w:rsidP="00C86695">
      <w:r>
        <w:t>Attachment 9 – efficiency carryover mechanism</w:t>
      </w:r>
    </w:p>
    <w:p w:rsidR="001168DE" w:rsidRDefault="001168DE" w:rsidP="001168DE">
      <w:r w:rsidRPr="00DF268E">
        <w:t xml:space="preserve">Attachment </w:t>
      </w:r>
      <w:r>
        <w:t>10</w:t>
      </w:r>
      <w:r w:rsidRPr="00DF268E">
        <w:t xml:space="preserve"> –</w:t>
      </w:r>
      <w:r>
        <w:t xml:space="preserve"> reference tariff setting</w:t>
      </w:r>
    </w:p>
    <w:p w:rsidR="001168DE" w:rsidRDefault="001168DE" w:rsidP="001168DE">
      <w:r w:rsidRPr="00DF268E">
        <w:t>Attachment 1</w:t>
      </w:r>
      <w:r>
        <w:t>1 – reference tariff variation mechanism</w:t>
      </w:r>
    </w:p>
    <w:p w:rsidR="001168DE" w:rsidRDefault="001168DE" w:rsidP="001168DE">
      <w:r w:rsidRPr="00DF268E">
        <w:t>Attachment 1</w:t>
      </w:r>
      <w:r>
        <w:t>2</w:t>
      </w:r>
      <w:r w:rsidRPr="00DF268E">
        <w:t xml:space="preserve"> –</w:t>
      </w:r>
      <w:r>
        <w:t xml:space="preserve"> non-tariff components</w:t>
      </w:r>
    </w:p>
    <w:p w:rsidR="009903BE" w:rsidRPr="0012445F" w:rsidRDefault="009903BE" w:rsidP="001168DE">
      <w:r>
        <w:t xml:space="preserve">Attachment 13 – demand </w:t>
      </w: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F54216" w:rsidRDefault="00F54216" w:rsidP="00525604">
      <w:pPr>
        <w:pStyle w:val="AERbodytext"/>
        <w:numPr>
          <w:ilvl w:val="0"/>
          <w:numId w:val="0"/>
        </w:numPr>
      </w:pPr>
    </w:p>
    <w:p w:rsidR="00525604" w:rsidRDefault="00525604" w:rsidP="00525604">
      <w:pPr>
        <w:pStyle w:val="AERbodytext"/>
        <w:numPr>
          <w:ilvl w:val="0"/>
          <w:numId w:val="0"/>
        </w:numPr>
      </w:pPr>
    </w:p>
    <w:p w:rsidR="00525604" w:rsidRDefault="00525604" w:rsidP="00F54216">
      <w:pPr>
        <w:pStyle w:val="UnnumberedHeading"/>
      </w:pPr>
      <w:bookmarkStart w:id="4" w:name="_Toc404256794"/>
      <w:r>
        <w:lastRenderedPageBreak/>
        <w:t>Contents</w:t>
      </w:r>
      <w:bookmarkEnd w:id="4"/>
    </w:p>
    <w:sdt>
      <w:sdtPr>
        <w:rPr>
          <w:rFonts w:ascii="Gautami" w:eastAsia="Calibri" w:hAnsi="Gautami"/>
          <w:b w:val="0"/>
          <w:bCs w:val="0"/>
          <w:color w:val="auto"/>
          <w:sz w:val="20"/>
          <w:szCs w:val="20"/>
          <w:lang w:val="en-AU"/>
        </w:rPr>
        <w:id w:val="2131349066"/>
        <w:docPartObj>
          <w:docPartGallery w:val="Table of Contents"/>
          <w:docPartUnique/>
        </w:docPartObj>
      </w:sdtPr>
      <w:sdtEndPr/>
      <w:sdtContent>
        <w:p w:rsidR="00235F70" w:rsidRDefault="0084378B" w:rsidP="00103B25">
          <w:pPr>
            <w:pStyle w:val="TOCHeading"/>
            <w:rPr>
              <w:rFonts w:asciiTheme="minorHAnsi" w:eastAsiaTheme="minorEastAsia" w:hAnsiTheme="minorHAnsi" w:cstheme="minorBidi"/>
              <w:b w:val="0"/>
              <w:bCs w:val="0"/>
              <w:noProof/>
              <w:sz w:val="22"/>
              <w:szCs w:val="22"/>
              <w:lang w:eastAsia="en-AU"/>
            </w:rPr>
          </w:pPr>
          <w:r w:rsidRPr="0084378B">
            <w:fldChar w:fldCharType="begin"/>
          </w:r>
          <w:r w:rsidRPr="0084378B">
            <w:instrText xml:space="preserve"> TOC \o "1-3" \h \z \u </w:instrText>
          </w:r>
          <w:r w:rsidRPr="0084378B">
            <w:fldChar w:fldCharType="separate"/>
          </w:r>
        </w:p>
        <w:p w:rsidR="00235F70" w:rsidRDefault="00076455">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256794" w:history="1">
            <w:r w:rsidR="00235F70" w:rsidRPr="000D531A">
              <w:rPr>
                <w:rStyle w:val="Hyperlink"/>
                <w:noProof/>
              </w:rPr>
              <w:t>Contents</w:t>
            </w:r>
            <w:r w:rsidR="00235F70">
              <w:rPr>
                <w:noProof/>
                <w:webHidden/>
              </w:rPr>
              <w:tab/>
            </w:r>
            <w:r w:rsidR="00235F70">
              <w:rPr>
                <w:noProof/>
                <w:webHidden/>
              </w:rPr>
              <w:fldChar w:fldCharType="begin"/>
            </w:r>
            <w:r w:rsidR="00235F70">
              <w:rPr>
                <w:noProof/>
                <w:webHidden/>
              </w:rPr>
              <w:instrText xml:space="preserve"> PAGEREF _Toc404256794 \h </w:instrText>
            </w:r>
            <w:r w:rsidR="00235F70">
              <w:rPr>
                <w:noProof/>
                <w:webHidden/>
              </w:rPr>
            </w:r>
            <w:r w:rsidR="00235F70">
              <w:rPr>
                <w:noProof/>
                <w:webHidden/>
              </w:rPr>
              <w:fldChar w:fldCharType="separate"/>
            </w:r>
            <w:r w:rsidR="00752809">
              <w:rPr>
                <w:noProof/>
                <w:webHidden/>
              </w:rPr>
              <w:t>2-4</w:t>
            </w:r>
            <w:r w:rsidR="00235F70">
              <w:rPr>
                <w:noProof/>
                <w:webHidden/>
              </w:rPr>
              <w:fldChar w:fldCharType="end"/>
            </w:r>
          </w:hyperlink>
        </w:p>
        <w:p w:rsidR="00235F70" w:rsidRDefault="00076455">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256795" w:history="1">
            <w:r w:rsidR="00235F70" w:rsidRPr="000D531A">
              <w:rPr>
                <w:rStyle w:val="Hyperlink"/>
                <w:noProof/>
              </w:rPr>
              <w:t>Shortened forms</w:t>
            </w:r>
            <w:r w:rsidR="00235F70">
              <w:rPr>
                <w:noProof/>
                <w:webHidden/>
              </w:rPr>
              <w:tab/>
            </w:r>
            <w:r w:rsidR="00235F70">
              <w:rPr>
                <w:noProof/>
                <w:webHidden/>
              </w:rPr>
              <w:fldChar w:fldCharType="begin"/>
            </w:r>
            <w:r w:rsidR="00235F70">
              <w:rPr>
                <w:noProof/>
                <w:webHidden/>
              </w:rPr>
              <w:instrText xml:space="preserve"> PAGEREF _Toc404256795 \h </w:instrText>
            </w:r>
            <w:r w:rsidR="00235F70">
              <w:rPr>
                <w:noProof/>
                <w:webHidden/>
              </w:rPr>
            </w:r>
            <w:r w:rsidR="00235F70">
              <w:rPr>
                <w:noProof/>
                <w:webHidden/>
              </w:rPr>
              <w:fldChar w:fldCharType="separate"/>
            </w:r>
            <w:r w:rsidR="00752809">
              <w:rPr>
                <w:noProof/>
                <w:webHidden/>
              </w:rPr>
              <w:t>2-5</w:t>
            </w:r>
            <w:r w:rsidR="00235F70">
              <w:rPr>
                <w:noProof/>
                <w:webHidden/>
              </w:rPr>
              <w:fldChar w:fldCharType="end"/>
            </w:r>
          </w:hyperlink>
        </w:p>
        <w:p w:rsidR="00235F70" w:rsidRDefault="0007645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256796" w:history="1">
            <w:r w:rsidR="00235F70" w:rsidRPr="000D531A">
              <w:rPr>
                <w:rStyle w:val="Hyperlink"/>
                <w:noProof/>
              </w:rPr>
              <w:t>2</w:t>
            </w:r>
            <w:r w:rsidR="00235F70">
              <w:rPr>
                <w:rFonts w:asciiTheme="minorHAnsi" w:eastAsiaTheme="minorEastAsia" w:hAnsiTheme="minorHAnsi" w:cstheme="minorBidi"/>
                <w:b w:val="0"/>
                <w:bCs w:val="0"/>
                <w:noProof/>
                <w:sz w:val="22"/>
                <w:szCs w:val="22"/>
                <w:lang w:eastAsia="en-AU"/>
              </w:rPr>
              <w:tab/>
            </w:r>
            <w:r w:rsidR="00235F70" w:rsidRPr="000D531A">
              <w:rPr>
                <w:rStyle w:val="Hyperlink"/>
                <w:noProof/>
              </w:rPr>
              <w:t>Capital base</w:t>
            </w:r>
            <w:r w:rsidR="00235F70">
              <w:rPr>
                <w:noProof/>
                <w:webHidden/>
              </w:rPr>
              <w:tab/>
            </w:r>
            <w:r w:rsidR="00235F70">
              <w:rPr>
                <w:noProof/>
                <w:webHidden/>
              </w:rPr>
              <w:fldChar w:fldCharType="begin"/>
            </w:r>
            <w:r w:rsidR="00235F70">
              <w:rPr>
                <w:noProof/>
                <w:webHidden/>
              </w:rPr>
              <w:instrText xml:space="preserve"> PAGEREF _Toc404256796 \h </w:instrText>
            </w:r>
            <w:r w:rsidR="00235F70">
              <w:rPr>
                <w:noProof/>
                <w:webHidden/>
              </w:rPr>
            </w:r>
            <w:r w:rsidR="00235F70">
              <w:rPr>
                <w:noProof/>
                <w:webHidden/>
              </w:rPr>
              <w:fldChar w:fldCharType="separate"/>
            </w:r>
            <w:r w:rsidR="00752809">
              <w:rPr>
                <w:noProof/>
                <w:webHidden/>
              </w:rPr>
              <w:t>2-7</w:t>
            </w:r>
            <w:r w:rsidR="00235F70">
              <w:rPr>
                <w:noProof/>
                <w:webHidden/>
              </w:rPr>
              <w:fldChar w:fldCharType="end"/>
            </w:r>
          </w:hyperlink>
        </w:p>
        <w:p w:rsidR="00235F70" w:rsidRDefault="0007645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256797" w:history="1">
            <w:r w:rsidR="00235F70" w:rsidRPr="000D531A">
              <w:rPr>
                <w:rStyle w:val="Hyperlink"/>
                <w:noProof/>
              </w:rPr>
              <w:t>2.1</w:t>
            </w:r>
            <w:r w:rsidR="00235F70">
              <w:rPr>
                <w:rFonts w:asciiTheme="minorHAnsi" w:eastAsiaTheme="minorEastAsia" w:hAnsiTheme="minorHAnsi" w:cstheme="minorBidi"/>
                <w:iCs w:val="0"/>
                <w:noProof/>
                <w:sz w:val="22"/>
                <w:szCs w:val="22"/>
                <w:lang w:eastAsia="en-AU"/>
              </w:rPr>
              <w:tab/>
            </w:r>
            <w:r w:rsidR="00235F70" w:rsidRPr="000D531A">
              <w:rPr>
                <w:rStyle w:val="Hyperlink"/>
                <w:noProof/>
              </w:rPr>
              <w:t>Draft decision</w:t>
            </w:r>
            <w:r w:rsidR="00235F70">
              <w:rPr>
                <w:noProof/>
                <w:webHidden/>
              </w:rPr>
              <w:tab/>
            </w:r>
            <w:r w:rsidR="00235F70">
              <w:rPr>
                <w:noProof/>
                <w:webHidden/>
              </w:rPr>
              <w:fldChar w:fldCharType="begin"/>
            </w:r>
            <w:r w:rsidR="00235F70">
              <w:rPr>
                <w:noProof/>
                <w:webHidden/>
              </w:rPr>
              <w:instrText xml:space="preserve"> PAGEREF _Toc404256797 \h </w:instrText>
            </w:r>
            <w:r w:rsidR="00235F70">
              <w:rPr>
                <w:noProof/>
                <w:webHidden/>
              </w:rPr>
            </w:r>
            <w:r w:rsidR="00235F70">
              <w:rPr>
                <w:noProof/>
                <w:webHidden/>
              </w:rPr>
              <w:fldChar w:fldCharType="separate"/>
            </w:r>
            <w:r w:rsidR="00752809">
              <w:rPr>
                <w:noProof/>
                <w:webHidden/>
              </w:rPr>
              <w:t>2-7</w:t>
            </w:r>
            <w:r w:rsidR="00235F70">
              <w:rPr>
                <w:noProof/>
                <w:webHidden/>
              </w:rPr>
              <w:fldChar w:fldCharType="end"/>
            </w:r>
          </w:hyperlink>
        </w:p>
        <w:p w:rsidR="00235F70" w:rsidRDefault="0007645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256798" w:history="1">
            <w:r w:rsidR="00235F70" w:rsidRPr="000D531A">
              <w:rPr>
                <w:rStyle w:val="Hyperlink"/>
                <w:noProof/>
              </w:rPr>
              <w:t>2.2</w:t>
            </w:r>
            <w:r w:rsidR="00235F70">
              <w:rPr>
                <w:rFonts w:asciiTheme="minorHAnsi" w:eastAsiaTheme="minorEastAsia" w:hAnsiTheme="minorHAnsi" w:cstheme="minorBidi"/>
                <w:iCs w:val="0"/>
                <w:noProof/>
                <w:sz w:val="22"/>
                <w:szCs w:val="22"/>
                <w:lang w:eastAsia="en-AU"/>
              </w:rPr>
              <w:tab/>
            </w:r>
            <w:r w:rsidR="00235F70" w:rsidRPr="000D531A">
              <w:rPr>
                <w:rStyle w:val="Hyperlink"/>
                <w:noProof/>
              </w:rPr>
              <w:t>JGN's proposal</w:t>
            </w:r>
            <w:r w:rsidR="00235F70">
              <w:rPr>
                <w:noProof/>
                <w:webHidden/>
              </w:rPr>
              <w:tab/>
            </w:r>
            <w:r w:rsidR="00235F70">
              <w:rPr>
                <w:noProof/>
                <w:webHidden/>
              </w:rPr>
              <w:fldChar w:fldCharType="begin"/>
            </w:r>
            <w:r w:rsidR="00235F70">
              <w:rPr>
                <w:noProof/>
                <w:webHidden/>
              </w:rPr>
              <w:instrText xml:space="preserve"> PAGEREF _Toc404256798 \h </w:instrText>
            </w:r>
            <w:r w:rsidR="00235F70">
              <w:rPr>
                <w:noProof/>
                <w:webHidden/>
              </w:rPr>
            </w:r>
            <w:r w:rsidR="00235F70">
              <w:rPr>
                <w:noProof/>
                <w:webHidden/>
              </w:rPr>
              <w:fldChar w:fldCharType="separate"/>
            </w:r>
            <w:r w:rsidR="00752809">
              <w:rPr>
                <w:noProof/>
                <w:webHidden/>
              </w:rPr>
              <w:t>2-9</w:t>
            </w:r>
            <w:r w:rsidR="00235F70">
              <w:rPr>
                <w:noProof/>
                <w:webHidden/>
              </w:rPr>
              <w:fldChar w:fldCharType="end"/>
            </w:r>
          </w:hyperlink>
        </w:p>
        <w:p w:rsidR="00235F70" w:rsidRDefault="00076455">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256799" w:history="1">
            <w:r w:rsidR="00235F70" w:rsidRPr="000D531A">
              <w:rPr>
                <w:rStyle w:val="Hyperlink"/>
                <w:noProof/>
              </w:rPr>
              <w:t>2.2.1</w:t>
            </w:r>
            <w:r w:rsidR="00235F70">
              <w:rPr>
                <w:rFonts w:asciiTheme="minorHAnsi" w:eastAsiaTheme="minorEastAsia" w:hAnsiTheme="minorHAnsi" w:cstheme="minorBidi"/>
                <w:noProof/>
                <w:sz w:val="22"/>
                <w:szCs w:val="22"/>
                <w:lang w:eastAsia="en-AU"/>
              </w:rPr>
              <w:tab/>
            </w:r>
            <w:r w:rsidR="00235F70" w:rsidRPr="000D531A">
              <w:rPr>
                <w:rStyle w:val="Hyperlink"/>
                <w:noProof/>
              </w:rPr>
              <w:t>Capital expenditure in the 2010–15 access arrangement period</w:t>
            </w:r>
            <w:r w:rsidR="00235F70">
              <w:rPr>
                <w:noProof/>
                <w:webHidden/>
              </w:rPr>
              <w:tab/>
            </w:r>
            <w:r w:rsidR="00235F70">
              <w:rPr>
                <w:noProof/>
                <w:webHidden/>
              </w:rPr>
              <w:fldChar w:fldCharType="begin"/>
            </w:r>
            <w:r w:rsidR="00235F70">
              <w:rPr>
                <w:noProof/>
                <w:webHidden/>
              </w:rPr>
              <w:instrText xml:space="preserve"> PAGEREF _Toc404256799 \h </w:instrText>
            </w:r>
            <w:r w:rsidR="00235F70">
              <w:rPr>
                <w:noProof/>
                <w:webHidden/>
              </w:rPr>
            </w:r>
            <w:r w:rsidR="00235F70">
              <w:rPr>
                <w:noProof/>
                <w:webHidden/>
              </w:rPr>
              <w:fldChar w:fldCharType="separate"/>
            </w:r>
            <w:r w:rsidR="00752809">
              <w:rPr>
                <w:noProof/>
                <w:webHidden/>
              </w:rPr>
              <w:t>2-9</w:t>
            </w:r>
            <w:r w:rsidR="00235F70">
              <w:rPr>
                <w:noProof/>
                <w:webHidden/>
              </w:rPr>
              <w:fldChar w:fldCharType="end"/>
            </w:r>
          </w:hyperlink>
        </w:p>
        <w:p w:rsidR="00235F70" w:rsidRDefault="00076455">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256800" w:history="1">
            <w:r w:rsidR="00235F70" w:rsidRPr="000D531A">
              <w:rPr>
                <w:rStyle w:val="Hyperlink"/>
                <w:noProof/>
              </w:rPr>
              <w:t>2.2.2</w:t>
            </w:r>
            <w:r w:rsidR="00235F70">
              <w:rPr>
                <w:rFonts w:asciiTheme="minorHAnsi" w:eastAsiaTheme="minorEastAsia" w:hAnsiTheme="minorHAnsi" w:cstheme="minorBidi"/>
                <w:noProof/>
                <w:sz w:val="22"/>
                <w:szCs w:val="22"/>
                <w:lang w:eastAsia="en-AU"/>
              </w:rPr>
              <w:tab/>
            </w:r>
            <w:r w:rsidR="00235F70" w:rsidRPr="000D531A">
              <w:rPr>
                <w:rStyle w:val="Hyperlink"/>
                <w:noProof/>
              </w:rPr>
              <w:t>Adjustment to the capital base for inflation in the 2010–15 access arrangement period</w:t>
            </w:r>
            <w:r w:rsidR="00235F70">
              <w:rPr>
                <w:noProof/>
                <w:webHidden/>
              </w:rPr>
              <w:tab/>
            </w:r>
            <w:r w:rsidR="00235F70">
              <w:rPr>
                <w:noProof/>
                <w:webHidden/>
              </w:rPr>
              <w:fldChar w:fldCharType="begin"/>
            </w:r>
            <w:r w:rsidR="00235F70">
              <w:rPr>
                <w:noProof/>
                <w:webHidden/>
              </w:rPr>
              <w:instrText xml:space="preserve"> PAGEREF _Toc404256800 \h </w:instrText>
            </w:r>
            <w:r w:rsidR="00235F70">
              <w:rPr>
                <w:noProof/>
                <w:webHidden/>
              </w:rPr>
            </w:r>
            <w:r w:rsidR="00235F70">
              <w:rPr>
                <w:noProof/>
                <w:webHidden/>
              </w:rPr>
              <w:fldChar w:fldCharType="separate"/>
            </w:r>
            <w:r w:rsidR="00752809">
              <w:rPr>
                <w:noProof/>
                <w:webHidden/>
              </w:rPr>
              <w:t>2-11</w:t>
            </w:r>
            <w:r w:rsidR="00235F70">
              <w:rPr>
                <w:noProof/>
                <w:webHidden/>
              </w:rPr>
              <w:fldChar w:fldCharType="end"/>
            </w:r>
          </w:hyperlink>
        </w:p>
        <w:p w:rsidR="00235F70" w:rsidRDefault="00076455">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256801" w:history="1">
            <w:r w:rsidR="00235F70" w:rsidRPr="000D531A">
              <w:rPr>
                <w:rStyle w:val="Hyperlink"/>
                <w:noProof/>
              </w:rPr>
              <w:t>2.2.3</w:t>
            </w:r>
            <w:r w:rsidR="00235F70">
              <w:rPr>
                <w:rFonts w:asciiTheme="minorHAnsi" w:eastAsiaTheme="minorEastAsia" w:hAnsiTheme="minorHAnsi" w:cstheme="minorBidi"/>
                <w:noProof/>
                <w:sz w:val="22"/>
                <w:szCs w:val="22"/>
                <w:lang w:eastAsia="en-AU"/>
              </w:rPr>
              <w:tab/>
            </w:r>
            <w:r w:rsidR="00235F70" w:rsidRPr="000D531A">
              <w:rPr>
                <w:rStyle w:val="Hyperlink"/>
                <w:noProof/>
              </w:rPr>
              <w:t>Depreciation in the 2010–15 access arrangement period</w:t>
            </w:r>
            <w:r w:rsidR="00235F70">
              <w:rPr>
                <w:noProof/>
                <w:webHidden/>
              </w:rPr>
              <w:tab/>
            </w:r>
            <w:r w:rsidR="00235F70">
              <w:rPr>
                <w:noProof/>
                <w:webHidden/>
              </w:rPr>
              <w:fldChar w:fldCharType="begin"/>
            </w:r>
            <w:r w:rsidR="00235F70">
              <w:rPr>
                <w:noProof/>
                <w:webHidden/>
              </w:rPr>
              <w:instrText xml:space="preserve"> PAGEREF _Toc404256801 \h </w:instrText>
            </w:r>
            <w:r w:rsidR="00235F70">
              <w:rPr>
                <w:noProof/>
                <w:webHidden/>
              </w:rPr>
            </w:r>
            <w:r w:rsidR="00235F70">
              <w:rPr>
                <w:noProof/>
                <w:webHidden/>
              </w:rPr>
              <w:fldChar w:fldCharType="separate"/>
            </w:r>
            <w:r w:rsidR="00752809">
              <w:rPr>
                <w:noProof/>
                <w:webHidden/>
              </w:rPr>
              <w:t>2-11</w:t>
            </w:r>
            <w:r w:rsidR="00235F70">
              <w:rPr>
                <w:noProof/>
                <w:webHidden/>
              </w:rPr>
              <w:fldChar w:fldCharType="end"/>
            </w:r>
          </w:hyperlink>
        </w:p>
        <w:p w:rsidR="00235F70" w:rsidRDefault="00076455">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256802" w:history="1">
            <w:r w:rsidR="00235F70" w:rsidRPr="000D531A">
              <w:rPr>
                <w:rStyle w:val="Hyperlink"/>
                <w:noProof/>
              </w:rPr>
              <w:t>2.2.4</w:t>
            </w:r>
            <w:r w:rsidR="00235F70">
              <w:rPr>
                <w:rFonts w:asciiTheme="minorHAnsi" w:eastAsiaTheme="minorEastAsia" w:hAnsiTheme="minorHAnsi" w:cstheme="minorBidi"/>
                <w:noProof/>
                <w:sz w:val="22"/>
                <w:szCs w:val="22"/>
                <w:lang w:eastAsia="en-AU"/>
              </w:rPr>
              <w:tab/>
            </w:r>
            <w:r w:rsidR="00235F70" w:rsidRPr="000D531A">
              <w:rPr>
                <w:rStyle w:val="Hyperlink"/>
                <w:noProof/>
              </w:rPr>
              <w:t>Projected capital base over the 2015–20 access arrangement period</w:t>
            </w:r>
            <w:r w:rsidR="00235F70">
              <w:rPr>
                <w:noProof/>
                <w:webHidden/>
              </w:rPr>
              <w:tab/>
            </w:r>
            <w:r w:rsidR="00235F70">
              <w:rPr>
                <w:noProof/>
                <w:webHidden/>
              </w:rPr>
              <w:fldChar w:fldCharType="begin"/>
            </w:r>
            <w:r w:rsidR="00235F70">
              <w:rPr>
                <w:noProof/>
                <w:webHidden/>
              </w:rPr>
              <w:instrText xml:space="preserve"> PAGEREF _Toc404256802 \h </w:instrText>
            </w:r>
            <w:r w:rsidR="00235F70">
              <w:rPr>
                <w:noProof/>
                <w:webHidden/>
              </w:rPr>
            </w:r>
            <w:r w:rsidR="00235F70">
              <w:rPr>
                <w:noProof/>
                <w:webHidden/>
              </w:rPr>
              <w:fldChar w:fldCharType="separate"/>
            </w:r>
            <w:r w:rsidR="00752809">
              <w:rPr>
                <w:noProof/>
                <w:webHidden/>
              </w:rPr>
              <w:t>2-11</w:t>
            </w:r>
            <w:r w:rsidR="00235F70">
              <w:rPr>
                <w:noProof/>
                <w:webHidden/>
              </w:rPr>
              <w:fldChar w:fldCharType="end"/>
            </w:r>
          </w:hyperlink>
        </w:p>
        <w:p w:rsidR="00235F70" w:rsidRDefault="0007645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256803" w:history="1">
            <w:r w:rsidR="00235F70" w:rsidRPr="000D531A">
              <w:rPr>
                <w:rStyle w:val="Hyperlink"/>
                <w:noProof/>
              </w:rPr>
              <w:t>2.3</w:t>
            </w:r>
            <w:r w:rsidR="00235F70">
              <w:rPr>
                <w:rFonts w:asciiTheme="minorHAnsi" w:eastAsiaTheme="minorEastAsia" w:hAnsiTheme="minorHAnsi" w:cstheme="minorBidi"/>
                <w:iCs w:val="0"/>
                <w:noProof/>
                <w:sz w:val="22"/>
                <w:szCs w:val="22"/>
                <w:lang w:eastAsia="en-AU"/>
              </w:rPr>
              <w:tab/>
            </w:r>
            <w:r w:rsidR="00235F70" w:rsidRPr="000D531A">
              <w:rPr>
                <w:rStyle w:val="Hyperlink"/>
                <w:noProof/>
              </w:rPr>
              <w:t>Assessment approach</w:t>
            </w:r>
            <w:r w:rsidR="00235F70">
              <w:rPr>
                <w:noProof/>
                <w:webHidden/>
              </w:rPr>
              <w:tab/>
            </w:r>
            <w:r w:rsidR="00235F70">
              <w:rPr>
                <w:noProof/>
                <w:webHidden/>
              </w:rPr>
              <w:fldChar w:fldCharType="begin"/>
            </w:r>
            <w:r w:rsidR="00235F70">
              <w:rPr>
                <w:noProof/>
                <w:webHidden/>
              </w:rPr>
              <w:instrText xml:space="preserve"> PAGEREF _Toc404256803 \h </w:instrText>
            </w:r>
            <w:r w:rsidR="00235F70">
              <w:rPr>
                <w:noProof/>
                <w:webHidden/>
              </w:rPr>
            </w:r>
            <w:r w:rsidR="00235F70">
              <w:rPr>
                <w:noProof/>
                <w:webHidden/>
              </w:rPr>
              <w:fldChar w:fldCharType="separate"/>
            </w:r>
            <w:r w:rsidR="00752809">
              <w:rPr>
                <w:noProof/>
                <w:webHidden/>
              </w:rPr>
              <w:t>2-12</w:t>
            </w:r>
            <w:r w:rsidR="00235F70">
              <w:rPr>
                <w:noProof/>
                <w:webHidden/>
              </w:rPr>
              <w:fldChar w:fldCharType="end"/>
            </w:r>
          </w:hyperlink>
        </w:p>
        <w:p w:rsidR="00235F70" w:rsidRDefault="00076455">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256804" w:history="1">
            <w:r w:rsidR="00235F70" w:rsidRPr="000D531A">
              <w:rPr>
                <w:rStyle w:val="Hyperlink"/>
                <w:noProof/>
              </w:rPr>
              <w:t>2.3.1</w:t>
            </w:r>
            <w:r w:rsidR="00235F70">
              <w:rPr>
                <w:rFonts w:asciiTheme="minorHAnsi" w:eastAsiaTheme="minorEastAsia" w:hAnsiTheme="minorHAnsi" w:cstheme="minorBidi"/>
                <w:noProof/>
                <w:sz w:val="22"/>
                <w:szCs w:val="22"/>
                <w:lang w:eastAsia="en-AU"/>
              </w:rPr>
              <w:tab/>
            </w:r>
            <w:r w:rsidR="00235F70" w:rsidRPr="000D531A">
              <w:rPr>
                <w:rStyle w:val="Hyperlink"/>
                <w:noProof/>
              </w:rPr>
              <w:t>Interrelationships</w:t>
            </w:r>
            <w:r w:rsidR="00235F70">
              <w:rPr>
                <w:noProof/>
                <w:webHidden/>
              </w:rPr>
              <w:tab/>
            </w:r>
            <w:r w:rsidR="00235F70">
              <w:rPr>
                <w:noProof/>
                <w:webHidden/>
              </w:rPr>
              <w:fldChar w:fldCharType="begin"/>
            </w:r>
            <w:r w:rsidR="00235F70">
              <w:rPr>
                <w:noProof/>
                <w:webHidden/>
              </w:rPr>
              <w:instrText xml:space="preserve"> PAGEREF _Toc404256804 \h </w:instrText>
            </w:r>
            <w:r w:rsidR="00235F70">
              <w:rPr>
                <w:noProof/>
                <w:webHidden/>
              </w:rPr>
            </w:r>
            <w:r w:rsidR="00235F70">
              <w:rPr>
                <w:noProof/>
                <w:webHidden/>
              </w:rPr>
              <w:fldChar w:fldCharType="separate"/>
            </w:r>
            <w:r w:rsidR="00752809">
              <w:rPr>
                <w:noProof/>
                <w:webHidden/>
              </w:rPr>
              <w:t>2-13</w:t>
            </w:r>
            <w:r w:rsidR="00235F70">
              <w:rPr>
                <w:noProof/>
                <w:webHidden/>
              </w:rPr>
              <w:fldChar w:fldCharType="end"/>
            </w:r>
          </w:hyperlink>
        </w:p>
        <w:p w:rsidR="00235F70" w:rsidRDefault="0007645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256805" w:history="1">
            <w:r w:rsidR="00235F70" w:rsidRPr="000D531A">
              <w:rPr>
                <w:rStyle w:val="Hyperlink"/>
                <w:noProof/>
              </w:rPr>
              <w:t>2.4</w:t>
            </w:r>
            <w:r w:rsidR="00235F70">
              <w:rPr>
                <w:rFonts w:asciiTheme="minorHAnsi" w:eastAsiaTheme="minorEastAsia" w:hAnsiTheme="minorHAnsi" w:cstheme="minorBidi"/>
                <w:iCs w:val="0"/>
                <w:noProof/>
                <w:sz w:val="22"/>
                <w:szCs w:val="22"/>
                <w:lang w:eastAsia="en-AU"/>
              </w:rPr>
              <w:tab/>
            </w:r>
            <w:r w:rsidR="00235F70" w:rsidRPr="000D531A">
              <w:rPr>
                <w:rStyle w:val="Hyperlink"/>
                <w:noProof/>
              </w:rPr>
              <w:t>Reasons for draft decision</w:t>
            </w:r>
            <w:r w:rsidR="00235F70">
              <w:rPr>
                <w:noProof/>
                <w:webHidden/>
              </w:rPr>
              <w:tab/>
            </w:r>
            <w:r w:rsidR="00235F70">
              <w:rPr>
                <w:noProof/>
                <w:webHidden/>
              </w:rPr>
              <w:fldChar w:fldCharType="begin"/>
            </w:r>
            <w:r w:rsidR="00235F70">
              <w:rPr>
                <w:noProof/>
                <w:webHidden/>
              </w:rPr>
              <w:instrText xml:space="preserve"> PAGEREF _Toc404256805 \h </w:instrText>
            </w:r>
            <w:r w:rsidR="00235F70">
              <w:rPr>
                <w:noProof/>
                <w:webHidden/>
              </w:rPr>
            </w:r>
            <w:r w:rsidR="00235F70">
              <w:rPr>
                <w:noProof/>
                <w:webHidden/>
              </w:rPr>
              <w:fldChar w:fldCharType="separate"/>
            </w:r>
            <w:r w:rsidR="00752809">
              <w:rPr>
                <w:noProof/>
                <w:webHidden/>
              </w:rPr>
              <w:t>2-14</w:t>
            </w:r>
            <w:r w:rsidR="00235F70">
              <w:rPr>
                <w:noProof/>
                <w:webHidden/>
              </w:rPr>
              <w:fldChar w:fldCharType="end"/>
            </w:r>
          </w:hyperlink>
        </w:p>
        <w:p w:rsidR="00235F70" w:rsidRDefault="00076455">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256806" w:history="1">
            <w:r w:rsidR="00235F70" w:rsidRPr="000D531A">
              <w:rPr>
                <w:rStyle w:val="Hyperlink"/>
                <w:noProof/>
              </w:rPr>
              <w:t>2.4.1</w:t>
            </w:r>
            <w:r w:rsidR="00235F70">
              <w:rPr>
                <w:rFonts w:asciiTheme="minorHAnsi" w:eastAsiaTheme="minorEastAsia" w:hAnsiTheme="minorHAnsi" w:cstheme="minorBidi"/>
                <w:noProof/>
                <w:sz w:val="22"/>
                <w:szCs w:val="22"/>
                <w:lang w:eastAsia="en-AU"/>
              </w:rPr>
              <w:tab/>
            </w:r>
            <w:r w:rsidR="00235F70" w:rsidRPr="000D531A">
              <w:rPr>
                <w:rStyle w:val="Hyperlink"/>
                <w:noProof/>
              </w:rPr>
              <w:t>Roll forward of capital base during the 2010–15 access arrangement period</w:t>
            </w:r>
            <w:r w:rsidR="00235F70">
              <w:rPr>
                <w:noProof/>
                <w:webHidden/>
              </w:rPr>
              <w:tab/>
            </w:r>
            <w:r w:rsidR="00235F70">
              <w:rPr>
                <w:noProof/>
                <w:webHidden/>
              </w:rPr>
              <w:fldChar w:fldCharType="begin"/>
            </w:r>
            <w:r w:rsidR="00235F70">
              <w:rPr>
                <w:noProof/>
                <w:webHidden/>
              </w:rPr>
              <w:instrText xml:space="preserve"> PAGEREF _Toc404256806 \h </w:instrText>
            </w:r>
            <w:r w:rsidR="00235F70">
              <w:rPr>
                <w:noProof/>
                <w:webHidden/>
              </w:rPr>
            </w:r>
            <w:r w:rsidR="00235F70">
              <w:rPr>
                <w:noProof/>
                <w:webHidden/>
              </w:rPr>
              <w:fldChar w:fldCharType="separate"/>
            </w:r>
            <w:r w:rsidR="00752809">
              <w:rPr>
                <w:noProof/>
                <w:webHidden/>
              </w:rPr>
              <w:t>2-15</w:t>
            </w:r>
            <w:r w:rsidR="00235F70">
              <w:rPr>
                <w:noProof/>
                <w:webHidden/>
              </w:rPr>
              <w:fldChar w:fldCharType="end"/>
            </w:r>
          </w:hyperlink>
        </w:p>
        <w:p w:rsidR="00235F70" w:rsidRDefault="00076455">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256807" w:history="1">
            <w:r w:rsidR="00235F70" w:rsidRPr="000D531A">
              <w:rPr>
                <w:rStyle w:val="Hyperlink"/>
                <w:noProof/>
              </w:rPr>
              <w:t>2.4.2</w:t>
            </w:r>
            <w:r w:rsidR="00235F70">
              <w:rPr>
                <w:rFonts w:asciiTheme="minorHAnsi" w:eastAsiaTheme="minorEastAsia" w:hAnsiTheme="minorHAnsi" w:cstheme="minorBidi"/>
                <w:noProof/>
                <w:sz w:val="22"/>
                <w:szCs w:val="22"/>
                <w:lang w:eastAsia="en-AU"/>
              </w:rPr>
              <w:tab/>
            </w:r>
            <w:r w:rsidR="00235F70" w:rsidRPr="000D531A">
              <w:rPr>
                <w:rStyle w:val="Hyperlink"/>
                <w:noProof/>
              </w:rPr>
              <w:t>Projected capital base during the 2015–20 access arrangement period</w:t>
            </w:r>
            <w:r w:rsidR="00235F70">
              <w:rPr>
                <w:noProof/>
                <w:webHidden/>
              </w:rPr>
              <w:tab/>
            </w:r>
            <w:r w:rsidR="00235F70">
              <w:rPr>
                <w:noProof/>
                <w:webHidden/>
              </w:rPr>
              <w:fldChar w:fldCharType="begin"/>
            </w:r>
            <w:r w:rsidR="00235F70">
              <w:rPr>
                <w:noProof/>
                <w:webHidden/>
              </w:rPr>
              <w:instrText xml:space="preserve"> PAGEREF _Toc404256807 \h </w:instrText>
            </w:r>
            <w:r w:rsidR="00235F70">
              <w:rPr>
                <w:noProof/>
                <w:webHidden/>
              </w:rPr>
            </w:r>
            <w:r w:rsidR="00235F70">
              <w:rPr>
                <w:noProof/>
                <w:webHidden/>
              </w:rPr>
              <w:fldChar w:fldCharType="separate"/>
            </w:r>
            <w:r w:rsidR="00752809">
              <w:rPr>
                <w:noProof/>
                <w:webHidden/>
              </w:rPr>
              <w:t>2-17</w:t>
            </w:r>
            <w:r w:rsidR="00235F70">
              <w:rPr>
                <w:noProof/>
                <w:webHidden/>
              </w:rPr>
              <w:fldChar w:fldCharType="end"/>
            </w:r>
          </w:hyperlink>
        </w:p>
        <w:p w:rsidR="00235F70" w:rsidRDefault="0007645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256808" w:history="1">
            <w:r w:rsidR="00235F70" w:rsidRPr="000D531A">
              <w:rPr>
                <w:rStyle w:val="Hyperlink"/>
                <w:noProof/>
              </w:rPr>
              <w:t>2.5</w:t>
            </w:r>
            <w:r w:rsidR="00235F70">
              <w:rPr>
                <w:rFonts w:asciiTheme="minorHAnsi" w:eastAsiaTheme="minorEastAsia" w:hAnsiTheme="minorHAnsi" w:cstheme="minorBidi"/>
                <w:iCs w:val="0"/>
                <w:noProof/>
                <w:sz w:val="22"/>
                <w:szCs w:val="22"/>
                <w:lang w:eastAsia="en-AU"/>
              </w:rPr>
              <w:tab/>
            </w:r>
            <w:r w:rsidR="00235F70" w:rsidRPr="000D531A">
              <w:rPr>
                <w:rStyle w:val="Hyperlink"/>
                <w:noProof/>
              </w:rPr>
              <w:t>Revisions</w:t>
            </w:r>
            <w:r w:rsidR="00235F70">
              <w:rPr>
                <w:noProof/>
                <w:webHidden/>
              </w:rPr>
              <w:tab/>
            </w:r>
            <w:r w:rsidR="00235F70">
              <w:rPr>
                <w:noProof/>
                <w:webHidden/>
              </w:rPr>
              <w:fldChar w:fldCharType="begin"/>
            </w:r>
            <w:r w:rsidR="00235F70">
              <w:rPr>
                <w:noProof/>
                <w:webHidden/>
              </w:rPr>
              <w:instrText xml:space="preserve"> PAGEREF _Toc404256808 \h </w:instrText>
            </w:r>
            <w:r w:rsidR="00235F70">
              <w:rPr>
                <w:noProof/>
                <w:webHidden/>
              </w:rPr>
            </w:r>
            <w:r w:rsidR="00235F70">
              <w:rPr>
                <w:noProof/>
                <w:webHidden/>
              </w:rPr>
              <w:fldChar w:fldCharType="separate"/>
            </w:r>
            <w:r w:rsidR="00752809">
              <w:rPr>
                <w:noProof/>
                <w:webHidden/>
              </w:rPr>
              <w:t>2-18</w:t>
            </w:r>
            <w:r w:rsidR="00235F70">
              <w:rPr>
                <w:noProof/>
                <w:webHidden/>
              </w:rPr>
              <w:fldChar w:fldCharType="end"/>
            </w:r>
          </w:hyperlink>
        </w:p>
        <w:p w:rsidR="0084378B" w:rsidRPr="0084378B" w:rsidRDefault="0084378B">
          <w:r w:rsidRPr="0084378B">
            <w:fldChar w:fldCharType="end"/>
          </w:r>
        </w:p>
      </w:sdtContent>
    </w:sdt>
    <w:p w:rsidR="00525604" w:rsidRDefault="00525604" w:rsidP="00525604">
      <w:pPr>
        <w:pStyle w:val="AERbodytext"/>
        <w:numPr>
          <w:ilvl w:val="0"/>
          <w:numId w:val="0"/>
        </w:numPr>
      </w:pPr>
    </w:p>
    <w:p w:rsidR="00525604" w:rsidRDefault="00525604" w:rsidP="00F54216">
      <w:pPr>
        <w:pStyle w:val="UnnumberedHeading"/>
      </w:pPr>
      <w:bookmarkStart w:id="5" w:name="_Toc404256795"/>
      <w:r>
        <w:lastRenderedPageBreak/>
        <w:t>Shortened forms</w:t>
      </w:r>
      <w:bookmarkEnd w:id="5"/>
    </w:p>
    <w:tbl>
      <w:tblPr>
        <w:tblStyle w:val="AERtable-numbers"/>
        <w:tblW w:w="0" w:type="auto"/>
        <w:tblLook w:val="04A0" w:firstRow="1" w:lastRow="0" w:firstColumn="1" w:lastColumn="0" w:noHBand="0" w:noVBand="1"/>
      </w:tblPr>
      <w:tblGrid>
        <w:gridCol w:w="4621"/>
        <w:gridCol w:w="4621"/>
      </w:tblGrid>
      <w:tr w:rsidR="000722CB" w:rsidTr="00F429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0722CB" w:rsidRDefault="000722CB" w:rsidP="000722CB">
            <w:pPr>
              <w:pStyle w:val="AERbodytext"/>
            </w:pPr>
            <w:r>
              <w:t>Shortened form</w:t>
            </w:r>
          </w:p>
        </w:tc>
        <w:tc>
          <w:tcPr>
            <w:tcW w:w="4621" w:type="dxa"/>
          </w:tcPr>
          <w:p w:rsidR="000722CB" w:rsidRDefault="000722CB" w:rsidP="000722CB">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2010–15 access arrangement</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Access arrangement for JGN effective from 1 July 2010 to 30 June 2015 inclusive</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Pr="00E854E3" w:rsidRDefault="001168DE" w:rsidP="00CD1010">
            <w:pPr>
              <w:pStyle w:val="AERbodytext"/>
            </w:pPr>
            <w:r w:rsidRPr="00E854E3">
              <w:t>2010–15 access arrangement</w:t>
            </w:r>
            <w:r>
              <w:t xml:space="preserve"> period</w:t>
            </w:r>
          </w:p>
        </w:tc>
        <w:tc>
          <w:tcPr>
            <w:tcW w:w="4621" w:type="dxa"/>
          </w:tcPr>
          <w:p w:rsidR="001168DE" w:rsidRPr="00E854E3"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rsidRPr="00E854E3">
              <w:t>1 July 2010 to 30 June 2015 inclusive</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Pr="00E854E3" w:rsidRDefault="001168DE" w:rsidP="00CD1010">
            <w:pPr>
              <w:pStyle w:val="AERbodytext"/>
            </w:pPr>
            <w:r w:rsidRPr="00E854E3">
              <w:t>201</w:t>
            </w:r>
            <w:r>
              <w:t>5</w:t>
            </w:r>
            <w:r w:rsidRPr="00E854E3">
              <w:t>–</w:t>
            </w:r>
            <w:r>
              <w:t>20</w:t>
            </w:r>
            <w:r w:rsidRPr="00E854E3">
              <w:t xml:space="preserve"> access arrangement</w:t>
            </w:r>
          </w:p>
        </w:tc>
        <w:tc>
          <w:tcPr>
            <w:tcW w:w="4621" w:type="dxa"/>
          </w:tcPr>
          <w:p w:rsidR="001168DE" w:rsidRPr="00E854E3"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rsidRPr="00E854E3">
              <w:t>Access arrangement for JGN effective from 1 July 201</w:t>
            </w:r>
            <w:r>
              <w:t>5</w:t>
            </w:r>
            <w:r w:rsidRPr="00E854E3">
              <w:t xml:space="preserve"> to 30 June 20</w:t>
            </w:r>
            <w:r>
              <w:t>20</w:t>
            </w:r>
            <w:r w:rsidRPr="00E854E3">
              <w:t xml:space="preserve"> inclusive</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Pr="00E854E3" w:rsidRDefault="001168DE" w:rsidP="00CD1010">
            <w:pPr>
              <w:pStyle w:val="AERbodytext"/>
            </w:pPr>
            <w:r w:rsidRPr="00E854E3">
              <w:t>201</w:t>
            </w:r>
            <w:r>
              <w:t>5</w:t>
            </w:r>
            <w:r w:rsidRPr="00E854E3">
              <w:t>–</w:t>
            </w:r>
            <w:r>
              <w:t>20</w:t>
            </w:r>
            <w:r w:rsidRPr="00E854E3">
              <w:t xml:space="preserve"> access arrangement period</w:t>
            </w:r>
          </w:p>
        </w:tc>
        <w:tc>
          <w:tcPr>
            <w:tcW w:w="4621" w:type="dxa"/>
          </w:tcPr>
          <w:p w:rsidR="001168DE" w:rsidRPr="00E854E3"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rsidRPr="00E854E3">
              <w:t>1 July 201</w:t>
            </w:r>
            <w:r>
              <w:t>5</w:t>
            </w:r>
            <w:r w:rsidRPr="00E854E3">
              <w:t xml:space="preserve"> to 30 June 20</w:t>
            </w:r>
            <w:r>
              <w:t>20</w:t>
            </w:r>
            <w:r w:rsidRPr="00E854E3">
              <w:t xml:space="preserve"> inclusive</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Access arrangement information</w:t>
            </w:r>
          </w:p>
        </w:tc>
        <w:tc>
          <w:tcPr>
            <w:tcW w:w="4621" w:type="dxa"/>
          </w:tcPr>
          <w:p w:rsidR="001168DE" w:rsidRDefault="001168DE" w:rsidP="007C6C8A">
            <w:pPr>
              <w:pStyle w:val="AERbodytext"/>
              <w:cnfStyle w:val="000000000000" w:firstRow="0" w:lastRow="0" w:firstColumn="0" w:lastColumn="0" w:oddVBand="0" w:evenVBand="0" w:oddHBand="0" w:evenHBand="0" w:firstRowFirstColumn="0" w:firstRowLastColumn="0" w:lastRowFirstColumn="0" w:lastRowLastColumn="0"/>
            </w:pPr>
            <w:r w:rsidRPr="00A41D43">
              <w:t xml:space="preserve">Jemena Gas Networks (NSW) Ltd, </w:t>
            </w:r>
            <w:r w:rsidRPr="00A41D43">
              <w:rPr>
                <w:rStyle w:val="AERtextitalic"/>
              </w:rPr>
              <w:t>Access Arrangement Informatio</w:t>
            </w:r>
            <w:r>
              <w:rPr>
                <w:rStyle w:val="AERtextitalic"/>
              </w:rPr>
              <w:t>n 2015–20</w:t>
            </w:r>
            <w:r w:rsidRPr="00A41D43">
              <w:t>, 30 June 2014</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Access arrangement proposal</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rsidRPr="00A41D43">
              <w:t xml:space="preserve">Jemena Gas Networks (NSW) Ltd,  </w:t>
            </w:r>
            <w:r w:rsidRPr="00A41D43">
              <w:rPr>
                <w:rStyle w:val="AERtextitalic"/>
              </w:rPr>
              <w:t>Access arrangement, JGN’s NSW gas distribution networks, 1 July 2015 – 30 June 2020</w:t>
            </w:r>
            <w:r w:rsidRPr="00A41D43">
              <w:t>, 30 June 2014</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AER</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Australian Energy Regulator</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capex</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capital expenditure</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CAPM</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capital asset pricing model</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CCP</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Code</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National Third Party Access Code for Natural Gas Pipeline Systems</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CPI</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DRP</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debt risk premium</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ERP</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equity risk premium</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JGN</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Jemena Gas Networks (NSW) Ltd (CAN 003 004 322)</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MRP</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market risk premium</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NGL</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national gas law</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NGO</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national gas objective</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NGR</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national gas rules</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lastRenderedPageBreak/>
              <w:t>opex</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operating expenditure</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PPI</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partial performance indicators</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PTRM</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post-tax revenue model</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RAB</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regulatory asset base</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RBA</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Reserve Bank of Australia</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Reference service agreement proposal</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rsidRPr="00A41D43">
              <w:t xml:space="preserve">Jemena Gas Networks (NSW) Ltd, </w:t>
            </w:r>
            <w:r w:rsidRPr="00A41D43">
              <w:rPr>
                <w:rStyle w:val="AERtextitalic"/>
              </w:rPr>
              <w:t>Reference Service Agreement, JGN’s NSW gas distribution networks</w:t>
            </w:r>
            <w:r w:rsidRPr="00A41D43">
              <w:t>, 30 June 2014</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RFM</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roll forward model</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RIN</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regulatory information notice</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RPP</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 xml:space="preserve">revenue </w:t>
            </w:r>
            <w:r w:rsidR="007C6C8A">
              <w:t xml:space="preserve">and </w:t>
            </w:r>
            <w:r>
              <w:t>pricing principles</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SLCAPM</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Sharpe-</w:t>
            </w:r>
            <w:proofErr w:type="spellStart"/>
            <w:r>
              <w:t>Lintner</w:t>
            </w:r>
            <w:proofErr w:type="spellEnd"/>
            <w:r>
              <w:t xml:space="preserve"> capital asset pricing model</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WACC</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C557F2" w:rsidRPr="00C557F2" w:rsidRDefault="00C557F2" w:rsidP="00C557F2">
      <w:pPr>
        <w:pStyle w:val="AERbodytext"/>
      </w:pPr>
    </w:p>
    <w:p w:rsidR="008B4932" w:rsidRPr="008B4932" w:rsidRDefault="008B4932" w:rsidP="008B4932">
      <w:pPr>
        <w:pStyle w:val="AERbodytext"/>
        <w:numPr>
          <w:ilvl w:val="0"/>
          <w:numId w:val="0"/>
        </w:numPr>
      </w:pPr>
    </w:p>
    <w:p w:rsidR="00525604" w:rsidRPr="003E6299" w:rsidRDefault="00F42940" w:rsidP="00F674AC">
      <w:pPr>
        <w:pStyle w:val="Heading1"/>
      </w:pPr>
      <w:bookmarkStart w:id="6" w:name="_Toc404256796"/>
      <w:r>
        <w:lastRenderedPageBreak/>
        <w:t>Capital base</w:t>
      </w:r>
      <w:bookmarkEnd w:id="6"/>
    </w:p>
    <w:p w:rsidR="00F674AC" w:rsidRDefault="00F674AC" w:rsidP="00F674AC">
      <w:pPr>
        <w:pStyle w:val="AERbodytext"/>
      </w:pPr>
      <w:r>
        <w:t>The capital base roll forward accounts for the value of JGN's regulated assets over the access arrangement period. The opening capital base value for a regulatory year within the access arrangement period is rolled forward by indexing it for inflation, adding any conforming capex, and subtracting depreciation and other possible factors (for example, disposals or customer contributions).</w:t>
      </w:r>
      <w:r>
        <w:rPr>
          <w:rStyle w:val="FootnoteReference"/>
        </w:rPr>
        <w:footnoteReference w:id="1"/>
      </w:r>
      <w:r>
        <w:t xml:space="preserve"> Following this process, the AER arrives at a closing value of the capital base at the end of the relevant year. The opening value of the capital base is used to determine the return of capital (regulatory depreciation) and return on capital building block allowances. </w:t>
      </w:r>
    </w:p>
    <w:p w:rsidR="00F674AC" w:rsidRDefault="00F674AC" w:rsidP="00F674AC">
      <w:pPr>
        <w:pStyle w:val="AERbodytext"/>
      </w:pPr>
      <w:r>
        <w:t>We are</w:t>
      </w:r>
      <w:r w:rsidRPr="00B61433">
        <w:t xml:space="preserve"> required to make a decision on </w:t>
      </w:r>
      <w:r>
        <w:t>JGN's</w:t>
      </w:r>
      <w:r w:rsidRPr="00B61433">
        <w:t xml:space="preserve"> opening</w:t>
      </w:r>
      <w:r>
        <w:t xml:space="preserve"> capital base as at 1 July 2015 for the 2015–20 access arrangement </w:t>
      </w:r>
      <w:proofErr w:type="gramStart"/>
      <w:r>
        <w:t>period</w:t>
      </w:r>
      <w:proofErr w:type="gramEnd"/>
      <w:r>
        <w:t>. We are also required to make a decision</w:t>
      </w:r>
      <w:r w:rsidRPr="00B61433">
        <w:t xml:space="preserve"> </w:t>
      </w:r>
      <w:r>
        <w:t>on JGN's projected capital base for</w:t>
      </w:r>
      <w:r w:rsidRPr="00B61433">
        <w:t xml:space="preserve"> the </w:t>
      </w:r>
      <w:r>
        <w:t xml:space="preserve">2015–20 access arrangement </w:t>
      </w:r>
      <w:proofErr w:type="gramStart"/>
      <w:r>
        <w:t>period</w:t>
      </w:r>
      <w:proofErr w:type="gramEnd"/>
      <w:r>
        <w:t>.</w:t>
      </w:r>
      <w:r w:rsidRPr="00B61433">
        <w:t xml:space="preserve"> </w:t>
      </w:r>
      <w:r>
        <w:t>This attachment presents our draft decision on these matters.</w:t>
      </w:r>
    </w:p>
    <w:p w:rsidR="00F674AC" w:rsidRPr="00F73C2D" w:rsidRDefault="00F674AC" w:rsidP="00F674AC">
      <w:pPr>
        <w:pStyle w:val="Heading2"/>
        <w:numPr>
          <w:ilvl w:val="2"/>
          <w:numId w:val="8"/>
        </w:numPr>
      </w:pPr>
      <w:bookmarkStart w:id="7" w:name="_Toc334608500"/>
      <w:bookmarkStart w:id="8" w:name="_Toc334608732"/>
      <w:bookmarkStart w:id="9" w:name="_Toc404157795"/>
      <w:bookmarkStart w:id="10" w:name="_Toc404158158"/>
      <w:bookmarkStart w:id="11" w:name="_Toc404256797"/>
      <w:r w:rsidRPr="004C06CB">
        <w:t>Draft de</w:t>
      </w:r>
      <w:r w:rsidRPr="00F73C2D">
        <w:t>cision</w:t>
      </w:r>
      <w:bookmarkEnd w:id="7"/>
      <w:bookmarkEnd w:id="8"/>
      <w:bookmarkEnd w:id="9"/>
      <w:bookmarkEnd w:id="10"/>
      <w:bookmarkEnd w:id="11"/>
    </w:p>
    <w:p w:rsidR="00F674AC" w:rsidRPr="003A2B63" w:rsidRDefault="00F674AC" w:rsidP="00F674AC">
      <w:pPr>
        <w:pStyle w:val="AERbodytext"/>
        <w:rPr>
          <w:rFonts w:eastAsia="Calibri"/>
        </w:rPr>
      </w:pPr>
      <w:r w:rsidRPr="003A2B63">
        <w:rPr>
          <w:rFonts w:eastAsia="Calibri"/>
        </w:rPr>
        <w:t xml:space="preserve">We do not approve </w:t>
      </w:r>
      <w:r>
        <w:rPr>
          <w:rFonts w:eastAsia="Calibri"/>
        </w:rPr>
        <w:t>JGN</w:t>
      </w:r>
      <w:r w:rsidRPr="003A2B63">
        <w:rPr>
          <w:rFonts w:eastAsia="Calibri"/>
        </w:rPr>
        <w:t>'s proposed opening capital base of $3</w:t>
      </w:r>
      <w:r>
        <w:rPr>
          <w:rFonts w:eastAsia="Calibri"/>
        </w:rPr>
        <w:t>045</w:t>
      </w:r>
      <w:r w:rsidRPr="003A2B63">
        <w:rPr>
          <w:rFonts w:eastAsia="Calibri"/>
        </w:rPr>
        <w:t>.</w:t>
      </w:r>
      <w:r>
        <w:rPr>
          <w:rFonts w:eastAsia="Calibri"/>
        </w:rPr>
        <w:t>8</w:t>
      </w:r>
      <w:r w:rsidRPr="003A2B63">
        <w:rPr>
          <w:rFonts w:eastAsia="Calibri"/>
        </w:rPr>
        <w:t xml:space="preserve"> million</w:t>
      </w:r>
      <w:r>
        <w:rPr>
          <w:rFonts w:eastAsia="Calibri"/>
        </w:rPr>
        <w:t xml:space="preserve"> ($nominal)</w:t>
      </w:r>
      <w:r w:rsidRPr="003A2B63">
        <w:rPr>
          <w:rFonts w:eastAsia="Calibri"/>
        </w:rPr>
        <w:t xml:space="preserve"> as at 1</w:t>
      </w:r>
      <w:r w:rsidR="00752DAF">
        <w:rPr>
          <w:rFonts w:eastAsia="Calibri"/>
        </w:rPr>
        <w:t> </w:t>
      </w:r>
      <w:r w:rsidRPr="004F7CEC">
        <w:rPr>
          <w:rFonts w:eastAsia="Calibri"/>
        </w:rPr>
        <w:t>July</w:t>
      </w:r>
      <w:r w:rsidR="00752DAF">
        <w:rPr>
          <w:rFonts w:eastAsia="Calibri"/>
        </w:rPr>
        <w:t> </w:t>
      </w:r>
      <w:r w:rsidRPr="004F7CEC">
        <w:rPr>
          <w:rFonts w:eastAsia="Calibri"/>
        </w:rPr>
        <w:t>2015</w:t>
      </w:r>
      <w:r>
        <w:rPr>
          <w:rFonts w:eastAsia="Calibri"/>
        </w:rPr>
        <w:t xml:space="preserve">. This is </w:t>
      </w:r>
      <w:r w:rsidRPr="004F7CEC">
        <w:rPr>
          <w:rFonts w:eastAsia="Calibri"/>
        </w:rPr>
        <w:t xml:space="preserve">because we consider that one aspect of </w:t>
      </w:r>
      <w:r>
        <w:rPr>
          <w:rFonts w:eastAsia="Calibri"/>
        </w:rPr>
        <w:t>JGN</w:t>
      </w:r>
      <w:r w:rsidRPr="004F7CEC">
        <w:rPr>
          <w:rFonts w:eastAsia="Calibri"/>
        </w:rPr>
        <w:t xml:space="preserve">'s </w:t>
      </w:r>
      <w:r>
        <w:rPr>
          <w:rFonts w:eastAsia="Calibri"/>
        </w:rPr>
        <w:t xml:space="preserve">proposed opening </w:t>
      </w:r>
      <w:r w:rsidRPr="004F7CEC">
        <w:rPr>
          <w:rFonts w:eastAsia="Calibri"/>
        </w:rPr>
        <w:t xml:space="preserve">capital base </w:t>
      </w:r>
      <w:r>
        <w:rPr>
          <w:rFonts w:eastAsia="Calibri"/>
        </w:rPr>
        <w:t xml:space="preserve">for the 2010–15 access arrangement period </w:t>
      </w:r>
      <w:r w:rsidRPr="004F7CEC">
        <w:rPr>
          <w:rFonts w:eastAsia="Calibri"/>
        </w:rPr>
        <w:t>does not comply with the NGR.</w:t>
      </w:r>
      <w:r w:rsidRPr="00F73C2D">
        <w:rPr>
          <w:rStyle w:val="FootnoteReference"/>
          <w:rFonts w:eastAsia="Calibri"/>
        </w:rPr>
        <w:footnoteReference w:id="2"/>
      </w:r>
      <w:r w:rsidRPr="003A2B63">
        <w:rPr>
          <w:rFonts w:eastAsia="Calibri"/>
        </w:rPr>
        <w:t xml:space="preserve"> </w:t>
      </w:r>
      <w:r>
        <w:rPr>
          <w:rFonts w:eastAsia="Calibri"/>
        </w:rPr>
        <w:t>The non-compliance</w:t>
      </w:r>
      <w:r w:rsidRPr="003A2B63">
        <w:rPr>
          <w:rFonts w:eastAsia="Calibri"/>
        </w:rPr>
        <w:t xml:space="preserve"> </w:t>
      </w:r>
      <w:r>
        <w:rPr>
          <w:rFonts w:eastAsia="Calibri"/>
        </w:rPr>
        <w:t xml:space="preserve">arises out of a recent Australian Competition Tribunal decision. It </w:t>
      </w:r>
      <w:r w:rsidRPr="003A2B63">
        <w:rPr>
          <w:rFonts w:eastAsia="Calibri"/>
        </w:rPr>
        <w:t xml:space="preserve">relates </w:t>
      </w:r>
      <w:r w:rsidRPr="00A23CF5">
        <w:rPr>
          <w:rFonts w:eastAsia="Calibri"/>
        </w:rPr>
        <w:t>to</w:t>
      </w:r>
      <w:r w:rsidRPr="00585B5C">
        <w:rPr>
          <w:rStyle w:val="AERtexthighlight"/>
          <w:rFonts w:eastAsia="Calibri"/>
          <w:shd w:val="clear" w:color="auto" w:fill="auto"/>
        </w:rPr>
        <w:t xml:space="preserve"> the adjustment for the accumulated return on capital associated with the </w:t>
      </w:r>
      <w:r w:rsidRPr="00585B5C">
        <w:rPr>
          <w:rStyle w:val="AERtexthighlight"/>
          <w:shd w:val="clear" w:color="auto" w:fill="auto"/>
        </w:rPr>
        <w:t>difference between estimated and actual capex for 2009–10, the final year of the previous access arrangement period.</w:t>
      </w:r>
    </w:p>
    <w:p w:rsidR="00103B25" w:rsidRDefault="00F674AC" w:rsidP="00F674AC">
      <w:pPr>
        <w:pStyle w:val="AERbodytext"/>
        <w:rPr>
          <w:rFonts w:eastAsia="Calibri"/>
        </w:rPr>
      </w:pPr>
      <w:r w:rsidRPr="00F73C2D">
        <w:rPr>
          <w:rFonts w:eastAsia="Calibri"/>
        </w:rPr>
        <w:t xml:space="preserve">After </w:t>
      </w:r>
      <w:r>
        <w:rPr>
          <w:rFonts w:eastAsia="Calibri"/>
        </w:rPr>
        <w:t xml:space="preserve">removing this </w:t>
      </w:r>
      <w:r w:rsidRPr="00F73C2D">
        <w:rPr>
          <w:rFonts w:eastAsia="Calibri"/>
        </w:rPr>
        <w:t>adjust</w:t>
      </w:r>
      <w:r>
        <w:rPr>
          <w:rFonts w:eastAsia="Calibri"/>
        </w:rPr>
        <w:t>ment from the capital base roll forward</w:t>
      </w:r>
      <w:r w:rsidRPr="00F73C2D">
        <w:rPr>
          <w:rFonts w:eastAsia="Calibri"/>
        </w:rPr>
        <w:t xml:space="preserve">, </w:t>
      </w:r>
      <w:r>
        <w:rPr>
          <w:rFonts w:eastAsia="Calibri"/>
        </w:rPr>
        <w:t>we determine</w:t>
      </w:r>
      <w:r w:rsidRPr="00F73C2D">
        <w:rPr>
          <w:rFonts w:eastAsia="Calibri"/>
        </w:rPr>
        <w:t xml:space="preserve"> an opening capital base of </w:t>
      </w:r>
      <w:r w:rsidRPr="00B406D4">
        <w:rPr>
          <w:rStyle w:val="AERbody"/>
          <w:rFonts w:eastAsia="Calibri"/>
        </w:rPr>
        <w:t>$</w:t>
      </w:r>
      <w:r>
        <w:rPr>
          <w:rStyle w:val="AERbody"/>
          <w:rFonts w:eastAsia="Calibri"/>
        </w:rPr>
        <w:t xml:space="preserve">3044.2 </w:t>
      </w:r>
      <w:r w:rsidRPr="00B406D4">
        <w:rPr>
          <w:rStyle w:val="AERbody"/>
          <w:rFonts w:eastAsia="Calibri"/>
        </w:rPr>
        <w:t>million</w:t>
      </w:r>
      <w:r w:rsidRPr="00F73C2D">
        <w:rPr>
          <w:rFonts w:eastAsia="Calibri"/>
        </w:rPr>
        <w:t xml:space="preserve"> </w:t>
      </w:r>
      <w:r>
        <w:rPr>
          <w:rFonts w:eastAsia="Calibri"/>
        </w:rPr>
        <w:t>($nominal) as at 1 July</w:t>
      </w:r>
      <w:r w:rsidRPr="00F73C2D">
        <w:rPr>
          <w:rFonts w:eastAsia="Calibri"/>
        </w:rPr>
        <w:t xml:space="preserve"> 201</w:t>
      </w:r>
      <w:r>
        <w:rPr>
          <w:rFonts w:eastAsia="Calibri"/>
        </w:rPr>
        <w:t>5</w:t>
      </w:r>
      <w:r w:rsidRPr="00F73C2D">
        <w:rPr>
          <w:rFonts w:eastAsia="Calibri"/>
        </w:rPr>
        <w:t xml:space="preserve">, which is </w:t>
      </w:r>
      <w:r>
        <w:rPr>
          <w:rFonts w:eastAsia="Calibri"/>
        </w:rPr>
        <w:t>$1.6</w:t>
      </w:r>
      <w:r w:rsidRPr="00F73C2D">
        <w:rPr>
          <w:rFonts w:eastAsia="Calibri"/>
        </w:rPr>
        <w:t xml:space="preserve"> million </w:t>
      </w:r>
      <w:r w:rsidRPr="00254619">
        <w:t>($nominal)</w:t>
      </w:r>
      <w:r>
        <w:t xml:space="preserve"> </w:t>
      </w:r>
      <w:r w:rsidRPr="00F73C2D">
        <w:rPr>
          <w:rFonts w:eastAsia="Calibri"/>
        </w:rPr>
        <w:t>less than that proposed by</w:t>
      </w:r>
      <w:r>
        <w:rPr>
          <w:rFonts w:eastAsia="Calibri"/>
        </w:rPr>
        <w:t xml:space="preserve"> JGN</w:t>
      </w:r>
      <w:r w:rsidRPr="00F73C2D">
        <w:rPr>
          <w:rFonts w:eastAsia="Calibri"/>
        </w:rPr>
        <w:t>.</w:t>
      </w:r>
      <w:r>
        <w:rPr>
          <w:rStyle w:val="FootnoteReference"/>
          <w:rFonts w:eastAsia="Calibri"/>
        </w:rPr>
        <w:footnoteReference w:id="3"/>
      </w:r>
      <w:r w:rsidRPr="00F73C2D">
        <w:rPr>
          <w:rFonts w:eastAsia="Calibri"/>
        </w:rPr>
        <w:t xml:space="preserve"> </w:t>
      </w:r>
    </w:p>
    <w:p w:rsidR="00103B25" w:rsidRDefault="00103B25">
      <w:pPr>
        <w:spacing w:after="0" w:line="240" w:lineRule="auto"/>
        <w:jc w:val="left"/>
        <w:rPr>
          <w:szCs w:val="24"/>
        </w:rPr>
      </w:pPr>
      <w:r>
        <w:br w:type="page"/>
      </w:r>
    </w:p>
    <w:p w:rsidR="00F674AC" w:rsidRPr="00F73C2D" w:rsidRDefault="00F674AC" w:rsidP="00F674AC">
      <w:pPr>
        <w:pStyle w:val="AERbodytext"/>
        <w:rPr>
          <w:rFonts w:eastAsia="Calibri"/>
        </w:rPr>
      </w:pPr>
      <w:r>
        <w:rPr>
          <w:rFonts w:eastAsia="Calibri"/>
        </w:rPr>
        <w:lastRenderedPageBreak/>
        <w:fldChar w:fldCharType="begin"/>
      </w:r>
      <w:r>
        <w:rPr>
          <w:rFonts w:eastAsia="Calibri"/>
        </w:rPr>
        <w:instrText xml:space="preserve"> REF _Ref404157003 \h </w:instrText>
      </w:r>
      <w:r>
        <w:rPr>
          <w:rFonts w:eastAsia="Calibri"/>
        </w:rPr>
      </w:r>
      <w:r>
        <w:rPr>
          <w:rFonts w:eastAsia="Calibri"/>
        </w:rPr>
        <w:fldChar w:fldCharType="separate"/>
      </w:r>
      <w:r w:rsidR="00752809">
        <w:t xml:space="preserve">Table </w:t>
      </w:r>
      <w:r w:rsidR="00752809">
        <w:rPr>
          <w:noProof/>
        </w:rPr>
        <w:t>2</w:t>
      </w:r>
      <w:r w:rsidR="00752809">
        <w:noBreakHyphen/>
      </w:r>
      <w:r w:rsidR="00752809">
        <w:rPr>
          <w:noProof/>
        </w:rPr>
        <w:t>1</w:t>
      </w:r>
      <w:r>
        <w:rPr>
          <w:rFonts w:eastAsia="Calibri"/>
        </w:rPr>
        <w:fldChar w:fldCharType="end"/>
      </w:r>
      <w:r>
        <w:rPr>
          <w:rFonts w:eastAsia="Calibri"/>
        </w:rPr>
        <w:t xml:space="preserve"> </w:t>
      </w:r>
      <w:r w:rsidRPr="00F73C2D">
        <w:rPr>
          <w:rFonts w:eastAsia="Calibri"/>
        </w:rPr>
        <w:t xml:space="preserve">summarises </w:t>
      </w:r>
      <w:r>
        <w:rPr>
          <w:rFonts w:eastAsia="Calibri"/>
        </w:rPr>
        <w:t>our</w:t>
      </w:r>
      <w:r w:rsidRPr="00F73C2D">
        <w:rPr>
          <w:rFonts w:eastAsia="Calibri"/>
        </w:rPr>
        <w:t xml:space="preserve"> draft dec</w:t>
      </w:r>
      <w:r>
        <w:rPr>
          <w:rFonts w:eastAsia="Calibri"/>
        </w:rPr>
        <w:t>ision on the roll forward of JGN's</w:t>
      </w:r>
      <w:r w:rsidRPr="00F73C2D">
        <w:rPr>
          <w:rFonts w:eastAsia="Calibri"/>
        </w:rPr>
        <w:t xml:space="preserve"> capital base during the 20</w:t>
      </w:r>
      <w:r>
        <w:rPr>
          <w:rFonts w:eastAsia="Calibri"/>
        </w:rPr>
        <w:t>10</w:t>
      </w:r>
      <w:r w:rsidRPr="00F73C2D">
        <w:rPr>
          <w:rFonts w:eastAsia="Calibri"/>
        </w:rPr>
        <w:t>–1</w:t>
      </w:r>
      <w:r>
        <w:rPr>
          <w:rFonts w:eastAsia="Calibri"/>
        </w:rPr>
        <w:t>5</w:t>
      </w:r>
      <w:r w:rsidRPr="00F73C2D">
        <w:rPr>
          <w:rFonts w:eastAsia="Calibri"/>
        </w:rPr>
        <w:t xml:space="preserve"> access arrangement period. </w:t>
      </w:r>
    </w:p>
    <w:p w:rsidR="00F674AC" w:rsidRDefault="00F674AC" w:rsidP="00F674AC">
      <w:pPr>
        <w:pStyle w:val="Caption"/>
      </w:pPr>
      <w:bookmarkStart w:id="12" w:name="_Ref404157003"/>
      <w:bookmarkStart w:id="13" w:name="_Ref328756976"/>
      <w:r>
        <w:t xml:space="preserve">Table </w:t>
      </w:r>
      <w:fldSimple w:instr=" STYLEREF 1 \s ">
        <w:r w:rsidR="00752809">
          <w:rPr>
            <w:noProof/>
          </w:rPr>
          <w:t>2</w:t>
        </w:r>
      </w:fldSimple>
      <w:r>
        <w:noBreakHyphen/>
      </w:r>
      <w:fldSimple w:instr=" SEQ Table \* ARABIC \s 1 ">
        <w:r w:rsidR="00752809">
          <w:rPr>
            <w:noProof/>
          </w:rPr>
          <w:t>1</w:t>
        </w:r>
      </w:fldSimple>
      <w:bookmarkEnd w:id="12"/>
      <w:r>
        <w:tab/>
        <w:t>AER's draft decision on JGN's capital base roll forward for the 2010–15 access arrangement period ($million, nominal)</w:t>
      </w:r>
    </w:p>
    <w:tbl>
      <w:tblPr>
        <w:tblStyle w:val="AERtable-numbers"/>
        <w:tblW w:w="9039" w:type="dxa"/>
        <w:tblLayout w:type="fixed"/>
        <w:tblLook w:val="04A0" w:firstRow="1" w:lastRow="0" w:firstColumn="1" w:lastColumn="0" w:noHBand="0" w:noVBand="1"/>
      </w:tblPr>
      <w:tblGrid>
        <w:gridCol w:w="3510"/>
        <w:gridCol w:w="1105"/>
        <w:gridCol w:w="1106"/>
        <w:gridCol w:w="1106"/>
        <w:gridCol w:w="1106"/>
        <w:gridCol w:w="1106"/>
      </w:tblGrid>
      <w:tr w:rsidR="00F674AC" w:rsidRPr="00995B8F" w:rsidTr="00D96F43">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3510" w:type="dxa"/>
            <w:noWrap/>
          </w:tcPr>
          <w:p w:rsidR="00F674AC" w:rsidRPr="00100B35" w:rsidRDefault="00F674AC" w:rsidP="009903BE">
            <w:pPr>
              <w:pStyle w:val="AERtabletextleft"/>
            </w:pPr>
          </w:p>
        </w:tc>
        <w:tc>
          <w:tcPr>
            <w:tcW w:w="1105" w:type="dxa"/>
            <w:noWrap/>
          </w:tcPr>
          <w:p w:rsidR="00F674AC" w:rsidRPr="00100B35" w:rsidRDefault="00F674AC" w:rsidP="009903BE">
            <w:pPr>
              <w:pStyle w:val="AERtabletextleft"/>
              <w:cnfStyle w:val="100000000000" w:firstRow="1" w:lastRow="0" w:firstColumn="0" w:lastColumn="0" w:oddVBand="0" w:evenVBand="0" w:oddHBand="0" w:evenHBand="0" w:firstRowFirstColumn="0" w:firstRowLastColumn="0" w:lastRowFirstColumn="0" w:lastRowLastColumn="0"/>
              <w:rPr>
                <w:b w:val="0"/>
                <w:color w:val="auto"/>
              </w:rPr>
            </w:pPr>
            <w:r w:rsidRPr="00100B35">
              <w:t>2010-11</w:t>
            </w:r>
          </w:p>
        </w:tc>
        <w:tc>
          <w:tcPr>
            <w:tcW w:w="1106" w:type="dxa"/>
            <w:noWrap/>
          </w:tcPr>
          <w:p w:rsidR="00F674AC" w:rsidRPr="00100B35" w:rsidRDefault="00F674AC" w:rsidP="009903BE">
            <w:pPr>
              <w:pStyle w:val="AERtabletextleft"/>
              <w:cnfStyle w:val="100000000000" w:firstRow="1" w:lastRow="0" w:firstColumn="0" w:lastColumn="0" w:oddVBand="0" w:evenVBand="0" w:oddHBand="0" w:evenHBand="0" w:firstRowFirstColumn="0" w:firstRowLastColumn="0" w:lastRowFirstColumn="0" w:lastRowLastColumn="0"/>
              <w:rPr>
                <w:b w:val="0"/>
                <w:color w:val="auto"/>
              </w:rPr>
            </w:pPr>
            <w:r w:rsidRPr="00100B35">
              <w:t>2011-12</w:t>
            </w:r>
          </w:p>
        </w:tc>
        <w:tc>
          <w:tcPr>
            <w:tcW w:w="1106" w:type="dxa"/>
            <w:noWrap/>
          </w:tcPr>
          <w:p w:rsidR="00F674AC" w:rsidRPr="00100B35" w:rsidRDefault="00F674AC" w:rsidP="009903BE">
            <w:pPr>
              <w:pStyle w:val="AERtabletextleft"/>
              <w:cnfStyle w:val="100000000000" w:firstRow="1" w:lastRow="0" w:firstColumn="0" w:lastColumn="0" w:oddVBand="0" w:evenVBand="0" w:oddHBand="0" w:evenHBand="0" w:firstRowFirstColumn="0" w:firstRowLastColumn="0" w:lastRowFirstColumn="0" w:lastRowLastColumn="0"/>
              <w:rPr>
                <w:b w:val="0"/>
                <w:color w:val="auto"/>
              </w:rPr>
            </w:pPr>
            <w:r w:rsidRPr="00100B35">
              <w:t>2012-13</w:t>
            </w:r>
          </w:p>
        </w:tc>
        <w:tc>
          <w:tcPr>
            <w:tcW w:w="1106" w:type="dxa"/>
            <w:noWrap/>
          </w:tcPr>
          <w:p w:rsidR="00F674AC" w:rsidRPr="00100B35" w:rsidRDefault="00F674AC" w:rsidP="009903BE">
            <w:pPr>
              <w:pStyle w:val="AERtabletextleft"/>
              <w:cnfStyle w:val="100000000000" w:firstRow="1" w:lastRow="0" w:firstColumn="0" w:lastColumn="0" w:oddVBand="0" w:evenVBand="0" w:oddHBand="0" w:evenHBand="0" w:firstRowFirstColumn="0" w:firstRowLastColumn="0" w:lastRowFirstColumn="0" w:lastRowLastColumn="0"/>
              <w:rPr>
                <w:b w:val="0"/>
                <w:color w:val="auto"/>
              </w:rPr>
            </w:pPr>
            <w:r w:rsidRPr="00100B35">
              <w:t>2013-14</w:t>
            </w:r>
          </w:p>
        </w:tc>
        <w:tc>
          <w:tcPr>
            <w:tcW w:w="1106" w:type="dxa"/>
            <w:noWrap/>
          </w:tcPr>
          <w:p w:rsidR="00F674AC" w:rsidRPr="00100B35" w:rsidRDefault="00F674AC" w:rsidP="009903BE">
            <w:pPr>
              <w:pStyle w:val="AERtabletextleft"/>
              <w:cnfStyle w:val="100000000000" w:firstRow="1" w:lastRow="0" w:firstColumn="0" w:lastColumn="0" w:oddVBand="0" w:evenVBand="0" w:oddHBand="0" w:evenHBand="0" w:firstRowFirstColumn="0" w:firstRowLastColumn="0" w:lastRowFirstColumn="0" w:lastRowLastColumn="0"/>
              <w:rPr>
                <w:rStyle w:val="AERsuperscript"/>
                <w:bCs/>
                <w:color w:val="auto"/>
                <w:sz w:val="20"/>
                <w:szCs w:val="18"/>
              </w:rPr>
            </w:pPr>
            <w:r w:rsidRPr="00100B35">
              <w:t>2014-15</w:t>
            </w:r>
          </w:p>
        </w:tc>
      </w:tr>
      <w:tr w:rsidR="005525B4" w:rsidRPr="00995B8F" w:rsidTr="005525B4">
        <w:trPr>
          <w:trHeight w:val="383"/>
        </w:trPr>
        <w:tc>
          <w:tcPr>
            <w:cnfStyle w:val="001000000000" w:firstRow="0" w:lastRow="0" w:firstColumn="1" w:lastColumn="0" w:oddVBand="0" w:evenVBand="0" w:oddHBand="0" w:evenHBand="0" w:firstRowFirstColumn="0" w:firstRowLastColumn="0" w:lastRowFirstColumn="0" w:lastRowLastColumn="0"/>
            <w:tcW w:w="3510" w:type="dxa"/>
            <w:noWrap/>
          </w:tcPr>
          <w:p w:rsidR="005525B4" w:rsidRPr="005525B4" w:rsidRDefault="005525B4" w:rsidP="005525B4">
            <w:pPr>
              <w:pStyle w:val="AERtabletextleft"/>
            </w:pPr>
            <w:r w:rsidRPr="005525B4">
              <w:t>Opening capital base</w:t>
            </w:r>
          </w:p>
        </w:tc>
        <w:tc>
          <w:tcPr>
            <w:tcW w:w="1105" w:type="dxa"/>
            <w:noWrap/>
          </w:tcPr>
          <w:p w:rsidR="005525B4" w:rsidRPr="005525B4" w:rsidRDefault="00752DAF" w:rsidP="005525B4">
            <w:pPr>
              <w:pStyle w:val="AERtabletextleft"/>
              <w:cnfStyle w:val="000000000000" w:firstRow="0" w:lastRow="0" w:firstColumn="0" w:lastColumn="0" w:oddVBand="0" w:evenVBand="0" w:oddHBand="0" w:evenHBand="0" w:firstRowFirstColumn="0" w:firstRowLastColumn="0" w:lastRowFirstColumn="0" w:lastRowLastColumn="0"/>
            </w:pPr>
            <w:r>
              <w:t>2</w:t>
            </w:r>
            <w:r w:rsidR="005525B4" w:rsidRPr="005525B4">
              <w:t>312.7</w:t>
            </w:r>
          </w:p>
        </w:tc>
        <w:tc>
          <w:tcPr>
            <w:tcW w:w="1106" w:type="dxa"/>
            <w:noWrap/>
          </w:tcPr>
          <w:p w:rsidR="005525B4" w:rsidRPr="005525B4" w:rsidRDefault="00752DAF" w:rsidP="005525B4">
            <w:pPr>
              <w:pStyle w:val="AERtabletextleft"/>
              <w:cnfStyle w:val="000000000000" w:firstRow="0" w:lastRow="0" w:firstColumn="0" w:lastColumn="0" w:oddVBand="0" w:evenVBand="0" w:oddHBand="0" w:evenHBand="0" w:firstRowFirstColumn="0" w:firstRowLastColumn="0" w:lastRowFirstColumn="0" w:lastRowLastColumn="0"/>
            </w:pPr>
            <w:r>
              <w:t>2</w:t>
            </w:r>
            <w:r w:rsidR="005525B4" w:rsidRPr="005525B4">
              <w:t>456.6</w:t>
            </w:r>
          </w:p>
        </w:tc>
        <w:tc>
          <w:tcPr>
            <w:tcW w:w="1106" w:type="dxa"/>
            <w:noWrap/>
          </w:tcPr>
          <w:p w:rsidR="005525B4" w:rsidRPr="005525B4" w:rsidRDefault="00752DAF" w:rsidP="005525B4">
            <w:pPr>
              <w:pStyle w:val="AERtabletextleft"/>
              <w:cnfStyle w:val="000000000000" w:firstRow="0" w:lastRow="0" w:firstColumn="0" w:lastColumn="0" w:oddVBand="0" w:evenVBand="0" w:oddHBand="0" w:evenHBand="0" w:firstRowFirstColumn="0" w:firstRowLastColumn="0" w:lastRowFirstColumn="0" w:lastRowLastColumn="0"/>
            </w:pPr>
            <w:r>
              <w:t>2</w:t>
            </w:r>
            <w:r w:rsidR="005525B4" w:rsidRPr="005525B4">
              <w:t>611.2</w:t>
            </w:r>
          </w:p>
        </w:tc>
        <w:tc>
          <w:tcPr>
            <w:tcW w:w="1106" w:type="dxa"/>
            <w:noWrap/>
          </w:tcPr>
          <w:p w:rsidR="005525B4" w:rsidRPr="005525B4" w:rsidRDefault="00752DAF" w:rsidP="005525B4">
            <w:pPr>
              <w:pStyle w:val="AERtabletextleft"/>
              <w:cnfStyle w:val="000000000000" w:firstRow="0" w:lastRow="0" w:firstColumn="0" w:lastColumn="0" w:oddVBand="0" w:evenVBand="0" w:oddHBand="0" w:evenHBand="0" w:firstRowFirstColumn="0" w:firstRowLastColumn="0" w:lastRowFirstColumn="0" w:lastRowLastColumn="0"/>
            </w:pPr>
            <w:r>
              <w:t>2</w:t>
            </w:r>
            <w:r w:rsidR="005525B4" w:rsidRPr="005525B4">
              <w:t>697.1</w:t>
            </w:r>
          </w:p>
        </w:tc>
        <w:tc>
          <w:tcPr>
            <w:tcW w:w="1106" w:type="dxa"/>
            <w:noWrap/>
          </w:tcPr>
          <w:p w:rsidR="005525B4" w:rsidRPr="005525B4" w:rsidRDefault="00752DAF" w:rsidP="005525B4">
            <w:pPr>
              <w:pStyle w:val="AERtabletextleft"/>
              <w:cnfStyle w:val="000000000000" w:firstRow="0" w:lastRow="0" w:firstColumn="0" w:lastColumn="0" w:oddVBand="0" w:evenVBand="0" w:oddHBand="0" w:evenHBand="0" w:firstRowFirstColumn="0" w:firstRowLastColumn="0" w:lastRowFirstColumn="0" w:lastRowLastColumn="0"/>
            </w:pPr>
            <w:r>
              <w:t>2</w:t>
            </w:r>
            <w:r w:rsidR="005525B4" w:rsidRPr="005525B4">
              <w:t>839.3</w:t>
            </w:r>
          </w:p>
        </w:tc>
      </w:tr>
      <w:tr w:rsidR="005525B4" w:rsidRPr="00995B8F" w:rsidTr="005525B4">
        <w:trPr>
          <w:cnfStyle w:val="000000010000" w:firstRow="0" w:lastRow="0" w:firstColumn="0" w:lastColumn="0" w:oddVBand="0" w:evenVBand="0" w:oddHBand="0" w:evenHBand="1"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3510" w:type="dxa"/>
            <w:noWrap/>
          </w:tcPr>
          <w:p w:rsidR="005525B4" w:rsidRPr="005525B4" w:rsidRDefault="005525B4" w:rsidP="005525B4">
            <w:pPr>
              <w:pStyle w:val="AERtabletextleft"/>
            </w:pPr>
            <w:r w:rsidRPr="005525B4">
              <w:t>Net capex at the start of the year</w:t>
            </w:r>
          </w:p>
        </w:tc>
        <w:tc>
          <w:tcPr>
            <w:tcW w:w="1105" w:type="dxa"/>
            <w:noWrap/>
          </w:tcPr>
          <w:p w:rsidR="005525B4" w:rsidRPr="005525B4" w:rsidRDefault="005525B4" w:rsidP="005525B4">
            <w:pPr>
              <w:pStyle w:val="AERtabletextleft"/>
              <w:cnfStyle w:val="000000010000" w:firstRow="0" w:lastRow="0" w:firstColumn="0" w:lastColumn="0" w:oddVBand="0" w:evenVBand="0" w:oddHBand="0" w:evenHBand="1" w:firstRowFirstColumn="0" w:firstRowLastColumn="0" w:lastRowFirstColumn="0" w:lastRowLastColumn="0"/>
            </w:pPr>
            <w:r w:rsidRPr="005525B4">
              <w:t>76.2</w:t>
            </w:r>
          </w:p>
        </w:tc>
        <w:tc>
          <w:tcPr>
            <w:tcW w:w="1106" w:type="dxa"/>
            <w:noWrap/>
          </w:tcPr>
          <w:p w:rsidR="005525B4" w:rsidRPr="005525B4" w:rsidRDefault="005525B4" w:rsidP="005525B4">
            <w:pPr>
              <w:pStyle w:val="AERtabletextleft"/>
              <w:cnfStyle w:val="000000010000" w:firstRow="0" w:lastRow="0" w:firstColumn="0" w:lastColumn="0" w:oddVBand="0" w:evenVBand="0" w:oddHBand="0" w:evenHBand="1" w:firstRowFirstColumn="0" w:firstRowLastColumn="0" w:lastRowFirstColumn="0" w:lastRowLastColumn="0"/>
            </w:pPr>
            <w:r w:rsidRPr="005525B4">
              <w:t>82.8</w:t>
            </w:r>
          </w:p>
        </w:tc>
        <w:tc>
          <w:tcPr>
            <w:tcW w:w="1106" w:type="dxa"/>
            <w:noWrap/>
          </w:tcPr>
          <w:p w:rsidR="005525B4" w:rsidRPr="005525B4" w:rsidRDefault="005525B4" w:rsidP="005525B4">
            <w:pPr>
              <w:pStyle w:val="AERtabletextleft"/>
              <w:cnfStyle w:val="000000010000" w:firstRow="0" w:lastRow="0" w:firstColumn="0" w:lastColumn="0" w:oddVBand="0" w:evenVBand="0" w:oddHBand="0" w:evenHBand="1" w:firstRowFirstColumn="0" w:firstRowLastColumn="0" w:lastRowFirstColumn="0" w:lastRowLastColumn="0"/>
            </w:pPr>
            <w:r w:rsidRPr="005525B4">
              <w:t>63.5</w:t>
            </w:r>
          </w:p>
        </w:tc>
        <w:tc>
          <w:tcPr>
            <w:tcW w:w="1106" w:type="dxa"/>
            <w:noWrap/>
          </w:tcPr>
          <w:p w:rsidR="005525B4" w:rsidRPr="005525B4" w:rsidRDefault="005525B4" w:rsidP="005525B4">
            <w:pPr>
              <w:pStyle w:val="AERtabletextleft"/>
              <w:cnfStyle w:val="000000010000" w:firstRow="0" w:lastRow="0" w:firstColumn="0" w:lastColumn="0" w:oddVBand="0" w:evenVBand="0" w:oddHBand="0" w:evenHBand="1" w:firstRowFirstColumn="0" w:firstRowLastColumn="0" w:lastRowFirstColumn="0" w:lastRowLastColumn="0"/>
            </w:pPr>
            <w:r w:rsidRPr="005525B4">
              <w:t>88.1</w:t>
            </w:r>
          </w:p>
        </w:tc>
        <w:tc>
          <w:tcPr>
            <w:tcW w:w="1106" w:type="dxa"/>
            <w:noWrap/>
          </w:tcPr>
          <w:p w:rsidR="005525B4" w:rsidRPr="005525B4" w:rsidRDefault="005525B4" w:rsidP="005525B4">
            <w:pPr>
              <w:pStyle w:val="AERtabletextleft"/>
              <w:cnfStyle w:val="000000010000" w:firstRow="0" w:lastRow="0" w:firstColumn="0" w:lastColumn="0" w:oddVBand="0" w:evenVBand="0" w:oddHBand="0" w:evenHBand="1" w:firstRowFirstColumn="0" w:firstRowLastColumn="0" w:lastRowFirstColumn="0" w:lastRowLastColumn="0"/>
            </w:pPr>
            <w:r w:rsidRPr="005525B4">
              <w:t>117.6</w:t>
            </w:r>
          </w:p>
        </w:tc>
      </w:tr>
      <w:tr w:rsidR="005525B4" w:rsidRPr="00995B8F" w:rsidTr="005525B4">
        <w:trPr>
          <w:trHeight w:val="381"/>
        </w:trPr>
        <w:tc>
          <w:tcPr>
            <w:cnfStyle w:val="001000000000" w:firstRow="0" w:lastRow="0" w:firstColumn="1" w:lastColumn="0" w:oddVBand="0" w:evenVBand="0" w:oddHBand="0" w:evenHBand="0" w:firstRowFirstColumn="0" w:firstRowLastColumn="0" w:lastRowFirstColumn="0" w:lastRowLastColumn="0"/>
            <w:tcW w:w="3510" w:type="dxa"/>
            <w:noWrap/>
          </w:tcPr>
          <w:p w:rsidR="005525B4" w:rsidRPr="005525B4" w:rsidRDefault="005525B4" w:rsidP="005525B4">
            <w:pPr>
              <w:pStyle w:val="AERtabletextleft"/>
            </w:pPr>
            <w:r w:rsidRPr="005525B4">
              <w:t>Indexation of assets</w:t>
            </w:r>
          </w:p>
        </w:tc>
        <w:tc>
          <w:tcPr>
            <w:tcW w:w="1105" w:type="dxa"/>
            <w:noWrap/>
          </w:tcPr>
          <w:p w:rsidR="005525B4" w:rsidRPr="005525B4" w:rsidRDefault="005525B4" w:rsidP="005525B4">
            <w:pPr>
              <w:pStyle w:val="AERtabletextleft"/>
              <w:cnfStyle w:val="000000000000" w:firstRow="0" w:lastRow="0" w:firstColumn="0" w:lastColumn="0" w:oddVBand="0" w:evenVBand="0" w:oddHBand="0" w:evenHBand="0" w:firstRowFirstColumn="0" w:firstRowLastColumn="0" w:lastRowFirstColumn="0" w:lastRowLastColumn="0"/>
            </w:pPr>
            <w:r w:rsidRPr="005525B4">
              <w:t>63.4</w:t>
            </w:r>
          </w:p>
        </w:tc>
        <w:tc>
          <w:tcPr>
            <w:tcW w:w="1106" w:type="dxa"/>
            <w:noWrap/>
          </w:tcPr>
          <w:p w:rsidR="005525B4" w:rsidRPr="005525B4" w:rsidRDefault="005525B4" w:rsidP="005525B4">
            <w:pPr>
              <w:pStyle w:val="AERtabletextleft"/>
              <w:cnfStyle w:val="000000000000" w:firstRow="0" w:lastRow="0" w:firstColumn="0" w:lastColumn="0" w:oddVBand="0" w:evenVBand="0" w:oddHBand="0" w:evenHBand="0" w:firstRowFirstColumn="0" w:firstRowLastColumn="0" w:lastRowFirstColumn="0" w:lastRowLastColumn="0"/>
            </w:pPr>
            <w:r w:rsidRPr="005525B4">
              <w:t>78.8</w:t>
            </w:r>
          </w:p>
        </w:tc>
        <w:tc>
          <w:tcPr>
            <w:tcW w:w="1106" w:type="dxa"/>
            <w:noWrap/>
          </w:tcPr>
          <w:p w:rsidR="005525B4" w:rsidRPr="005525B4" w:rsidRDefault="005525B4" w:rsidP="005525B4">
            <w:pPr>
              <w:pStyle w:val="AERtabletextleft"/>
              <w:cnfStyle w:val="000000000000" w:firstRow="0" w:lastRow="0" w:firstColumn="0" w:lastColumn="0" w:oddVBand="0" w:evenVBand="0" w:oddHBand="0" w:evenHBand="0" w:firstRowFirstColumn="0" w:firstRowLastColumn="0" w:lastRowFirstColumn="0" w:lastRowLastColumn="0"/>
            </w:pPr>
            <w:r w:rsidRPr="005525B4">
              <w:t>59.0</w:t>
            </w:r>
          </w:p>
        </w:tc>
        <w:tc>
          <w:tcPr>
            <w:tcW w:w="1106" w:type="dxa"/>
            <w:noWrap/>
          </w:tcPr>
          <w:p w:rsidR="005525B4" w:rsidRPr="005525B4" w:rsidRDefault="005525B4" w:rsidP="005525B4">
            <w:pPr>
              <w:pStyle w:val="AERtabletextleft"/>
              <w:cnfStyle w:val="000000000000" w:firstRow="0" w:lastRow="0" w:firstColumn="0" w:lastColumn="0" w:oddVBand="0" w:evenVBand="0" w:oddHBand="0" w:evenHBand="0" w:firstRowFirstColumn="0" w:firstRowLastColumn="0" w:lastRowFirstColumn="0" w:lastRowLastColumn="0"/>
            </w:pPr>
            <w:r w:rsidRPr="005525B4">
              <w:t>76.5</w:t>
            </w:r>
          </w:p>
        </w:tc>
        <w:tc>
          <w:tcPr>
            <w:tcW w:w="1106" w:type="dxa"/>
            <w:noWrap/>
          </w:tcPr>
          <w:p w:rsidR="005525B4" w:rsidRPr="005525B4" w:rsidRDefault="005525B4" w:rsidP="005525B4">
            <w:pPr>
              <w:pStyle w:val="AERtabletextleft"/>
              <w:cnfStyle w:val="000000000000" w:firstRow="0" w:lastRow="0" w:firstColumn="0" w:lastColumn="0" w:oddVBand="0" w:evenVBand="0" w:oddHBand="0" w:evenHBand="0" w:firstRowFirstColumn="0" w:firstRowLastColumn="0" w:lastRowFirstColumn="0" w:lastRowLastColumn="0"/>
            </w:pPr>
            <w:r w:rsidRPr="005525B4">
              <w:t>88.7</w:t>
            </w:r>
          </w:p>
        </w:tc>
      </w:tr>
      <w:tr w:rsidR="005525B4" w:rsidRPr="00995B8F" w:rsidTr="005525B4">
        <w:trPr>
          <w:cnfStyle w:val="000000010000" w:firstRow="0" w:lastRow="0" w:firstColumn="0" w:lastColumn="0" w:oddVBand="0" w:evenVBand="0" w:oddHBand="0" w:evenHBand="1"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3510" w:type="dxa"/>
            <w:noWrap/>
          </w:tcPr>
          <w:p w:rsidR="005525B4" w:rsidRPr="005525B4" w:rsidRDefault="005525B4" w:rsidP="005525B4">
            <w:pPr>
              <w:pStyle w:val="AERtabletextleft"/>
            </w:pPr>
            <w:r w:rsidRPr="005525B4">
              <w:t>Net capex at end of year</w:t>
            </w:r>
          </w:p>
        </w:tc>
        <w:tc>
          <w:tcPr>
            <w:tcW w:w="1105" w:type="dxa"/>
            <w:noWrap/>
          </w:tcPr>
          <w:p w:rsidR="005525B4" w:rsidRPr="005525B4" w:rsidRDefault="005525B4" w:rsidP="005525B4">
            <w:pPr>
              <w:pStyle w:val="AERtabletextleft"/>
              <w:cnfStyle w:val="000000010000" w:firstRow="0" w:lastRow="0" w:firstColumn="0" w:lastColumn="0" w:oddVBand="0" w:evenVBand="0" w:oddHBand="0" w:evenHBand="1" w:firstRowFirstColumn="0" w:firstRowLastColumn="0" w:lastRowFirstColumn="0" w:lastRowLastColumn="0"/>
            </w:pPr>
            <w:r w:rsidRPr="005525B4">
              <w:t>78.3</w:t>
            </w:r>
          </w:p>
        </w:tc>
        <w:tc>
          <w:tcPr>
            <w:tcW w:w="1106" w:type="dxa"/>
            <w:noWrap/>
          </w:tcPr>
          <w:p w:rsidR="005525B4" w:rsidRPr="005525B4" w:rsidRDefault="005525B4" w:rsidP="005525B4">
            <w:pPr>
              <w:pStyle w:val="AERtabletextleft"/>
              <w:cnfStyle w:val="000000010000" w:firstRow="0" w:lastRow="0" w:firstColumn="0" w:lastColumn="0" w:oddVBand="0" w:evenVBand="0" w:oddHBand="0" w:evenHBand="1" w:firstRowFirstColumn="0" w:firstRowLastColumn="0" w:lastRowFirstColumn="0" w:lastRowLastColumn="0"/>
            </w:pPr>
            <w:r w:rsidRPr="005525B4">
              <w:t>85.4</w:t>
            </w:r>
          </w:p>
        </w:tc>
        <w:tc>
          <w:tcPr>
            <w:tcW w:w="1106" w:type="dxa"/>
            <w:noWrap/>
          </w:tcPr>
          <w:p w:rsidR="005525B4" w:rsidRPr="005525B4" w:rsidRDefault="005525B4" w:rsidP="005525B4">
            <w:pPr>
              <w:pStyle w:val="AERtabletextleft"/>
              <w:cnfStyle w:val="000000010000" w:firstRow="0" w:lastRow="0" w:firstColumn="0" w:lastColumn="0" w:oddVBand="0" w:evenVBand="0" w:oddHBand="0" w:evenHBand="1" w:firstRowFirstColumn="0" w:firstRowLastColumn="0" w:lastRowFirstColumn="0" w:lastRowLastColumn="0"/>
            </w:pPr>
            <w:r w:rsidRPr="005525B4">
              <w:t>64.9</w:t>
            </w:r>
          </w:p>
        </w:tc>
        <w:tc>
          <w:tcPr>
            <w:tcW w:w="1106" w:type="dxa"/>
            <w:noWrap/>
          </w:tcPr>
          <w:p w:rsidR="005525B4" w:rsidRPr="005525B4" w:rsidRDefault="005525B4" w:rsidP="005525B4">
            <w:pPr>
              <w:pStyle w:val="AERtabletextleft"/>
              <w:cnfStyle w:val="000000010000" w:firstRow="0" w:lastRow="0" w:firstColumn="0" w:lastColumn="0" w:oddVBand="0" w:evenVBand="0" w:oddHBand="0" w:evenHBand="1" w:firstRowFirstColumn="0" w:firstRowLastColumn="0" w:lastRowFirstColumn="0" w:lastRowLastColumn="0"/>
            </w:pPr>
            <w:r w:rsidRPr="005525B4">
              <w:t>90.5</w:t>
            </w:r>
          </w:p>
        </w:tc>
        <w:tc>
          <w:tcPr>
            <w:tcW w:w="1106" w:type="dxa"/>
            <w:noWrap/>
          </w:tcPr>
          <w:p w:rsidR="005525B4" w:rsidRPr="005525B4" w:rsidRDefault="005525B4" w:rsidP="005525B4">
            <w:pPr>
              <w:pStyle w:val="AERtabletextleft"/>
              <w:cnfStyle w:val="000000010000" w:firstRow="0" w:lastRow="0" w:firstColumn="0" w:lastColumn="0" w:oddVBand="0" w:evenVBand="0" w:oddHBand="0" w:evenHBand="1" w:firstRowFirstColumn="0" w:firstRowLastColumn="0" w:lastRowFirstColumn="0" w:lastRowLastColumn="0"/>
            </w:pPr>
            <w:r w:rsidRPr="005525B4">
              <w:t>121.1</w:t>
            </w:r>
          </w:p>
        </w:tc>
      </w:tr>
      <w:tr w:rsidR="005525B4" w:rsidRPr="00995B8F" w:rsidTr="005525B4">
        <w:trPr>
          <w:trHeight w:val="393"/>
        </w:trPr>
        <w:tc>
          <w:tcPr>
            <w:cnfStyle w:val="001000000000" w:firstRow="0" w:lastRow="0" w:firstColumn="1" w:lastColumn="0" w:oddVBand="0" w:evenVBand="0" w:oddHBand="0" w:evenHBand="0" w:firstRowFirstColumn="0" w:firstRowLastColumn="0" w:lastRowFirstColumn="0" w:lastRowLastColumn="0"/>
            <w:tcW w:w="3510" w:type="dxa"/>
            <w:noWrap/>
          </w:tcPr>
          <w:p w:rsidR="005525B4" w:rsidRPr="005525B4" w:rsidRDefault="005525B4" w:rsidP="005525B4">
            <w:pPr>
              <w:pStyle w:val="AERtabletextleft"/>
            </w:pPr>
            <w:r w:rsidRPr="005525B4">
              <w:t>Depreciation</w:t>
            </w:r>
          </w:p>
        </w:tc>
        <w:tc>
          <w:tcPr>
            <w:tcW w:w="1105" w:type="dxa"/>
            <w:noWrap/>
          </w:tcPr>
          <w:p w:rsidR="005525B4" w:rsidRPr="005525B4" w:rsidRDefault="005525B4" w:rsidP="005525B4">
            <w:pPr>
              <w:pStyle w:val="AERtabletextleft"/>
              <w:cnfStyle w:val="000000000000" w:firstRow="0" w:lastRow="0" w:firstColumn="0" w:lastColumn="0" w:oddVBand="0" w:evenVBand="0" w:oddHBand="0" w:evenHBand="0" w:firstRowFirstColumn="0" w:firstRowLastColumn="0" w:lastRowFirstColumn="0" w:lastRowLastColumn="0"/>
            </w:pPr>
            <w:r>
              <w:t>–</w:t>
            </w:r>
            <w:r w:rsidRPr="005525B4">
              <w:t>74.1</w:t>
            </w:r>
          </w:p>
        </w:tc>
        <w:tc>
          <w:tcPr>
            <w:tcW w:w="1106" w:type="dxa"/>
            <w:noWrap/>
          </w:tcPr>
          <w:p w:rsidR="005525B4" w:rsidRPr="005525B4" w:rsidRDefault="005525B4" w:rsidP="005525B4">
            <w:pPr>
              <w:pStyle w:val="AERtabletextleft"/>
              <w:cnfStyle w:val="000000000000" w:firstRow="0" w:lastRow="0" w:firstColumn="0" w:lastColumn="0" w:oddVBand="0" w:evenVBand="0" w:oddHBand="0" w:evenHBand="0" w:firstRowFirstColumn="0" w:firstRowLastColumn="0" w:lastRowFirstColumn="0" w:lastRowLastColumn="0"/>
            </w:pPr>
            <w:r>
              <w:t>–</w:t>
            </w:r>
            <w:r w:rsidRPr="005525B4">
              <w:t>92.4</w:t>
            </w:r>
          </w:p>
        </w:tc>
        <w:tc>
          <w:tcPr>
            <w:tcW w:w="1106" w:type="dxa"/>
            <w:noWrap/>
          </w:tcPr>
          <w:p w:rsidR="005525B4" w:rsidRPr="005525B4" w:rsidRDefault="005525B4" w:rsidP="005525B4">
            <w:pPr>
              <w:pStyle w:val="AERtabletextleft"/>
              <w:cnfStyle w:val="000000000000" w:firstRow="0" w:lastRow="0" w:firstColumn="0" w:lastColumn="0" w:oddVBand="0" w:evenVBand="0" w:oddHBand="0" w:evenHBand="0" w:firstRowFirstColumn="0" w:firstRowLastColumn="0" w:lastRowFirstColumn="0" w:lastRowLastColumn="0"/>
            </w:pPr>
            <w:r>
              <w:t>–</w:t>
            </w:r>
            <w:r w:rsidRPr="005525B4">
              <w:t>101.4</w:t>
            </w:r>
          </w:p>
        </w:tc>
        <w:tc>
          <w:tcPr>
            <w:tcW w:w="1106" w:type="dxa"/>
            <w:noWrap/>
          </w:tcPr>
          <w:p w:rsidR="005525B4" w:rsidRPr="005525B4" w:rsidRDefault="005525B4" w:rsidP="005525B4">
            <w:pPr>
              <w:pStyle w:val="AERtabletextleft"/>
              <w:cnfStyle w:val="000000000000" w:firstRow="0" w:lastRow="0" w:firstColumn="0" w:lastColumn="0" w:oddVBand="0" w:evenVBand="0" w:oddHBand="0" w:evenHBand="0" w:firstRowFirstColumn="0" w:firstRowLastColumn="0" w:lastRowFirstColumn="0" w:lastRowLastColumn="0"/>
            </w:pPr>
            <w:r>
              <w:t>–</w:t>
            </w:r>
            <w:r w:rsidRPr="005525B4">
              <w:t>112.7</w:t>
            </w:r>
          </w:p>
        </w:tc>
        <w:tc>
          <w:tcPr>
            <w:tcW w:w="1106" w:type="dxa"/>
            <w:noWrap/>
          </w:tcPr>
          <w:p w:rsidR="005525B4" w:rsidRPr="005525B4" w:rsidRDefault="005525B4" w:rsidP="005525B4">
            <w:pPr>
              <w:pStyle w:val="AERtabletextleft"/>
              <w:cnfStyle w:val="000000000000" w:firstRow="0" w:lastRow="0" w:firstColumn="0" w:lastColumn="0" w:oddVBand="0" w:evenVBand="0" w:oddHBand="0" w:evenHBand="0" w:firstRowFirstColumn="0" w:firstRowLastColumn="0" w:lastRowFirstColumn="0" w:lastRowLastColumn="0"/>
            </w:pPr>
            <w:r>
              <w:t>–</w:t>
            </w:r>
            <w:r w:rsidRPr="005525B4">
              <w:t>125.6</w:t>
            </w:r>
          </w:p>
        </w:tc>
      </w:tr>
      <w:tr w:rsidR="00752DAF" w:rsidRPr="00995B8F" w:rsidTr="00752DAF">
        <w:trPr>
          <w:cnfStyle w:val="000000010000" w:firstRow="0" w:lastRow="0" w:firstColumn="0" w:lastColumn="0" w:oddVBand="0" w:evenVBand="0" w:oddHBand="0" w:evenHBand="1"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3510" w:type="dxa"/>
            <w:noWrap/>
          </w:tcPr>
          <w:p w:rsidR="00752DAF" w:rsidRPr="00752DAF" w:rsidRDefault="00752DAF" w:rsidP="00752DAF">
            <w:pPr>
              <w:pStyle w:val="AERtabletextleft"/>
            </w:pPr>
            <w:r w:rsidRPr="004B22E8">
              <w:t xml:space="preserve">Closing capital base </w:t>
            </w:r>
          </w:p>
        </w:tc>
        <w:tc>
          <w:tcPr>
            <w:tcW w:w="1105" w:type="dxa"/>
            <w:noWrap/>
          </w:tcPr>
          <w:p w:rsidR="00752DAF" w:rsidRPr="00752DAF" w:rsidRDefault="00752DAF" w:rsidP="00752DAF">
            <w:pPr>
              <w:pStyle w:val="AERtabletextleft"/>
              <w:cnfStyle w:val="000000010000" w:firstRow="0" w:lastRow="0" w:firstColumn="0" w:lastColumn="0" w:oddVBand="0" w:evenVBand="0" w:oddHBand="0" w:evenHBand="1" w:firstRowFirstColumn="0" w:firstRowLastColumn="0" w:lastRowFirstColumn="0" w:lastRowLastColumn="0"/>
            </w:pPr>
            <w:r w:rsidRPr="004B22E8">
              <w:t>2456.6</w:t>
            </w:r>
          </w:p>
        </w:tc>
        <w:tc>
          <w:tcPr>
            <w:tcW w:w="1106" w:type="dxa"/>
            <w:noWrap/>
          </w:tcPr>
          <w:p w:rsidR="00752DAF" w:rsidRPr="00752DAF" w:rsidRDefault="00752DAF" w:rsidP="00752DAF">
            <w:pPr>
              <w:pStyle w:val="AERtabletextleft"/>
              <w:cnfStyle w:val="000000010000" w:firstRow="0" w:lastRow="0" w:firstColumn="0" w:lastColumn="0" w:oddVBand="0" w:evenVBand="0" w:oddHBand="0" w:evenHBand="1" w:firstRowFirstColumn="0" w:firstRowLastColumn="0" w:lastRowFirstColumn="0" w:lastRowLastColumn="0"/>
            </w:pPr>
            <w:r w:rsidRPr="004B22E8">
              <w:t>2611.2</w:t>
            </w:r>
          </w:p>
        </w:tc>
        <w:tc>
          <w:tcPr>
            <w:tcW w:w="1106" w:type="dxa"/>
            <w:noWrap/>
          </w:tcPr>
          <w:p w:rsidR="00752DAF" w:rsidRPr="00752DAF" w:rsidRDefault="00752DAF" w:rsidP="00752DAF">
            <w:pPr>
              <w:pStyle w:val="AERtabletextleft"/>
              <w:cnfStyle w:val="000000010000" w:firstRow="0" w:lastRow="0" w:firstColumn="0" w:lastColumn="0" w:oddVBand="0" w:evenVBand="0" w:oddHBand="0" w:evenHBand="1" w:firstRowFirstColumn="0" w:firstRowLastColumn="0" w:lastRowFirstColumn="0" w:lastRowLastColumn="0"/>
            </w:pPr>
            <w:r w:rsidRPr="004B22E8">
              <w:t>2697.</w:t>
            </w:r>
            <w:r w:rsidRPr="00752DAF">
              <w:t>1</w:t>
            </w:r>
          </w:p>
        </w:tc>
        <w:tc>
          <w:tcPr>
            <w:tcW w:w="1106" w:type="dxa"/>
            <w:noWrap/>
          </w:tcPr>
          <w:p w:rsidR="00752DAF" w:rsidRPr="00752DAF" w:rsidRDefault="00752DAF" w:rsidP="00752DAF">
            <w:pPr>
              <w:pStyle w:val="AERtabletextleft"/>
              <w:cnfStyle w:val="000000010000" w:firstRow="0" w:lastRow="0" w:firstColumn="0" w:lastColumn="0" w:oddVBand="0" w:evenVBand="0" w:oddHBand="0" w:evenHBand="1" w:firstRowFirstColumn="0" w:firstRowLastColumn="0" w:lastRowFirstColumn="0" w:lastRowLastColumn="0"/>
            </w:pPr>
            <w:r w:rsidRPr="004B22E8">
              <w:t>2839.3</w:t>
            </w:r>
          </w:p>
        </w:tc>
        <w:tc>
          <w:tcPr>
            <w:tcW w:w="1106" w:type="dxa"/>
            <w:noWrap/>
          </w:tcPr>
          <w:p w:rsidR="00752DAF" w:rsidRPr="00752DAF" w:rsidRDefault="00752DAF" w:rsidP="00752DAF">
            <w:pPr>
              <w:pStyle w:val="AERtabletextleft"/>
              <w:cnfStyle w:val="000000010000" w:firstRow="0" w:lastRow="0" w:firstColumn="0" w:lastColumn="0" w:oddVBand="0" w:evenVBand="0" w:oddHBand="0" w:evenHBand="1" w:firstRowFirstColumn="0" w:firstRowLastColumn="0" w:lastRowFirstColumn="0" w:lastRowLastColumn="0"/>
            </w:pPr>
            <w:r>
              <w:t>3041</w:t>
            </w:r>
            <w:r w:rsidRPr="004B22E8">
              <w:t>.</w:t>
            </w:r>
            <w:r>
              <w:t>1</w:t>
            </w:r>
          </w:p>
        </w:tc>
      </w:tr>
      <w:tr w:rsidR="00F674AC" w:rsidRPr="00995B8F" w:rsidTr="00D96F43">
        <w:trPr>
          <w:trHeight w:val="527"/>
        </w:trPr>
        <w:tc>
          <w:tcPr>
            <w:cnfStyle w:val="001000000000" w:firstRow="0" w:lastRow="0" w:firstColumn="1" w:lastColumn="0" w:oddVBand="0" w:evenVBand="0" w:oddHBand="0" w:evenHBand="0" w:firstRowFirstColumn="0" w:firstRowLastColumn="0" w:lastRowFirstColumn="0" w:lastRowLastColumn="0"/>
            <w:tcW w:w="3510" w:type="dxa"/>
            <w:noWrap/>
          </w:tcPr>
          <w:p w:rsidR="00F674AC" w:rsidRPr="004B22E8" w:rsidRDefault="00F674AC" w:rsidP="009903BE">
            <w:pPr>
              <w:pStyle w:val="AERtabletextleft"/>
            </w:pPr>
            <w:r w:rsidRPr="004B22E8">
              <w:t>Adjustment for difference between estimated and actual capital expenditure in 2009-10</w:t>
            </w:r>
          </w:p>
        </w:tc>
        <w:tc>
          <w:tcPr>
            <w:tcW w:w="1105" w:type="dxa"/>
            <w:noWrap/>
          </w:tcPr>
          <w:p w:rsidR="00F674AC" w:rsidRPr="004B22E8" w:rsidRDefault="00F674AC" w:rsidP="009903BE">
            <w:pPr>
              <w:pStyle w:val="AERtabletextleft"/>
              <w:cnfStyle w:val="000000000000" w:firstRow="0" w:lastRow="0" w:firstColumn="0" w:lastColumn="0" w:oddVBand="0" w:evenVBand="0" w:oddHBand="0" w:evenHBand="0" w:firstRowFirstColumn="0" w:firstRowLastColumn="0" w:lastRowFirstColumn="0" w:lastRowLastColumn="0"/>
            </w:pPr>
          </w:p>
        </w:tc>
        <w:tc>
          <w:tcPr>
            <w:tcW w:w="1106" w:type="dxa"/>
            <w:noWrap/>
          </w:tcPr>
          <w:p w:rsidR="00F674AC" w:rsidRPr="004B22E8" w:rsidRDefault="00F674AC" w:rsidP="009903BE">
            <w:pPr>
              <w:pStyle w:val="AERtabletextleft"/>
              <w:cnfStyle w:val="000000000000" w:firstRow="0" w:lastRow="0" w:firstColumn="0" w:lastColumn="0" w:oddVBand="0" w:evenVBand="0" w:oddHBand="0" w:evenHBand="0" w:firstRowFirstColumn="0" w:firstRowLastColumn="0" w:lastRowFirstColumn="0" w:lastRowLastColumn="0"/>
            </w:pPr>
          </w:p>
        </w:tc>
        <w:tc>
          <w:tcPr>
            <w:tcW w:w="1106" w:type="dxa"/>
            <w:noWrap/>
          </w:tcPr>
          <w:p w:rsidR="00F674AC" w:rsidRPr="004B22E8" w:rsidRDefault="00F674AC" w:rsidP="009903BE">
            <w:pPr>
              <w:pStyle w:val="AERtabletextleft"/>
              <w:cnfStyle w:val="000000000000" w:firstRow="0" w:lastRow="0" w:firstColumn="0" w:lastColumn="0" w:oddVBand="0" w:evenVBand="0" w:oddHBand="0" w:evenHBand="0" w:firstRowFirstColumn="0" w:firstRowLastColumn="0" w:lastRowFirstColumn="0" w:lastRowLastColumn="0"/>
            </w:pPr>
          </w:p>
        </w:tc>
        <w:tc>
          <w:tcPr>
            <w:tcW w:w="1106" w:type="dxa"/>
            <w:noWrap/>
          </w:tcPr>
          <w:p w:rsidR="00F674AC" w:rsidRPr="004B22E8" w:rsidRDefault="00F674AC" w:rsidP="009903BE">
            <w:pPr>
              <w:pStyle w:val="AERtabletextleft"/>
              <w:cnfStyle w:val="000000000000" w:firstRow="0" w:lastRow="0" w:firstColumn="0" w:lastColumn="0" w:oddVBand="0" w:evenVBand="0" w:oddHBand="0" w:evenHBand="0" w:firstRowFirstColumn="0" w:firstRowLastColumn="0" w:lastRowFirstColumn="0" w:lastRowLastColumn="0"/>
            </w:pPr>
          </w:p>
        </w:tc>
        <w:tc>
          <w:tcPr>
            <w:tcW w:w="1106" w:type="dxa"/>
            <w:noWrap/>
          </w:tcPr>
          <w:p w:rsidR="00F674AC" w:rsidRPr="004B22E8" w:rsidRDefault="00F674AC" w:rsidP="005525B4">
            <w:pPr>
              <w:pStyle w:val="AERtabletextleft"/>
              <w:cnfStyle w:val="000000000000" w:firstRow="0" w:lastRow="0" w:firstColumn="0" w:lastColumn="0" w:oddVBand="0" w:evenVBand="0" w:oddHBand="0" w:evenHBand="0" w:firstRowFirstColumn="0" w:firstRowLastColumn="0" w:lastRowFirstColumn="0" w:lastRowLastColumn="0"/>
            </w:pPr>
            <w:r w:rsidRPr="004B22E8">
              <w:t>3.1</w:t>
            </w:r>
          </w:p>
        </w:tc>
      </w:tr>
      <w:tr w:rsidR="00F674AC" w:rsidRPr="00752DAF" w:rsidTr="00D96F43">
        <w:trPr>
          <w:cnfStyle w:val="000000010000" w:firstRow="0" w:lastRow="0" w:firstColumn="0" w:lastColumn="0" w:oddVBand="0" w:evenVBand="0" w:oddHBand="0" w:evenHBand="1"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3510" w:type="dxa"/>
            <w:noWrap/>
          </w:tcPr>
          <w:p w:rsidR="00F674AC" w:rsidRPr="00752DAF" w:rsidRDefault="00F674AC" w:rsidP="009903BE">
            <w:pPr>
              <w:pStyle w:val="AERtabletextleft"/>
              <w:rPr>
                <w:rStyle w:val="AERtextbold"/>
              </w:rPr>
            </w:pPr>
            <w:r w:rsidRPr="00752DAF">
              <w:rPr>
                <w:rStyle w:val="AERtextbold"/>
              </w:rPr>
              <w:t>Opening capital base at 1 July 2015</w:t>
            </w:r>
          </w:p>
        </w:tc>
        <w:tc>
          <w:tcPr>
            <w:tcW w:w="1105" w:type="dxa"/>
            <w:noWrap/>
          </w:tcPr>
          <w:p w:rsidR="00F674AC" w:rsidRPr="00752DAF" w:rsidRDefault="00F674AC" w:rsidP="009903BE">
            <w:pPr>
              <w:pStyle w:val="AERtabletextleft"/>
              <w:cnfStyle w:val="000000010000" w:firstRow="0" w:lastRow="0" w:firstColumn="0" w:lastColumn="0" w:oddVBand="0" w:evenVBand="0" w:oddHBand="0" w:evenHBand="1" w:firstRowFirstColumn="0" w:firstRowLastColumn="0" w:lastRowFirstColumn="0" w:lastRowLastColumn="0"/>
              <w:rPr>
                <w:rStyle w:val="AERtextbold"/>
              </w:rPr>
            </w:pPr>
          </w:p>
        </w:tc>
        <w:tc>
          <w:tcPr>
            <w:tcW w:w="1106" w:type="dxa"/>
            <w:noWrap/>
          </w:tcPr>
          <w:p w:rsidR="00F674AC" w:rsidRPr="00752DAF" w:rsidRDefault="00F674AC" w:rsidP="009903BE">
            <w:pPr>
              <w:pStyle w:val="AERtabletextleft"/>
              <w:cnfStyle w:val="000000010000" w:firstRow="0" w:lastRow="0" w:firstColumn="0" w:lastColumn="0" w:oddVBand="0" w:evenVBand="0" w:oddHBand="0" w:evenHBand="1" w:firstRowFirstColumn="0" w:firstRowLastColumn="0" w:lastRowFirstColumn="0" w:lastRowLastColumn="0"/>
              <w:rPr>
                <w:rStyle w:val="AERtextbold"/>
              </w:rPr>
            </w:pPr>
          </w:p>
        </w:tc>
        <w:tc>
          <w:tcPr>
            <w:tcW w:w="1106" w:type="dxa"/>
            <w:noWrap/>
          </w:tcPr>
          <w:p w:rsidR="00F674AC" w:rsidRPr="00752DAF" w:rsidRDefault="00F674AC" w:rsidP="009903BE">
            <w:pPr>
              <w:pStyle w:val="AERtabletextleft"/>
              <w:cnfStyle w:val="000000010000" w:firstRow="0" w:lastRow="0" w:firstColumn="0" w:lastColumn="0" w:oddVBand="0" w:evenVBand="0" w:oddHBand="0" w:evenHBand="1" w:firstRowFirstColumn="0" w:firstRowLastColumn="0" w:lastRowFirstColumn="0" w:lastRowLastColumn="0"/>
              <w:rPr>
                <w:rStyle w:val="AERtextbold"/>
              </w:rPr>
            </w:pPr>
          </w:p>
        </w:tc>
        <w:tc>
          <w:tcPr>
            <w:tcW w:w="1106" w:type="dxa"/>
            <w:noWrap/>
          </w:tcPr>
          <w:p w:rsidR="00F674AC" w:rsidRPr="00752DAF" w:rsidRDefault="00F674AC" w:rsidP="009903BE">
            <w:pPr>
              <w:pStyle w:val="AERtabletextleft"/>
              <w:cnfStyle w:val="000000010000" w:firstRow="0" w:lastRow="0" w:firstColumn="0" w:lastColumn="0" w:oddVBand="0" w:evenVBand="0" w:oddHBand="0" w:evenHBand="1" w:firstRowFirstColumn="0" w:firstRowLastColumn="0" w:lastRowFirstColumn="0" w:lastRowLastColumn="0"/>
              <w:rPr>
                <w:rStyle w:val="AERtextbold"/>
              </w:rPr>
            </w:pPr>
          </w:p>
        </w:tc>
        <w:tc>
          <w:tcPr>
            <w:tcW w:w="1106" w:type="dxa"/>
            <w:noWrap/>
          </w:tcPr>
          <w:p w:rsidR="00F674AC" w:rsidRPr="00752DAF" w:rsidRDefault="00F674AC" w:rsidP="005525B4">
            <w:pPr>
              <w:pStyle w:val="AERtabletextleft"/>
              <w:cnfStyle w:val="000000010000" w:firstRow="0" w:lastRow="0" w:firstColumn="0" w:lastColumn="0" w:oddVBand="0" w:evenVBand="0" w:oddHBand="0" w:evenHBand="1" w:firstRowFirstColumn="0" w:firstRowLastColumn="0" w:lastRowFirstColumn="0" w:lastRowLastColumn="0"/>
              <w:rPr>
                <w:rStyle w:val="AERtextbold"/>
              </w:rPr>
            </w:pPr>
            <w:r w:rsidRPr="00752DAF">
              <w:rPr>
                <w:rStyle w:val="AERtextbold"/>
              </w:rPr>
              <w:t>3044.</w:t>
            </w:r>
            <w:r w:rsidR="005525B4" w:rsidRPr="00752DAF">
              <w:rPr>
                <w:rStyle w:val="AERtextbold"/>
              </w:rPr>
              <w:t>2</w:t>
            </w:r>
          </w:p>
        </w:tc>
      </w:tr>
    </w:tbl>
    <w:bookmarkEnd w:id="13"/>
    <w:p w:rsidR="00F674AC" w:rsidRPr="00F73C2D" w:rsidRDefault="00F674AC" w:rsidP="00F674AC">
      <w:pPr>
        <w:pStyle w:val="AERtablesource"/>
        <w:rPr>
          <w:rFonts w:eastAsia="Calibri"/>
        </w:rPr>
      </w:pPr>
      <w:r w:rsidRPr="00F73C2D">
        <w:rPr>
          <w:rFonts w:eastAsia="Calibri"/>
        </w:rPr>
        <w:t xml:space="preserve">Source: </w:t>
      </w:r>
      <w:r w:rsidRPr="00F73C2D">
        <w:rPr>
          <w:rFonts w:eastAsia="Calibri"/>
        </w:rPr>
        <w:tab/>
        <w:t>AER analysis.</w:t>
      </w:r>
    </w:p>
    <w:p w:rsidR="00103B25" w:rsidRPr="00103B25" w:rsidRDefault="00103B25" w:rsidP="00103B25">
      <w:pPr>
        <w:pStyle w:val="AERbodytext"/>
        <w:rPr>
          <w:rStyle w:val="AERbody"/>
          <w:rFonts w:eastAsia="Calibri"/>
        </w:rPr>
      </w:pPr>
      <w:bookmarkStart w:id="14" w:name="_Ref398891994"/>
      <w:r w:rsidRPr="00103B25">
        <w:rPr>
          <w:rStyle w:val="AERbody"/>
          <w:rFonts w:eastAsia="Calibri"/>
        </w:rPr>
        <w:t xml:space="preserve">We do not approve JGN's proposed roll forward of its projected capital base across the 2015–20 period, and do not approve its closing capital base at 30 June 2020 of $3810.2 million ($nominal). This is because we have not approved JGN's proposed inputs to the projected capital base roll forward, specifically the opening capital base, forecast capex, forecast inflation and depreciation. Based on our approved amounts for these inputs, we determine a projected closing capital base of $3595.2 million ($nominal) as at 30 June 2020. This is $215.0 million ($nominal) less than that proposed by JGN, a reduction of 5.6 per cent. </w:t>
      </w:r>
    </w:p>
    <w:p w:rsidR="00103B25" w:rsidRPr="00103B25" w:rsidRDefault="00103B25" w:rsidP="00103B25">
      <w:pPr>
        <w:pStyle w:val="AERbodytext"/>
        <w:rPr>
          <w:rStyle w:val="AERbody"/>
          <w:rFonts w:eastAsia="Calibri"/>
        </w:rPr>
      </w:pPr>
      <w:r>
        <w:rPr>
          <w:rStyle w:val="AERbody"/>
          <w:rFonts w:eastAsia="Calibri"/>
        </w:rPr>
        <w:fldChar w:fldCharType="begin"/>
      </w:r>
      <w:r>
        <w:rPr>
          <w:rStyle w:val="AERbody"/>
          <w:rFonts w:eastAsia="Calibri"/>
        </w:rPr>
        <w:instrText xml:space="preserve"> REF _Ref404703901 \h </w:instrText>
      </w:r>
      <w:r>
        <w:rPr>
          <w:rStyle w:val="AERbody"/>
          <w:rFonts w:eastAsia="Calibri"/>
        </w:rPr>
      </w:r>
      <w:r>
        <w:rPr>
          <w:rStyle w:val="AERbody"/>
          <w:rFonts w:eastAsia="Calibri"/>
        </w:rPr>
        <w:fldChar w:fldCharType="separate"/>
      </w:r>
      <w:r w:rsidR="00752809">
        <w:t xml:space="preserve">Table </w:t>
      </w:r>
      <w:r w:rsidR="00752809">
        <w:rPr>
          <w:noProof/>
        </w:rPr>
        <w:t>2</w:t>
      </w:r>
      <w:r w:rsidR="00752809">
        <w:noBreakHyphen/>
      </w:r>
      <w:r w:rsidR="00752809">
        <w:rPr>
          <w:noProof/>
        </w:rPr>
        <w:t>2</w:t>
      </w:r>
      <w:r>
        <w:rPr>
          <w:rStyle w:val="AERbody"/>
          <w:rFonts w:eastAsia="Calibri"/>
        </w:rPr>
        <w:fldChar w:fldCharType="end"/>
      </w:r>
      <w:r>
        <w:rPr>
          <w:rStyle w:val="AERbody"/>
          <w:rFonts w:eastAsia="Calibri"/>
        </w:rPr>
        <w:t xml:space="preserve"> </w:t>
      </w:r>
      <w:r w:rsidRPr="00103B25">
        <w:rPr>
          <w:rStyle w:val="AERbody"/>
          <w:rFonts w:eastAsia="Calibri"/>
        </w:rPr>
        <w:t>sets out the projected roll forward of the capital base during the 2015–20 access arrangement period.</w:t>
      </w:r>
    </w:p>
    <w:p w:rsidR="00F674AC" w:rsidRPr="00D94A48" w:rsidRDefault="00F674AC" w:rsidP="00F674AC">
      <w:pPr>
        <w:pStyle w:val="Caption"/>
      </w:pPr>
      <w:bookmarkStart w:id="15" w:name="_Ref404703901"/>
      <w:r>
        <w:t xml:space="preserve">Table </w:t>
      </w:r>
      <w:fldSimple w:instr=" STYLEREF 1 \s ">
        <w:r w:rsidR="00752809">
          <w:rPr>
            <w:noProof/>
          </w:rPr>
          <w:t>2</w:t>
        </w:r>
      </w:fldSimple>
      <w:r>
        <w:noBreakHyphen/>
      </w:r>
      <w:fldSimple w:instr=" SEQ Table \* ARABIC \s 1 ">
        <w:r w:rsidR="00752809">
          <w:rPr>
            <w:noProof/>
          </w:rPr>
          <w:t>2</w:t>
        </w:r>
      </w:fldSimple>
      <w:bookmarkEnd w:id="14"/>
      <w:bookmarkEnd w:id="15"/>
      <w:r>
        <w:tab/>
      </w:r>
      <w:r w:rsidRPr="00D94A48">
        <w:t>AER's draft decision on projected capital base roll forward for the 2015–20 access arrangement period ($million, nominal)</w:t>
      </w:r>
      <w:bookmarkStart w:id="16" w:name="_Ref328757042"/>
    </w:p>
    <w:tbl>
      <w:tblPr>
        <w:tblStyle w:val="AERtable-numbers"/>
        <w:tblW w:w="9039" w:type="dxa"/>
        <w:tblLayout w:type="fixed"/>
        <w:tblLook w:val="04A0" w:firstRow="1" w:lastRow="0" w:firstColumn="1" w:lastColumn="0" w:noHBand="0" w:noVBand="1"/>
      </w:tblPr>
      <w:tblGrid>
        <w:gridCol w:w="2802"/>
        <w:gridCol w:w="1247"/>
        <w:gridCol w:w="1247"/>
        <w:gridCol w:w="1248"/>
        <w:gridCol w:w="1247"/>
        <w:gridCol w:w="1248"/>
      </w:tblGrid>
      <w:tr w:rsidR="00F674AC" w:rsidRPr="00995B8F" w:rsidTr="00212BB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2" w:type="dxa"/>
            <w:noWrap/>
          </w:tcPr>
          <w:p w:rsidR="00F674AC" w:rsidRPr="00100B35" w:rsidRDefault="00F674AC" w:rsidP="009903BE">
            <w:pPr>
              <w:pStyle w:val="AERtabletextleft"/>
            </w:pPr>
          </w:p>
        </w:tc>
        <w:tc>
          <w:tcPr>
            <w:tcW w:w="1247" w:type="dxa"/>
            <w:noWrap/>
          </w:tcPr>
          <w:p w:rsidR="00F674AC" w:rsidRPr="00100B35" w:rsidRDefault="00F674AC" w:rsidP="009903BE">
            <w:pPr>
              <w:pStyle w:val="AERtabletextleft"/>
              <w:cnfStyle w:val="100000000000" w:firstRow="1" w:lastRow="0" w:firstColumn="0" w:lastColumn="0" w:oddVBand="0" w:evenVBand="0" w:oddHBand="0" w:evenHBand="0" w:firstRowFirstColumn="0" w:firstRowLastColumn="0" w:lastRowFirstColumn="0" w:lastRowLastColumn="0"/>
            </w:pPr>
            <w:r w:rsidRPr="00100B35">
              <w:t>2015-16</w:t>
            </w:r>
          </w:p>
        </w:tc>
        <w:tc>
          <w:tcPr>
            <w:tcW w:w="1247" w:type="dxa"/>
            <w:noWrap/>
          </w:tcPr>
          <w:p w:rsidR="00F674AC" w:rsidRPr="00100B35" w:rsidRDefault="00F674AC" w:rsidP="009903BE">
            <w:pPr>
              <w:pStyle w:val="AERtabletextleft"/>
              <w:cnfStyle w:val="100000000000" w:firstRow="1" w:lastRow="0" w:firstColumn="0" w:lastColumn="0" w:oddVBand="0" w:evenVBand="0" w:oddHBand="0" w:evenHBand="0" w:firstRowFirstColumn="0" w:firstRowLastColumn="0" w:lastRowFirstColumn="0" w:lastRowLastColumn="0"/>
            </w:pPr>
            <w:r w:rsidRPr="00100B35">
              <w:t>2016-17</w:t>
            </w:r>
          </w:p>
        </w:tc>
        <w:tc>
          <w:tcPr>
            <w:tcW w:w="1248" w:type="dxa"/>
            <w:noWrap/>
          </w:tcPr>
          <w:p w:rsidR="00F674AC" w:rsidRPr="00100B35" w:rsidRDefault="00F674AC" w:rsidP="009903BE">
            <w:pPr>
              <w:pStyle w:val="AERtabletextleft"/>
              <w:cnfStyle w:val="100000000000" w:firstRow="1" w:lastRow="0" w:firstColumn="0" w:lastColumn="0" w:oddVBand="0" w:evenVBand="0" w:oddHBand="0" w:evenHBand="0" w:firstRowFirstColumn="0" w:firstRowLastColumn="0" w:lastRowFirstColumn="0" w:lastRowLastColumn="0"/>
            </w:pPr>
            <w:r w:rsidRPr="00100B35">
              <w:t>2017-18</w:t>
            </w:r>
          </w:p>
        </w:tc>
        <w:tc>
          <w:tcPr>
            <w:tcW w:w="1247" w:type="dxa"/>
            <w:noWrap/>
          </w:tcPr>
          <w:p w:rsidR="00F674AC" w:rsidRPr="00100B35" w:rsidRDefault="00F674AC" w:rsidP="009903BE">
            <w:pPr>
              <w:pStyle w:val="AERtabletextleft"/>
              <w:cnfStyle w:val="100000000000" w:firstRow="1" w:lastRow="0" w:firstColumn="0" w:lastColumn="0" w:oddVBand="0" w:evenVBand="0" w:oddHBand="0" w:evenHBand="0" w:firstRowFirstColumn="0" w:firstRowLastColumn="0" w:lastRowFirstColumn="0" w:lastRowLastColumn="0"/>
            </w:pPr>
            <w:r w:rsidRPr="00100B35">
              <w:t>2018-19</w:t>
            </w:r>
          </w:p>
        </w:tc>
        <w:tc>
          <w:tcPr>
            <w:tcW w:w="1248" w:type="dxa"/>
            <w:noWrap/>
          </w:tcPr>
          <w:p w:rsidR="00F674AC" w:rsidRPr="00100B35" w:rsidRDefault="00F674AC" w:rsidP="009903BE">
            <w:pPr>
              <w:pStyle w:val="AERtabletextleft"/>
              <w:cnfStyle w:val="100000000000" w:firstRow="1" w:lastRow="0" w:firstColumn="0" w:lastColumn="0" w:oddVBand="0" w:evenVBand="0" w:oddHBand="0" w:evenHBand="0" w:firstRowFirstColumn="0" w:firstRowLastColumn="0" w:lastRowFirstColumn="0" w:lastRowLastColumn="0"/>
              <w:rPr>
                <w:rStyle w:val="AERsuperscript"/>
              </w:rPr>
            </w:pPr>
            <w:r w:rsidRPr="00100B35">
              <w:t>2019-20</w:t>
            </w:r>
          </w:p>
        </w:tc>
      </w:tr>
      <w:tr w:rsidR="00F674AC" w:rsidRPr="00995B8F" w:rsidTr="00212BB6">
        <w:trPr>
          <w:trHeight w:val="349"/>
        </w:trPr>
        <w:tc>
          <w:tcPr>
            <w:cnfStyle w:val="001000000000" w:firstRow="0" w:lastRow="0" w:firstColumn="1" w:lastColumn="0" w:oddVBand="0" w:evenVBand="0" w:oddHBand="0" w:evenHBand="0" w:firstRowFirstColumn="0" w:firstRowLastColumn="0" w:lastRowFirstColumn="0" w:lastRowLastColumn="0"/>
            <w:tcW w:w="2802" w:type="dxa"/>
            <w:noWrap/>
          </w:tcPr>
          <w:p w:rsidR="00F674AC" w:rsidRPr="00212BB6" w:rsidRDefault="00F674AC" w:rsidP="00212BB6">
            <w:pPr>
              <w:pStyle w:val="AERtabletextleft"/>
            </w:pPr>
            <w:r w:rsidRPr="00212BB6">
              <w:t>Opening capital base</w:t>
            </w:r>
          </w:p>
        </w:tc>
        <w:tc>
          <w:tcPr>
            <w:tcW w:w="1247" w:type="dxa"/>
            <w:noWrap/>
          </w:tcPr>
          <w:p w:rsidR="00F674AC" w:rsidRPr="00AF142A" w:rsidRDefault="00F674AC" w:rsidP="005525B4">
            <w:pPr>
              <w:pStyle w:val="AERtabletextleft"/>
              <w:cnfStyle w:val="000000000000" w:firstRow="0" w:lastRow="0" w:firstColumn="0" w:lastColumn="0" w:oddVBand="0" w:evenVBand="0" w:oddHBand="0" w:evenHBand="0" w:firstRowFirstColumn="0" w:firstRowLastColumn="0" w:lastRowFirstColumn="0" w:lastRowLastColumn="0"/>
            </w:pPr>
            <w:r w:rsidRPr="003E63BA">
              <w:t>3044.</w:t>
            </w:r>
            <w:r w:rsidR="005525B4">
              <w:t>2</w:t>
            </w:r>
          </w:p>
        </w:tc>
        <w:tc>
          <w:tcPr>
            <w:tcW w:w="1247" w:type="dxa"/>
            <w:noWrap/>
          </w:tcPr>
          <w:p w:rsidR="00F674AC" w:rsidRPr="00AF142A" w:rsidRDefault="00F674AC" w:rsidP="005525B4">
            <w:pPr>
              <w:pStyle w:val="AERtabletextleft"/>
              <w:cnfStyle w:val="000000000000" w:firstRow="0" w:lastRow="0" w:firstColumn="0" w:lastColumn="0" w:oddVBand="0" w:evenVBand="0" w:oddHBand="0" w:evenHBand="0" w:firstRowFirstColumn="0" w:firstRowLastColumn="0" w:lastRowFirstColumn="0" w:lastRowLastColumn="0"/>
            </w:pPr>
            <w:r w:rsidRPr="003E63BA">
              <w:t>3180.0</w:t>
            </w:r>
          </w:p>
        </w:tc>
        <w:tc>
          <w:tcPr>
            <w:tcW w:w="1248" w:type="dxa"/>
            <w:noWrap/>
          </w:tcPr>
          <w:p w:rsidR="00F674AC" w:rsidRPr="00AF142A" w:rsidRDefault="00F674AC" w:rsidP="005525B4">
            <w:pPr>
              <w:pStyle w:val="AERtabletextleft"/>
              <w:cnfStyle w:val="000000000000" w:firstRow="0" w:lastRow="0" w:firstColumn="0" w:lastColumn="0" w:oddVBand="0" w:evenVBand="0" w:oddHBand="0" w:evenHBand="0" w:firstRowFirstColumn="0" w:firstRowLastColumn="0" w:lastRowFirstColumn="0" w:lastRowLastColumn="0"/>
            </w:pPr>
            <w:r w:rsidRPr="003E63BA">
              <w:t>3302.9</w:t>
            </w:r>
          </w:p>
        </w:tc>
        <w:tc>
          <w:tcPr>
            <w:tcW w:w="1247" w:type="dxa"/>
            <w:noWrap/>
          </w:tcPr>
          <w:p w:rsidR="00F674AC" w:rsidRPr="00AF142A" w:rsidRDefault="00F674AC" w:rsidP="005525B4">
            <w:pPr>
              <w:pStyle w:val="AERtabletextleft"/>
              <w:cnfStyle w:val="000000000000" w:firstRow="0" w:lastRow="0" w:firstColumn="0" w:lastColumn="0" w:oddVBand="0" w:evenVBand="0" w:oddHBand="0" w:evenHBand="0" w:firstRowFirstColumn="0" w:firstRowLastColumn="0" w:lastRowFirstColumn="0" w:lastRowLastColumn="0"/>
            </w:pPr>
            <w:r w:rsidRPr="003E63BA">
              <w:t>3423.4</w:t>
            </w:r>
          </w:p>
        </w:tc>
        <w:tc>
          <w:tcPr>
            <w:tcW w:w="1248" w:type="dxa"/>
            <w:noWrap/>
          </w:tcPr>
          <w:p w:rsidR="00F674AC" w:rsidRPr="00AF142A" w:rsidRDefault="00F674AC" w:rsidP="005525B4">
            <w:pPr>
              <w:pStyle w:val="AERtabletextleft"/>
              <w:cnfStyle w:val="000000000000" w:firstRow="0" w:lastRow="0" w:firstColumn="0" w:lastColumn="0" w:oddVBand="0" w:evenVBand="0" w:oddHBand="0" w:evenHBand="0" w:firstRowFirstColumn="0" w:firstRowLastColumn="0" w:lastRowFirstColumn="0" w:lastRowLastColumn="0"/>
            </w:pPr>
            <w:r w:rsidRPr="003E63BA">
              <w:t>3512.5</w:t>
            </w:r>
          </w:p>
        </w:tc>
      </w:tr>
      <w:tr w:rsidR="00F674AC" w:rsidRPr="00995B8F" w:rsidTr="00212BB6">
        <w:trPr>
          <w:cnfStyle w:val="000000010000" w:firstRow="0" w:lastRow="0" w:firstColumn="0" w:lastColumn="0" w:oddVBand="0" w:evenVBand="0" w:oddHBand="0" w:evenHBand="1"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802" w:type="dxa"/>
            <w:noWrap/>
          </w:tcPr>
          <w:p w:rsidR="00F674AC" w:rsidRPr="00212BB6" w:rsidRDefault="00F674AC" w:rsidP="00212BB6">
            <w:pPr>
              <w:pStyle w:val="AERtabletextleft"/>
            </w:pPr>
            <w:r w:rsidRPr="00212BB6">
              <w:t>Net capex at the start of the year</w:t>
            </w:r>
          </w:p>
        </w:tc>
        <w:tc>
          <w:tcPr>
            <w:tcW w:w="1247" w:type="dxa"/>
            <w:noWrap/>
          </w:tcPr>
          <w:p w:rsidR="00F674AC" w:rsidRPr="00AF142A" w:rsidRDefault="00F674AC" w:rsidP="005525B4">
            <w:pPr>
              <w:pStyle w:val="AERtabletextleft"/>
              <w:cnfStyle w:val="000000010000" w:firstRow="0" w:lastRow="0" w:firstColumn="0" w:lastColumn="0" w:oddVBand="0" w:evenVBand="0" w:oddHBand="0" w:evenHBand="1" w:firstRowFirstColumn="0" w:firstRowLastColumn="0" w:lastRowFirstColumn="0" w:lastRowLastColumn="0"/>
            </w:pPr>
            <w:r w:rsidRPr="003E63BA">
              <w:t>99.</w:t>
            </w:r>
            <w:r w:rsidR="005525B4">
              <w:t>7</w:t>
            </w:r>
          </w:p>
        </w:tc>
        <w:tc>
          <w:tcPr>
            <w:tcW w:w="1247" w:type="dxa"/>
            <w:noWrap/>
          </w:tcPr>
          <w:p w:rsidR="00F674AC" w:rsidRPr="00AF142A" w:rsidRDefault="00F674AC" w:rsidP="005525B4">
            <w:pPr>
              <w:pStyle w:val="AERtabletextleft"/>
              <w:cnfStyle w:val="000000010000" w:firstRow="0" w:lastRow="0" w:firstColumn="0" w:lastColumn="0" w:oddVBand="0" w:evenVBand="0" w:oddHBand="0" w:evenHBand="1" w:firstRowFirstColumn="0" w:firstRowLastColumn="0" w:lastRowFirstColumn="0" w:lastRowLastColumn="0"/>
            </w:pPr>
            <w:r w:rsidRPr="003E63BA">
              <w:t>99.</w:t>
            </w:r>
            <w:r w:rsidR="005525B4">
              <w:t>1</w:t>
            </w:r>
          </w:p>
        </w:tc>
        <w:tc>
          <w:tcPr>
            <w:tcW w:w="1248" w:type="dxa"/>
            <w:noWrap/>
          </w:tcPr>
          <w:p w:rsidR="00F674AC" w:rsidRPr="00AF142A" w:rsidRDefault="00F674AC" w:rsidP="005525B4">
            <w:pPr>
              <w:pStyle w:val="AERtabletextleft"/>
              <w:cnfStyle w:val="000000010000" w:firstRow="0" w:lastRow="0" w:firstColumn="0" w:lastColumn="0" w:oddVBand="0" w:evenVBand="0" w:oddHBand="0" w:evenHBand="1" w:firstRowFirstColumn="0" w:firstRowLastColumn="0" w:lastRowFirstColumn="0" w:lastRowLastColumn="0"/>
            </w:pPr>
            <w:r w:rsidRPr="003E63BA">
              <w:t>104.3</w:t>
            </w:r>
          </w:p>
        </w:tc>
        <w:tc>
          <w:tcPr>
            <w:tcW w:w="1247" w:type="dxa"/>
            <w:noWrap/>
          </w:tcPr>
          <w:p w:rsidR="00F674AC" w:rsidRPr="00AF142A" w:rsidRDefault="00F674AC" w:rsidP="005525B4">
            <w:pPr>
              <w:pStyle w:val="AERtabletextleft"/>
              <w:cnfStyle w:val="000000010000" w:firstRow="0" w:lastRow="0" w:firstColumn="0" w:lastColumn="0" w:oddVBand="0" w:evenVBand="0" w:oddHBand="0" w:evenHBand="1" w:firstRowFirstColumn="0" w:firstRowLastColumn="0" w:lastRowFirstColumn="0" w:lastRowLastColumn="0"/>
            </w:pPr>
            <w:r w:rsidRPr="003E63BA">
              <w:t>94.2</w:t>
            </w:r>
          </w:p>
        </w:tc>
        <w:tc>
          <w:tcPr>
            <w:tcW w:w="1248" w:type="dxa"/>
            <w:noWrap/>
          </w:tcPr>
          <w:p w:rsidR="00F674AC" w:rsidRPr="00AF142A" w:rsidRDefault="00F674AC" w:rsidP="005525B4">
            <w:pPr>
              <w:pStyle w:val="AERtabletextleft"/>
              <w:cnfStyle w:val="000000010000" w:firstRow="0" w:lastRow="0" w:firstColumn="0" w:lastColumn="0" w:oddVBand="0" w:evenVBand="0" w:oddHBand="0" w:evenHBand="1" w:firstRowFirstColumn="0" w:firstRowLastColumn="0" w:lastRowFirstColumn="0" w:lastRowLastColumn="0"/>
            </w:pPr>
            <w:r w:rsidRPr="003E63BA">
              <w:t>84.5</w:t>
            </w:r>
          </w:p>
        </w:tc>
      </w:tr>
      <w:tr w:rsidR="00F674AC" w:rsidRPr="00995B8F" w:rsidTr="00212BB6">
        <w:trPr>
          <w:trHeight w:val="418"/>
        </w:trPr>
        <w:tc>
          <w:tcPr>
            <w:cnfStyle w:val="001000000000" w:firstRow="0" w:lastRow="0" w:firstColumn="1" w:lastColumn="0" w:oddVBand="0" w:evenVBand="0" w:oddHBand="0" w:evenHBand="0" w:firstRowFirstColumn="0" w:firstRowLastColumn="0" w:lastRowFirstColumn="0" w:lastRowLastColumn="0"/>
            <w:tcW w:w="2802" w:type="dxa"/>
            <w:noWrap/>
          </w:tcPr>
          <w:p w:rsidR="00F674AC" w:rsidRPr="00212BB6" w:rsidRDefault="00F674AC" w:rsidP="00212BB6">
            <w:pPr>
              <w:pStyle w:val="AERtabletextleft"/>
            </w:pPr>
            <w:r w:rsidRPr="00212BB6">
              <w:t>Indexation of assets</w:t>
            </w:r>
          </w:p>
        </w:tc>
        <w:tc>
          <w:tcPr>
            <w:tcW w:w="1247" w:type="dxa"/>
            <w:noWrap/>
          </w:tcPr>
          <w:p w:rsidR="00F674AC" w:rsidRPr="00AF142A" w:rsidRDefault="00F674AC" w:rsidP="005525B4">
            <w:pPr>
              <w:pStyle w:val="AERtabletextleft"/>
              <w:cnfStyle w:val="000000000000" w:firstRow="0" w:lastRow="0" w:firstColumn="0" w:lastColumn="0" w:oddVBand="0" w:evenVBand="0" w:oddHBand="0" w:evenHBand="0" w:firstRowFirstColumn="0" w:firstRowLastColumn="0" w:lastRowFirstColumn="0" w:lastRowLastColumn="0"/>
            </w:pPr>
            <w:r w:rsidRPr="003E63BA">
              <w:t>80.</w:t>
            </w:r>
            <w:r w:rsidR="005525B4">
              <w:t>2</w:t>
            </w:r>
          </w:p>
        </w:tc>
        <w:tc>
          <w:tcPr>
            <w:tcW w:w="1247" w:type="dxa"/>
            <w:noWrap/>
          </w:tcPr>
          <w:p w:rsidR="00F674AC" w:rsidRPr="00AF142A" w:rsidRDefault="00F674AC" w:rsidP="005525B4">
            <w:pPr>
              <w:pStyle w:val="AERtabletextleft"/>
              <w:cnfStyle w:val="000000000000" w:firstRow="0" w:lastRow="0" w:firstColumn="0" w:lastColumn="0" w:oddVBand="0" w:evenVBand="0" w:oddHBand="0" w:evenHBand="0" w:firstRowFirstColumn="0" w:firstRowLastColumn="0" w:lastRowFirstColumn="0" w:lastRowLastColumn="0"/>
            </w:pPr>
            <w:r w:rsidRPr="003E63BA">
              <w:t>83.6</w:t>
            </w:r>
          </w:p>
        </w:tc>
        <w:tc>
          <w:tcPr>
            <w:tcW w:w="1248" w:type="dxa"/>
            <w:noWrap/>
          </w:tcPr>
          <w:p w:rsidR="00F674AC" w:rsidRPr="00AF142A" w:rsidRDefault="00F674AC" w:rsidP="005525B4">
            <w:pPr>
              <w:pStyle w:val="AERtabletextleft"/>
              <w:cnfStyle w:val="000000000000" w:firstRow="0" w:lastRow="0" w:firstColumn="0" w:lastColumn="0" w:oddVBand="0" w:evenVBand="0" w:oddHBand="0" w:evenHBand="0" w:firstRowFirstColumn="0" w:firstRowLastColumn="0" w:lastRowFirstColumn="0" w:lastRowLastColumn="0"/>
            </w:pPr>
            <w:r w:rsidRPr="003E63BA">
              <w:t>86.</w:t>
            </w:r>
            <w:r w:rsidR="005525B4">
              <w:t>9</w:t>
            </w:r>
          </w:p>
        </w:tc>
        <w:tc>
          <w:tcPr>
            <w:tcW w:w="1247" w:type="dxa"/>
            <w:noWrap/>
          </w:tcPr>
          <w:p w:rsidR="00F674AC" w:rsidRPr="00AF142A" w:rsidRDefault="00F674AC" w:rsidP="005525B4">
            <w:pPr>
              <w:pStyle w:val="AERtabletextleft"/>
              <w:cnfStyle w:val="000000000000" w:firstRow="0" w:lastRow="0" w:firstColumn="0" w:lastColumn="0" w:oddVBand="0" w:evenVBand="0" w:oddHBand="0" w:evenHBand="0" w:firstRowFirstColumn="0" w:firstRowLastColumn="0" w:lastRowFirstColumn="0" w:lastRowLastColumn="0"/>
            </w:pPr>
            <w:r w:rsidRPr="003E63BA">
              <w:t>89.7</w:t>
            </w:r>
          </w:p>
        </w:tc>
        <w:tc>
          <w:tcPr>
            <w:tcW w:w="1248" w:type="dxa"/>
            <w:noWrap/>
          </w:tcPr>
          <w:p w:rsidR="00F674AC" w:rsidRPr="00AF142A" w:rsidRDefault="00F674AC" w:rsidP="005525B4">
            <w:pPr>
              <w:pStyle w:val="AERtabletextleft"/>
              <w:cnfStyle w:val="000000000000" w:firstRow="0" w:lastRow="0" w:firstColumn="0" w:lastColumn="0" w:oddVBand="0" w:evenVBand="0" w:oddHBand="0" w:evenHBand="0" w:firstRowFirstColumn="0" w:firstRowLastColumn="0" w:lastRowFirstColumn="0" w:lastRowLastColumn="0"/>
            </w:pPr>
            <w:r w:rsidRPr="003E63BA">
              <w:t>91.7</w:t>
            </w:r>
          </w:p>
        </w:tc>
      </w:tr>
      <w:tr w:rsidR="00F674AC" w:rsidRPr="00995B8F" w:rsidTr="00212BB6">
        <w:trPr>
          <w:cnfStyle w:val="000000010000" w:firstRow="0" w:lastRow="0" w:firstColumn="0" w:lastColumn="0" w:oddVBand="0" w:evenVBand="0" w:oddHBand="0" w:evenHBand="1"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2802" w:type="dxa"/>
            <w:noWrap/>
          </w:tcPr>
          <w:p w:rsidR="00F674AC" w:rsidRPr="00212BB6" w:rsidRDefault="00F674AC" w:rsidP="00212BB6">
            <w:pPr>
              <w:pStyle w:val="AERtabletextleft"/>
            </w:pPr>
            <w:r w:rsidRPr="00212BB6">
              <w:t>Net capex at end of year</w:t>
            </w:r>
          </w:p>
        </w:tc>
        <w:tc>
          <w:tcPr>
            <w:tcW w:w="1247" w:type="dxa"/>
            <w:noWrap/>
          </w:tcPr>
          <w:p w:rsidR="00F674AC" w:rsidRPr="00AF142A" w:rsidRDefault="00F674AC" w:rsidP="005525B4">
            <w:pPr>
              <w:pStyle w:val="AERtabletextleft"/>
              <w:cnfStyle w:val="000000010000" w:firstRow="0" w:lastRow="0" w:firstColumn="0" w:lastColumn="0" w:oddVBand="0" w:evenVBand="0" w:oddHBand="0" w:evenHBand="1" w:firstRowFirstColumn="0" w:firstRowLastColumn="0" w:lastRowFirstColumn="0" w:lastRowLastColumn="0"/>
            </w:pPr>
            <w:r w:rsidRPr="003E63BA">
              <w:t>102.2</w:t>
            </w:r>
          </w:p>
        </w:tc>
        <w:tc>
          <w:tcPr>
            <w:tcW w:w="1247" w:type="dxa"/>
            <w:noWrap/>
          </w:tcPr>
          <w:p w:rsidR="00F674AC" w:rsidRPr="00AF142A" w:rsidRDefault="00F674AC" w:rsidP="005525B4">
            <w:pPr>
              <w:pStyle w:val="AERtabletextleft"/>
              <w:cnfStyle w:val="000000010000" w:firstRow="0" w:lastRow="0" w:firstColumn="0" w:lastColumn="0" w:oddVBand="0" w:evenVBand="0" w:oddHBand="0" w:evenHBand="1" w:firstRowFirstColumn="0" w:firstRowLastColumn="0" w:lastRowFirstColumn="0" w:lastRowLastColumn="0"/>
            </w:pPr>
            <w:r w:rsidRPr="003E63BA">
              <w:t>101.</w:t>
            </w:r>
            <w:r w:rsidR="005525B4">
              <w:t>6</w:t>
            </w:r>
          </w:p>
        </w:tc>
        <w:tc>
          <w:tcPr>
            <w:tcW w:w="1248" w:type="dxa"/>
            <w:noWrap/>
          </w:tcPr>
          <w:p w:rsidR="00F674AC" w:rsidRPr="00AF142A" w:rsidRDefault="00F674AC" w:rsidP="005525B4">
            <w:pPr>
              <w:pStyle w:val="AERtabletextleft"/>
              <w:cnfStyle w:val="000000010000" w:firstRow="0" w:lastRow="0" w:firstColumn="0" w:lastColumn="0" w:oddVBand="0" w:evenVBand="0" w:oddHBand="0" w:evenHBand="1" w:firstRowFirstColumn="0" w:firstRowLastColumn="0" w:lastRowFirstColumn="0" w:lastRowLastColumn="0"/>
            </w:pPr>
            <w:r w:rsidRPr="003E63BA">
              <w:t>107.0</w:t>
            </w:r>
          </w:p>
        </w:tc>
        <w:tc>
          <w:tcPr>
            <w:tcW w:w="1247" w:type="dxa"/>
            <w:noWrap/>
          </w:tcPr>
          <w:p w:rsidR="00F674AC" w:rsidRPr="00AF142A" w:rsidRDefault="00F674AC" w:rsidP="005525B4">
            <w:pPr>
              <w:pStyle w:val="AERtabletextleft"/>
              <w:cnfStyle w:val="000000010000" w:firstRow="0" w:lastRow="0" w:firstColumn="0" w:lastColumn="0" w:oddVBand="0" w:evenVBand="0" w:oddHBand="0" w:evenHBand="1" w:firstRowFirstColumn="0" w:firstRowLastColumn="0" w:lastRowFirstColumn="0" w:lastRowLastColumn="0"/>
            </w:pPr>
            <w:r w:rsidRPr="003E63BA">
              <w:t>96.6</w:t>
            </w:r>
          </w:p>
        </w:tc>
        <w:tc>
          <w:tcPr>
            <w:tcW w:w="1248" w:type="dxa"/>
            <w:noWrap/>
          </w:tcPr>
          <w:p w:rsidR="00F674AC" w:rsidRPr="00AF142A" w:rsidRDefault="00F674AC" w:rsidP="005525B4">
            <w:pPr>
              <w:pStyle w:val="AERtabletextleft"/>
              <w:cnfStyle w:val="000000010000" w:firstRow="0" w:lastRow="0" w:firstColumn="0" w:lastColumn="0" w:oddVBand="0" w:evenVBand="0" w:oddHBand="0" w:evenHBand="1" w:firstRowFirstColumn="0" w:firstRowLastColumn="0" w:lastRowFirstColumn="0" w:lastRowLastColumn="0"/>
            </w:pPr>
            <w:r w:rsidRPr="003E63BA">
              <w:t>86.7</w:t>
            </w:r>
          </w:p>
        </w:tc>
      </w:tr>
      <w:tr w:rsidR="00F674AC" w:rsidRPr="00995B8F" w:rsidTr="00212BB6">
        <w:trPr>
          <w:trHeight w:val="417"/>
        </w:trPr>
        <w:tc>
          <w:tcPr>
            <w:cnfStyle w:val="001000000000" w:firstRow="0" w:lastRow="0" w:firstColumn="1" w:lastColumn="0" w:oddVBand="0" w:evenVBand="0" w:oddHBand="0" w:evenHBand="0" w:firstRowFirstColumn="0" w:firstRowLastColumn="0" w:lastRowFirstColumn="0" w:lastRowLastColumn="0"/>
            <w:tcW w:w="2802" w:type="dxa"/>
            <w:noWrap/>
          </w:tcPr>
          <w:p w:rsidR="00F674AC" w:rsidRPr="00212BB6" w:rsidRDefault="00F674AC" w:rsidP="00212BB6">
            <w:pPr>
              <w:pStyle w:val="AERtabletextleft"/>
            </w:pPr>
            <w:r w:rsidRPr="00212BB6">
              <w:t>Depreciation</w:t>
            </w:r>
          </w:p>
        </w:tc>
        <w:tc>
          <w:tcPr>
            <w:tcW w:w="1247" w:type="dxa"/>
            <w:noWrap/>
          </w:tcPr>
          <w:p w:rsidR="00F674AC" w:rsidRPr="00AF142A" w:rsidRDefault="00F674AC" w:rsidP="005525B4">
            <w:pPr>
              <w:pStyle w:val="AERtabletextleft"/>
              <w:cnfStyle w:val="000000000000" w:firstRow="0" w:lastRow="0" w:firstColumn="0" w:lastColumn="0" w:oddVBand="0" w:evenVBand="0" w:oddHBand="0" w:evenHBand="0" w:firstRowFirstColumn="0" w:firstRowLastColumn="0" w:lastRowFirstColumn="0" w:lastRowLastColumn="0"/>
            </w:pPr>
            <w:r w:rsidRPr="00AF142A">
              <w:t>–146.2</w:t>
            </w:r>
          </w:p>
        </w:tc>
        <w:tc>
          <w:tcPr>
            <w:tcW w:w="1247" w:type="dxa"/>
            <w:noWrap/>
          </w:tcPr>
          <w:p w:rsidR="00F674AC" w:rsidRPr="00AF142A" w:rsidRDefault="00F674AC" w:rsidP="005525B4">
            <w:pPr>
              <w:pStyle w:val="AERtabletextleft"/>
              <w:cnfStyle w:val="000000000000" w:firstRow="0" w:lastRow="0" w:firstColumn="0" w:lastColumn="0" w:oddVBand="0" w:evenVBand="0" w:oddHBand="0" w:evenHBand="0" w:firstRowFirstColumn="0" w:firstRowLastColumn="0" w:lastRowFirstColumn="0" w:lastRowLastColumn="0"/>
            </w:pPr>
            <w:r>
              <w:t>–</w:t>
            </w:r>
            <w:r w:rsidRPr="00AF142A">
              <w:t>161.</w:t>
            </w:r>
            <w:r w:rsidR="005525B4">
              <w:t>4</w:t>
            </w:r>
          </w:p>
        </w:tc>
        <w:tc>
          <w:tcPr>
            <w:tcW w:w="1248" w:type="dxa"/>
            <w:noWrap/>
          </w:tcPr>
          <w:p w:rsidR="00F674AC" w:rsidRPr="00AF142A" w:rsidRDefault="00F674AC" w:rsidP="005525B4">
            <w:pPr>
              <w:pStyle w:val="AERtabletextleft"/>
              <w:cnfStyle w:val="000000000000" w:firstRow="0" w:lastRow="0" w:firstColumn="0" w:lastColumn="0" w:oddVBand="0" w:evenVBand="0" w:oddHBand="0" w:evenHBand="0" w:firstRowFirstColumn="0" w:firstRowLastColumn="0" w:lastRowFirstColumn="0" w:lastRowLastColumn="0"/>
            </w:pPr>
            <w:r>
              <w:t>–</w:t>
            </w:r>
            <w:r w:rsidRPr="00AF142A">
              <w:t>177.7</w:t>
            </w:r>
          </w:p>
        </w:tc>
        <w:tc>
          <w:tcPr>
            <w:tcW w:w="1247" w:type="dxa"/>
            <w:noWrap/>
          </w:tcPr>
          <w:p w:rsidR="00F674AC" w:rsidRPr="00AF142A" w:rsidRDefault="00F674AC" w:rsidP="005525B4">
            <w:pPr>
              <w:pStyle w:val="AERtabletextleft"/>
              <w:cnfStyle w:val="000000000000" w:firstRow="0" w:lastRow="0" w:firstColumn="0" w:lastColumn="0" w:oddVBand="0" w:evenVBand="0" w:oddHBand="0" w:evenHBand="0" w:firstRowFirstColumn="0" w:firstRowLastColumn="0" w:lastRowFirstColumn="0" w:lastRowLastColumn="0"/>
            </w:pPr>
            <w:r>
              <w:t>–</w:t>
            </w:r>
            <w:r w:rsidRPr="00AF142A">
              <w:t>191.</w:t>
            </w:r>
            <w:r w:rsidR="005525B4">
              <w:t>5</w:t>
            </w:r>
          </w:p>
        </w:tc>
        <w:tc>
          <w:tcPr>
            <w:tcW w:w="1248" w:type="dxa"/>
            <w:noWrap/>
          </w:tcPr>
          <w:p w:rsidR="00F674AC" w:rsidRPr="00AF142A" w:rsidRDefault="00F674AC" w:rsidP="005525B4">
            <w:pPr>
              <w:pStyle w:val="AERtabletextleft"/>
              <w:cnfStyle w:val="000000000000" w:firstRow="0" w:lastRow="0" w:firstColumn="0" w:lastColumn="0" w:oddVBand="0" w:evenVBand="0" w:oddHBand="0" w:evenHBand="0" w:firstRowFirstColumn="0" w:firstRowLastColumn="0" w:lastRowFirstColumn="0" w:lastRowLastColumn="0"/>
            </w:pPr>
            <w:r>
              <w:t>–</w:t>
            </w:r>
            <w:r w:rsidRPr="00AF142A">
              <w:t>180.2</w:t>
            </w:r>
          </w:p>
        </w:tc>
      </w:tr>
      <w:tr w:rsidR="00F674AC" w:rsidRPr="00995B8F" w:rsidTr="00212BB6">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802" w:type="dxa"/>
            <w:noWrap/>
          </w:tcPr>
          <w:p w:rsidR="00F674AC" w:rsidRPr="00212BB6" w:rsidRDefault="00F674AC" w:rsidP="00212BB6">
            <w:pPr>
              <w:pStyle w:val="AERtabletextleft"/>
            </w:pPr>
            <w:r w:rsidRPr="00212BB6">
              <w:t>Closing capital base</w:t>
            </w:r>
          </w:p>
        </w:tc>
        <w:tc>
          <w:tcPr>
            <w:tcW w:w="1247" w:type="dxa"/>
            <w:noWrap/>
          </w:tcPr>
          <w:p w:rsidR="00F674AC" w:rsidRPr="00AF142A" w:rsidRDefault="00F674AC" w:rsidP="005525B4">
            <w:pPr>
              <w:pStyle w:val="AERtabletextleft"/>
              <w:cnfStyle w:val="000000010000" w:firstRow="0" w:lastRow="0" w:firstColumn="0" w:lastColumn="0" w:oddVBand="0" w:evenVBand="0" w:oddHBand="0" w:evenHBand="1" w:firstRowFirstColumn="0" w:firstRowLastColumn="0" w:lastRowFirstColumn="0" w:lastRowLastColumn="0"/>
            </w:pPr>
            <w:r w:rsidRPr="003E63BA">
              <w:t>3180.0</w:t>
            </w:r>
          </w:p>
        </w:tc>
        <w:tc>
          <w:tcPr>
            <w:tcW w:w="1247" w:type="dxa"/>
            <w:noWrap/>
          </w:tcPr>
          <w:p w:rsidR="00F674AC" w:rsidRPr="00AF142A" w:rsidRDefault="00F674AC" w:rsidP="005525B4">
            <w:pPr>
              <w:pStyle w:val="AERtabletextleft"/>
              <w:cnfStyle w:val="000000010000" w:firstRow="0" w:lastRow="0" w:firstColumn="0" w:lastColumn="0" w:oddVBand="0" w:evenVBand="0" w:oddHBand="0" w:evenHBand="1" w:firstRowFirstColumn="0" w:firstRowLastColumn="0" w:lastRowFirstColumn="0" w:lastRowLastColumn="0"/>
            </w:pPr>
            <w:r w:rsidRPr="003E63BA">
              <w:t>3302.9</w:t>
            </w:r>
          </w:p>
        </w:tc>
        <w:tc>
          <w:tcPr>
            <w:tcW w:w="1248" w:type="dxa"/>
            <w:noWrap/>
          </w:tcPr>
          <w:p w:rsidR="00F674AC" w:rsidRPr="00AF142A" w:rsidRDefault="00F674AC" w:rsidP="005525B4">
            <w:pPr>
              <w:pStyle w:val="AERtabletextleft"/>
              <w:cnfStyle w:val="000000010000" w:firstRow="0" w:lastRow="0" w:firstColumn="0" w:lastColumn="0" w:oddVBand="0" w:evenVBand="0" w:oddHBand="0" w:evenHBand="1" w:firstRowFirstColumn="0" w:firstRowLastColumn="0" w:lastRowFirstColumn="0" w:lastRowLastColumn="0"/>
            </w:pPr>
            <w:r w:rsidRPr="003E63BA">
              <w:t>3423.4</w:t>
            </w:r>
          </w:p>
        </w:tc>
        <w:tc>
          <w:tcPr>
            <w:tcW w:w="1247" w:type="dxa"/>
            <w:noWrap/>
          </w:tcPr>
          <w:p w:rsidR="00F674AC" w:rsidRPr="00AF142A" w:rsidRDefault="00F674AC" w:rsidP="005525B4">
            <w:pPr>
              <w:pStyle w:val="AERtabletextleft"/>
              <w:cnfStyle w:val="000000010000" w:firstRow="0" w:lastRow="0" w:firstColumn="0" w:lastColumn="0" w:oddVBand="0" w:evenVBand="0" w:oddHBand="0" w:evenHBand="1" w:firstRowFirstColumn="0" w:firstRowLastColumn="0" w:lastRowFirstColumn="0" w:lastRowLastColumn="0"/>
            </w:pPr>
            <w:r w:rsidRPr="003E63BA">
              <w:t>3512.5</w:t>
            </w:r>
          </w:p>
        </w:tc>
        <w:tc>
          <w:tcPr>
            <w:tcW w:w="1248" w:type="dxa"/>
            <w:noWrap/>
          </w:tcPr>
          <w:p w:rsidR="00F674AC" w:rsidRPr="00AF142A" w:rsidRDefault="00F674AC" w:rsidP="005525B4">
            <w:pPr>
              <w:pStyle w:val="AERtabletextleft"/>
              <w:cnfStyle w:val="000000010000" w:firstRow="0" w:lastRow="0" w:firstColumn="0" w:lastColumn="0" w:oddVBand="0" w:evenVBand="0" w:oddHBand="0" w:evenHBand="1" w:firstRowFirstColumn="0" w:firstRowLastColumn="0" w:lastRowFirstColumn="0" w:lastRowLastColumn="0"/>
            </w:pPr>
            <w:r w:rsidRPr="003E63BA">
              <w:t>3595.2</w:t>
            </w:r>
          </w:p>
        </w:tc>
      </w:tr>
    </w:tbl>
    <w:bookmarkEnd w:id="16"/>
    <w:p w:rsidR="00F674AC" w:rsidRPr="00F73C2D" w:rsidRDefault="00F674AC" w:rsidP="00F674AC">
      <w:pPr>
        <w:pStyle w:val="AERtablesource"/>
        <w:rPr>
          <w:rFonts w:eastAsia="Calibri"/>
        </w:rPr>
      </w:pPr>
      <w:r w:rsidRPr="00F73C2D">
        <w:rPr>
          <w:rFonts w:eastAsia="Calibri"/>
        </w:rPr>
        <w:t xml:space="preserve">Source: </w:t>
      </w:r>
      <w:r w:rsidRPr="00F73C2D">
        <w:rPr>
          <w:rFonts w:eastAsia="Calibri"/>
        </w:rPr>
        <w:tab/>
        <w:t>AER analysis.</w:t>
      </w:r>
    </w:p>
    <w:p w:rsidR="00F674AC" w:rsidRPr="00F73C2D" w:rsidRDefault="00F674AC" w:rsidP="00F674AC">
      <w:pPr>
        <w:pStyle w:val="Heading2"/>
        <w:numPr>
          <w:ilvl w:val="2"/>
          <w:numId w:val="8"/>
        </w:numPr>
      </w:pPr>
      <w:bookmarkStart w:id="17" w:name="_Toc334608501"/>
      <w:bookmarkStart w:id="18" w:name="_Toc334608733"/>
      <w:bookmarkStart w:id="19" w:name="_Toc404157796"/>
      <w:bookmarkStart w:id="20" w:name="_Toc404158159"/>
      <w:bookmarkStart w:id="21" w:name="_Toc404256798"/>
      <w:r>
        <w:lastRenderedPageBreak/>
        <w:t>JGN's</w:t>
      </w:r>
      <w:r w:rsidRPr="004C06CB">
        <w:t xml:space="preserve"> proposal</w:t>
      </w:r>
      <w:bookmarkEnd w:id="17"/>
      <w:bookmarkEnd w:id="18"/>
      <w:bookmarkEnd w:id="19"/>
      <w:bookmarkEnd w:id="20"/>
      <w:bookmarkEnd w:id="21"/>
    </w:p>
    <w:p w:rsidR="00F674AC" w:rsidRDefault="00F674AC" w:rsidP="00F674AC">
      <w:pPr>
        <w:pStyle w:val="AERbodytext"/>
      </w:pPr>
      <w:r>
        <w:t>JGN</w:t>
      </w:r>
      <w:r w:rsidRPr="00F03FC9">
        <w:t xml:space="preserve"> proposed </w:t>
      </w:r>
      <w:r>
        <w:t>a</w:t>
      </w:r>
      <w:r w:rsidRPr="00F03FC9">
        <w:t>n opening capital base as at 1 July 2010 of $</w:t>
      </w:r>
      <w:r>
        <w:t>2312.7</w:t>
      </w:r>
      <w:r w:rsidRPr="00F03FC9">
        <w:t xml:space="preserve"> million</w:t>
      </w:r>
      <w:r>
        <w:t xml:space="preserve"> </w:t>
      </w:r>
      <w:r w:rsidRPr="00254619">
        <w:t>($nominal)</w:t>
      </w:r>
      <w:r w:rsidRPr="00F03FC9">
        <w:t>.</w:t>
      </w:r>
      <w:r w:rsidRPr="00F73C2D">
        <w:rPr>
          <w:rStyle w:val="FootnoteReference"/>
        </w:rPr>
        <w:footnoteReference w:id="4"/>
      </w:r>
      <w:r w:rsidRPr="00F03FC9">
        <w:t xml:space="preserve"> </w:t>
      </w:r>
      <w:r>
        <w:t>This amount</w:t>
      </w:r>
      <w:r w:rsidRPr="00A573AD">
        <w:t xml:space="preserve"> </w:t>
      </w:r>
      <w:r>
        <w:t xml:space="preserve">is </w:t>
      </w:r>
      <w:r w:rsidRPr="00A573AD">
        <w:t>roll</w:t>
      </w:r>
      <w:r>
        <w:t>ed</w:t>
      </w:r>
      <w:r w:rsidRPr="00A573AD">
        <w:t xml:space="preserve"> forward over the 2010–15</w:t>
      </w:r>
      <w:r>
        <w:t xml:space="preserve"> access arrangement period to arrive at an </w:t>
      </w:r>
      <w:r w:rsidRPr="00A573AD">
        <w:t>opening capital base of $304</w:t>
      </w:r>
      <w:r>
        <w:t>1</w:t>
      </w:r>
      <w:r w:rsidRPr="00A573AD">
        <w:t>.</w:t>
      </w:r>
      <w:r>
        <w:t>3</w:t>
      </w:r>
      <w:r w:rsidRPr="00A573AD">
        <w:t xml:space="preserve"> million </w:t>
      </w:r>
      <w:r w:rsidRPr="00254619">
        <w:t>($nominal)</w:t>
      </w:r>
      <w:r>
        <w:t xml:space="preserve"> </w:t>
      </w:r>
      <w:r w:rsidRPr="00A573AD">
        <w:t xml:space="preserve">as at 1 July 2015. </w:t>
      </w:r>
      <w:r>
        <w:t>The roll forward</w:t>
      </w:r>
      <w:r w:rsidRPr="009267D8">
        <w:t xml:space="preserve"> of the capital base </w:t>
      </w:r>
      <w:r>
        <w:t>was</w:t>
      </w:r>
      <w:r w:rsidRPr="009267D8">
        <w:t xml:space="preserve"> </w:t>
      </w:r>
      <w:r>
        <w:t xml:space="preserve">calculated </w:t>
      </w:r>
      <w:r w:rsidRPr="009267D8">
        <w:t xml:space="preserve">based on actual data </w:t>
      </w:r>
      <w:r>
        <w:t>for</w:t>
      </w:r>
      <w:r w:rsidRPr="009267D8">
        <w:t xml:space="preserve"> 2010</w:t>
      </w:r>
      <w:r>
        <w:t>–</w:t>
      </w:r>
      <w:r w:rsidRPr="009267D8">
        <w:t>11</w:t>
      </w:r>
      <w:r>
        <w:t xml:space="preserve"> to</w:t>
      </w:r>
      <w:r w:rsidRPr="009267D8">
        <w:t xml:space="preserve"> 2012</w:t>
      </w:r>
      <w:r>
        <w:t>–</w:t>
      </w:r>
      <w:r w:rsidRPr="009267D8">
        <w:t>13</w:t>
      </w:r>
      <w:r>
        <w:t xml:space="preserve"> (with the exception of depreciation which is based on approved amounts adjusted for CPI)</w:t>
      </w:r>
      <w:r w:rsidRPr="009267D8">
        <w:t xml:space="preserve">, </w:t>
      </w:r>
      <w:r>
        <w:t>and forecast data for 2013–14 and 2014–15. JGN also proposed to apply an adjustment to the opening capital base at 1 July 2015 to account for the difference between actual and estimated capex for 2009–10.</w:t>
      </w:r>
      <w:r>
        <w:rPr>
          <w:rStyle w:val="FootnoteReference"/>
        </w:rPr>
        <w:footnoteReference w:id="5"/>
      </w:r>
      <w:r>
        <w:t xml:space="preserve"> This is because the </w:t>
      </w:r>
      <w:r w:rsidRPr="00096123">
        <w:t>estimated net capex of $94.2 mil</w:t>
      </w:r>
      <w:r>
        <w:t xml:space="preserve">lion </w:t>
      </w:r>
      <w:r w:rsidRPr="00254619">
        <w:t>($nominal)</w:t>
      </w:r>
      <w:r>
        <w:t xml:space="preserve"> for 2009–10 was $2.4 million </w:t>
      </w:r>
      <w:r w:rsidRPr="00254619">
        <w:t>($nominal)</w:t>
      </w:r>
      <w:r>
        <w:t xml:space="preserve"> less than </w:t>
      </w:r>
      <w:r w:rsidRPr="00096123">
        <w:t xml:space="preserve">actual capex </w:t>
      </w:r>
      <w:r>
        <w:t xml:space="preserve">of $96.9 million </w:t>
      </w:r>
      <w:r w:rsidRPr="00254619">
        <w:t>($nominal)</w:t>
      </w:r>
      <w:r w:rsidRPr="00096123">
        <w:t>.</w:t>
      </w:r>
      <w:r>
        <w:rPr>
          <w:rStyle w:val="FootnoteReference"/>
        </w:rPr>
        <w:footnoteReference w:id="6"/>
      </w:r>
      <w:r w:rsidRPr="00096123">
        <w:t xml:space="preserve"> </w:t>
      </w:r>
      <w:r>
        <w:t xml:space="preserve">This amount is escalated to account for the time value of money comprising the nominal rate of return over the 2010–15 access arrangement </w:t>
      </w:r>
      <w:proofErr w:type="gramStart"/>
      <w:r>
        <w:t>period</w:t>
      </w:r>
      <w:proofErr w:type="gramEnd"/>
      <w:r>
        <w:t xml:space="preserve">. This adjustment increases the proposed </w:t>
      </w:r>
      <w:r w:rsidRPr="0036521E">
        <w:t xml:space="preserve">opening capital base </w:t>
      </w:r>
      <w:r>
        <w:t xml:space="preserve">by $4.5 million </w:t>
      </w:r>
      <w:r w:rsidRPr="00254619">
        <w:t>($nominal)</w:t>
      </w:r>
      <w:r>
        <w:t xml:space="preserve"> to $3045.8 million </w:t>
      </w:r>
      <w:r w:rsidRPr="00254619">
        <w:t>($nominal)</w:t>
      </w:r>
      <w:r>
        <w:t xml:space="preserve"> as at 1 July 2015.</w:t>
      </w:r>
      <w:r>
        <w:rPr>
          <w:rStyle w:val="FootnoteReference"/>
        </w:rPr>
        <w:footnoteReference w:id="7"/>
      </w:r>
      <w:r>
        <w:t xml:space="preserve"> </w:t>
      </w:r>
    </w:p>
    <w:p w:rsidR="00F674AC" w:rsidRDefault="00F674AC" w:rsidP="00F674AC">
      <w:pPr>
        <w:pStyle w:val="AERbodytext"/>
      </w:pPr>
      <w:r>
        <w:t xml:space="preserve">JGN's proposed capital base roll forward during the 2010–15 access arrangement </w:t>
      </w:r>
      <w:proofErr w:type="gramStart"/>
      <w:r>
        <w:t>period</w:t>
      </w:r>
      <w:proofErr w:type="gramEnd"/>
      <w:r>
        <w:t xml:space="preserve"> is </w:t>
      </w:r>
      <w:r w:rsidRPr="00F03FC9">
        <w:t>shown in</w:t>
      </w:r>
      <w:r>
        <w:t xml:space="preserve"> </w:t>
      </w:r>
      <w:r>
        <w:fldChar w:fldCharType="begin"/>
      </w:r>
      <w:r>
        <w:instrText xml:space="preserve"> REF  _Ref398274257 \* Lower \h </w:instrText>
      </w:r>
      <w:r>
        <w:fldChar w:fldCharType="separate"/>
      </w:r>
      <w:r w:rsidR="00752809">
        <w:t xml:space="preserve">table </w:t>
      </w:r>
      <w:r w:rsidR="00752809">
        <w:rPr>
          <w:noProof/>
        </w:rPr>
        <w:t>2</w:t>
      </w:r>
      <w:r w:rsidR="00752809">
        <w:noBreakHyphen/>
      </w:r>
      <w:r w:rsidR="00752809">
        <w:rPr>
          <w:noProof/>
        </w:rPr>
        <w:t>3</w:t>
      </w:r>
      <w:r>
        <w:fldChar w:fldCharType="end"/>
      </w:r>
      <w:r>
        <w:t>.</w:t>
      </w:r>
    </w:p>
    <w:p w:rsidR="00F674AC" w:rsidRDefault="00F674AC" w:rsidP="00F674AC">
      <w:pPr>
        <w:pStyle w:val="Caption"/>
      </w:pPr>
      <w:bookmarkStart w:id="22" w:name="_Ref398274257"/>
      <w:bookmarkStart w:id="23" w:name="_Ref398274250"/>
      <w:r>
        <w:t xml:space="preserve">Table </w:t>
      </w:r>
      <w:fldSimple w:instr=" STYLEREF 1 \s ">
        <w:r w:rsidR="00752809">
          <w:rPr>
            <w:noProof/>
          </w:rPr>
          <w:t>2</w:t>
        </w:r>
      </w:fldSimple>
      <w:r>
        <w:noBreakHyphen/>
      </w:r>
      <w:fldSimple w:instr=" SEQ Table \* ARABIC \s 1 ">
        <w:r w:rsidR="00752809">
          <w:rPr>
            <w:noProof/>
          </w:rPr>
          <w:t>3</w:t>
        </w:r>
      </w:fldSimple>
      <w:bookmarkEnd w:id="22"/>
      <w:r>
        <w:tab/>
      </w:r>
      <w:r w:rsidRPr="00585B5C">
        <w:t>JGN's proposed capital base roll forward during the 2010–15 access arrangement period ($million, nominal)</w:t>
      </w:r>
      <w:bookmarkEnd w:id="23"/>
    </w:p>
    <w:tbl>
      <w:tblPr>
        <w:tblStyle w:val="AERtable-numbers"/>
        <w:tblW w:w="9322" w:type="dxa"/>
        <w:tblLook w:val="04A0" w:firstRow="1" w:lastRow="0" w:firstColumn="1" w:lastColumn="0" w:noHBand="0" w:noVBand="1"/>
      </w:tblPr>
      <w:tblGrid>
        <w:gridCol w:w="3340"/>
        <w:gridCol w:w="1196"/>
        <w:gridCol w:w="1196"/>
        <w:gridCol w:w="1197"/>
        <w:gridCol w:w="1196"/>
        <w:gridCol w:w="1197"/>
      </w:tblGrid>
      <w:tr w:rsidR="00F674AC" w:rsidRPr="0093575A" w:rsidTr="009903BE">
        <w:trPr>
          <w:cnfStyle w:val="100000000000" w:firstRow="1" w:lastRow="0"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3340" w:type="dxa"/>
            <w:hideMark/>
          </w:tcPr>
          <w:p w:rsidR="00F674AC" w:rsidRPr="0093575A" w:rsidRDefault="00F674AC" w:rsidP="009903BE">
            <w:pPr>
              <w:pStyle w:val="AERtabletextleft"/>
              <w:rPr>
                <w:lang w:eastAsia="en-AU"/>
              </w:rPr>
            </w:pPr>
            <w:r w:rsidRPr="0093575A">
              <w:rPr>
                <w:lang w:eastAsia="en-AU"/>
              </w:rPr>
              <w:t>Details</w:t>
            </w:r>
          </w:p>
        </w:tc>
        <w:tc>
          <w:tcPr>
            <w:tcW w:w="1196" w:type="dxa"/>
            <w:hideMark/>
          </w:tcPr>
          <w:p w:rsidR="00F674AC" w:rsidRPr="0093575A" w:rsidRDefault="00F674AC" w:rsidP="009903BE">
            <w:pPr>
              <w:pStyle w:val="AERtabletextleft"/>
              <w:cnfStyle w:val="100000000000" w:firstRow="1" w:lastRow="0" w:firstColumn="0" w:lastColumn="0" w:oddVBand="0" w:evenVBand="0" w:oddHBand="0" w:evenHBand="0" w:firstRowFirstColumn="0" w:firstRowLastColumn="0" w:lastRowFirstColumn="0" w:lastRowLastColumn="0"/>
              <w:rPr>
                <w:lang w:eastAsia="en-AU"/>
              </w:rPr>
            </w:pPr>
            <w:r w:rsidRPr="0093575A">
              <w:rPr>
                <w:lang w:eastAsia="en-AU"/>
              </w:rPr>
              <w:t>2010-11</w:t>
            </w:r>
          </w:p>
        </w:tc>
        <w:tc>
          <w:tcPr>
            <w:tcW w:w="1196" w:type="dxa"/>
            <w:hideMark/>
          </w:tcPr>
          <w:p w:rsidR="00F674AC" w:rsidRPr="0093575A" w:rsidRDefault="00F674AC" w:rsidP="009903BE">
            <w:pPr>
              <w:pStyle w:val="AERtabletextleft"/>
              <w:cnfStyle w:val="100000000000" w:firstRow="1" w:lastRow="0" w:firstColumn="0" w:lastColumn="0" w:oddVBand="0" w:evenVBand="0" w:oddHBand="0" w:evenHBand="0" w:firstRowFirstColumn="0" w:firstRowLastColumn="0" w:lastRowFirstColumn="0" w:lastRowLastColumn="0"/>
              <w:rPr>
                <w:lang w:eastAsia="en-AU"/>
              </w:rPr>
            </w:pPr>
            <w:r w:rsidRPr="0093575A">
              <w:rPr>
                <w:lang w:eastAsia="en-AU"/>
              </w:rPr>
              <w:t>2011-12</w:t>
            </w:r>
          </w:p>
        </w:tc>
        <w:tc>
          <w:tcPr>
            <w:tcW w:w="1197" w:type="dxa"/>
            <w:hideMark/>
          </w:tcPr>
          <w:p w:rsidR="00F674AC" w:rsidRPr="0093575A" w:rsidRDefault="00F674AC" w:rsidP="009903BE">
            <w:pPr>
              <w:pStyle w:val="AERtabletextleft"/>
              <w:cnfStyle w:val="100000000000" w:firstRow="1" w:lastRow="0" w:firstColumn="0" w:lastColumn="0" w:oddVBand="0" w:evenVBand="0" w:oddHBand="0" w:evenHBand="0" w:firstRowFirstColumn="0" w:firstRowLastColumn="0" w:lastRowFirstColumn="0" w:lastRowLastColumn="0"/>
              <w:rPr>
                <w:lang w:eastAsia="en-AU"/>
              </w:rPr>
            </w:pPr>
            <w:r w:rsidRPr="0093575A">
              <w:rPr>
                <w:lang w:eastAsia="en-AU"/>
              </w:rPr>
              <w:t>2012-13</w:t>
            </w:r>
          </w:p>
        </w:tc>
        <w:tc>
          <w:tcPr>
            <w:tcW w:w="1196" w:type="dxa"/>
            <w:hideMark/>
          </w:tcPr>
          <w:p w:rsidR="00F674AC" w:rsidRPr="0093575A" w:rsidRDefault="00F674AC" w:rsidP="009903BE">
            <w:pPr>
              <w:pStyle w:val="AERtabletextleft"/>
              <w:cnfStyle w:val="100000000000" w:firstRow="1" w:lastRow="0" w:firstColumn="0" w:lastColumn="0" w:oddVBand="0" w:evenVBand="0" w:oddHBand="0" w:evenHBand="0" w:firstRowFirstColumn="0" w:firstRowLastColumn="0" w:lastRowFirstColumn="0" w:lastRowLastColumn="0"/>
              <w:rPr>
                <w:lang w:eastAsia="en-AU"/>
              </w:rPr>
            </w:pPr>
            <w:r w:rsidRPr="0093575A">
              <w:rPr>
                <w:lang w:eastAsia="en-AU"/>
              </w:rPr>
              <w:t>2013-14</w:t>
            </w:r>
          </w:p>
        </w:tc>
        <w:tc>
          <w:tcPr>
            <w:tcW w:w="1197" w:type="dxa"/>
            <w:hideMark/>
          </w:tcPr>
          <w:p w:rsidR="00F674AC" w:rsidRPr="0093575A" w:rsidRDefault="00F674AC" w:rsidP="009903BE">
            <w:pPr>
              <w:pStyle w:val="AERtabletextleft"/>
              <w:cnfStyle w:val="100000000000" w:firstRow="1" w:lastRow="0" w:firstColumn="0" w:lastColumn="0" w:oddVBand="0" w:evenVBand="0" w:oddHBand="0" w:evenHBand="0" w:firstRowFirstColumn="0" w:firstRowLastColumn="0" w:lastRowFirstColumn="0" w:lastRowLastColumn="0"/>
              <w:rPr>
                <w:lang w:eastAsia="en-AU"/>
              </w:rPr>
            </w:pPr>
            <w:r w:rsidRPr="0093575A">
              <w:rPr>
                <w:lang w:eastAsia="en-AU"/>
              </w:rPr>
              <w:t>2014-15</w:t>
            </w:r>
          </w:p>
        </w:tc>
      </w:tr>
      <w:tr w:rsidR="00F674AC" w:rsidRPr="0093575A" w:rsidTr="009903BE">
        <w:trPr>
          <w:trHeight w:val="428"/>
        </w:trPr>
        <w:tc>
          <w:tcPr>
            <w:cnfStyle w:val="001000000000" w:firstRow="0" w:lastRow="0" w:firstColumn="1" w:lastColumn="0" w:oddVBand="0" w:evenVBand="0" w:oddHBand="0" w:evenHBand="0" w:firstRowFirstColumn="0" w:firstRowLastColumn="0" w:lastRowFirstColumn="0" w:lastRowLastColumn="0"/>
            <w:tcW w:w="3340" w:type="dxa"/>
            <w:hideMark/>
          </w:tcPr>
          <w:p w:rsidR="00F674AC" w:rsidRPr="0093575A" w:rsidRDefault="00F674AC" w:rsidP="009903BE">
            <w:pPr>
              <w:pStyle w:val="AERtabletextleft"/>
              <w:rPr>
                <w:lang w:eastAsia="en-AU"/>
              </w:rPr>
            </w:pPr>
            <w:r w:rsidRPr="0093575A">
              <w:rPr>
                <w:lang w:eastAsia="en-AU"/>
              </w:rPr>
              <w:t xml:space="preserve">Opening </w:t>
            </w:r>
            <w:r>
              <w:t>capital base</w:t>
            </w:r>
          </w:p>
        </w:tc>
        <w:tc>
          <w:tcPr>
            <w:tcW w:w="1196" w:type="dxa"/>
            <w:hideMark/>
          </w:tcPr>
          <w:p w:rsidR="00F674AC" w:rsidRPr="0093575A" w:rsidRDefault="00F674AC" w:rsidP="005525B4">
            <w:pPr>
              <w:pStyle w:val="AERtabletextleft"/>
              <w:cnfStyle w:val="000000000000" w:firstRow="0" w:lastRow="0" w:firstColumn="0" w:lastColumn="0" w:oddVBand="0" w:evenVBand="0" w:oddHBand="0" w:evenHBand="0" w:firstRowFirstColumn="0" w:firstRowLastColumn="0" w:lastRowFirstColumn="0" w:lastRowLastColumn="0"/>
              <w:rPr>
                <w:lang w:eastAsia="en-AU"/>
              </w:rPr>
            </w:pPr>
            <w:r w:rsidRPr="0093575A">
              <w:rPr>
                <w:lang w:eastAsia="en-AU"/>
              </w:rPr>
              <w:t>2312.7</w:t>
            </w:r>
          </w:p>
        </w:tc>
        <w:tc>
          <w:tcPr>
            <w:tcW w:w="1196" w:type="dxa"/>
            <w:hideMark/>
          </w:tcPr>
          <w:p w:rsidR="00F674AC" w:rsidRPr="0093575A" w:rsidRDefault="00F674AC" w:rsidP="005525B4">
            <w:pPr>
              <w:pStyle w:val="AERtabletextleft"/>
              <w:cnfStyle w:val="000000000000" w:firstRow="0" w:lastRow="0" w:firstColumn="0" w:lastColumn="0" w:oddVBand="0" w:evenVBand="0" w:oddHBand="0" w:evenHBand="0" w:firstRowFirstColumn="0" w:firstRowLastColumn="0" w:lastRowFirstColumn="0" w:lastRowLastColumn="0"/>
              <w:rPr>
                <w:lang w:eastAsia="en-AU"/>
              </w:rPr>
            </w:pPr>
            <w:r w:rsidRPr="0093575A">
              <w:rPr>
                <w:lang w:eastAsia="en-AU"/>
              </w:rPr>
              <w:t>2456.6</w:t>
            </w:r>
          </w:p>
        </w:tc>
        <w:tc>
          <w:tcPr>
            <w:tcW w:w="1197" w:type="dxa"/>
            <w:hideMark/>
          </w:tcPr>
          <w:p w:rsidR="00F674AC" w:rsidRPr="0093575A" w:rsidRDefault="00F674AC" w:rsidP="005525B4">
            <w:pPr>
              <w:pStyle w:val="AERtabletextleft"/>
              <w:cnfStyle w:val="000000000000" w:firstRow="0" w:lastRow="0" w:firstColumn="0" w:lastColumn="0" w:oddVBand="0" w:evenVBand="0" w:oddHBand="0" w:evenHBand="0" w:firstRowFirstColumn="0" w:firstRowLastColumn="0" w:lastRowFirstColumn="0" w:lastRowLastColumn="0"/>
              <w:rPr>
                <w:lang w:eastAsia="en-AU"/>
              </w:rPr>
            </w:pPr>
            <w:r w:rsidRPr="0093575A">
              <w:rPr>
                <w:lang w:eastAsia="en-AU"/>
              </w:rPr>
              <w:t>2611.2</w:t>
            </w:r>
          </w:p>
        </w:tc>
        <w:tc>
          <w:tcPr>
            <w:tcW w:w="1196" w:type="dxa"/>
            <w:hideMark/>
          </w:tcPr>
          <w:p w:rsidR="00F674AC" w:rsidRPr="0093575A" w:rsidRDefault="00F674AC" w:rsidP="005525B4">
            <w:pPr>
              <w:pStyle w:val="AERtabletextleft"/>
              <w:cnfStyle w:val="000000000000" w:firstRow="0" w:lastRow="0" w:firstColumn="0" w:lastColumn="0" w:oddVBand="0" w:evenVBand="0" w:oddHBand="0" w:evenHBand="0" w:firstRowFirstColumn="0" w:firstRowLastColumn="0" w:lastRowFirstColumn="0" w:lastRowLastColumn="0"/>
              <w:rPr>
                <w:lang w:eastAsia="en-AU"/>
              </w:rPr>
            </w:pPr>
            <w:r w:rsidRPr="0093575A">
              <w:rPr>
                <w:lang w:eastAsia="en-AU"/>
              </w:rPr>
              <w:t>2697.</w:t>
            </w:r>
            <w:r w:rsidR="005525B4">
              <w:t>1</w:t>
            </w:r>
          </w:p>
        </w:tc>
        <w:tc>
          <w:tcPr>
            <w:tcW w:w="1197" w:type="dxa"/>
            <w:hideMark/>
          </w:tcPr>
          <w:p w:rsidR="00F674AC" w:rsidRPr="0093575A" w:rsidRDefault="00F674AC" w:rsidP="005525B4">
            <w:pPr>
              <w:pStyle w:val="AERtabletextleft"/>
              <w:cnfStyle w:val="000000000000" w:firstRow="0" w:lastRow="0" w:firstColumn="0" w:lastColumn="0" w:oddVBand="0" w:evenVBand="0" w:oddHBand="0" w:evenHBand="0" w:firstRowFirstColumn="0" w:firstRowLastColumn="0" w:lastRowFirstColumn="0" w:lastRowLastColumn="0"/>
              <w:rPr>
                <w:lang w:eastAsia="en-AU"/>
              </w:rPr>
            </w:pPr>
            <w:r w:rsidRPr="0093575A">
              <w:rPr>
                <w:lang w:eastAsia="en-AU"/>
              </w:rPr>
              <w:t>2839.3</w:t>
            </w:r>
          </w:p>
        </w:tc>
      </w:tr>
      <w:tr w:rsidR="00F674AC" w:rsidRPr="0093575A" w:rsidTr="009903BE">
        <w:trPr>
          <w:cnfStyle w:val="000000010000" w:firstRow="0" w:lastRow="0" w:firstColumn="0" w:lastColumn="0" w:oddVBand="0" w:evenVBand="0" w:oddHBand="0" w:evenHBand="1"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3340" w:type="dxa"/>
            <w:hideMark/>
          </w:tcPr>
          <w:p w:rsidR="00F674AC" w:rsidRPr="0093575A" w:rsidRDefault="00F674AC" w:rsidP="009903BE">
            <w:pPr>
              <w:pStyle w:val="AERtabletextleft"/>
              <w:rPr>
                <w:lang w:eastAsia="en-AU"/>
              </w:rPr>
            </w:pPr>
            <w:r>
              <w:t>N</w:t>
            </w:r>
            <w:r>
              <w:rPr>
                <w:lang w:eastAsia="en-AU"/>
              </w:rPr>
              <w:t xml:space="preserve">et capex at start of year </w:t>
            </w:r>
          </w:p>
        </w:tc>
        <w:tc>
          <w:tcPr>
            <w:tcW w:w="1196" w:type="dxa"/>
            <w:hideMark/>
          </w:tcPr>
          <w:p w:rsidR="00F674AC" w:rsidRPr="0093575A" w:rsidRDefault="00F674AC" w:rsidP="005525B4">
            <w:pPr>
              <w:pStyle w:val="AERtabletextleft"/>
              <w:cnfStyle w:val="000000010000" w:firstRow="0" w:lastRow="0" w:firstColumn="0" w:lastColumn="0" w:oddVBand="0" w:evenVBand="0" w:oddHBand="0" w:evenHBand="1" w:firstRowFirstColumn="0" w:firstRowLastColumn="0" w:lastRowFirstColumn="0" w:lastRowLastColumn="0"/>
              <w:rPr>
                <w:lang w:eastAsia="en-AU"/>
              </w:rPr>
            </w:pPr>
            <w:r w:rsidRPr="0093575A">
              <w:rPr>
                <w:lang w:eastAsia="en-AU"/>
              </w:rPr>
              <w:t>76.2</w:t>
            </w:r>
          </w:p>
        </w:tc>
        <w:tc>
          <w:tcPr>
            <w:tcW w:w="1196" w:type="dxa"/>
            <w:hideMark/>
          </w:tcPr>
          <w:p w:rsidR="00F674AC" w:rsidRPr="0093575A" w:rsidRDefault="00F674AC" w:rsidP="005525B4">
            <w:pPr>
              <w:pStyle w:val="AERtabletextleft"/>
              <w:cnfStyle w:val="000000010000" w:firstRow="0" w:lastRow="0" w:firstColumn="0" w:lastColumn="0" w:oddVBand="0" w:evenVBand="0" w:oddHBand="0" w:evenHBand="1" w:firstRowFirstColumn="0" w:firstRowLastColumn="0" w:lastRowFirstColumn="0" w:lastRowLastColumn="0"/>
              <w:rPr>
                <w:lang w:eastAsia="en-AU"/>
              </w:rPr>
            </w:pPr>
            <w:r w:rsidRPr="0093575A">
              <w:rPr>
                <w:lang w:eastAsia="en-AU"/>
              </w:rPr>
              <w:t>82.8</w:t>
            </w:r>
          </w:p>
        </w:tc>
        <w:tc>
          <w:tcPr>
            <w:tcW w:w="1197" w:type="dxa"/>
            <w:hideMark/>
          </w:tcPr>
          <w:p w:rsidR="00F674AC" w:rsidRPr="0093575A" w:rsidRDefault="00F674AC" w:rsidP="005525B4">
            <w:pPr>
              <w:pStyle w:val="AERtabletextleft"/>
              <w:cnfStyle w:val="000000010000" w:firstRow="0" w:lastRow="0" w:firstColumn="0" w:lastColumn="0" w:oddVBand="0" w:evenVBand="0" w:oddHBand="0" w:evenHBand="1" w:firstRowFirstColumn="0" w:firstRowLastColumn="0" w:lastRowFirstColumn="0" w:lastRowLastColumn="0"/>
              <w:rPr>
                <w:lang w:eastAsia="en-AU"/>
              </w:rPr>
            </w:pPr>
            <w:r w:rsidRPr="0093575A">
              <w:rPr>
                <w:lang w:eastAsia="en-AU"/>
              </w:rPr>
              <w:t>63.</w:t>
            </w:r>
            <w:r w:rsidR="005525B4">
              <w:t>5</w:t>
            </w:r>
          </w:p>
        </w:tc>
        <w:tc>
          <w:tcPr>
            <w:tcW w:w="1196" w:type="dxa"/>
            <w:hideMark/>
          </w:tcPr>
          <w:p w:rsidR="00F674AC" w:rsidRPr="0093575A" w:rsidRDefault="00F674AC" w:rsidP="005525B4">
            <w:pPr>
              <w:pStyle w:val="AERtabletextleft"/>
              <w:cnfStyle w:val="000000010000" w:firstRow="0" w:lastRow="0" w:firstColumn="0" w:lastColumn="0" w:oddVBand="0" w:evenVBand="0" w:oddHBand="0" w:evenHBand="1" w:firstRowFirstColumn="0" w:firstRowLastColumn="0" w:lastRowFirstColumn="0" w:lastRowLastColumn="0"/>
              <w:rPr>
                <w:lang w:eastAsia="en-AU"/>
              </w:rPr>
            </w:pPr>
            <w:r w:rsidRPr="0093575A">
              <w:rPr>
                <w:lang w:eastAsia="en-AU"/>
              </w:rPr>
              <w:t>88.</w:t>
            </w:r>
            <w:r w:rsidR="005525B4">
              <w:t>1</w:t>
            </w:r>
          </w:p>
        </w:tc>
        <w:tc>
          <w:tcPr>
            <w:tcW w:w="1197" w:type="dxa"/>
            <w:hideMark/>
          </w:tcPr>
          <w:p w:rsidR="00F674AC" w:rsidRPr="0093575A" w:rsidRDefault="00F674AC" w:rsidP="005525B4">
            <w:pPr>
              <w:pStyle w:val="AERtabletextleft"/>
              <w:cnfStyle w:val="000000010000" w:firstRow="0" w:lastRow="0" w:firstColumn="0" w:lastColumn="0" w:oddVBand="0" w:evenVBand="0" w:oddHBand="0" w:evenHBand="1" w:firstRowFirstColumn="0" w:firstRowLastColumn="0" w:lastRowFirstColumn="0" w:lastRowLastColumn="0"/>
              <w:rPr>
                <w:lang w:eastAsia="en-AU"/>
              </w:rPr>
            </w:pPr>
            <w:r w:rsidRPr="0093575A">
              <w:rPr>
                <w:lang w:eastAsia="en-AU"/>
              </w:rPr>
              <w:t>117.</w:t>
            </w:r>
            <w:r w:rsidR="005525B4">
              <w:t>7</w:t>
            </w:r>
          </w:p>
        </w:tc>
      </w:tr>
      <w:tr w:rsidR="00F674AC" w:rsidRPr="0093575A" w:rsidTr="009903BE">
        <w:trPr>
          <w:trHeight w:val="428"/>
        </w:trPr>
        <w:tc>
          <w:tcPr>
            <w:cnfStyle w:val="001000000000" w:firstRow="0" w:lastRow="0" w:firstColumn="1" w:lastColumn="0" w:oddVBand="0" w:evenVBand="0" w:oddHBand="0" w:evenHBand="0" w:firstRowFirstColumn="0" w:firstRowLastColumn="0" w:lastRowFirstColumn="0" w:lastRowLastColumn="0"/>
            <w:tcW w:w="3340" w:type="dxa"/>
            <w:hideMark/>
          </w:tcPr>
          <w:p w:rsidR="00F674AC" w:rsidRPr="0093575A" w:rsidRDefault="00F674AC" w:rsidP="009903BE">
            <w:pPr>
              <w:pStyle w:val="AERtabletextleft"/>
              <w:rPr>
                <w:lang w:eastAsia="en-AU"/>
              </w:rPr>
            </w:pPr>
            <w:r>
              <w:t>I</w:t>
            </w:r>
            <w:r>
              <w:rPr>
                <w:lang w:eastAsia="en-AU"/>
              </w:rPr>
              <w:t xml:space="preserve">ndexation of assets </w:t>
            </w:r>
          </w:p>
        </w:tc>
        <w:tc>
          <w:tcPr>
            <w:tcW w:w="1196" w:type="dxa"/>
            <w:hideMark/>
          </w:tcPr>
          <w:p w:rsidR="00F674AC" w:rsidRPr="0093575A" w:rsidRDefault="00F674AC" w:rsidP="005525B4">
            <w:pPr>
              <w:pStyle w:val="AERtabletextleft"/>
              <w:cnfStyle w:val="000000000000" w:firstRow="0" w:lastRow="0" w:firstColumn="0" w:lastColumn="0" w:oddVBand="0" w:evenVBand="0" w:oddHBand="0" w:evenHBand="0" w:firstRowFirstColumn="0" w:firstRowLastColumn="0" w:lastRowFirstColumn="0" w:lastRowLastColumn="0"/>
              <w:rPr>
                <w:lang w:eastAsia="en-AU"/>
              </w:rPr>
            </w:pPr>
            <w:r w:rsidRPr="0093575A">
              <w:rPr>
                <w:lang w:eastAsia="en-AU"/>
              </w:rPr>
              <w:t>63.4</w:t>
            </w:r>
          </w:p>
        </w:tc>
        <w:tc>
          <w:tcPr>
            <w:tcW w:w="1196" w:type="dxa"/>
            <w:hideMark/>
          </w:tcPr>
          <w:p w:rsidR="00F674AC" w:rsidRPr="0093575A" w:rsidRDefault="00F674AC" w:rsidP="005525B4">
            <w:pPr>
              <w:pStyle w:val="AERtabletextleft"/>
              <w:cnfStyle w:val="000000000000" w:firstRow="0" w:lastRow="0" w:firstColumn="0" w:lastColumn="0" w:oddVBand="0" w:evenVBand="0" w:oddHBand="0" w:evenHBand="0" w:firstRowFirstColumn="0" w:firstRowLastColumn="0" w:lastRowFirstColumn="0" w:lastRowLastColumn="0"/>
              <w:rPr>
                <w:lang w:eastAsia="en-AU"/>
              </w:rPr>
            </w:pPr>
            <w:r w:rsidRPr="0093575A">
              <w:rPr>
                <w:lang w:eastAsia="en-AU"/>
              </w:rPr>
              <w:t>78.8</w:t>
            </w:r>
          </w:p>
        </w:tc>
        <w:tc>
          <w:tcPr>
            <w:tcW w:w="1197" w:type="dxa"/>
            <w:hideMark/>
          </w:tcPr>
          <w:p w:rsidR="00F674AC" w:rsidRPr="0093575A" w:rsidRDefault="00F674AC" w:rsidP="005525B4">
            <w:pPr>
              <w:pStyle w:val="AERtabletextleft"/>
              <w:cnfStyle w:val="000000000000" w:firstRow="0" w:lastRow="0" w:firstColumn="0" w:lastColumn="0" w:oddVBand="0" w:evenVBand="0" w:oddHBand="0" w:evenHBand="0" w:firstRowFirstColumn="0" w:firstRowLastColumn="0" w:lastRowFirstColumn="0" w:lastRowLastColumn="0"/>
              <w:rPr>
                <w:lang w:eastAsia="en-AU"/>
              </w:rPr>
            </w:pPr>
            <w:r w:rsidRPr="0093575A">
              <w:rPr>
                <w:lang w:eastAsia="en-AU"/>
              </w:rPr>
              <w:t>5</w:t>
            </w:r>
            <w:r w:rsidR="005525B4">
              <w:t>9.0</w:t>
            </w:r>
          </w:p>
        </w:tc>
        <w:tc>
          <w:tcPr>
            <w:tcW w:w="1196" w:type="dxa"/>
            <w:hideMark/>
          </w:tcPr>
          <w:p w:rsidR="00F674AC" w:rsidRPr="0093575A" w:rsidRDefault="00F674AC" w:rsidP="005525B4">
            <w:pPr>
              <w:pStyle w:val="AERtabletextleft"/>
              <w:cnfStyle w:val="000000000000" w:firstRow="0" w:lastRow="0" w:firstColumn="0" w:lastColumn="0" w:oddVBand="0" w:evenVBand="0" w:oddHBand="0" w:evenHBand="0" w:firstRowFirstColumn="0" w:firstRowLastColumn="0" w:lastRowFirstColumn="0" w:lastRowLastColumn="0"/>
              <w:rPr>
                <w:lang w:eastAsia="en-AU"/>
              </w:rPr>
            </w:pPr>
            <w:r w:rsidRPr="0093575A">
              <w:rPr>
                <w:lang w:eastAsia="en-AU"/>
              </w:rPr>
              <w:t>76.</w:t>
            </w:r>
            <w:r w:rsidR="005525B4">
              <w:t>5</w:t>
            </w:r>
          </w:p>
        </w:tc>
        <w:tc>
          <w:tcPr>
            <w:tcW w:w="1197" w:type="dxa"/>
            <w:hideMark/>
          </w:tcPr>
          <w:p w:rsidR="00F674AC" w:rsidRPr="0093575A" w:rsidRDefault="00F674AC" w:rsidP="005525B4">
            <w:pPr>
              <w:pStyle w:val="AERtabletextleft"/>
              <w:cnfStyle w:val="000000000000" w:firstRow="0" w:lastRow="0" w:firstColumn="0" w:lastColumn="0" w:oddVBand="0" w:evenVBand="0" w:oddHBand="0" w:evenHBand="0" w:firstRowFirstColumn="0" w:firstRowLastColumn="0" w:lastRowFirstColumn="0" w:lastRowLastColumn="0"/>
              <w:rPr>
                <w:lang w:eastAsia="en-AU"/>
              </w:rPr>
            </w:pPr>
            <w:r w:rsidRPr="0093575A">
              <w:rPr>
                <w:lang w:eastAsia="en-AU"/>
              </w:rPr>
              <w:t>88.7</w:t>
            </w:r>
          </w:p>
        </w:tc>
      </w:tr>
      <w:tr w:rsidR="00F674AC" w:rsidRPr="0093575A" w:rsidTr="009903BE">
        <w:trPr>
          <w:cnfStyle w:val="000000010000" w:firstRow="0" w:lastRow="0" w:firstColumn="0" w:lastColumn="0" w:oddVBand="0" w:evenVBand="0" w:oddHBand="0" w:evenHBand="1"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3340" w:type="dxa"/>
            <w:hideMark/>
          </w:tcPr>
          <w:p w:rsidR="00F674AC" w:rsidRPr="0093575A" w:rsidRDefault="00F674AC" w:rsidP="009903BE">
            <w:pPr>
              <w:pStyle w:val="AERtabletextleft"/>
              <w:rPr>
                <w:lang w:eastAsia="en-AU"/>
              </w:rPr>
            </w:pPr>
            <w:r>
              <w:t>N</w:t>
            </w:r>
            <w:r>
              <w:rPr>
                <w:lang w:eastAsia="en-AU"/>
              </w:rPr>
              <w:t xml:space="preserve">et capex at end of year </w:t>
            </w:r>
          </w:p>
        </w:tc>
        <w:tc>
          <w:tcPr>
            <w:tcW w:w="1196" w:type="dxa"/>
            <w:hideMark/>
          </w:tcPr>
          <w:p w:rsidR="00F674AC" w:rsidRPr="0093575A" w:rsidRDefault="00F674AC" w:rsidP="005525B4">
            <w:pPr>
              <w:pStyle w:val="AERtabletextleft"/>
              <w:cnfStyle w:val="000000010000" w:firstRow="0" w:lastRow="0" w:firstColumn="0" w:lastColumn="0" w:oddVBand="0" w:evenVBand="0" w:oddHBand="0" w:evenHBand="1" w:firstRowFirstColumn="0" w:firstRowLastColumn="0" w:lastRowFirstColumn="0" w:lastRowLastColumn="0"/>
              <w:rPr>
                <w:lang w:eastAsia="en-AU"/>
              </w:rPr>
            </w:pPr>
            <w:r w:rsidRPr="0093575A">
              <w:rPr>
                <w:lang w:eastAsia="en-AU"/>
              </w:rPr>
              <w:t>78.</w:t>
            </w:r>
            <w:r w:rsidR="005525B4">
              <w:t>3</w:t>
            </w:r>
          </w:p>
        </w:tc>
        <w:tc>
          <w:tcPr>
            <w:tcW w:w="1196" w:type="dxa"/>
            <w:hideMark/>
          </w:tcPr>
          <w:p w:rsidR="00F674AC" w:rsidRPr="0093575A" w:rsidRDefault="00F674AC" w:rsidP="005525B4">
            <w:pPr>
              <w:pStyle w:val="AERtabletextleft"/>
              <w:cnfStyle w:val="000000010000" w:firstRow="0" w:lastRow="0" w:firstColumn="0" w:lastColumn="0" w:oddVBand="0" w:evenVBand="0" w:oddHBand="0" w:evenHBand="1" w:firstRowFirstColumn="0" w:firstRowLastColumn="0" w:lastRowFirstColumn="0" w:lastRowLastColumn="0"/>
              <w:rPr>
                <w:lang w:eastAsia="en-AU"/>
              </w:rPr>
            </w:pPr>
            <w:r w:rsidRPr="0093575A">
              <w:rPr>
                <w:lang w:eastAsia="en-AU"/>
              </w:rPr>
              <w:t>85.</w:t>
            </w:r>
            <w:r w:rsidR="005525B4">
              <w:t>4</w:t>
            </w:r>
          </w:p>
        </w:tc>
        <w:tc>
          <w:tcPr>
            <w:tcW w:w="1197" w:type="dxa"/>
            <w:hideMark/>
          </w:tcPr>
          <w:p w:rsidR="00F674AC" w:rsidRPr="0093575A" w:rsidRDefault="00F674AC" w:rsidP="005525B4">
            <w:pPr>
              <w:pStyle w:val="AERtabletextleft"/>
              <w:cnfStyle w:val="000000010000" w:firstRow="0" w:lastRow="0" w:firstColumn="0" w:lastColumn="0" w:oddVBand="0" w:evenVBand="0" w:oddHBand="0" w:evenHBand="1" w:firstRowFirstColumn="0" w:firstRowLastColumn="0" w:lastRowFirstColumn="0" w:lastRowLastColumn="0"/>
              <w:rPr>
                <w:lang w:eastAsia="en-AU"/>
              </w:rPr>
            </w:pPr>
            <w:r w:rsidRPr="0093575A">
              <w:rPr>
                <w:lang w:eastAsia="en-AU"/>
              </w:rPr>
              <w:t>64.</w:t>
            </w:r>
            <w:r w:rsidR="005525B4">
              <w:t>9</w:t>
            </w:r>
          </w:p>
        </w:tc>
        <w:tc>
          <w:tcPr>
            <w:tcW w:w="1196" w:type="dxa"/>
            <w:hideMark/>
          </w:tcPr>
          <w:p w:rsidR="00F674AC" w:rsidRPr="0093575A" w:rsidRDefault="00F674AC" w:rsidP="005525B4">
            <w:pPr>
              <w:pStyle w:val="AERtabletextleft"/>
              <w:cnfStyle w:val="000000010000" w:firstRow="0" w:lastRow="0" w:firstColumn="0" w:lastColumn="0" w:oddVBand="0" w:evenVBand="0" w:oddHBand="0" w:evenHBand="1" w:firstRowFirstColumn="0" w:firstRowLastColumn="0" w:lastRowFirstColumn="0" w:lastRowLastColumn="0"/>
              <w:rPr>
                <w:lang w:eastAsia="en-AU"/>
              </w:rPr>
            </w:pPr>
            <w:r w:rsidRPr="0093575A">
              <w:rPr>
                <w:lang w:eastAsia="en-AU"/>
              </w:rPr>
              <w:t>90.</w:t>
            </w:r>
            <w:r w:rsidR="005525B4">
              <w:t>5</w:t>
            </w:r>
          </w:p>
        </w:tc>
        <w:tc>
          <w:tcPr>
            <w:tcW w:w="1197" w:type="dxa"/>
            <w:hideMark/>
          </w:tcPr>
          <w:p w:rsidR="00F674AC" w:rsidRPr="0093575A" w:rsidRDefault="00F674AC" w:rsidP="005525B4">
            <w:pPr>
              <w:pStyle w:val="AERtabletextleft"/>
              <w:cnfStyle w:val="000000010000" w:firstRow="0" w:lastRow="0" w:firstColumn="0" w:lastColumn="0" w:oddVBand="0" w:evenVBand="0" w:oddHBand="0" w:evenHBand="1" w:firstRowFirstColumn="0" w:firstRowLastColumn="0" w:lastRowFirstColumn="0" w:lastRowLastColumn="0"/>
              <w:rPr>
                <w:lang w:eastAsia="en-AU"/>
              </w:rPr>
            </w:pPr>
            <w:r w:rsidRPr="0093575A">
              <w:rPr>
                <w:lang w:eastAsia="en-AU"/>
              </w:rPr>
              <w:t>121.2</w:t>
            </w:r>
          </w:p>
        </w:tc>
      </w:tr>
      <w:tr w:rsidR="00F674AC" w:rsidRPr="0093575A" w:rsidTr="009903BE">
        <w:trPr>
          <w:trHeight w:val="428"/>
        </w:trPr>
        <w:tc>
          <w:tcPr>
            <w:cnfStyle w:val="001000000000" w:firstRow="0" w:lastRow="0" w:firstColumn="1" w:lastColumn="0" w:oddVBand="0" w:evenVBand="0" w:oddHBand="0" w:evenHBand="0" w:firstRowFirstColumn="0" w:firstRowLastColumn="0" w:lastRowFirstColumn="0" w:lastRowLastColumn="0"/>
            <w:tcW w:w="3340" w:type="dxa"/>
            <w:hideMark/>
          </w:tcPr>
          <w:p w:rsidR="00F674AC" w:rsidRPr="0093575A" w:rsidRDefault="00F674AC" w:rsidP="009903BE">
            <w:pPr>
              <w:pStyle w:val="AERtabletextleft"/>
              <w:rPr>
                <w:lang w:eastAsia="en-AU"/>
              </w:rPr>
            </w:pPr>
            <w:r>
              <w:t>D</w:t>
            </w:r>
            <w:r>
              <w:rPr>
                <w:lang w:eastAsia="en-AU"/>
              </w:rPr>
              <w:t xml:space="preserve">epreciation </w:t>
            </w:r>
          </w:p>
        </w:tc>
        <w:tc>
          <w:tcPr>
            <w:tcW w:w="1196" w:type="dxa"/>
            <w:hideMark/>
          </w:tcPr>
          <w:p w:rsidR="00F674AC" w:rsidRPr="0093575A" w:rsidRDefault="00212BB6" w:rsidP="005525B4">
            <w:pPr>
              <w:pStyle w:val="AERtabletextleft"/>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r w:rsidR="00F674AC" w:rsidRPr="0093575A">
              <w:rPr>
                <w:lang w:eastAsia="en-AU"/>
              </w:rPr>
              <w:t>74.</w:t>
            </w:r>
            <w:r w:rsidR="005525B4">
              <w:t>1</w:t>
            </w:r>
          </w:p>
        </w:tc>
        <w:tc>
          <w:tcPr>
            <w:tcW w:w="1196" w:type="dxa"/>
            <w:hideMark/>
          </w:tcPr>
          <w:p w:rsidR="00F674AC" w:rsidRPr="0093575A" w:rsidRDefault="00212BB6" w:rsidP="005525B4">
            <w:pPr>
              <w:pStyle w:val="AERtabletextleft"/>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r w:rsidR="00F674AC" w:rsidRPr="0093575A">
              <w:rPr>
                <w:lang w:eastAsia="en-AU"/>
              </w:rPr>
              <w:t>92.</w:t>
            </w:r>
            <w:r w:rsidR="005525B4">
              <w:t>4</w:t>
            </w:r>
          </w:p>
        </w:tc>
        <w:tc>
          <w:tcPr>
            <w:tcW w:w="1197" w:type="dxa"/>
            <w:hideMark/>
          </w:tcPr>
          <w:p w:rsidR="00F674AC" w:rsidRPr="0093575A" w:rsidRDefault="00212BB6" w:rsidP="005525B4">
            <w:pPr>
              <w:pStyle w:val="AERtabletextleft"/>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r w:rsidR="00F674AC" w:rsidRPr="0093575A">
              <w:rPr>
                <w:lang w:eastAsia="en-AU"/>
              </w:rPr>
              <w:t>101.4</w:t>
            </w:r>
          </w:p>
        </w:tc>
        <w:tc>
          <w:tcPr>
            <w:tcW w:w="1196" w:type="dxa"/>
            <w:hideMark/>
          </w:tcPr>
          <w:p w:rsidR="00F674AC" w:rsidRPr="0093575A" w:rsidRDefault="00212BB6" w:rsidP="005525B4">
            <w:pPr>
              <w:pStyle w:val="AERtabletextleft"/>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r w:rsidR="00F674AC" w:rsidRPr="0093575A">
              <w:rPr>
                <w:lang w:eastAsia="en-AU"/>
              </w:rPr>
              <w:t>112.7</w:t>
            </w:r>
          </w:p>
        </w:tc>
        <w:tc>
          <w:tcPr>
            <w:tcW w:w="1197" w:type="dxa"/>
            <w:hideMark/>
          </w:tcPr>
          <w:p w:rsidR="00F674AC" w:rsidRPr="0093575A" w:rsidRDefault="00212BB6" w:rsidP="005525B4">
            <w:pPr>
              <w:pStyle w:val="AERtabletextleft"/>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r w:rsidR="00F674AC" w:rsidRPr="0093575A">
              <w:rPr>
                <w:lang w:eastAsia="en-AU"/>
              </w:rPr>
              <w:t>125.6</w:t>
            </w:r>
          </w:p>
        </w:tc>
      </w:tr>
      <w:tr w:rsidR="00752DAF" w:rsidRPr="0093575A" w:rsidTr="00752DAF">
        <w:trPr>
          <w:cnfStyle w:val="000000010000" w:firstRow="0" w:lastRow="0" w:firstColumn="0" w:lastColumn="0" w:oddVBand="0" w:evenVBand="0" w:oddHBand="0" w:evenHBand="1"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3340" w:type="dxa"/>
            <w:hideMark/>
          </w:tcPr>
          <w:p w:rsidR="00752DAF" w:rsidRPr="00752DAF" w:rsidRDefault="00752DAF" w:rsidP="00752DAF">
            <w:pPr>
              <w:pStyle w:val="AERtabletextleft"/>
            </w:pPr>
            <w:r w:rsidRPr="00752DAF">
              <w:t>Closing capital base</w:t>
            </w:r>
          </w:p>
        </w:tc>
        <w:tc>
          <w:tcPr>
            <w:tcW w:w="1196" w:type="dxa"/>
            <w:hideMark/>
          </w:tcPr>
          <w:p w:rsidR="00752DAF" w:rsidRPr="00752DAF" w:rsidRDefault="00752DAF" w:rsidP="00752DAF">
            <w:pPr>
              <w:pStyle w:val="AERtabletextleft"/>
              <w:cnfStyle w:val="000000010000" w:firstRow="0" w:lastRow="0" w:firstColumn="0" w:lastColumn="0" w:oddVBand="0" w:evenVBand="0" w:oddHBand="0" w:evenHBand="1" w:firstRowFirstColumn="0" w:firstRowLastColumn="0" w:lastRowFirstColumn="0" w:lastRowLastColumn="0"/>
            </w:pPr>
            <w:r w:rsidRPr="00752DAF">
              <w:t>2456.6</w:t>
            </w:r>
          </w:p>
        </w:tc>
        <w:tc>
          <w:tcPr>
            <w:tcW w:w="1196" w:type="dxa"/>
            <w:hideMark/>
          </w:tcPr>
          <w:p w:rsidR="00752DAF" w:rsidRPr="00752DAF" w:rsidRDefault="00752DAF" w:rsidP="00752DAF">
            <w:pPr>
              <w:pStyle w:val="AERtabletextleft"/>
              <w:cnfStyle w:val="000000010000" w:firstRow="0" w:lastRow="0" w:firstColumn="0" w:lastColumn="0" w:oddVBand="0" w:evenVBand="0" w:oddHBand="0" w:evenHBand="1" w:firstRowFirstColumn="0" w:firstRowLastColumn="0" w:lastRowFirstColumn="0" w:lastRowLastColumn="0"/>
            </w:pPr>
            <w:r w:rsidRPr="00752DAF">
              <w:t>2611.2</w:t>
            </w:r>
          </w:p>
        </w:tc>
        <w:tc>
          <w:tcPr>
            <w:tcW w:w="1197" w:type="dxa"/>
            <w:hideMark/>
          </w:tcPr>
          <w:p w:rsidR="00752DAF" w:rsidRPr="00752DAF" w:rsidRDefault="00752DAF" w:rsidP="00752DAF">
            <w:pPr>
              <w:pStyle w:val="AERtabletextleft"/>
              <w:cnfStyle w:val="000000010000" w:firstRow="0" w:lastRow="0" w:firstColumn="0" w:lastColumn="0" w:oddVBand="0" w:evenVBand="0" w:oddHBand="0" w:evenHBand="1" w:firstRowFirstColumn="0" w:firstRowLastColumn="0" w:lastRowFirstColumn="0" w:lastRowLastColumn="0"/>
            </w:pPr>
            <w:r w:rsidRPr="00752DAF">
              <w:t>2697.1</w:t>
            </w:r>
          </w:p>
        </w:tc>
        <w:tc>
          <w:tcPr>
            <w:tcW w:w="1196" w:type="dxa"/>
            <w:hideMark/>
          </w:tcPr>
          <w:p w:rsidR="00752DAF" w:rsidRPr="00752DAF" w:rsidRDefault="00752DAF" w:rsidP="00752DAF">
            <w:pPr>
              <w:pStyle w:val="AERtabletextleft"/>
              <w:cnfStyle w:val="000000010000" w:firstRow="0" w:lastRow="0" w:firstColumn="0" w:lastColumn="0" w:oddVBand="0" w:evenVBand="0" w:oddHBand="0" w:evenHBand="1" w:firstRowFirstColumn="0" w:firstRowLastColumn="0" w:lastRowFirstColumn="0" w:lastRowLastColumn="0"/>
            </w:pPr>
            <w:r w:rsidRPr="00752DAF">
              <w:t>2839.3</w:t>
            </w:r>
          </w:p>
        </w:tc>
        <w:tc>
          <w:tcPr>
            <w:tcW w:w="1197" w:type="dxa"/>
            <w:hideMark/>
          </w:tcPr>
          <w:p w:rsidR="00752DAF" w:rsidRPr="00752DAF" w:rsidRDefault="0075425F" w:rsidP="00752DAF">
            <w:pPr>
              <w:pStyle w:val="AERtabletextleft"/>
              <w:cnfStyle w:val="000000010000" w:firstRow="0" w:lastRow="0" w:firstColumn="0" w:lastColumn="0" w:oddVBand="0" w:evenVBand="0" w:oddHBand="0" w:evenHBand="1" w:firstRowFirstColumn="0" w:firstRowLastColumn="0" w:lastRowFirstColumn="0" w:lastRowLastColumn="0"/>
            </w:pPr>
            <w:r>
              <w:t>3041.3</w:t>
            </w:r>
          </w:p>
        </w:tc>
      </w:tr>
      <w:tr w:rsidR="00752DAF" w:rsidRPr="0093575A" w:rsidTr="00752DAF">
        <w:trPr>
          <w:trHeight w:val="428"/>
        </w:trPr>
        <w:tc>
          <w:tcPr>
            <w:cnfStyle w:val="001000000000" w:firstRow="0" w:lastRow="0" w:firstColumn="1" w:lastColumn="0" w:oddVBand="0" w:evenVBand="0" w:oddHBand="0" w:evenHBand="0" w:firstRowFirstColumn="0" w:firstRowLastColumn="0" w:lastRowFirstColumn="0" w:lastRowLastColumn="0"/>
            <w:tcW w:w="3340" w:type="dxa"/>
            <w:hideMark/>
          </w:tcPr>
          <w:p w:rsidR="00752DAF" w:rsidRPr="00752DAF" w:rsidRDefault="00752DAF" w:rsidP="00752DAF">
            <w:pPr>
              <w:pStyle w:val="AERtabletextleft"/>
            </w:pPr>
            <w:r w:rsidRPr="00752DAF">
              <w:t>Adjustment for 2009-10 capex</w:t>
            </w:r>
          </w:p>
        </w:tc>
        <w:tc>
          <w:tcPr>
            <w:tcW w:w="1196" w:type="dxa"/>
            <w:hideMark/>
          </w:tcPr>
          <w:p w:rsidR="00752DAF" w:rsidRPr="00752DAF" w:rsidRDefault="00752DAF" w:rsidP="00752DAF">
            <w:pPr>
              <w:pStyle w:val="AERtabletextleft"/>
              <w:cnfStyle w:val="000000000000" w:firstRow="0" w:lastRow="0" w:firstColumn="0" w:lastColumn="0" w:oddVBand="0" w:evenVBand="0" w:oddHBand="0" w:evenHBand="0" w:firstRowFirstColumn="0" w:firstRowLastColumn="0" w:lastRowFirstColumn="0" w:lastRowLastColumn="0"/>
            </w:pPr>
          </w:p>
        </w:tc>
        <w:tc>
          <w:tcPr>
            <w:tcW w:w="1196" w:type="dxa"/>
            <w:hideMark/>
          </w:tcPr>
          <w:p w:rsidR="00752DAF" w:rsidRPr="00752DAF" w:rsidRDefault="00752DAF" w:rsidP="00752DAF">
            <w:pPr>
              <w:pStyle w:val="AERtabletextleft"/>
              <w:cnfStyle w:val="000000000000" w:firstRow="0" w:lastRow="0" w:firstColumn="0" w:lastColumn="0" w:oddVBand="0" w:evenVBand="0" w:oddHBand="0" w:evenHBand="0" w:firstRowFirstColumn="0" w:firstRowLastColumn="0" w:lastRowFirstColumn="0" w:lastRowLastColumn="0"/>
            </w:pPr>
          </w:p>
        </w:tc>
        <w:tc>
          <w:tcPr>
            <w:tcW w:w="1197" w:type="dxa"/>
            <w:hideMark/>
          </w:tcPr>
          <w:p w:rsidR="00752DAF" w:rsidRPr="00752DAF" w:rsidRDefault="00752DAF" w:rsidP="00752DAF">
            <w:pPr>
              <w:pStyle w:val="AERtabletextleft"/>
              <w:cnfStyle w:val="000000000000" w:firstRow="0" w:lastRow="0" w:firstColumn="0" w:lastColumn="0" w:oddVBand="0" w:evenVBand="0" w:oddHBand="0" w:evenHBand="0" w:firstRowFirstColumn="0" w:firstRowLastColumn="0" w:lastRowFirstColumn="0" w:lastRowLastColumn="0"/>
            </w:pPr>
          </w:p>
        </w:tc>
        <w:tc>
          <w:tcPr>
            <w:tcW w:w="1196" w:type="dxa"/>
            <w:hideMark/>
          </w:tcPr>
          <w:p w:rsidR="00752DAF" w:rsidRPr="00752DAF" w:rsidRDefault="00752DAF" w:rsidP="00752DAF">
            <w:pPr>
              <w:pStyle w:val="AERtabletextleft"/>
              <w:cnfStyle w:val="000000000000" w:firstRow="0" w:lastRow="0" w:firstColumn="0" w:lastColumn="0" w:oddVBand="0" w:evenVBand="0" w:oddHBand="0" w:evenHBand="0" w:firstRowFirstColumn="0" w:firstRowLastColumn="0" w:lastRowFirstColumn="0" w:lastRowLastColumn="0"/>
            </w:pPr>
          </w:p>
        </w:tc>
        <w:tc>
          <w:tcPr>
            <w:tcW w:w="1197" w:type="dxa"/>
            <w:hideMark/>
          </w:tcPr>
          <w:p w:rsidR="00752DAF" w:rsidRPr="00752DAF" w:rsidRDefault="00752DAF" w:rsidP="00752DAF">
            <w:pPr>
              <w:pStyle w:val="AERtabletextleft"/>
              <w:cnfStyle w:val="000000000000" w:firstRow="0" w:lastRow="0" w:firstColumn="0" w:lastColumn="0" w:oddVBand="0" w:evenVBand="0" w:oddHBand="0" w:evenHBand="0" w:firstRowFirstColumn="0" w:firstRowLastColumn="0" w:lastRowFirstColumn="0" w:lastRowLastColumn="0"/>
            </w:pPr>
            <w:r w:rsidRPr="00752DAF">
              <w:t>4.5</w:t>
            </w:r>
          </w:p>
        </w:tc>
      </w:tr>
      <w:tr w:rsidR="00752DAF" w:rsidRPr="0075425F" w:rsidTr="009903BE">
        <w:trPr>
          <w:cnfStyle w:val="000000010000" w:firstRow="0" w:lastRow="0" w:firstColumn="0" w:lastColumn="0" w:oddVBand="0" w:evenVBand="0" w:oddHBand="0" w:evenHBand="1"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3340" w:type="dxa"/>
          </w:tcPr>
          <w:p w:rsidR="00752DAF" w:rsidRPr="0075425F" w:rsidRDefault="00752DAF" w:rsidP="009903BE">
            <w:pPr>
              <w:pStyle w:val="AERtabletextleft"/>
              <w:rPr>
                <w:rStyle w:val="AERtextbold"/>
              </w:rPr>
            </w:pPr>
            <w:r w:rsidRPr="0075425F">
              <w:rPr>
                <w:rStyle w:val="AERtextbold"/>
              </w:rPr>
              <w:t>Opening capital base at 1 July 2015</w:t>
            </w:r>
          </w:p>
        </w:tc>
        <w:tc>
          <w:tcPr>
            <w:tcW w:w="1196" w:type="dxa"/>
          </w:tcPr>
          <w:p w:rsidR="00752DAF" w:rsidRPr="0075425F" w:rsidRDefault="00752DAF" w:rsidP="009903BE">
            <w:pPr>
              <w:pStyle w:val="AERtabletextleft"/>
              <w:cnfStyle w:val="000000010000" w:firstRow="0" w:lastRow="0" w:firstColumn="0" w:lastColumn="0" w:oddVBand="0" w:evenVBand="0" w:oddHBand="0" w:evenHBand="1" w:firstRowFirstColumn="0" w:firstRowLastColumn="0" w:lastRowFirstColumn="0" w:lastRowLastColumn="0"/>
              <w:rPr>
                <w:rStyle w:val="AERtextbold"/>
              </w:rPr>
            </w:pPr>
          </w:p>
        </w:tc>
        <w:tc>
          <w:tcPr>
            <w:tcW w:w="1196" w:type="dxa"/>
          </w:tcPr>
          <w:p w:rsidR="00752DAF" w:rsidRPr="0075425F" w:rsidRDefault="00752DAF" w:rsidP="009903BE">
            <w:pPr>
              <w:pStyle w:val="AERtabletextleft"/>
              <w:cnfStyle w:val="000000010000" w:firstRow="0" w:lastRow="0" w:firstColumn="0" w:lastColumn="0" w:oddVBand="0" w:evenVBand="0" w:oddHBand="0" w:evenHBand="1" w:firstRowFirstColumn="0" w:firstRowLastColumn="0" w:lastRowFirstColumn="0" w:lastRowLastColumn="0"/>
              <w:rPr>
                <w:rStyle w:val="AERtextbold"/>
              </w:rPr>
            </w:pPr>
          </w:p>
        </w:tc>
        <w:tc>
          <w:tcPr>
            <w:tcW w:w="1197" w:type="dxa"/>
          </w:tcPr>
          <w:p w:rsidR="00752DAF" w:rsidRPr="0075425F" w:rsidRDefault="00752DAF" w:rsidP="009903BE">
            <w:pPr>
              <w:pStyle w:val="AERtabletextleft"/>
              <w:cnfStyle w:val="000000010000" w:firstRow="0" w:lastRow="0" w:firstColumn="0" w:lastColumn="0" w:oddVBand="0" w:evenVBand="0" w:oddHBand="0" w:evenHBand="1" w:firstRowFirstColumn="0" w:firstRowLastColumn="0" w:lastRowFirstColumn="0" w:lastRowLastColumn="0"/>
              <w:rPr>
                <w:rStyle w:val="AERtextbold"/>
              </w:rPr>
            </w:pPr>
          </w:p>
        </w:tc>
        <w:tc>
          <w:tcPr>
            <w:tcW w:w="1196" w:type="dxa"/>
          </w:tcPr>
          <w:p w:rsidR="00752DAF" w:rsidRPr="0075425F" w:rsidRDefault="00752DAF" w:rsidP="009903BE">
            <w:pPr>
              <w:pStyle w:val="AERtabletextleft"/>
              <w:cnfStyle w:val="000000010000" w:firstRow="0" w:lastRow="0" w:firstColumn="0" w:lastColumn="0" w:oddVBand="0" w:evenVBand="0" w:oddHBand="0" w:evenHBand="1" w:firstRowFirstColumn="0" w:firstRowLastColumn="0" w:lastRowFirstColumn="0" w:lastRowLastColumn="0"/>
              <w:rPr>
                <w:rStyle w:val="AERtextbold"/>
              </w:rPr>
            </w:pPr>
          </w:p>
        </w:tc>
        <w:tc>
          <w:tcPr>
            <w:tcW w:w="1197" w:type="dxa"/>
          </w:tcPr>
          <w:p w:rsidR="00752DAF" w:rsidRPr="0075425F" w:rsidRDefault="00752DAF" w:rsidP="005525B4">
            <w:pPr>
              <w:pStyle w:val="AERtabletextleft"/>
              <w:cnfStyle w:val="000000010000" w:firstRow="0" w:lastRow="0" w:firstColumn="0" w:lastColumn="0" w:oddVBand="0" w:evenVBand="0" w:oddHBand="0" w:evenHBand="1" w:firstRowFirstColumn="0" w:firstRowLastColumn="0" w:lastRowFirstColumn="0" w:lastRowLastColumn="0"/>
              <w:rPr>
                <w:rStyle w:val="AERtextbold"/>
              </w:rPr>
            </w:pPr>
            <w:r w:rsidRPr="0075425F">
              <w:rPr>
                <w:rStyle w:val="AERtextbold"/>
              </w:rPr>
              <w:t>3045.8</w:t>
            </w:r>
          </w:p>
        </w:tc>
      </w:tr>
    </w:tbl>
    <w:p w:rsidR="00F674AC" w:rsidRPr="00F73C2D" w:rsidRDefault="00F674AC" w:rsidP="00F674AC">
      <w:pPr>
        <w:pStyle w:val="AERtablesource"/>
        <w:rPr>
          <w:rFonts w:eastAsia="Calibri"/>
        </w:rPr>
      </w:pPr>
      <w:r>
        <w:rPr>
          <w:rFonts w:eastAsia="Calibri"/>
        </w:rPr>
        <w:t xml:space="preserve">Source: </w:t>
      </w:r>
      <w:r>
        <w:rPr>
          <w:rFonts w:eastAsia="Calibri"/>
        </w:rPr>
        <w:tab/>
        <w:t>JGN</w:t>
      </w:r>
      <w:r w:rsidRPr="00F73C2D">
        <w:rPr>
          <w:rFonts w:eastAsia="Calibri"/>
        </w:rPr>
        <w:t xml:space="preserve">, </w:t>
      </w:r>
      <w:r w:rsidR="00C962E2" w:rsidRPr="00C962E2">
        <w:rPr>
          <w:rStyle w:val="AERtextitalic"/>
          <w:rFonts w:eastAsia="Calibri"/>
        </w:rPr>
        <w:t>2015–20</w:t>
      </w:r>
      <w:r w:rsidR="00C962E2">
        <w:rPr>
          <w:rFonts w:eastAsia="Calibri"/>
        </w:rPr>
        <w:t xml:space="preserve"> </w:t>
      </w:r>
      <w:r w:rsidRPr="00F73C2D">
        <w:rPr>
          <w:rStyle w:val="AERtextitalic"/>
          <w:rFonts w:eastAsia="Calibri"/>
        </w:rPr>
        <w:t>Access arrangement information</w:t>
      </w:r>
      <w:r>
        <w:rPr>
          <w:rFonts w:eastAsia="Calibri"/>
        </w:rPr>
        <w:t>, June</w:t>
      </w:r>
      <w:r w:rsidRPr="00F73C2D">
        <w:rPr>
          <w:rFonts w:eastAsia="Calibri"/>
        </w:rPr>
        <w:t xml:space="preserve"> 201</w:t>
      </w:r>
      <w:r>
        <w:rPr>
          <w:rFonts w:eastAsia="Calibri"/>
        </w:rPr>
        <w:t>4</w:t>
      </w:r>
      <w:r w:rsidRPr="00F73C2D">
        <w:rPr>
          <w:rFonts w:eastAsia="Calibri"/>
        </w:rPr>
        <w:t xml:space="preserve">, </w:t>
      </w:r>
      <w:r>
        <w:rPr>
          <w:rFonts w:eastAsia="Calibri"/>
        </w:rPr>
        <w:t xml:space="preserve">table 8–4, </w:t>
      </w:r>
      <w:r w:rsidRPr="00F73C2D">
        <w:rPr>
          <w:rFonts w:eastAsia="Calibri"/>
        </w:rPr>
        <w:t xml:space="preserve">p. </w:t>
      </w:r>
      <w:r>
        <w:rPr>
          <w:rFonts w:eastAsia="Calibri"/>
        </w:rPr>
        <w:t>84</w:t>
      </w:r>
      <w:r w:rsidRPr="00F73C2D">
        <w:rPr>
          <w:rFonts w:eastAsia="Calibri"/>
        </w:rPr>
        <w:t>.</w:t>
      </w:r>
    </w:p>
    <w:p w:rsidR="00F674AC" w:rsidRPr="00F73C2D" w:rsidRDefault="00F674AC" w:rsidP="00F674AC">
      <w:pPr>
        <w:pStyle w:val="Heading3"/>
        <w:numPr>
          <w:ilvl w:val="3"/>
          <w:numId w:val="8"/>
        </w:numPr>
      </w:pPr>
      <w:bookmarkStart w:id="24" w:name="_Toc404157797"/>
      <w:bookmarkStart w:id="25" w:name="_Toc404158160"/>
      <w:bookmarkStart w:id="26" w:name="_Toc404256799"/>
      <w:r w:rsidRPr="00302937">
        <w:t>Capital expenditure in the 20</w:t>
      </w:r>
      <w:r>
        <w:t>10</w:t>
      </w:r>
      <w:r w:rsidRPr="00302937">
        <w:t>–1</w:t>
      </w:r>
      <w:r>
        <w:t>5</w:t>
      </w:r>
      <w:r w:rsidRPr="00302937">
        <w:t xml:space="preserve"> access arrangement period</w:t>
      </w:r>
      <w:bookmarkEnd w:id="24"/>
      <w:bookmarkEnd w:id="25"/>
      <w:bookmarkEnd w:id="26"/>
    </w:p>
    <w:p w:rsidR="00F674AC" w:rsidRDefault="00F674AC" w:rsidP="00F674AC">
      <w:pPr>
        <w:pStyle w:val="AERbodytext"/>
      </w:pPr>
      <w:r>
        <w:rPr>
          <w:rStyle w:val="AERbody"/>
        </w:rPr>
        <w:t>JGN</w:t>
      </w:r>
      <w:r w:rsidRPr="00582B68">
        <w:rPr>
          <w:rStyle w:val="AERbody"/>
        </w:rPr>
        <w:t xml:space="preserve"> submitted that the net capex incurred in the 2010–15 access arrangement period is estimated to be $868.4 million</w:t>
      </w:r>
      <w:r w:rsidRPr="00F73C2D">
        <w:t xml:space="preserve"> ($</w:t>
      </w:r>
      <w:r>
        <w:t>nominal</w:t>
      </w:r>
      <w:r w:rsidRPr="00F73C2D">
        <w:t>)</w:t>
      </w:r>
      <w:r>
        <w:t>.</w:t>
      </w:r>
      <w:r w:rsidRPr="00F73C2D">
        <w:rPr>
          <w:rStyle w:val="FootnoteReference"/>
        </w:rPr>
        <w:footnoteReference w:id="8"/>
      </w:r>
      <w:r w:rsidRPr="00F73C2D">
        <w:t xml:space="preserve"> </w:t>
      </w:r>
      <w:r>
        <w:t xml:space="preserve">This is calculated by subtracting capital contributions and asset disposals from gross capex. </w:t>
      </w:r>
      <w:r w:rsidRPr="00E61C04">
        <w:t>J</w:t>
      </w:r>
      <w:r>
        <w:t>GN</w:t>
      </w:r>
      <w:r w:rsidRPr="00E61C04">
        <w:t xml:space="preserve"> has not included any conforming assets from a speculative </w:t>
      </w:r>
      <w:r w:rsidRPr="00E61C04">
        <w:lastRenderedPageBreak/>
        <w:t>investment account in rolling forwa</w:t>
      </w:r>
      <w:r>
        <w:t>rd the capital base to 2014–15. It has not</w:t>
      </w:r>
      <w:r w:rsidRPr="00E61C04">
        <w:t xml:space="preserve"> classified any assets as redundant assets, or re-used any assets previously classified as redundant.</w:t>
      </w:r>
      <w:r w:rsidRPr="00E61C04">
        <w:rPr>
          <w:rStyle w:val="FootnoteReference"/>
        </w:rPr>
        <w:footnoteReference w:id="9"/>
      </w:r>
    </w:p>
    <w:p w:rsidR="00F674AC" w:rsidRPr="0008623E" w:rsidRDefault="00F674AC" w:rsidP="00F674AC">
      <w:pPr>
        <w:pStyle w:val="AERbodytext"/>
      </w:pPr>
      <w:r w:rsidRPr="00B942E6">
        <w:rPr>
          <w:rFonts w:eastAsia="Calibri"/>
        </w:rPr>
        <w:t>J</w:t>
      </w:r>
      <w:r>
        <w:rPr>
          <w:rFonts w:eastAsia="Calibri"/>
        </w:rPr>
        <w:t>GN's</w:t>
      </w:r>
      <w:r w:rsidRPr="00B942E6">
        <w:rPr>
          <w:rFonts w:eastAsia="Calibri"/>
        </w:rPr>
        <w:t xml:space="preserve"> </w:t>
      </w:r>
      <w:r>
        <w:rPr>
          <w:rFonts w:eastAsia="Calibri"/>
        </w:rPr>
        <w:t xml:space="preserve">proposed </w:t>
      </w:r>
      <w:proofErr w:type="spellStart"/>
      <w:r w:rsidRPr="00B942E6">
        <w:rPr>
          <w:rFonts w:eastAsia="Calibri"/>
        </w:rPr>
        <w:t>capex</w:t>
      </w:r>
      <w:proofErr w:type="spellEnd"/>
      <w:r w:rsidRPr="00B942E6">
        <w:rPr>
          <w:rFonts w:eastAsia="Calibri"/>
        </w:rPr>
        <w:t xml:space="preserve"> amounts </w:t>
      </w:r>
      <w:r>
        <w:rPr>
          <w:rFonts w:eastAsia="Calibri"/>
        </w:rPr>
        <w:t xml:space="preserve">by asset class are </w:t>
      </w:r>
      <w:r w:rsidRPr="00B942E6">
        <w:rPr>
          <w:rFonts w:eastAsia="Calibri"/>
        </w:rPr>
        <w:t>set out in</w:t>
      </w:r>
      <w:r>
        <w:t xml:space="preserve"> </w:t>
      </w:r>
      <w:r>
        <w:fldChar w:fldCharType="begin"/>
      </w:r>
      <w:r>
        <w:instrText xml:space="preserve"> REF  _Ref398219351 \* Lower \h </w:instrText>
      </w:r>
      <w:r>
        <w:fldChar w:fldCharType="separate"/>
      </w:r>
      <w:r w:rsidR="00752809">
        <w:t xml:space="preserve">table </w:t>
      </w:r>
      <w:r w:rsidR="00752809">
        <w:rPr>
          <w:noProof/>
        </w:rPr>
        <w:t>2</w:t>
      </w:r>
      <w:r w:rsidR="00752809">
        <w:noBreakHyphen/>
      </w:r>
      <w:r w:rsidR="00752809">
        <w:rPr>
          <w:noProof/>
        </w:rPr>
        <w:t>4</w:t>
      </w:r>
      <w:r>
        <w:fldChar w:fldCharType="end"/>
      </w:r>
      <w:r w:rsidRPr="00B942E6">
        <w:rPr>
          <w:rFonts w:eastAsia="Calibri"/>
        </w:rPr>
        <w:t xml:space="preserve">. The </w:t>
      </w:r>
      <w:r>
        <w:rPr>
          <w:rFonts w:eastAsia="Calibri"/>
        </w:rPr>
        <w:t xml:space="preserve">proposed conforming </w:t>
      </w:r>
      <w:r w:rsidRPr="00B942E6">
        <w:rPr>
          <w:rFonts w:eastAsia="Calibri"/>
        </w:rPr>
        <w:t xml:space="preserve">capex </w:t>
      </w:r>
      <w:r>
        <w:rPr>
          <w:rFonts w:eastAsia="Calibri"/>
        </w:rPr>
        <w:t xml:space="preserve">for inclusion in the capital base </w:t>
      </w:r>
      <w:r w:rsidRPr="00B942E6">
        <w:rPr>
          <w:rFonts w:eastAsia="Calibri"/>
        </w:rPr>
        <w:t xml:space="preserve">is discussed in more detail in </w:t>
      </w:r>
      <w:r>
        <w:rPr>
          <w:rFonts w:eastAsia="Calibri"/>
        </w:rPr>
        <w:t xml:space="preserve">capex </w:t>
      </w:r>
      <w:r w:rsidRPr="00785ED3">
        <w:rPr>
          <w:rStyle w:val="AERbody"/>
          <w:rFonts w:eastAsia="Calibri"/>
        </w:rPr>
        <w:t>attachment 6.</w:t>
      </w:r>
    </w:p>
    <w:p w:rsidR="00F674AC" w:rsidRDefault="00F674AC" w:rsidP="00F674AC">
      <w:pPr>
        <w:pStyle w:val="Caption"/>
      </w:pPr>
      <w:bookmarkStart w:id="27" w:name="_Ref398219351"/>
      <w:bookmarkStart w:id="28" w:name="_Ref329097774"/>
      <w:r>
        <w:t xml:space="preserve">Table </w:t>
      </w:r>
      <w:fldSimple w:instr=" STYLEREF 1 \s ">
        <w:r w:rsidR="00752809">
          <w:rPr>
            <w:noProof/>
          </w:rPr>
          <w:t>2</w:t>
        </w:r>
      </w:fldSimple>
      <w:r>
        <w:noBreakHyphen/>
      </w:r>
      <w:fldSimple w:instr=" SEQ Table \* ARABIC \s 1 ">
        <w:r w:rsidR="00752809">
          <w:rPr>
            <w:noProof/>
          </w:rPr>
          <w:t>4</w:t>
        </w:r>
      </w:fldSimple>
      <w:bookmarkEnd w:id="27"/>
      <w:r>
        <w:tab/>
        <w:t>JGN</w:t>
      </w:r>
      <w:r w:rsidRPr="00302937">
        <w:t>'s proposed conforming capital expenditure for 20</w:t>
      </w:r>
      <w:r>
        <w:t>09–10</w:t>
      </w:r>
      <w:r w:rsidRPr="00302937">
        <w:t xml:space="preserve"> and the 20</w:t>
      </w:r>
      <w:r>
        <w:t>10</w:t>
      </w:r>
      <w:r w:rsidRPr="00302937">
        <w:t>–1</w:t>
      </w:r>
      <w:r>
        <w:t>5</w:t>
      </w:r>
      <w:r w:rsidRPr="00302937">
        <w:t xml:space="preserve"> access arrangement period ($million</w:t>
      </w:r>
      <w:r>
        <w:t>, nominal</w:t>
      </w:r>
      <w:r w:rsidRPr="00302937">
        <w:t>)</w:t>
      </w:r>
      <w:bookmarkEnd w:id="28"/>
    </w:p>
    <w:tbl>
      <w:tblPr>
        <w:tblStyle w:val="AERtable-numbers"/>
        <w:tblW w:w="9242" w:type="dxa"/>
        <w:tblLayout w:type="fixed"/>
        <w:tblLook w:val="04A0" w:firstRow="1" w:lastRow="0" w:firstColumn="1" w:lastColumn="0" w:noHBand="0" w:noVBand="1"/>
      </w:tblPr>
      <w:tblGrid>
        <w:gridCol w:w="3490"/>
        <w:gridCol w:w="958"/>
        <w:gridCol w:w="959"/>
        <w:gridCol w:w="959"/>
        <w:gridCol w:w="958"/>
        <w:gridCol w:w="959"/>
        <w:gridCol w:w="959"/>
      </w:tblGrid>
      <w:tr w:rsidR="00F674AC" w:rsidRPr="005F44F8" w:rsidTr="00F4294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3490" w:type="dxa"/>
            <w:noWrap/>
            <w:hideMark/>
          </w:tcPr>
          <w:p w:rsidR="00F674AC" w:rsidRPr="005F44F8" w:rsidRDefault="00F674AC" w:rsidP="009903BE">
            <w:pPr>
              <w:pStyle w:val="AERtabletextleft"/>
              <w:rPr>
                <w:lang w:eastAsia="en-AU"/>
              </w:rPr>
            </w:pPr>
          </w:p>
        </w:tc>
        <w:tc>
          <w:tcPr>
            <w:tcW w:w="958" w:type="dxa"/>
            <w:noWrap/>
            <w:hideMark/>
          </w:tcPr>
          <w:p w:rsidR="00F674AC" w:rsidRPr="005F44F8" w:rsidRDefault="00F674AC" w:rsidP="009903BE">
            <w:pPr>
              <w:pStyle w:val="AERtabletextleft"/>
              <w:cnfStyle w:val="100000000000" w:firstRow="1" w:lastRow="0" w:firstColumn="0" w:lastColumn="0" w:oddVBand="0" w:evenVBand="0" w:oddHBand="0" w:evenHBand="0" w:firstRowFirstColumn="0" w:firstRowLastColumn="0" w:lastRowFirstColumn="0" w:lastRowLastColumn="0"/>
              <w:rPr>
                <w:lang w:eastAsia="en-AU"/>
              </w:rPr>
            </w:pPr>
            <w:r w:rsidRPr="005F44F8">
              <w:rPr>
                <w:lang w:eastAsia="en-AU"/>
              </w:rPr>
              <w:t xml:space="preserve"> 2009-10 </w:t>
            </w:r>
          </w:p>
        </w:tc>
        <w:tc>
          <w:tcPr>
            <w:tcW w:w="959" w:type="dxa"/>
            <w:noWrap/>
            <w:hideMark/>
          </w:tcPr>
          <w:p w:rsidR="00F674AC" w:rsidRPr="005F44F8" w:rsidRDefault="00F674AC" w:rsidP="009903BE">
            <w:pPr>
              <w:pStyle w:val="AERtabletextleft"/>
              <w:cnfStyle w:val="100000000000" w:firstRow="1" w:lastRow="0" w:firstColumn="0" w:lastColumn="0" w:oddVBand="0" w:evenVBand="0" w:oddHBand="0" w:evenHBand="0" w:firstRowFirstColumn="0" w:firstRowLastColumn="0" w:lastRowFirstColumn="0" w:lastRowLastColumn="0"/>
              <w:rPr>
                <w:lang w:eastAsia="en-AU"/>
              </w:rPr>
            </w:pPr>
            <w:r w:rsidRPr="005F44F8">
              <w:rPr>
                <w:lang w:eastAsia="en-AU"/>
              </w:rPr>
              <w:t>2010-11</w:t>
            </w:r>
          </w:p>
        </w:tc>
        <w:tc>
          <w:tcPr>
            <w:tcW w:w="959" w:type="dxa"/>
            <w:noWrap/>
            <w:hideMark/>
          </w:tcPr>
          <w:p w:rsidR="00F674AC" w:rsidRPr="005F44F8" w:rsidRDefault="00F674AC" w:rsidP="009903BE">
            <w:pPr>
              <w:pStyle w:val="AERtabletextleft"/>
              <w:cnfStyle w:val="100000000000" w:firstRow="1" w:lastRow="0" w:firstColumn="0" w:lastColumn="0" w:oddVBand="0" w:evenVBand="0" w:oddHBand="0" w:evenHBand="0" w:firstRowFirstColumn="0" w:firstRowLastColumn="0" w:lastRowFirstColumn="0" w:lastRowLastColumn="0"/>
              <w:rPr>
                <w:lang w:eastAsia="en-AU"/>
              </w:rPr>
            </w:pPr>
            <w:r w:rsidRPr="005F44F8">
              <w:rPr>
                <w:lang w:eastAsia="en-AU"/>
              </w:rPr>
              <w:t>2011-12</w:t>
            </w:r>
          </w:p>
        </w:tc>
        <w:tc>
          <w:tcPr>
            <w:tcW w:w="958" w:type="dxa"/>
            <w:noWrap/>
            <w:hideMark/>
          </w:tcPr>
          <w:p w:rsidR="00F674AC" w:rsidRPr="005F44F8" w:rsidRDefault="00F674AC" w:rsidP="009903BE">
            <w:pPr>
              <w:pStyle w:val="AERtabletextleft"/>
              <w:cnfStyle w:val="100000000000" w:firstRow="1" w:lastRow="0" w:firstColumn="0" w:lastColumn="0" w:oddVBand="0" w:evenVBand="0" w:oddHBand="0" w:evenHBand="0" w:firstRowFirstColumn="0" w:firstRowLastColumn="0" w:lastRowFirstColumn="0" w:lastRowLastColumn="0"/>
              <w:rPr>
                <w:lang w:eastAsia="en-AU"/>
              </w:rPr>
            </w:pPr>
            <w:r w:rsidRPr="005F44F8">
              <w:rPr>
                <w:lang w:eastAsia="en-AU"/>
              </w:rPr>
              <w:t>2012-13</w:t>
            </w:r>
          </w:p>
        </w:tc>
        <w:tc>
          <w:tcPr>
            <w:tcW w:w="959" w:type="dxa"/>
            <w:noWrap/>
            <w:hideMark/>
          </w:tcPr>
          <w:p w:rsidR="00F674AC" w:rsidRPr="005F44F8" w:rsidRDefault="00F674AC" w:rsidP="009903BE">
            <w:pPr>
              <w:pStyle w:val="AERtabletextleft"/>
              <w:cnfStyle w:val="100000000000" w:firstRow="1" w:lastRow="0" w:firstColumn="0" w:lastColumn="0" w:oddVBand="0" w:evenVBand="0" w:oddHBand="0" w:evenHBand="0" w:firstRowFirstColumn="0" w:firstRowLastColumn="0" w:lastRowFirstColumn="0" w:lastRowLastColumn="0"/>
              <w:rPr>
                <w:lang w:eastAsia="en-AU"/>
              </w:rPr>
            </w:pPr>
            <w:r w:rsidRPr="005F44F8">
              <w:rPr>
                <w:lang w:eastAsia="en-AU"/>
              </w:rPr>
              <w:t>2013-14</w:t>
            </w:r>
          </w:p>
        </w:tc>
        <w:tc>
          <w:tcPr>
            <w:tcW w:w="959" w:type="dxa"/>
            <w:noWrap/>
            <w:hideMark/>
          </w:tcPr>
          <w:p w:rsidR="00F674AC" w:rsidRPr="005F44F8" w:rsidRDefault="00F674AC" w:rsidP="009903BE">
            <w:pPr>
              <w:pStyle w:val="AERtabletextleft"/>
              <w:cnfStyle w:val="100000000000" w:firstRow="1" w:lastRow="0" w:firstColumn="0" w:lastColumn="0" w:oddVBand="0" w:evenVBand="0" w:oddHBand="0" w:evenHBand="0" w:firstRowFirstColumn="0" w:firstRowLastColumn="0" w:lastRowFirstColumn="0" w:lastRowLastColumn="0"/>
              <w:rPr>
                <w:lang w:eastAsia="en-AU"/>
              </w:rPr>
            </w:pPr>
            <w:r w:rsidRPr="005F44F8">
              <w:rPr>
                <w:lang w:eastAsia="en-AU"/>
              </w:rPr>
              <w:t>2014-15</w:t>
            </w:r>
          </w:p>
        </w:tc>
      </w:tr>
      <w:tr w:rsidR="002050AD" w:rsidRPr="005F44F8" w:rsidTr="009903BE">
        <w:trPr>
          <w:trHeight w:val="300"/>
        </w:trPr>
        <w:tc>
          <w:tcPr>
            <w:cnfStyle w:val="001000000000" w:firstRow="0" w:lastRow="0" w:firstColumn="1" w:lastColumn="0" w:oddVBand="0" w:evenVBand="0" w:oddHBand="0" w:evenHBand="0" w:firstRowFirstColumn="0" w:firstRowLastColumn="0" w:lastRowFirstColumn="0" w:lastRowLastColumn="0"/>
            <w:tcW w:w="3490" w:type="dxa"/>
            <w:noWrap/>
            <w:hideMark/>
          </w:tcPr>
          <w:p w:rsidR="002050AD" w:rsidRPr="002050AD" w:rsidRDefault="002050AD" w:rsidP="002050AD">
            <w:pPr>
              <w:pStyle w:val="AERtabletextleft"/>
            </w:pPr>
            <w:r w:rsidRPr="002050AD">
              <w:t xml:space="preserve">Trunk Wilton-Sydney </w:t>
            </w:r>
          </w:p>
        </w:tc>
        <w:tc>
          <w:tcPr>
            <w:tcW w:w="958"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0.0</w:t>
            </w:r>
          </w:p>
        </w:tc>
        <w:tc>
          <w:tcPr>
            <w:tcW w:w="959"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0.0</w:t>
            </w:r>
          </w:p>
        </w:tc>
        <w:tc>
          <w:tcPr>
            <w:tcW w:w="959"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0.0</w:t>
            </w:r>
          </w:p>
        </w:tc>
        <w:tc>
          <w:tcPr>
            <w:tcW w:w="958"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0.0</w:t>
            </w:r>
          </w:p>
        </w:tc>
        <w:tc>
          <w:tcPr>
            <w:tcW w:w="959"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0.0</w:t>
            </w:r>
          </w:p>
        </w:tc>
        <w:tc>
          <w:tcPr>
            <w:tcW w:w="959"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0.0</w:t>
            </w:r>
          </w:p>
        </w:tc>
      </w:tr>
      <w:tr w:rsidR="002050AD" w:rsidRPr="005F44F8" w:rsidTr="009903B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0" w:type="dxa"/>
            <w:noWrap/>
            <w:hideMark/>
          </w:tcPr>
          <w:p w:rsidR="002050AD" w:rsidRPr="002050AD" w:rsidRDefault="002050AD" w:rsidP="002050AD">
            <w:pPr>
              <w:pStyle w:val="AERtabletextleft"/>
            </w:pPr>
            <w:r w:rsidRPr="002050AD">
              <w:t xml:space="preserve">Trunk Sydney-Newcastle </w:t>
            </w:r>
          </w:p>
        </w:tc>
        <w:tc>
          <w:tcPr>
            <w:tcW w:w="958"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0.0</w:t>
            </w:r>
          </w:p>
        </w:tc>
        <w:tc>
          <w:tcPr>
            <w:tcW w:w="959"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0.0</w:t>
            </w:r>
          </w:p>
        </w:tc>
        <w:tc>
          <w:tcPr>
            <w:tcW w:w="959"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0.0</w:t>
            </w:r>
          </w:p>
        </w:tc>
        <w:tc>
          <w:tcPr>
            <w:tcW w:w="958"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0.0</w:t>
            </w:r>
          </w:p>
        </w:tc>
        <w:tc>
          <w:tcPr>
            <w:tcW w:w="959"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0.0</w:t>
            </w:r>
          </w:p>
        </w:tc>
        <w:tc>
          <w:tcPr>
            <w:tcW w:w="959"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0.0</w:t>
            </w:r>
          </w:p>
        </w:tc>
      </w:tr>
      <w:tr w:rsidR="002050AD" w:rsidRPr="005F44F8" w:rsidTr="009903BE">
        <w:trPr>
          <w:trHeight w:val="300"/>
        </w:trPr>
        <w:tc>
          <w:tcPr>
            <w:cnfStyle w:val="001000000000" w:firstRow="0" w:lastRow="0" w:firstColumn="1" w:lastColumn="0" w:oddVBand="0" w:evenVBand="0" w:oddHBand="0" w:evenHBand="0" w:firstRowFirstColumn="0" w:firstRowLastColumn="0" w:lastRowFirstColumn="0" w:lastRowLastColumn="0"/>
            <w:tcW w:w="3490" w:type="dxa"/>
            <w:noWrap/>
            <w:hideMark/>
          </w:tcPr>
          <w:p w:rsidR="002050AD" w:rsidRPr="002050AD" w:rsidRDefault="002050AD" w:rsidP="002050AD">
            <w:pPr>
              <w:pStyle w:val="AERtabletextleft"/>
            </w:pPr>
            <w:r w:rsidRPr="002050AD">
              <w:t xml:space="preserve">Transmission pipeline (Wilton-Wollongong) </w:t>
            </w:r>
          </w:p>
        </w:tc>
        <w:tc>
          <w:tcPr>
            <w:tcW w:w="958"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0.0</w:t>
            </w:r>
          </w:p>
        </w:tc>
        <w:tc>
          <w:tcPr>
            <w:tcW w:w="959"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0.0</w:t>
            </w:r>
          </w:p>
        </w:tc>
        <w:tc>
          <w:tcPr>
            <w:tcW w:w="959"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0.0</w:t>
            </w:r>
          </w:p>
        </w:tc>
        <w:tc>
          <w:tcPr>
            <w:tcW w:w="958"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0.0</w:t>
            </w:r>
          </w:p>
        </w:tc>
        <w:tc>
          <w:tcPr>
            <w:tcW w:w="959"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0.0</w:t>
            </w:r>
          </w:p>
        </w:tc>
        <w:tc>
          <w:tcPr>
            <w:tcW w:w="959"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0.0</w:t>
            </w:r>
          </w:p>
        </w:tc>
      </w:tr>
      <w:tr w:rsidR="002050AD" w:rsidRPr="005F44F8" w:rsidTr="009903B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0" w:type="dxa"/>
            <w:noWrap/>
            <w:hideMark/>
          </w:tcPr>
          <w:p w:rsidR="002050AD" w:rsidRPr="002050AD" w:rsidRDefault="002050AD" w:rsidP="002050AD">
            <w:pPr>
              <w:pStyle w:val="AERtabletextleft"/>
            </w:pPr>
            <w:r w:rsidRPr="002050AD">
              <w:t xml:space="preserve">Contract meters </w:t>
            </w:r>
          </w:p>
        </w:tc>
        <w:tc>
          <w:tcPr>
            <w:tcW w:w="958"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0.3</w:t>
            </w:r>
          </w:p>
        </w:tc>
        <w:tc>
          <w:tcPr>
            <w:tcW w:w="959"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0.2</w:t>
            </w:r>
          </w:p>
        </w:tc>
        <w:tc>
          <w:tcPr>
            <w:tcW w:w="959"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0.4</w:t>
            </w:r>
          </w:p>
        </w:tc>
        <w:tc>
          <w:tcPr>
            <w:tcW w:w="958"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0.5</w:t>
            </w:r>
          </w:p>
        </w:tc>
        <w:tc>
          <w:tcPr>
            <w:tcW w:w="959"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1.6</w:t>
            </w:r>
          </w:p>
        </w:tc>
        <w:tc>
          <w:tcPr>
            <w:tcW w:w="959"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1.5</w:t>
            </w:r>
          </w:p>
        </w:tc>
      </w:tr>
      <w:tr w:rsidR="002050AD" w:rsidRPr="005F44F8" w:rsidTr="009903BE">
        <w:trPr>
          <w:trHeight w:val="300"/>
        </w:trPr>
        <w:tc>
          <w:tcPr>
            <w:cnfStyle w:val="001000000000" w:firstRow="0" w:lastRow="0" w:firstColumn="1" w:lastColumn="0" w:oddVBand="0" w:evenVBand="0" w:oddHBand="0" w:evenHBand="0" w:firstRowFirstColumn="0" w:firstRowLastColumn="0" w:lastRowFirstColumn="0" w:lastRowLastColumn="0"/>
            <w:tcW w:w="3490" w:type="dxa"/>
            <w:noWrap/>
            <w:hideMark/>
          </w:tcPr>
          <w:p w:rsidR="002050AD" w:rsidRPr="002050AD" w:rsidRDefault="002050AD" w:rsidP="002050AD">
            <w:pPr>
              <w:pStyle w:val="AERtabletextleft"/>
            </w:pPr>
            <w:r w:rsidRPr="002050AD">
              <w:t xml:space="preserve">Fixed plant - distribution </w:t>
            </w:r>
          </w:p>
        </w:tc>
        <w:tc>
          <w:tcPr>
            <w:tcW w:w="958"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13.3</w:t>
            </w:r>
          </w:p>
        </w:tc>
        <w:tc>
          <w:tcPr>
            <w:tcW w:w="959"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20.4</w:t>
            </w:r>
          </w:p>
        </w:tc>
        <w:tc>
          <w:tcPr>
            <w:tcW w:w="959"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19.5</w:t>
            </w:r>
          </w:p>
        </w:tc>
        <w:tc>
          <w:tcPr>
            <w:tcW w:w="958"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6.5</w:t>
            </w:r>
          </w:p>
        </w:tc>
        <w:tc>
          <w:tcPr>
            <w:tcW w:w="959"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6.8</w:t>
            </w:r>
          </w:p>
        </w:tc>
        <w:tc>
          <w:tcPr>
            <w:tcW w:w="959"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17.7</w:t>
            </w:r>
          </w:p>
        </w:tc>
      </w:tr>
      <w:tr w:rsidR="002050AD" w:rsidRPr="005F44F8" w:rsidTr="009903B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0" w:type="dxa"/>
            <w:noWrap/>
            <w:hideMark/>
          </w:tcPr>
          <w:p w:rsidR="002050AD" w:rsidRPr="002050AD" w:rsidRDefault="002050AD" w:rsidP="002050AD">
            <w:pPr>
              <w:pStyle w:val="AERtabletextleft"/>
            </w:pPr>
            <w:r w:rsidRPr="002050AD">
              <w:t xml:space="preserve">HP mains </w:t>
            </w:r>
          </w:p>
        </w:tc>
        <w:tc>
          <w:tcPr>
            <w:tcW w:w="958"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4.9</w:t>
            </w:r>
          </w:p>
        </w:tc>
        <w:tc>
          <w:tcPr>
            <w:tcW w:w="959"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13.2</w:t>
            </w:r>
          </w:p>
        </w:tc>
        <w:tc>
          <w:tcPr>
            <w:tcW w:w="959"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19.4</w:t>
            </w:r>
          </w:p>
        </w:tc>
        <w:tc>
          <w:tcPr>
            <w:tcW w:w="958"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8.4</w:t>
            </w:r>
          </w:p>
        </w:tc>
        <w:tc>
          <w:tcPr>
            <w:tcW w:w="959"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12.7</w:t>
            </w:r>
          </w:p>
        </w:tc>
        <w:tc>
          <w:tcPr>
            <w:tcW w:w="959"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4.9</w:t>
            </w:r>
          </w:p>
        </w:tc>
      </w:tr>
      <w:tr w:rsidR="002050AD" w:rsidRPr="005F44F8" w:rsidTr="009903BE">
        <w:trPr>
          <w:trHeight w:val="300"/>
        </w:trPr>
        <w:tc>
          <w:tcPr>
            <w:cnfStyle w:val="001000000000" w:firstRow="0" w:lastRow="0" w:firstColumn="1" w:lastColumn="0" w:oddVBand="0" w:evenVBand="0" w:oddHBand="0" w:evenHBand="0" w:firstRowFirstColumn="0" w:firstRowLastColumn="0" w:lastRowFirstColumn="0" w:lastRowLastColumn="0"/>
            <w:tcW w:w="3490" w:type="dxa"/>
            <w:noWrap/>
            <w:hideMark/>
          </w:tcPr>
          <w:p w:rsidR="002050AD" w:rsidRPr="002050AD" w:rsidRDefault="002050AD" w:rsidP="002050AD">
            <w:pPr>
              <w:pStyle w:val="AERtabletextleft"/>
            </w:pPr>
            <w:r w:rsidRPr="002050AD">
              <w:t xml:space="preserve">HP services </w:t>
            </w:r>
          </w:p>
        </w:tc>
        <w:tc>
          <w:tcPr>
            <w:tcW w:w="958"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0.0</w:t>
            </w:r>
          </w:p>
        </w:tc>
        <w:tc>
          <w:tcPr>
            <w:tcW w:w="959"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0.0</w:t>
            </w:r>
          </w:p>
        </w:tc>
        <w:tc>
          <w:tcPr>
            <w:tcW w:w="959"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0.0</w:t>
            </w:r>
          </w:p>
        </w:tc>
        <w:tc>
          <w:tcPr>
            <w:tcW w:w="958"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2.4</w:t>
            </w:r>
          </w:p>
        </w:tc>
        <w:tc>
          <w:tcPr>
            <w:tcW w:w="959"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1.4</w:t>
            </w:r>
          </w:p>
        </w:tc>
        <w:tc>
          <w:tcPr>
            <w:tcW w:w="959"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0.9</w:t>
            </w:r>
          </w:p>
        </w:tc>
      </w:tr>
      <w:tr w:rsidR="002050AD" w:rsidRPr="005F44F8" w:rsidTr="009903B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0" w:type="dxa"/>
            <w:noWrap/>
            <w:hideMark/>
          </w:tcPr>
          <w:p w:rsidR="002050AD" w:rsidRPr="002050AD" w:rsidRDefault="002050AD" w:rsidP="002050AD">
            <w:pPr>
              <w:pStyle w:val="AERtabletextleft"/>
            </w:pPr>
            <w:r w:rsidRPr="002050AD">
              <w:t xml:space="preserve">MP mains </w:t>
            </w:r>
          </w:p>
        </w:tc>
        <w:tc>
          <w:tcPr>
            <w:tcW w:w="958"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13.8</w:t>
            </w:r>
          </w:p>
        </w:tc>
        <w:tc>
          <w:tcPr>
            <w:tcW w:w="959"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21.4</w:t>
            </w:r>
          </w:p>
        </w:tc>
        <w:tc>
          <w:tcPr>
            <w:tcW w:w="959"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22.5</w:t>
            </w:r>
          </w:p>
        </w:tc>
        <w:tc>
          <w:tcPr>
            <w:tcW w:w="958"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20.5</w:t>
            </w:r>
          </w:p>
        </w:tc>
        <w:tc>
          <w:tcPr>
            <w:tcW w:w="959"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23.7</w:t>
            </w:r>
          </w:p>
        </w:tc>
        <w:tc>
          <w:tcPr>
            <w:tcW w:w="959"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27.7</w:t>
            </w:r>
          </w:p>
        </w:tc>
      </w:tr>
      <w:tr w:rsidR="002050AD" w:rsidRPr="005F44F8" w:rsidTr="009903BE">
        <w:trPr>
          <w:trHeight w:val="300"/>
        </w:trPr>
        <w:tc>
          <w:tcPr>
            <w:cnfStyle w:val="001000000000" w:firstRow="0" w:lastRow="0" w:firstColumn="1" w:lastColumn="0" w:oddVBand="0" w:evenVBand="0" w:oddHBand="0" w:evenHBand="0" w:firstRowFirstColumn="0" w:firstRowLastColumn="0" w:lastRowFirstColumn="0" w:lastRowLastColumn="0"/>
            <w:tcW w:w="3490" w:type="dxa"/>
            <w:noWrap/>
            <w:hideMark/>
          </w:tcPr>
          <w:p w:rsidR="002050AD" w:rsidRPr="002050AD" w:rsidRDefault="002050AD" w:rsidP="002050AD">
            <w:pPr>
              <w:pStyle w:val="AERtabletextleft"/>
            </w:pPr>
            <w:r w:rsidRPr="002050AD">
              <w:t xml:space="preserve">MP services </w:t>
            </w:r>
          </w:p>
        </w:tc>
        <w:tc>
          <w:tcPr>
            <w:tcW w:w="958"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26.5</w:t>
            </w:r>
          </w:p>
        </w:tc>
        <w:tc>
          <w:tcPr>
            <w:tcW w:w="959"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29.8</w:t>
            </w:r>
          </w:p>
        </w:tc>
        <w:tc>
          <w:tcPr>
            <w:tcW w:w="959"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39.0</w:t>
            </w:r>
          </w:p>
        </w:tc>
        <w:tc>
          <w:tcPr>
            <w:tcW w:w="958"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39.6</w:t>
            </w:r>
          </w:p>
        </w:tc>
        <w:tc>
          <w:tcPr>
            <w:tcW w:w="959"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54.5</w:t>
            </w:r>
          </w:p>
        </w:tc>
        <w:tc>
          <w:tcPr>
            <w:tcW w:w="959"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51.6</w:t>
            </w:r>
          </w:p>
        </w:tc>
      </w:tr>
      <w:tr w:rsidR="002050AD" w:rsidRPr="005F44F8" w:rsidTr="009903B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0" w:type="dxa"/>
            <w:noWrap/>
            <w:hideMark/>
          </w:tcPr>
          <w:p w:rsidR="002050AD" w:rsidRPr="002050AD" w:rsidRDefault="002050AD" w:rsidP="002050AD">
            <w:pPr>
              <w:pStyle w:val="AERtabletextleft"/>
            </w:pPr>
            <w:r w:rsidRPr="002050AD">
              <w:t xml:space="preserve">Meter reading devices </w:t>
            </w:r>
          </w:p>
        </w:tc>
        <w:tc>
          <w:tcPr>
            <w:tcW w:w="958"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3.3</w:t>
            </w:r>
          </w:p>
        </w:tc>
        <w:tc>
          <w:tcPr>
            <w:tcW w:w="959"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3.2</w:t>
            </w:r>
          </w:p>
        </w:tc>
        <w:tc>
          <w:tcPr>
            <w:tcW w:w="959"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3.9</w:t>
            </w:r>
          </w:p>
        </w:tc>
        <w:tc>
          <w:tcPr>
            <w:tcW w:w="958"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4.5</w:t>
            </w:r>
          </w:p>
        </w:tc>
        <w:tc>
          <w:tcPr>
            <w:tcW w:w="959"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4.9</w:t>
            </w:r>
          </w:p>
        </w:tc>
        <w:tc>
          <w:tcPr>
            <w:tcW w:w="959"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7.8</w:t>
            </w:r>
          </w:p>
        </w:tc>
      </w:tr>
      <w:tr w:rsidR="002050AD" w:rsidRPr="005F44F8" w:rsidTr="009903BE">
        <w:trPr>
          <w:trHeight w:val="300"/>
        </w:trPr>
        <w:tc>
          <w:tcPr>
            <w:cnfStyle w:val="001000000000" w:firstRow="0" w:lastRow="0" w:firstColumn="1" w:lastColumn="0" w:oddVBand="0" w:evenVBand="0" w:oddHBand="0" w:evenHBand="0" w:firstRowFirstColumn="0" w:firstRowLastColumn="0" w:lastRowFirstColumn="0" w:lastRowLastColumn="0"/>
            <w:tcW w:w="3490" w:type="dxa"/>
            <w:noWrap/>
            <w:hideMark/>
          </w:tcPr>
          <w:p w:rsidR="002050AD" w:rsidRPr="002050AD" w:rsidRDefault="002050AD" w:rsidP="002050AD">
            <w:pPr>
              <w:pStyle w:val="AERtabletextleft"/>
            </w:pPr>
            <w:r w:rsidRPr="002050AD">
              <w:t xml:space="preserve">Country POTS  </w:t>
            </w:r>
          </w:p>
        </w:tc>
        <w:tc>
          <w:tcPr>
            <w:tcW w:w="958"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1.1</w:t>
            </w:r>
          </w:p>
        </w:tc>
        <w:tc>
          <w:tcPr>
            <w:tcW w:w="959"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3.0</w:t>
            </w:r>
          </w:p>
        </w:tc>
        <w:tc>
          <w:tcPr>
            <w:tcW w:w="959"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8.2</w:t>
            </w:r>
          </w:p>
        </w:tc>
        <w:tc>
          <w:tcPr>
            <w:tcW w:w="958"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0.8</w:t>
            </w:r>
          </w:p>
        </w:tc>
        <w:tc>
          <w:tcPr>
            <w:tcW w:w="959"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0.6</w:t>
            </w:r>
          </w:p>
        </w:tc>
        <w:tc>
          <w:tcPr>
            <w:tcW w:w="959"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1.5</w:t>
            </w:r>
          </w:p>
        </w:tc>
      </w:tr>
      <w:tr w:rsidR="002050AD" w:rsidRPr="005F44F8" w:rsidTr="009903B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0" w:type="dxa"/>
            <w:noWrap/>
            <w:hideMark/>
          </w:tcPr>
          <w:p w:rsidR="002050AD" w:rsidRPr="002050AD" w:rsidRDefault="002050AD" w:rsidP="002050AD">
            <w:pPr>
              <w:pStyle w:val="AERtabletextleft"/>
            </w:pPr>
            <w:r w:rsidRPr="002050AD">
              <w:t xml:space="preserve">Tariff meters </w:t>
            </w:r>
          </w:p>
        </w:tc>
        <w:tc>
          <w:tcPr>
            <w:tcW w:w="958"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21.4</w:t>
            </w:r>
          </w:p>
        </w:tc>
        <w:tc>
          <w:tcPr>
            <w:tcW w:w="959"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22.2</w:t>
            </w:r>
          </w:p>
        </w:tc>
        <w:tc>
          <w:tcPr>
            <w:tcW w:w="959"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25.3</w:t>
            </w:r>
          </w:p>
        </w:tc>
        <w:tc>
          <w:tcPr>
            <w:tcW w:w="958"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26.9</w:t>
            </w:r>
          </w:p>
        </w:tc>
        <w:tc>
          <w:tcPr>
            <w:tcW w:w="959"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33.2</w:t>
            </w:r>
          </w:p>
        </w:tc>
        <w:tc>
          <w:tcPr>
            <w:tcW w:w="959"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37.1</w:t>
            </w:r>
          </w:p>
        </w:tc>
      </w:tr>
      <w:tr w:rsidR="002050AD" w:rsidRPr="005F44F8" w:rsidTr="009903BE">
        <w:trPr>
          <w:trHeight w:val="300"/>
        </w:trPr>
        <w:tc>
          <w:tcPr>
            <w:cnfStyle w:val="001000000000" w:firstRow="0" w:lastRow="0" w:firstColumn="1" w:lastColumn="0" w:oddVBand="0" w:evenVBand="0" w:oddHBand="0" w:evenHBand="0" w:firstRowFirstColumn="0" w:firstRowLastColumn="0" w:lastRowFirstColumn="0" w:lastRowLastColumn="0"/>
            <w:tcW w:w="3490" w:type="dxa"/>
            <w:noWrap/>
            <w:hideMark/>
          </w:tcPr>
          <w:p w:rsidR="002050AD" w:rsidRPr="002050AD" w:rsidRDefault="002050AD" w:rsidP="002050AD">
            <w:pPr>
              <w:pStyle w:val="AERtabletextleft"/>
            </w:pPr>
            <w:r w:rsidRPr="002050AD">
              <w:t xml:space="preserve">Building  </w:t>
            </w:r>
          </w:p>
        </w:tc>
        <w:tc>
          <w:tcPr>
            <w:tcW w:w="958"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0.0</w:t>
            </w:r>
          </w:p>
        </w:tc>
        <w:tc>
          <w:tcPr>
            <w:tcW w:w="959"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0.0</w:t>
            </w:r>
          </w:p>
        </w:tc>
        <w:tc>
          <w:tcPr>
            <w:tcW w:w="959"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0.0</w:t>
            </w:r>
          </w:p>
        </w:tc>
        <w:tc>
          <w:tcPr>
            <w:tcW w:w="958"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1.5</w:t>
            </w:r>
          </w:p>
        </w:tc>
        <w:tc>
          <w:tcPr>
            <w:tcW w:w="959"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7.6</w:t>
            </w:r>
          </w:p>
        </w:tc>
        <w:tc>
          <w:tcPr>
            <w:tcW w:w="959"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12.6</w:t>
            </w:r>
          </w:p>
        </w:tc>
      </w:tr>
      <w:tr w:rsidR="002050AD" w:rsidRPr="005F44F8" w:rsidTr="009903B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0" w:type="dxa"/>
            <w:noWrap/>
            <w:hideMark/>
          </w:tcPr>
          <w:p w:rsidR="002050AD" w:rsidRPr="002050AD" w:rsidRDefault="002050AD" w:rsidP="002050AD">
            <w:pPr>
              <w:pStyle w:val="AERtabletextleft"/>
            </w:pPr>
            <w:r w:rsidRPr="002050AD">
              <w:t xml:space="preserve">Computers </w:t>
            </w:r>
          </w:p>
        </w:tc>
        <w:tc>
          <w:tcPr>
            <w:tcW w:w="958"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0.0</w:t>
            </w:r>
          </w:p>
        </w:tc>
        <w:tc>
          <w:tcPr>
            <w:tcW w:w="959"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0.0</w:t>
            </w:r>
          </w:p>
        </w:tc>
        <w:tc>
          <w:tcPr>
            <w:tcW w:w="959"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0.0</w:t>
            </w:r>
          </w:p>
        </w:tc>
        <w:tc>
          <w:tcPr>
            <w:tcW w:w="958"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0.0</w:t>
            </w:r>
          </w:p>
        </w:tc>
        <w:tc>
          <w:tcPr>
            <w:tcW w:w="959"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0.0</w:t>
            </w:r>
          </w:p>
        </w:tc>
        <w:tc>
          <w:tcPr>
            <w:tcW w:w="959"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0.0</w:t>
            </w:r>
          </w:p>
        </w:tc>
      </w:tr>
      <w:tr w:rsidR="002050AD" w:rsidRPr="005F44F8" w:rsidTr="009903BE">
        <w:trPr>
          <w:trHeight w:val="300"/>
        </w:trPr>
        <w:tc>
          <w:tcPr>
            <w:cnfStyle w:val="001000000000" w:firstRow="0" w:lastRow="0" w:firstColumn="1" w:lastColumn="0" w:oddVBand="0" w:evenVBand="0" w:oddHBand="0" w:evenHBand="0" w:firstRowFirstColumn="0" w:firstRowLastColumn="0" w:lastRowFirstColumn="0" w:lastRowLastColumn="0"/>
            <w:tcW w:w="3490" w:type="dxa"/>
            <w:noWrap/>
            <w:hideMark/>
          </w:tcPr>
          <w:p w:rsidR="002050AD" w:rsidRPr="002050AD" w:rsidRDefault="002050AD" w:rsidP="002050AD">
            <w:pPr>
              <w:pStyle w:val="AERtabletextleft"/>
            </w:pPr>
            <w:r w:rsidRPr="002050AD">
              <w:t xml:space="preserve">Software </w:t>
            </w:r>
          </w:p>
        </w:tc>
        <w:tc>
          <w:tcPr>
            <w:tcW w:w="958"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9.2</w:t>
            </w:r>
          </w:p>
        </w:tc>
        <w:tc>
          <w:tcPr>
            <w:tcW w:w="959"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35.1</w:t>
            </w:r>
          </w:p>
        </w:tc>
        <w:tc>
          <w:tcPr>
            <w:tcW w:w="959"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25.9</w:t>
            </w:r>
          </w:p>
        </w:tc>
        <w:tc>
          <w:tcPr>
            <w:tcW w:w="958"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12.1</w:t>
            </w:r>
          </w:p>
        </w:tc>
        <w:tc>
          <w:tcPr>
            <w:tcW w:w="959"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16.5</w:t>
            </w:r>
          </w:p>
        </w:tc>
        <w:tc>
          <w:tcPr>
            <w:tcW w:w="959"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44.6</w:t>
            </w:r>
          </w:p>
        </w:tc>
      </w:tr>
      <w:tr w:rsidR="002050AD" w:rsidRPr="005F44F8" w:rsidTr="009903B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0" w:type="dxa"/>
            <w:noWrap/>
            <w:hideMark/>
          </w:tcPr>
          <w:p w:rsidR="002050AD" w:rsidRPr="002050AD" w:rsidRDefault="002050AD" w:rsidP="002050AD">
            <w:pPr>
              <w:pStyle w:val="AERtabletextleft"/>
            </w:pPr>
            <w:r w:rsidRPr="002050AD">
              <w:t xml:space="preserve">Fixed plant </w:t>
            </w:r>
          </w:p>
        </w:tc>
        <w:tc>
          <w:tcPr>
            <w:tcW w:w="958"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0.6</w:t>
            </w:r>
          </w:p>
        </w:tc>
        <w:tc>
          <w:tcPr>
            <w:tcW w:w="959"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0.3</w:t>
            </w:r>
          </w:p>
        </w:tc>
        <w:tc>
          <w:tcPr>
            <w:tcW w:w="959"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0.4</w:t>
            </w:r>
          </w:p>
        </w:tc>
        <w:tc>
          <w:tcPr>
            <w:tcW w:w="958"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1.2</w:t>
            </w:r>
          </w:p>
        </w:tc>
        <w:tc>
          <w:tcPr>
            <w:tcW w:w="959"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0.7</w:t>
            </w:r>
          </w:p>
        </w:tc>
        <w:tc>
          <w:tcPr>
            <w:tcW w:w="959"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1.1</w:t>
            </w:r>
          </w:p>
        </w:tc>
      </w:tr>
      <w:tr w:rsidR="002050AD" w:rsidRPr="005F44F8" w:rsidTr="009903BE">
        <w:trPr>
          <w:trHeight w:val="300"/>
        </w:trPr>
        <w:tc>
          <w:tcPr>
            <w:cnfStyle w:val="001000000000" w:firstRow="0" w:lastRow="0" w:firstColumn="1" w:lastColumn="0" w:oddVBand="0" w:evenVBand="0" w:oddHBand="0" w:evenHBand="0" w:firstRowFirstColumn="0" w:firstRowLastColumn="0" w:lastRowFirstColumn="0" w:lastRowLastColumn="0"/>
            <w:tcW w:w="3490" w:type="dxa"/>
            <w:noWrap/>
            <w:hideMark/>
          </w:tcPr>
          <w:p w:rsidR="002050AD" w:rsidRPr="002050AD" w:rsidRDefault="002050AD" w:rsidP="002050AD">
            <w:pPr>
              <w:pStyle w:val="AERtabletextleft"/>
            </w:pPr>
            <w:r w:rsidRPr="002050AD">
              <w:t xml:space="preserve">Furniture </w:t>
            </w:r>
          </w:p>
        </w:tc>
        <w:tc>
          <w:tcPr>
            <w:tcW w:w="958"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0.0</w:t>
            </w:r>
          </w:p>
        </w:tc>
        <w:tc>
          <w:tcPr>
            <w:tcW w:w="959"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0.0</w:t>
            </w:r>
          </w:p>
        </w:tc>
        <w:tc>
          <w:tcPr>
            <w:tcW w:w="959"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0.0</w:t>
            </w:r>
          </w:p>
        </w:tc>
        <w:tc>
          <w:tcPr>
            <w:tcW w:w="958"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0.0</w:t>
            </w:r>
          </w:p>
        </w:tc>
        <w:tc>
          <w:tcPr>
            <w:tcW w:w="959"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0.0</w:t>
            </w:r>
          </w:p>
        </w:tc>
        <w:tc>
          <w:tcPr>
            <w:tcW w:w="959"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0.0</w:t>
            </w:r>
          </w:p>
        </w:tc>
      </w:tr>
      <w:tr w:rsidR="002050AD" w:rsidRPr="005F44F8" w:rsidTr="009903B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0" w:type="dxa"/>
            <w:noWrap/>
            <w:hideMark/>
          </w:tcPr>
          <w:p w:rsidR="002050AD" w:rsidRPr="002050AD" w:rsidRDefault="002050AD" w:rsidP="002050AD">
            <w:pPr>
              <w:pStyle w:val="AERtabletextleft"/>
            </w:pPr>
            <w:r w:rsidRPr="002050AD">
              <w:t xml:space="preserve">Land </w:t>
            </w:r>
          </w:p>
        </w:tc>
        <w:tc>
          <w:tcPr>
            <w:tcW w:w="958"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0.0</w:t>
            </w:r>
          </w:p>
        </w:tc>
        <w:tc>
          <w:tcPr>
            <w:tcW w:w="959"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0.0</w:t>
            </w:r>
          </w:p>
        </w:tc>
        <w:tc>
          <w:tcPr>
            <w:tcW w:w="959"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0.0</w:t>
            </w:r>
          </w:p>
        </w:tc>
        <w:tc>
          <w:tcPr>
            <w:tcW w:w="958"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0.9</w:t>
            </w:r>
          </w:p>
        </w:tc>
        <w:tc>
          <w:tcPr>
            <w:tcW w:w="959"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5.6</w:t>
            </w:r>
          </w:p>
        </w:tc>
        <w:tc>
          <w:tcPr>
            <w:tcW w:w="959"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2.1</w:t>
            </w:r>
          </w:p>
        </w:tc>
      </w:tr>
      <w:tr w:rsidR="002050AD" w:rsidRPr="005F44F8" w:rsidTr="009903BE">
        <w:trPr>
          <w:trHeight w:val="300"/>
        </w:trPr>
        <w:tc>
          <w:tcPr>
            <w:cnfStyle w:val="001000000000" w:firstRow="0" w:lastRow="0" w:firstColumn="1" w:lastColumn="0" w:oddVBand="0" w:evenVBand="0" w:oddHBand="0" w:evenHBand="0" w:firstRowFirstColumn="0" w:firstRowLastColumn="0" w:lastRowFirstColumn="0" w:lastRowLastColumn="0"/>
            <w:tcW w:w="3490" w:type="dxa"/>
            <w:noWrap/>
            <w:hideMark/>
          </w:tcPr>
          <w:p w:rsidR="002050AD" w:rsidRPr="002050AD" w:rsidRDefault="002050AD" w:rsidP="002050AD">
            <w:pPr>
              <w:pStyle w:val="AERtabletextleft"/>
            </w:pPr>
            <w:r w:rsidRPr="002050AD">
              <w:t xml:space="preserve">Leasehold improvements </w:t>
            </w:r>
          </w:p>
        </w:tc>
        <w:tc>
          <w:tcPr>
            <w:tcW w:w="958"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1.2</w:t>
            </w:r>
          </w:p>
        </w:tc>
        <w:tc>
          <w:tcPr>
            <w:tcW w:w="959"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0.0</w:t>
            </w:r>
          </w:p>
        </w:tc>
        <w:tc>
          <w:tcPr>
            <w:tcW w:w="959"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0.6</w:t>
            </w:r>
          </w:p>
        </w:tc>
        <w:tc>
          <w:tcPr>
            <w:tcW w:w="958"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0.0</w:t>
            </w:r>
          </w:p>
        </w:tc>
        <w:tc>
          <w:tcPr>
            <w:tcW w:w="959"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1.4</w:t>
            </w:r>
          </w:p>
        </w:tc>
        <w:tc>
          <w:tcPr>
            <w:tcW w:w="959"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24.5</w:t>
            </w:r>
          </w:p>
        </w:tc>
      </w:tr>
      <w:tr w:rsidR="002050AD" w:rsidRPr="005F44F8" w:rsidTr="009903B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0" w:type="dxa"/>
            <w:noWrap/>
            <w:hideMark/>
          </w:tcPr>
          <w:p w:rsidR="002050AD" w:rsidRPr="002050AD" w:rsidRDefault="002050AD" w:rsidP="002050AD">
            <w:pPr>
              <w:pStyle w:val="AERtabletextleft"/>
            </w:pPr>
            <w:r w:rsidRPr="002050AD">
              <w:t xml:space="preserve">Low value assets </w:t>
            </w:r>
          </w:p>
        </w:tc>
        <w:tc>
          <w:tcPr>
            <w:tcW w:w="958"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0.0</w:t>
            </w:r>
          </w:p>
        </w:tc>
        <w:tc>
          <w:tcPr>
            <w:tcW w:w="959"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0.0</w:t>
            </w:r>
          </w:p>
        </w:tc>
        <w:tc>
          <w:tcPr>
            <w:tcW w:w="959"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0.0</w:t>
            </w:r>
          </w:p>
        </w:tc>
        <w:tc>
          <w:tcPr>
            <w:tcW w:w="958"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0.0</w:t>
            </w:r>
          </w:p>
        </w:tc>
        <w:tc>
          <w:tcPr>
            <w:tcW w:w="959"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0.0</w:t>
            </w:r>
          </w:p>
        </w:tc>
        <w:tc>
          <w:tcPr>
            <w:tcW w:w="959"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0.0</w:t>
            </w:r>
          </w:p>
        </w:tc>
      </w:tr>
      <w:tr w:rsidR="002050AD" w:rsidRPr="005F44F8" w:rsidTr="009903BE">
        <w:trPr>
          <w:trHeight w:val="300"/>
        </w:trPr>
        <w:tc>
          <w:tcPr>
            <w:cnfStyle w:val="001000000000" w:firstRow="0" w:lastRow="0" w:firstColumn="1" w:lastColumn="0" w:oddVBand="0" w:evenVBand="0" w:oddHBand="0" w:evenHBand="0" w:firstRowFirstColumn="0" w:firstRowLastColumn="0" w:lastRowFirstColumn="0" w:lastRowLastColumn="0"/>
            <w:tcW w:w="3490" w:type="dxa"/>
            <w:noWrap/>
            <w:hideMark/>
          </w:tcPr>
          <w:p w:rsidR="002050AD" w:rsidRPr="002050AD" w:rsidRDefault="002050AD" w:rsidP="002050AD">
            <w:pPr>
              <w:pStyle w:val="AERtabletextleft"/>
            </w:pPr>
            <w:r w:rsidRPr="002050AD">
              <w:t xml:space="preserve">Mobile plant </w:t>
            </w:r>
          </w:p>
        </w:tc>
        <w:tc>
          <w:tcPr>
            <w:tcW w:w="958"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-0.1</w:t>
            </w:r>
          </w:p>
        </w:tc>
        <w:tc>
          <w:tcPr>
            <w:tcW w:w="959"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0.1</w:t>
            </w:r>
          </w:p>
        </w:tc>
        <w:tc>
          <w:tcPr>
            <w:tcW w:w="959"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0.2</w:t>
            </w:r>
          </w:p>
        </w:tc>
        <w:tc>
          <w:tcPr>
            <w:tcW w:w="958"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0.5</w:t>
            </w:r>
          </w:p>
        </w:tc>
        <w:tc>
          <w:tcPr>
            <w:tcW w:w="959"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0.7</w:t>
            </w:r>
          </w:p>
        </w:tc>
        <w:tc>
          <w:tcPr>
            <w:tcW w:w="959"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0.9</w:t>
            </w:r>
          </w:p>
        </w:tc>
      </w:tr>
      <w:tr w:rsidR="002050AD" w:rsidRPr="005F44F8" w:rsidTr="009903B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0" w:type="dxa"/>
            <w:noWrap/>
            <w:hideMark/>
          </w:tcPr>
          <w:p w:rsidR="002050AD" w:rsidRPr="002050AD" w:rsidRDefault="002050AD" w:rsidP="002050AD">
            <w:pPr>
              <w:pStyle w:val="AERtabletextleft"/>
            </w:pPr>
            <w:r w:rsidRPr="002050AD">
              <w:t xml:space="preserve">Vehicles </w:t>
            </w:r>
          </w:p>
        </w:tc>
        <w:tc>
          <w:tcPr>
            <w:tcW w:w="958"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1.1</w:t>
            </w:r>
          </w:p>
        </w:tc>
        <w:tc>
          <w:tcPr>
            <w:tcW w:w="959"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3.4</w:t>
            </w:r>
          </w:p>
        </w:tc>
        <w:tc>
          <w:tcPr>
            <w:tcW w:w="959"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2.7</w:t>
            </w:r>
          </w:p>
        </w:tc>
        <w:tc>
          <w:tcPr>
            <w:tcW w:w="958"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2.0</w:t>
            </w:r>
          </w:p>
        </w:tc>
        <w:tc>
          <w:tcPr>
            <w:tcW w:w="959"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6.5</w:t>
            </w:r>
          </w:p>
        </w:tc>
        <w:tc>
          <w:tcPr>
            <w:tcW w:w="959"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2.4</w:t>
            </w:r>
          </w:p>
        </w:tc>
      </w:tr>
      <w:tr w:rsidR="002050AD" w:rsidRPr="005F44F8" w:rsidTr="009903BE">
        <w:trPr>
          <w:trHeight w:val="300"/>
        </w:trPr>
        <w:tc>
          <w:tcPr>
            <w:cnfStyle w:val="001000000000" w:firstRow="0" w:lastRow="0" w:firstColumn="1" w:lastColumn="0" w:oddVBand="0" w:evenVBand="0" w:oddHBand="0" w:evenHBand="0" w:firstRowFirstColumn="0" w:firstRowLastColumn="0" w:lastRowFirstColumn="0" w:lastRowLastColumn="0"/>
            <w:tcW w:w="3490" w:type="dxa"/>
            <w:noWrap/>
            <w:hideMark/>
          </w:tcPr>
          <w:p w:rsidR="002050AD" w:rsidRPr="002050AD" w:rsidRDefault="002050AD" w:rsidP="002050AD">
            <w:pPr>
              <w:pStyle w:val="AERtabletextleft"/>
            </w:pPr>
            <w:r w:rsidRPr="002050AD">
              <w:t xml:space="preserve">Stock </w:t>
            </w:r>
          </w:p>
        </w:tc>
        <w:tc>
          <w:tcPr>
            <w:tcW w:w="958"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0.0</w:t>
            </w:r>
          </w:p>
        </w:tc>
        <w:tc>
          <w:tcPr>
            <w:tcW w:w="959"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0.0</w:t>
            </w:r>
          </w:p>
        </w:tc>
        <w:tc>
          <w:tcPr>
            <w:tcW w:w="959"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0.0</w:t>
            </w:r>
          </w:p>
        </w:tc>
        <w:tc>
          <w:tcPr>
            <w:tcW w:w="958"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0.0</w:t>
            </w:r>
          </w:p>
        </w:tc>
        <w:tc>
          <w:tcPr>
            <w:tcW w:w="959"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0.0</w:t>
            </w:r>
          </w:p>
        </w:tc>
        <w:tc>
          <w:tcPr>
            <w:tcW w:w="959" w:type="dxa"/>
            <w:noWrap/>
            <w:vAlign w:val="top"/>
            <w:hideMark/>
          </w:tcPr>
          <w:p w:rsidR="002050AD" w:rsidRPr="002050AD" w:rsidRDefault="002050AD" w:rsidP="002050AD">
            <w:pPr>
              <w:pStyle w:val="AERtabletextleft"/>
              <w:cnfStyle w:val="000000000000" w:firstRow="0" w:lastRow="0" w:firstColumn="0" w:lastColumn="0" w:oddVBand="0" w:evenVBand="0" w:oddHBand="0" w:evenHBand="0" w:firstRowFirstColumn="0" w:firstRowLastColumn="0" w:lastRowFirstColumn="0" w:lastRowLastColumn="0"/>
            </w:pPr>
            <w:r w:rsidRPr="002050AD">
              <w:t>0.0</w:t>
            </w:r>
          </w:p>
        </w:tc>
      </w:tr>
      <w:tr w:rsidR="002050AD" w:rsidRPr="005F44F8" w:rsidTr="009903B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0" w:type="dxa"/>
            <w:noWrap/>
            <w:hideMark/>
          </w:tcPr>
          <w:p w:rsidR="002050AD" w:rsidRPr="002050AD" w:rsidRDefault="002050AD" w:rsidP="002050AD">
            <w:pPr>
              <w:pStyle w:val="AERtabletextleft"/>
            </w:pPr>
            <w:r w:rsidRPr="002050AD">
              <w:t xml:space="preserve">Equity raising costs </w:t>
            </w:r>
          </w:p>
        </w:tc>
        <w:tc>
          <w:tcPr>
            <w:tcW w:w="958"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0.0</w:t>
            </w:r>
          </w:p>
        </w:tc>
        <w:tc>
          <w:tcPr>
            <w:tcW w:w="959"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2.1</w:t>
            </w:r>
          </w:p>
        </w:tc>
        <w:tc>
          <w:tcPr>
            <w:tcW w:w="959"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0.0</w:t>
            </w:r>
          </w:p>
        </w:tc>
        <w:tc>
          <w:tcPr>
            <w:tcW w:w="958"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0.0</w:t>
            </w:r>
          </w:p>
        </w:tc>
        <w:tc>
          <w:tcPr>
            <w:tcW w:w="959"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0.0</w:t>
            </w:r>
          </w:p>
        </w:tc>
        <w:tc>
          <w:tcPr>
            <w:tcW w:w="959" w:type="dxa"/>
            <w:noWrap/>
            <w:vAlign w:val="top"/>
            <w:hideMark/>
          </w:tcPr>
          <w:p w:rsidR="002050AD" w:rsidRPr="002050AD" w:rsidRDefault="002050AD" w:rsidP="002050AD">
            <w:pPr>
              <w:pStyle w:val="AERtabletextleft"/>
              <w:cnfStyle w:val="000000010000" w:firstRow="0" w:lastRow="0" w:firstColumn="0" w:lastColumn="0" w:oddVBand="0" w:evenVBand="0" w:oddHBand="0" w:evenHBand="1" w:firstRowFirstColumn="0" w:firstRowLastColumn="0" w:lastRowFirstColumn="0" w:lastRowLastColumn="0"/>
            </w:pPr>
            <w:r w:rsidRPr="002050AD">
              <w:t>0.0</w:t>
            </w:r>
          </w:p>
        </w:tc>
      </w:tr>
      <w:tr w:rsidR="00F674AC" w:rsidRPr="005F44F8" w:rsidTr="009903BE">
        <w:trPr>
          <w:trHeight w:val="300"/>
        </w:trPr>
        <w:tc>
          <w:tcPr>
            <w:cnfStyle w:val="001000000000" w:firstRow="0" w:lastRow="0" w:firstColumn="1" w:lastColumn="0" w:oddVBand="0" w:evenVBand="0" w:oddHBand="0" w:evenHBand="0" w:firstRowFirstColumn="0" w:firstRowLastColumn="0" w:lastRowFirstColumn="0" w:lastRowLastColumn="0"/>
            <w:tcW w:w="3490" w:type="dxa"/>
            <w:noWrap/>
            <w:hideMark/>
          </w:tcPr>
          <w:p w:rsidR="00F674AC" w:rsidRPr="006D1810" w:rsidRDefault="00F674AC" w:rsidP="009903BE">
            <w:pPr>
              <w:pStyle w:val="AERtabletextleft"/>
            </w:pPr>
            <w:r w:rsidRPr="006D1810">
              <w:t xml:space="preserve">Total </w:t>
            </w:r>
          </w:p>
        </w:tc>
        <w:tc>
          <w:tcPr>
            <w:tcW w:w="958" w:type="dxa"/>
            <w:noWrap/>
            <w:vAlign w:val="top"/>
            <w:hideMark/>
          </w:tcPr>
          <w:p w:rsidR="00F674AC" w:rsidRPr="006D1810" w:rsidRDefault="00F674AC" w:rsidP="002050AD">
            <w:pPr>
              <w:pStyle w:val="AERtabletextleft"/>
              <w:cnfStyle w:val="000000000000" w:firstRow="0" w:lastRow="0" w:firstColumn="0" w:lastColumn="0" w:oddVBand="0" w:evenVBand="0" w:oddHBand="0" w:evenHBand="0" w:firstRowFirstColumn="0" w:firstRowLastColumn="0" w:lastRowFirstColumn="0" w:lastRowLastColumn="0"/>
            </w:pPr>
            <w:r w:rsidRPr="006D1810">
              <w:t>96.</w:t>
            </w:r>
            <w:r w:rsidR="002050AD">
              <w:t>9</w:t>
            </w:r>
            <w:r w:rsidRPr="006D1810">
              <w:t xml:space="preserve"> </w:t>
            </w:r>
          </w:p>
        </w:tc>
        <w:tc>
          <w:tcPr>
            <w:tcW w:w="959" w:type="dxa"/>
            <w:noWrap/>
            <w:vAlign w:val="top"/>
            <w:hideMark/>
          </w:tcPr>
          <w:p w:rsidR="00F674AC" w:rsidRPr="006D1810" w:rsidRDefault="00F674AC" w:rsidP="002050AD">
            <w:pPr>
              <w:pStyle w:val="AERtabletextleft"/>
              <w:cnfStyle w:val="000000000000" w:firstRow="0" w:lastRow="0" w:firstColumn="0" w:lastColumn="0" w:oddVBand="0" w:evenVBand="0" w:oddHBand="0" w:evenHBand="0" w:firstRowFirstColumn="0" w:firstRowLastColumn="0" w:lastRowFirstColumn="0" w:lastRowLastColumn="0"/>
            </w:pPr>
            <w:r w:rsidRPr="006D1810">
              <w:t xml:space="preserve">154.5 </w:t>
            </w:r>
          </w:p>
        </w:tc>
        <w:tc>
          <w:tcPr>
            <w:tcW w:w="959" w:type="dxa"/>
            <w:noWrap/>
            <w:vAlign w:val="top"/>
            <w:hideMark/>
          </w:tcPr>
          <w:p w:rsidR="00F674AC" w:rsidRPr="006D1810" w:rsidRDefault="00F674AC" w:rsidP="002050AD">
            <w:pPr>
              <w:pStyle w:val="AERtabletextleft"/>
              <w:cnfStyle w:val="000000000000" w:firstRow="0" w:lastRow="0" w:firstColumn="0" w:lastColumn="0" w:oddVBand="0" w:evenVBand="0" w:oddHBand="0" w:evenHBand="0" w:firstRowFirstColumn="0" w:firstRowLastColumn="0" w:lastRowFirstColumn="0" w:lastRowLastColumn="0"/>
            </w:pPr>
            <w:r w:rsidRPr="006D1810">
              <w:t xml:space="preserve">168.1 </w:t>
            </w:r>
          </w:p>
        </w:tc>
        <w:tc>
          <w:tcPr>
            <w:tcW w:w="958" w:type="dxa"/>
            <w:noWrap/>
            <w:vAlign w:val="top"/>
            <w:hideMark/>
          </w:tcPr>
          <w:p w:rsidR="00F674AC" w:rsidRPr="006D1810" w:rsidRDefault="00F674AC" w:rsidP="002050AD">
            <w:pPr>
              <w:pStyle w:val="AERtabletextleft"/>
              <w:cnfStyle w:val="000000000000" w:firstRow="0" w:lastRow="0" w:firstColumn="0" w:lastColumn="0" w:oddVBand="0" w:evenVBand="0" w:oddHBand="0" w:evenHBand="0" w:firstRowFirstColumn="0" w:firstRowLastColumn="0" w:lastRowFirstColumn="0" w:lastRowLastColumn="0"/>
            </w:pPr>
            <w:r w:rsidRPr="006D1810">
              <w:t>128.32</w:t>
            </w:r>
          </w:p>
        </w:tc>
        <w:tc>
          <w:tcPr>
            <w:tcW w:w="959" w:type="dxa"/>
            <w:noWrap/>
            <w:vAlign w:val="top"/>
            <w:hideMark/>
          </w:tcPr>
          <w:p w:rsidR="00F674AC" w:rsidRPr="006D1810" w:rsidRDefault="00F674AC" w:rsidP="002050AD">
            <w:pPr>
              <w:pStyle w:val="AERtabletextleft"/>
              <w:cnfStyle w:val="000000000000" w:firstRow="0" w:lastRow="0" w:firstColumn="0" w:lastColumn="0" w:oddVBand="0" w:evenVBand="0" w:oddHBand="0" w:evenHBand="0" w:firstRowFirstColumn="0" w:firstRowLastColumn="0" w:lastRowFirstColumn="0" w:lastRowLastColumn="0"/>
            </w:pPr>
            <w:r w:rsidRPr="006D1810">
              <w:t xml:space="preserve">178.5 </w:t>
            </w:r>
          </w:p>
        </w:tc>
        <w:tc>
          <w:tcPr>
            <w:tcW w:w="959" w:type="dxa"/>
            <w:noWrap/>
            <w:vAlign w:val="top"/>
            <w:hideMark/>
          </w:tcPr>
          <w:p w:rsidR="00F674AC" w:rsidRPr="006D1810" w:rsidRDefault="00F674AC" w:rsidP="002050AD">
            <w:pPr>
              <w:pStyle w:val="AERtabletextleft"/>
              <w:cnfStyle w:val="000000000000" w:firstRow="0" w:lastRow="0" w:firstColumn="0" w:lastColumn="0" w:oddVBand="0" w:evenVBand="0" w:oddHBand="0" w:evenHBand="0" w:firstRowFirstColumn="0" w:firstRowLastColumn="0" w:lastRowFirstColumn="0" w:lastRowLastColumn="0"/>
            </w:pPr>
            <w:r w:rsidRPr="006D1810">
              <w:t>238.</w:t>
            </w:r>
            <w:r w:rsidR="002050AD">
              <w:t>9</w:t>
            </w:r>
            <w:r w:rsidRPr="006D1810">
              <w:t xml:space="preserve"> </w:t>
            </w:r>
          </w:p>
        </w:tc>
      </w:tr>
    </w:tbl>
    <w:p w:rsidR="00F674AC" w:rsidRDefault="00F674AC" w:rsidP="00F674AC">
      <w:pPr>
        <w:pStyle w:val="AERtablesource"/>
      </w:pPr>
      <w:r w:rsidRPr="00F73C2D">
        <w:rPr>
          <w:rFonts w:eastAsia="Calibri"/>
        </w:rPr>
        <w:lastRenderedPageBreak/>
        <w:t xml:space="preserve">Source: </w:t>
      </w:r>
      <w:r w:rsidRPr="00F73C2D">
        <w:rPr>
          <w:rFonts w:eastAsia="Calibri"/>
        </w:rPr>
        <w:tab/>
      </w:r>
      <w:r>
        <w:rPr>
          <w:rFonts w:eastAsia="Calibri"/>
        </w:rPr>
        <w:t>JGN</w:t>
      </w:r>
      <w:r>
        <w:t xml:space="preserve">, </w:t>
      </w:r>
      <w:r w:rsidR="00C962E2" w:rsidRPr="00096123">
        <w:rPr>
          <w:rStyle w:val="AERtextitalic"/>
        </w:rPr>
        <w:t>2015–2020 access arrangement information</w:t>
      </w:r>
      <w:r w:rsidR="00C962E2">
        <w:rPr>
          <w:rStyle w:val="AERtextitalic"/>
        </w:rPr>
        <w:t xml:space="preserve"> </w:t>
      </w:r>
      <w:r>
        <w:rPr>
          <w:rStyle w:val="AERtextitalic"/>
        </w:rPr>
        <w:t>Appendix 12.1 Revenue model</w:t>
      </w:r>
      <w:r>
        <w:t>, June 2014.</w:t>
      </w:r>
      <w:r w:rsidRPr="003B4554">
        <w:t xml:space="preserve"> </w:t>
      </w:r>
      <w:r>
        <w:t xml:space="preserve">Please refer to </w:t>
      </w:r>
      <w:r w:rsidRPr="003B4554">
        <w:rPr>
          <w:rFonts w:eastAsia="Calibri"/>
        </w:rPr>
        <w:t>JGN</w:t>
      </w:r>
      <w:r>
        <w:t xml:space="preserve">, </w:t>
      </w:r>
      <w:r w:rsidR="00C962E2" w:rsidRPr="00096123">
        <w:rPr>
          <w:rStyle w:val="AERtextitalic"/>
        </w:rPr>
        <w:t>2015–2020 access arrangement information</w:t>
      </w:r>
      <w:r w:rsidR="00C962E2">
        <w:t xml:space="preserve"> June 20</w:t>
      </w:r>
      <w:r>
        <w:t xml:space="preserve">14, chapter 6, pp. 41–69 for explanation of the terms used for each asset class in this table.   </w:t>
      </w:r>
    </w:p>
    <w:p w:rsidR="00F674AC" w:rsidRDefault="00F674AC" w:rsidP="00F674AC">
      <w:pPr>
        <w:pStyle w:val="Heading3"/>
        <w:numPr>
          <w:ilvl w:val="3"/>
          <w:numId w:val="8"/>
        </w:numPr>
      </w:pPr>
      <w:bookmarkStart w:id="29" w:name="_Toc404157798"/>
      <w:bookmarkStart w:id="30" w:name="_Toc404158161"/>
      <w:bookmarkStart w:id="31" w:name="_Toc404256800"/>
      <w:r w:rsidRPr="00302937">
        <w:t>Adjustment to the capital base for inflation in the 20</w:t>
      </w:r>
      <w:r>
        <w:t>10</w:t>
      </w:r>
      <w:r w:rsidRPr="00302937">
        <w:t>–1</w:t>
      </w:r>
      <w:r>
        <w:t>5</w:t>
      </w:r>
      <w:r w:rsidRPr="00302937">
        <w:t xml:space="preserve"> access arrangement period</w:t>
      </w:r>
      <w:bookmarkEnd w:id="29"/>
      <w:bookmarkEnd w:id="30"/>
      <w:bookmarkEnd w:id="31"/>
    </w:p>
    <w:p w:rsidR="00F674AC" w:rsidRPr="0008623E" w:rsidRDefault="00F674AC" w:rsidP="00F674AC">
      <w:pPr>
        <w:pStyle w:val="AERbodytext"/>
      </w:pPr>
      <w:r>
        <w:t>JGN</w:t>
      </w:r>
      <w:r w:rsidRPr="0008623E">
        <w:t xml:space="preserve"> propose</w:t>
      </w:r>
      <w:r>
        <w:t>d</w:t>
      </w:r>
      <w:r w:rsidRPr="0008623E">
        <w:t xml:space="preserve"> to account for inflation</w:t>
      </w:r>
      <w:r w:rsidRPr="002B63AA">
        <w:t xml:space="preserve"> </w:t>
      </w:r>
      <w:r>
        <w:t xml:space="preserve">in the earlier access </w:t>
      </w:r>
      <w:r w:rsidRPr="002B63AA">
        <w:t>arrangement period</w:t>
      </w:r>
      <w:r w:rsidRPr="0008623E">
        <w:t xml:space="preserve"> by indexing the capital base. </w:t>
      </w:r>
      <w:r>
        <w:t xml:space="preserve">JGN used actual Australian Bureau of Statistics' December to December annual inflation values for 2009–10 to 2013–14, and the </w:t>
      </w:r>
      <w:r w:rsidRPr="002B63AA">
        <w:t>Reserve Bank of</w:t>
      </w:r>
      <w:r>
        <w:t xml:space="preserve"> Australia’s (RBA) </w:t>
      </w:r>
      <w:r w:rsidRPr="00C06BD9">
        <w:rPr>
          <w:rStyle w:val="AERtextitalic"/>
        </w:rPr>
        <w:t>Statement of monetary policy</w:t>
      </w:r>
      <w:r w:rsidRPr="002B63AA">
        <w:t xml:space="preserve"> </w:t>
      </w:r>
      <w:r>
        <w:t>inflation forecast for 2014–15 to calculate inflation indexation for the capital base roll forward. JGN stated that t</w:t>
      </w:r>
      <w:r w:rsidRPr="0008623E">
        <w:t xml:space="preserve">his </w:t>
      </w:r>
      <w:r>
        <w:t xml:space="preserve">approach </w:t>
      </w:r>
      <w:r w:rsidRPr="0008623E">
        <w:t>is consis</w:t>
      </w:r>
      <w:r>
        <w:t xml:space="preserve">tent with the approach taken in </w:t>
      </w:r>
      <w:r w:rsidRPr="0008623E">
        <w:t xml:space="preserve">past revisions of </w:t>
      </w:r>
      <w:r>
        <w:t>JGN's access arrangement and</w:t>
      </w:r>
      <w:r w:rsidRPr="0008623E">
        <w:t xml:space="preserve"> with the NGR.</w:t>
      </w:r>
      <w:r>
        <w:rPr>
          <w:rStyle w:val="FootnoteReference"/>
        </w:rPr>
        <w:footnoteReference w:id="10"/>
      </w:r>
    </w:p>
    <w:p w:rsidR="00F674AC" w:rsidRDefault="00F674AC" w:rsidP="00F674AC">
      <w:pPr>
        <w:pStyle w:val="Heading3"/>
        <w:numPr>
          <w:ilvl w:val="3"/>
          <w:numId w:val="8"/>
        </w:numPr>
      </w:pPr>
      <w:bookmarkStart w:id="32" w:name="_Toc404157799"/>
      <w:bookmarkStart w:id="33" w:name="_Toc404158162"/>
      <w:bookmarkStart w:id="34" w:name="_Toc404256801"/>
      <w:r w:rsidRPr="00302937">
        <w:t>Depreciation in the 20</w:t>
      </w:r>
      <w:r>
        <w:t>10</w:t>
      </w:r>
      <w:r w:rsidRPr="00302937">
        <w:t>–1</w:t>
      </w:r>
      <w:r>
        <w:t>5</w:t>
      </w:r>
      <w:r w:rsidRPr="00302937">
        <w:t xml:space="preserve"> access arrangement period</w:t>
      </w:r>
      <w:bookmarkEnd w:id="32"/>
      <w:bookmarkEnd w:id="33"/>
      <w:bookmarkEnd w:id="34"/>
    </w:p>
    <w:p w:rsidR="00F674AC" w:rsidRPr="00B406D4" w:rsidRDefault="00F674AC" w:rsidP="00F674AC">
      <w:pPr>
        <w:pStyle w:val="AERbodytext"/>
        <w:rPr>
          <w:rStyle w:val="AERbody"/>
          <w:rFonts w:eastAsia="Calibri"/>
        </w:rPr>
      </w:pPr>
      <w:r w:rsidRPr="00B406D4">
        <w:rPr>
          <w:rStyle w:val="AERbody"/>
        </w:rPr>
        <w:t>J</w:t>
      </w:r>
      <w:r>
        <w:rPr>
          <w:rStyle w:val="AERbody"/>
        </w:rPr>
        <w:t>GN</w:t>
      </w:r>
      <w:r w:rsidRPr="00B406D4">
        <w:rPr>
          <w:rStyle w:val="AERbody"/>
        </w:rPr>
        <w:t xml:space="preserve"> proposed to deduct forecast depreciation (</w:t>
      </w:r>
      <w:r>
        <w:rPr>
          <w:rStyle w:val="AERbody"/>
        </w:rPr>
        <w:t xml:space="preserve">as </w:t>
      </w:r>
      <w:r w:rsidRPr="00B406D4">
        <w:rPr>
          <w:rStyle w:val="AERbody"/>
        </w:rPr>
        <w:t>approved in the 2010 access arrangement) in rolling forward its capital base from 2010</w:t>
      </w:r>
      <w:r w:rsidRPr="00B406D4">
        <w:rPr>
          <w:rStyle w:val="AERbody"/>
          <w:rFonts w:hint="eastAsia"/>
        </w:rPr>
        <w:t>–</w:t>
      </w:r>
      <w:r w:rsidRPr="00B406D4">
        <w:rPr>
          <w:rStyle w:val="AERbody"/>
        </w:rPr>
        <w:t>11 to 2014</w:t>
      </w:r>
      <w:r w:rsidRPr="00B406D4">
        <w:rPr>
          <w:rStyle w:val="AERbody"/>
          <w:rFonts w:hint="eastAsia"/>
        </w:rPr>
        <w:t>–</w:t>
      </w:r>
      <w:r w:rsidRPr="00B406D4">
        <w:rPr>
          <w:rStyle w:val="AERbody"/>
        </w:rPr>
        <w:t xml:space="preserve">15 in accordance with clause 3.1(c) of its 2010 access arrangement. </w:t>
      </w:r>
    </w:p>
    <w:p w:rsidR="00F674AC" w:rsidRPr="00302937" w:rsidRDefault="00F674AC" w:rsidP="00F674AC">
      <w:pPr>
        <w:pStyle w:val="Heading3"/>
        <w:numPr>
          <w:ilvl w:val="3"/>
          <w:numId w:val="8"/>
        </w:numPr>
        <w:rPr>
          <w:rFonts w:eastAsia="Calibri"/>
        </w:rPr>
      </w:pPr>
      <w:bookmarkStart w:id="35" w:name="_Toc404157800"/>
      <w:bookmarkStart w:id="36" w:name="_Toc404158163"/>
      <w:bookmarkStart w:id="37" w:name="_Toc404256802"/>
      <w:r w:rsidRPr="00302937">
        <w:rPr>
          <w:rFonts w:eastAsia="Calibri"/>
        </w:rPr>
        <w:t>Projected capital base over the 20</w:t>
      </w:r>
      <w:r>
        <w:rPr>
          <w:rFonts w:eastAsia="Calibri"/>
        </w:rPr>
        <w:t>15</w:t>
      </w:r>
      <w:r w:rsidRPr="00302937">
        <w:rPr>
          <w:rFonts w:eastAsia="Calibri"/>
        </w:rPr>
        <w:t>–</w:t>
      </w:r>
      <w:r>
        <w:rPr>
          <w:rFonts w:eastAsia="Calibri"/>
        </w:rPr>
        <w:t>20</w:t>
      </w:r>
      <w:r w:rsidRPr="00302937">
        <w:rPr>
          <w:rFonts w:eastAsia="Calibri"/>
        </w:rPr>
        <w:t xml:space="preserve"> access arrangement period</w:t>
      </w:r>
      <w:bookmarkEnd w:id="35"/>
      <w:bookmarkEnd w:id="36"/>
      <w:bookmarkEnd w:id="37"/>
    </w:p>
    <w:p w:rsidR="00F674AC" w:rsidRPr="00F60627" w:rsidRDefault="00F674AC" w:rsidP="00F674AC">
      <w:pPr>
        <w:pStyle w:val="AERbodytext"/>
        <w:rPr>
          <w:rFonts w:eastAsia="Calibri"/>
        </w:rPr>
      </w:pPr>
      <w:r>
        <w:rPr>
          <w:rFonts w:eastAsia="Calibri"/>
        </w:rPr>
        <w:t>JGN</w:t>
      </w:r>
      <w:r w:rsidRPr="00F60627">
        <w:rPr>
          <w:rFonts w:eastAsia="Calibri"/>
        </w:rPr>
        <w:t xml:space="preserve"> proposed a projected closing capital base as at 3</w:t>
      </w:r>
      <w:r>
        <w:rPr>
          <w:rFonts w:eastAsia="Calibri"/>
        </w:rPr>
        <w:t>0</w:t>
      </w:r>
      <w:r w:rsidRPr="00F60627">
        <w:rPr>
          <w:rFonts w:eastAsia="Calibri"/>
        </w:rPr>
        <w:t xml:space="preserve"> </w:t>
      </w:r>
      <w:r>
        <w:rPr>
          <w:rFonts w:eastAsia="Calibri"/>
        </w:rPr>
        <w:t>June</w:t>
      </w:r>
      <w:r w:rsidRPr="00F60627">
        <w:rPr>
          <w:rFonts w:eastAsia="Calibri"/>
        </w:rPr>
        <w:t xml:space="preserve"> 20</w:t>
      </w:r>
      <w:r>
        <w:rPr>
          <w:rFonts w:eastAsia="Calibri"/>
        </w:rPr>
        <w:t>20</w:t>
      </w:r>
      <w:r w:rsidRPr="00F60627">
        <w:rPr>
          <w:rFonts w:eastAsia="Calibri"/>
        </w:rPr>
        <w:t xml:space="preserve"> of $</w:t>
      </w:r>
      <w:r>
        <w:rPr>
          <w:rFonts w:eastAsia="Calibri"/>
        </w:rPr>
        <w:t>3810</w:t>
      </w:r>
      <w:r w:rsidRPr="00F60627">
        <w:rPr>
          <w:rFonts w:eastAsia="Calibri"/>
        </w:rPr>
        <w:t>.</w:t>
      </w:r>
      <w:r>
        <w:rPr>
          <w:rFonts w:eastAsia="Calibri"/>
        </w:rPr>
        <w:t>2</w:t>
      </w:r>
      <w:r w:rsidRPr="00F60627">
        <w:rPr>
          <w:rFonts w:eastAsia="Calibri"/>
        </w:rPr>
        <w:t> million ($nominal). The projected roll forward of the capital base during the 201</w:t>
      </w:r>
      <w:r>
        <w:rPr>
          <w:rFonts w:eastAsia="Calibri"/>
        </w:rPr>
        <w:t>5</w:t>
      </w:r>
      <w:r w:rsidRPr="00F60627">
        <w:rPr>
          <w:rFonts w:eastAsia="Calibri"/>
        </w:rPr>
        <w:t>–</w:t>
      </w:r>
      <w:r>
        <w:rPr>
          <w:rFonts w:eastAsia="Calibri"/>
        </w:rPr>
        <w:t>20</w:t>
      </w:r>
      <w:r w:rsidRPr="00F60627">
        <w:rPr>
          <w:rFonts w:eastAsia="Calibri"/>
        </w:rPr>
        <w:t xml:space="preserve"> access arrangement </w:t>
      </w:r>
      <w:proofErr w:type="gramStart"/>
      <w:r w:rsidRPr="00F60627">
        <w:rPr>
          <w:rFonts w:eastAsia="Calibri"/>
        </w:rPr>
        <w:t>period</w:t>
      </w:r>
      <w:proofErr w:type="gramEnd"/>
      <w:r w:rsidRPr="00F60627">
        <w:rPr>
          <w:rFonts w:eastAsia="Calibri"/>
        </w:rPr>
        <w:t xml:space="preserve"> is shown in</w:t>
      </w:r>
      <w:r>
        <w:t xml:space="preserve"> </w:t>
      </w:r>
      <w:r>
        <w:fldChar w:fldCharType="begin"/>
      </w:r>
      <w:r>
        <w:instrText xml:space="preserve"> REF _Ref398219730 \h </w:instrText>
      </w:r>
      <w:r>
        <w:fldChar w:fldCharType="separate"/>
      </w:r>
      <w:r w:rsidR="00752809">
        <w:t xml:space="preserve">Table </w:t>
      </w:r>
      <w:r w:rsidR="00752809">
        <w:rPr>
          <w:noProof/>
        </w:rPr>
        <w:t>2</w:t>
      </w:r>
      <w:r w:rsidR="00752809">
        <w:noBreakHyphen/>
      </w:r>
      <w:r w:rsidR="00752809">
        <w:rPr>
          <w:noProof/>
        </w:rPr>
        <w:t>5</w:t>
      </w:r>
      <w:r>
        <w:fldChar w:fldCharType="end"/>
      </w:r>
      <w:r w:rsidRPr="00F60627">
        <w:rPr>
          <w:rFonts w:eastAsia="Calibri"/>
        </w:rPr>
        <w:t xml:space="preserve">. </w:t>
      </w:r>
      <w:r>
        <w:rPr>
          <w:rFonts w:eastAsia="Calibri"/>
        </w:rPr>
        <w:t>JGN</w:t>
      </w:r>
      <w:r w:rsidRPr="00F60627">
        <w:rPr>
          <w:rFonts w:eastAsia="Calibri"/>
        </w:rPr>
        <w:t xml:space="preserve"> has included in its capital base projection:</w:t>
      </w:r>
    </w:p>
    <w:p w:rsidR="00F674AC" w:rsidRPr="00F60627" w:rsidRDefault="00F674AC" w:rsidP="00F674AC">
      <w:pPr>
        <w:pStyle w:val="AERbulletlistfirststyle"/>
        <w:rPr>
          <w:rFonts w:eastAsia="Calibri"/>
        </w:rPr>
      </w:pPr>
      <w:r>
        <w:rPr>
          <w:rFonts w:eastAsia="Calibri"/>
        </w:rPr>
        <w:t>forecast inflation of 2.55</w:t>
      </w:r>
      <w:r w:rsidRPr="00F60627">
        <w:rPr>
          <w:rFonts w:eastAsia="Calibri"/>
        </w:rPr>
        <w:t xml:space="preserve"> per cent per annum</w:t>
      </w:r>
      <w:r w:rsidRPr="00F60627">
        <w:rPr>
          <w:rStyle w:val="FootnoteReference"/>
          <w:rFonts w:eastAsia="Calibri"/>
        </w:rPr>
        <w:footnoteReference w:id="11"/>
      </w:r>
    </w:p>
    <w:p w:rsidR="00F674AC" w:rsidRPr="00F60627" w:rsidRDefault="00F674AC" w:rsidP="00F674AC">
      <w:pPr>
        <w:pStyle w:val="AERbulletlistfirststyle"/>
        <w:rPr>
          <w:rFonts w:eastAsia="Calibri"/>
        </w:rPr>
      </w:pPr>
      <w:proofErr w:type="gramStart"/>
      <w:r w:rsidRPr="00F60627">
        <w:rPr>
          <w:rFonts w:eastAsia="Calibri"/>
        </w:rPr>
        <w:t>forecast</w:t>
      </w:r>
      <w:proofErr w:type="gramEnd"/>
      <w:r w:rsidRPr="00F60627">
        <w:rPr>
          <w:rFonts w:eastAsia="Calibri"/>
        </w:rPr>
        <w:t xml:space="preserve"> </w:t>
      </w:r>
      <w:r>
        <w:rPr>
          <w:rFonts w:eastAsia="Calibri"/>
        </w:rPr>
        <w:t xml:space="preserve">real </w:t>
      </w:r>
      <w:r w:rsidRPr="00F60627">
        <w:rPr>
          <w:rFonts w:eastAsia="Calibri"/>
        </w:rPr>
        <w:t>straight-line depreciation</w:t>
      </w:r>
      <w:r>
        <w:rPr>
          <w:rFonts w:eastAsia="Calibri"/>
        </w:rPr>
        <w:t>, which</w:t>
      </w:r>
      <w:r w:rsidRPr="00B942E6">
        <w:rPr>
          <w:rFonts w:eastAsia="Calibri"/>
        </w:rPr>
        <w:t xml:space="preserve"> is discussed in </w:t>
      </w:r>
      <w:r w:rsidRPr="00785ED3">
        <w:rPr>
          <w:rStyle w:val="AERbody"/>
          <w:rFonts w:eastAsia="Calibri"/>
        </w:rPr>
        <w:t>more detail in  attachment 5.</w:t>
      </w:r>
      <w:r w:rsidR="005525B4" w:rsidRPr="005525B4">
        <w:rPr>
          <w:rStyle w:val="FootnoteReference"/>
          <w:rFonts w:eastAsia="Calibri"/>
        </w:rPr>
        <w:footnoteReference w:id="12"/>
      </w:r>
      <w:r>
        <w:rPr>
          <w:rFonts w:eastAsia="Calibri"/>
        </w:rPr>
        <w:t xml:space="preserve"> </w:t>
      </w:r>
      <w:r>
        <w:t>JGN</w:t>
      </w:r>
      <w:r w:rsidRPr="007F063B">
        <w:t xml:space="preserve"> proposed to use this forecast </w:t>
      </w:r>
      <w:r>
        <w:t xml:space="preserve">real </w:t>
      </w:r>
      <w:r w:rsidRPr="007F063B">
        <w:t>straight-line depreciation to determine the roll forward of the opening capital base at the next access arrangement review for the access arrangement period</w:t>
      </w:r>
      <w:r>
        <w:t xml:space="preserve"> beginning on 1 July 2020.</w:t>
      </w:r>
      <w:r>
        <w:rPr>
          <w:rStyle w:val="FootnoteReference"/>
        </w:rPr>
        <w:footnoteReference w:id="13"/>
      </w:r>
    </w:p>
    <w:p w:rsidR="00F674AC" w:rsidRDefault="00F674AC" w:rsidP="00F674AC">
      <w:pPr>
        <w:pStyle w:val="Caption"/>
      </w:pPr>
      <w:bookmarkStart w:id="38" w:name="_Ref398219730"/>
      <w:bookmarkStart w:id="39" w:name="_Ref329098245"/>
      <w:r>
        <w:t xml:space="preserve">Table </w:t>
      </w:r>
      <w:fldSimple w:instr=" STYLEREF 1 \s ">
        <w:r w:rsidR="00752809">
          <w:rPr>
            <w:noProof/>
          </w:rPr>
          <w:t>2</w:t>
        </w:r>
      </w:fldSimple>
      <w:r>
        <w:noBreakHyphen/>
      </w:r>
      <w:fldSimple w:instr=" SEQ Table \* ARABIC \s 1 ">
        <w:r w:rsidR="00752809">
          <w:rPr>
            <w:noProof/>
          </w:rPr>
          <w:t>5</w:t>
        </w:r>
      </w:fldSimple>
      <w:bookmarkEnd w:id="38"/>
      <w:r>
        <w:tab/>
        <w:t>JGN'</w:t>
      </w:r>
      <w:r w:rsidRPr="00302937">
        <w:t>s proposed projected capital base roll forward during the 201</w:t>
      </w:r>
      <w:r>
        <w:t>5</w:t>
      </w:r>
      <w:r w:rsidRPr="00302937">
        <w:t>–</w:t>
      </w:r>
      <w:r>
        <w:t>20</w:t>
      </w:r>
      <w:r w:rsidRPr="00302937">
        <w:t xml:space="preserve"> access arrangement period ($million, nominal)</w:t>
      </w:r>
      <w:bookmarkEnd w:id="39"/>
    </w:p>
    <w:tbl>
      <w:tblPr>
        <w:tblStyle w:val="AERtable-numbers"/>
        <w:tblW w:w="9180" w:type="dxa"/>
        <w:tblLook w:val="04A0" w:firstRow="1" w:lastRow="0" w:firstColumn="1" w:lastColumn="0" w:noHBand="0" w:noVBand="1"/>
      </w:tblPr>
      <w:tblGrid>
        <w:gridCol w:w="3340"/>
        <w:gridCol w:w="1168"/>
        <w:gridCol w:w="1168"/>
        <w:gridCol w:w="1168"/>
        <w:gridCol w:w="1168"/>
        <w:gridCol w:w="1168"/>
      </w:tblGrid>
      <w:tr w:rsidR="00F674AC" w:rsidRPr="00861D21" w:rsidTr="009903BE">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340" w:type="dxa"/>
            <w:hideMark/>
          </w:tcPr>
          <w:p w:rsidR="00F674AC" w:rsidRPr="00861D21" w:rsidRDefault="00F674AC" w:rsidP="009903BE">
            <w:pPr>
              <w:pStyle w:val="AERtabletextleft"/>
              <w:rPr>
                <w:lang w:eastAsia="en-AU"/>
              </w:rPr>
            </w:pPr>
            <w:r w:rsidRPr="00861D21">
              <w:rPr>
                <w:lang w:eastAsia="en-AU"/>
              </w:rPr>
              <w:t>Details</w:t>
            </w:r>
          </w:p>
        </w:tc>
        <w:tc>
          <w:tcPr>
            <w:tcW w:w="1168" w:type="dxa"/>
            <w:hideMark/>
          </w:tcPr>
          <w:p w:rsidR="00F674AC" w:rsidRPr="00861D21" w:rsidRDefault="00F674AC" w:rsidP="009903BE">
            <w:pPr>
              <w:pStyle w:val="AERtabletextleft"/>
              <w:cnfStyle w:val="100000000000" w:firstRow="1" w:lastRow="0" w:firstColumn="0" w:lastColumn="0" w:oddVBand="0" w:evenVBand="0" w:oddHBand="0" w:evenHBand="0" w:firstRowFirstColumn="0" w:firstRowLastColumn="0" w:lastRowFirstColumn="0" w:lastRowLastColumn="0"/>
              <w:rPr>
                <w:lang w:eastAsia="en-AU"/>
              </w:rPr>
            </w:pPr>
            <w:r w:rsidRPr="00861D21">
              <w:rPr>
                <w:lang w:eastAsia="en-AU"/>
              </w:rPr>
              <w:t>2015-16</w:t>
            </w:r>
          </w:p>
        </w:tc>
        <w:tc>
          <w:tcPr>
            <w:tcW w:w="1168" w:type="dxa"/>
            <w:hideMark/>
          </w:tcPr>
          <w:p w:rsidR="00F674AC" w:rsidRPr="00861D21" w:rsidRDefault="00F674AC" w:rsidP="009903BE">
            <w:pPr>
              <w:pStyle w:val="AERtabletextleft"/>
              <w:cnfStyle w:val="100000000000" w:firstRow="1" w:lastRow="0" w:firstColumn="0" w:lastColumn="0" w:oddVBand="0" w:evenVBand="0" w:oddHBand="0" w:evenHBand="0" w:firstRowFirstColumn="0" w:firstRowLastColumn="0" w:lastRowFirstColumn="0" w:lastRowLastColumn="0"/>
              <w:rPr>
                <w:lang w:eastAsia="en-AU"/>
              </w:rPr>
            </w:pPr>
            <w:r w:rsidRPr="00861D21">
              <w:rPr>
                <w:lang w:eastAsia="en-AU"/>
              </w:rPr>
              <w:t>2016-17</w:t>
            </w:r>
          </w:p>
        </w:tc>
        <w:tc>
          <w:tcPr>
            <w:tcW w:w="1168" w:type="dxa"/>
            <w:hideMark/>
          </w:tcPr>
          <w:p w:rsidR="00F674AC" w:rsidRPr="00861D21" w:rsidRDefault="00F674AC" w:rsidP="009903BE">
            <w:pPr>
              <w:pStyle w:val="AERtabletextleft"/>
              <w:cnfStyle w:val="100000000000" w:firstRow="1" w:lastRow="0" w:firstColumn="0" w:lastColumn="0" w:oddVBand="0" w:evenVBand="0" w:oddHBand="0" w:evenHBand="0" w:firstRowFirstColumn="0" w:firstRowLastColumn="0" w:lastRowFirstColumn="0" w:lastRowLastColumn="0"/>
              <w:rPr>
                <w:lang w:eastAsia="en-AU"/>
              </w:rPr>
            </w:pPr>
            <w:r w:rsidRPr="00861D21">
              <w:rPr>
                <w:lang w:eastAsia="en-AU"/>
              </w:rPr>
              <w:t>2017-18</w:t>
            </w:r>
          </w:p>
        </w:tc>
        <w:tc>
          <w:tcPr>
            <w:tcW w:w="1168" w:type="dxa"/>
            <w:hideMark/>
          </w:tcPr>
          <w:p w:rsidR="00F674AC" w:rsidRPr="00861D21" w:rsidRDefault="00F674AC" w:rsidP="009903BE">
            <w:pPr>
              <w:pStyle w:val="AERtabletextleft"/>
              <w:cnfStyle w:val="100000000000" w:firstRow="1" w:lastRow="0" w:firstColumn="0" w:lastColumn="0" w:oddVBand="0" w:evenVBand="0" w:oddHBand="0" w:evenHBand="0" w:firstRowFirstColumn="0" w:firstRowLastColumn="0" w:lastRowFirstColumn="0" w:lastRowLastColumn="0"/>
              <w:rPr>
                <w:lang w:eastAsia="en-AU"/>
              </w:rPr>
            </w:pPr>
            <w:r w:rsidRPr="00861D21">
              <w:rPr>
                <w:lang w:eastAsia="en-AU"/>
              </w:rPr>
              <w:t>2018-19</w:t>
            </w:r>
          </w:p>
        </w:tc>
        <w:tc>
          <w:tcPr>
            <w:tcW w:w="1168" w:type="dxa"/>
            <w:hideMark/>
          </w:tcPr>
          <w:p w:rsidR="00F674AC" w:rsidRPr="00861D21" w:rsidRDefault="00F674AC" w:rsidP="009903BE">
            <w:pPr>
              <w:pStyle w:val="AERtabletextleft"/>
              <w:cnfStyle w:val="100000000000" w:firstRow="1" w:lastRow="0" w:firstColumn="0" w:lastColumn="0" w:oddVBand="0" w:evenVBand="0" w:oddHBand="0" w:evenHBand="0" w:firstRowFirstColumn="0" w:firstRowLastColumn="0" w:lastRowFirstColumn="0" w:lastRowLastColumn="0"/>
              <w:rPr>
                <w:lang w:eastAsia="en-AU"/>
              </w:rPr>
            </w:pPr>
            <w:r w:rsidRPr="00861D21">
              <w:rPr>
                <w:lang w:eastAsia="en-AU"/>
              </w:rPr>
              <w:t>2019-20</w:t>
            </w:r>
          </w:p>
        </w:tc>
      </w:tr>
      <w:tr w:rsidR="00F674AC" w:rsidRPr="00861D21" w:rsidTr="009903BE">
        <w:trPr>
          <w:trHeight w:val="240"/>
        </w:trPr>
        <w:tc>
          <w:tcPr>
            <w:cnfStyle w:val="001000000000" w:firstRow="0" w:lastRow="0" w:firstColumn="1" w:lastColumn="0" w:oddVBand="0" w:evenVBand="0" w:oddHBand="0" w:evenHBand="0" w:firstRowFirstColumn="0" w:firstRowLastColumn="0" w:lastRowFirstColumn="0" w:lastRowLastColumn="0"/>
            <w:tcW w:w="3340" w:type="dxa"/>
            <w:hideMark/>
          </w:tcPr>
          <w:p w:rsidR="00F674AC" w:rsidRPr="00861D21" w:rsidRDefault="00F674AC" w:rsidP="009903BE">
            <w:pPr>
              <w:pStyle w:val="AERtabletextleft"/>
              <w:rPr>
                <w:lang w:eastAsia="en-AU"/>
              </w:rPr>
            </w:pPr>
            <w:r w:rsidRPr="00861D21">
              <w:rPr>
                <w:lang w:eastAsia="en-AU"/>
              </w:rPr>
              <w:t xml:space="preserve">Opening </w:t>
            </w:r>
            <w:r>
              <w:t>capital base</w:t>
            </w:r>
          </w:p>
        </w:tc>
        <w:tc>
          <w:tcPr>
            <w:tcW w:w="1168" w:type="dxa"/>
            <w:hideMark/>
          </w:tcPr>
          <w:p w:rsidR="00F674AC" w:rsidRPr="00861D21" w:rsidRDefault="00F674AC" w:rsidP="005525B4">
            <w:pPr>
              <w:pStyle w:val="AERtabletextleft"/>
              <w:cnfStyle w:val="000000000000" w:firstRow="0" w:lastRow="0" w:firstColumn="0" w:lastColumn="0" w:oddVBand="0" w:evenVBand="0" w:oddHBand="0" w:evenHBand="0" w:firstRowFirstColumn="0" w:firstRowLastColumn="0" w:lastRowFirstColumn="0" w:lastRowLastColumn="0"/>
              <w:rPr>
                <w:lang w:eastAsia="en-AU"/>
              </w:rPr>
            </w:pPr>
            <w:r w:rsidRPr="00861D21">
              <w:rPr>
                <w:lang w:eastAsia="en-AU"/>
              </w:rPr>
              <w:t>3,045.</w:t>
            </w:r>
            <w:r w:rsidR="005525B4">
              <w:t>8</w:t>
            </w:r>
          </w:p>
        </w:tc>
        <w:tc>
          <w:tcPr>
            <w:tcW w:w="1168" w:type="dxa"/>
            <w:hideMark/>
          </w:tcPr>
          <w:p w:rsidR="00F674AC" w:rsidRPr="00861D21" w:rsidRDefault="00F674AC" w:rsidP="005525B4">
            <w:pPr>
              <w:pStyle w:val="AERtabletextleft"/>
              <w:cnfStyle w:val="000000000000" w:firstRow="0" w:lastRow="0" w:firstColumn="0" w:lastColumn="0" w:oddVBand="0" w:evenVBand="0" w:oddHBand="0" w:evenHBand="0" w:firstRowFirstColumn="0" w:firstRowLastColumn="0" w:lastRowFirstColumn="0" w:lastRowLastColumn="0"/>
              <w:rPr>
                <w:lang w:eastAsia="en-AU"/>
              </w:rPr>
            </w:pPr>
            <w:r w:rsidRPr="00861D21">
              <w:rPr>
                <w:lang w:eastAsia="en-AU"/>
              </w:rPr>
              <w:t>3,21</w:t>
            </w:r>
            <w:r w:rsidR="005525B4">
              <w:t>5</w:t>
            </w:r>
            <w:r w:rsidRPr="00861D21">
              <w:rPr>
                <w:lang w:eastAsia="en-AU"/>
              </w:rPr>
              <w:t>.</w:t>
            </w:r>
            <w:r w:rsidR="005525B4">
              <w:t>0</w:t>
            </w:r>
          </w:p>
        </w:tc>
        <w:tc>
          <w:tcPr>
            <w:tcW w:w="1168" w:type="dxa"/>
            <w:hideMark/>
          </w:tcPr>
          <w:p w:rsidR="00F674AC" w:rsidRPr="00861D21" w:rsidRDefault="00F674AC" w:rsidP="005525B4">
            <w:pPr>
              <w:pStyle w:val="AERtabletextleft"/>
              <w:cnfStyle w:val="000000000000" w:firstRow="0" w:lastRow="0" w:firstColumn="0" w:lastColumn="0" w:oddVBand="0" w:evenVBand="0" w:oddHBand="0" w:evenHBand="0" w:firstRowFirstColumn="0" w:firstRowLastColumn="0" w:lastRowFirstColumn="0" w:lastRowLastColumn="0"/>
              <w:rPr>
                <w:lang w:eastAsia="en-AU"/>
              </w:rPr>
            </w:pPr>
            <w:r w:rsidRPr="00861D21">
              <w:rPr>
                <w:lang w:eastAsia="en-AU"/>
              </w:rPr>
              <w:t>3,376.4</w:t>
            </w:r>
          </w:p>
        </w:tc>
        <w:tc>
          <w:tcPr>
            <w:tcW w:w="1168" w:type="dxa"/>
            <w:hideMark/>
          </w:tcPr>
          <w:p w:rsidR="00F674AC" w:rsidRPr="00861D21" w:rsidRDefault="00F674AC" w:rsidP="005525B4">
            <w:pPr>
              <w:pStyle w:val="AERtabletextleft"/>
              <w:cnfStyle w:val="000000000000" w:firstRow="0" w:lastRow="0" w:firstColumn="0" w:lastColumn="0" w:oddVBand="0" w:evenVBand="0" w:oddHBand="0" w:evenHBand="0" w:firstRowFirstColumn="0" w:firstRowLastColumn="0" w:lastRowFirstColumn="0" w:lastRowLastColumn="0"/>
              <w:rPr>
                <w:lang w:eastAsia="en-AU"/>
              </w:rPr>
            </w:pPr>
            <w:r w:rsidRPr="00861D21">
              <w:rPr>
                <w:lang w:eastAsia="en-AU"/>
              </w:rPr>
              <w:t>3,544.1</w:t>
            </w:r>
          </w:p>
        </w:tc>
        <w:tc>
          <w:tcPr>
            <w:tcW w:w="1168" w:type="dxa"/>
            <w:hideMark/>
          </w:tcPr>
          <w:p w:rsidR="00F674AC" w:rsidRPr="00861D21" w:rsidRDefault="00F674AC" w:rsidP="005525B4">
            <w:pPr>
              <w:pStyle w:val="AERtabletextleft"/>
              <w:cnfStyle w:val="000000000000" w:firstRow="0" w:lastRow="0" w:firstColumn="0" w:lastColumn="0" w:oddVBand="0" w:evenVBand="0" w:oddHBand="0" w:evenHBand="0" w:firstRowFirstColumn="0" w:firstRowLastColumn="0" w:lastRowFirstColumn="0" w:lastRowLastColumn="0"/>
              <w:rPr>
                <w:lang w:eastAsia="en-AU"/>
              </w:rPr>
            </w:pPr>
            <w:r w:rsidRPr="00861D21">
              <w:rPr>
                <w:lang w:eastAsia="en-AU"/>
              </w:rPr>
              <w:t>3,682.5</w:t>
            </w:r>
          </w:p>
        </w:tc>
      </w:tr>
      <w:tr w:rsidR="00F674AC" w:rsidRPr="00861D21" w:rsidTr="009903BE">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340" w:type="dxa"/>
            <w:hideMark/>
          </w:tcPr>
          <w:p w:rsidR="00F674AC" w:rsidRPr="00861D21" w:rsidRDefault="00F674AC" w:rsidP="009903BE">
            <w:pPr>
              <w:pStyle w:val="AERtabletextleft"/>
              <w:rPr>
                <w:lang w:eastAsia="en-AU"/>
              </w:rPr>
            </w:pPr>
            <w:r>
              <w:t>N</w:t>
            </w:r>
            <w:r w:rsidRPr="00861D21">
              <w:rPr>
                <w:lang w:eastAsia="en-AU"/>
              </w:rPr>
              <w:t>et capex at start of year</w:t>
            </w:r>
          </w:p>
        </w:tc>
        <w:tc>
          <w:tcPr>
            <w:tcW w:w="1168" w:type="dxa"/>
            <w:hideMark/>
          </w:tcPr>
          <w:p w:rsidR="00F674AC" w:rsidRPr="00861D21" w:rsidRDefault="00F674AC" w:rsidP="005525B4">
            <w:pPr>
              <w:pStyle w:val="AERtabletextleft"/>
              <w:cnfStyle w:val="000000010000" w:firstRow="0" w:lastRow="0" w:firstColumn="0" w:lastColumn="0" w:oddVBand="0" w:evenVBand="0" w:oddHBand="0" w:evenHBand="1" w:firstRowFirstColumn="0" w:firstRowLastColumn="0" w:lastRowFirstColumn="0" w:lastRowLastColumn="0"/>
              <w:rPr>
                <w:lang w:eastAsia="en-AU"/>
              </w:rPr>
            </w:pPr>
            <w:r w:rsidRPr="00861D21">
              <w:rPr>
                <w:lang w:eastAsia="en-AU"/>
              </w:rPr>
              <w:t>116.7</w:t>
            </w:r>
          </w:p>
        </w:tc>
        <w:tc>
          <w:tcPr>
            <w:tcW w:w="1168" w:type="dxa"/>
            <w:hideMark/>
          </w:tcPr>
          <w:p w:rsidR="00F674AC" w:rsidRPr="00861D21" w:rsidRDefault="00F674AC" w:rsidP="005525B4">
            <w:pPr>
              <w:pStyle w:val="AERtabletextleft"/>
              <w:cnfStyle w:val="000000010000" w:firstRow="0" w:lastRow="0" w:firstColumn="0" w:lastColumn="0" w:oddVBand="0" w:evenVBand="0" w:oddHBand="0" w:evenHBand="1" w:firstRowFirstColumn="0" w:firstRowLastColumn="0" w:lastRowFirstColumn="0" w:lastRowLastColumn="0"/>
              <w:rPr>
                <w:lang w:eastAsia="en-AU"/>
              </w:rPr>
            </w:pPr>
            <w:r w:rsidRPr="00861D21">
              <w:rPr>
                <w:lang w:eastAsia="en-AU"/>
              </w:rPr>
              <w:t>119.0</w:t>
            </w:r>
          </w:p>
        </w:tc>
        <w:tc>
          <w:tcPr>
            <w:tcW w:w="1168" w:type="dxa"/>
            <w:hideMark/>
          </w:tcPr>
          <w:p w:rsidR="00F674AC" w:rsidRPr="00861D21" w:rsidRDefault="00F674AC" w:rsidP="005525B4">
            <w:pPr>
              <w:pStyle w:val="AERtabletextleft"/>
              <w:cnfStyle w:val="000000010000" w:firstRow="0" w:lastRow="0" w:firstColumn="0" w:lastColumn="0" w:oddVBand="0" w:evenVBand="0" w:oddHBand="0" w:evenHBand="1" w:firstRowFirstColumn="0" w:firstRowLastColumn="0" w:lastRowFirstColumn="0" w:lastRowLastColumn="0"/>
              <w:rPr>
                <w:lang w:eastAsia="en-AU"/>
              </w:rPr>
            </w:pPr>
            <w:r w:rsidRPr="00861D21">
              <w:rPr>
                <w:lang w:eastAsia="en-AU"/>
              </w:rPr>
              <w:t>12</w:t>
            </w:r>
            <w:r w:rsidR="005525B4">
              <w:t>9</w:t>
            </w:r>
            <w:r w:rsidRPr="00861D21">
              <w:rPr>
                <w:lang w:eastAsia="en-AU"/>
              </w:rPr>
              <w:t>.</w:t>
            </w:r>
            <w:r w:rsidR="005525B4">
              <w:t>0</w:t>
            </w:r>
          </w:p>
        </w:tc>
        <w:tc>
          <w:tcPr>
            <w:tcW w:w="1168" w:type="dxa"/>
            <w:hideMark/>
          </w:tcPr>
          <w:p w:rsidR="00F674AC" w:rsidRPr="00861D21" w:rsidRDefault="00F674AC" w:rsidP="005525B4">
            <w:pPr>
              <w:pStyle w:val="AERtabletextleft"/>
              <w:cnfStyle w:val="000000010000" w:firstRow="0" w:lastRow="0" w:firstColumn="0" w:lastColumn="0" w:oddVBand="0" w:evenVBand="0" w:oddHBand="0" w:evenHBand="1" w:firstRowFirstColumn="0" w:firstRowLastColumn="0" w:lastRowFirstColumn="0" w:lastRowLastColumn="0"/>
              <w:rPr>
                <w:lang w:eastAsia="en-AU"/>
              </w:rPr>
            </w:pPr>
            <w:r w:rsidRPr="00861D21">
              <w:rPr>
                <w:lang w:eastAsia="en-AU"/>
              </w:rPr>
              <w:t>119.</w:t>
            </w:r>
            <w:r w:rsidR="005525B4">
              <w:t>9</w:t>
            </w:r>
          </w:p>
        </w:tc>
        <w:tc>
          <w:tcPr>
            <w:tcW w:w="1168" w:type="dxa"/>
            <w:hideMark/>
          </w:tcPr>
          <w:p w:rsidR="00F674AC" w:rsidRPr="00861D21" w:rsidRDefault="00F674AC" w:rsidP="005525B4">
            <w:pPr>
              <w:pStyle w:val="AERtabletextleft"/>
              <w:cnfStyle w:val="000000010000" w:firstRow="0" w:lastRow="0" w:firstColumn="0" w:lastColumn="0" w:oddVBand="0" w:evenVBand="0" w:oddHBand="0" w:evenHBand="1" w:firstRowFirstColumn="0" w:firstRowLastColumn="0" w:lastRowFirstColumn="0" w:lastRowLastColumn="0"/>
              <w:rPr>
                <w:lang w:eastAsia="en-AU"/>
              </w:rPr>
            </w:pPr>
            <w:r w:rsidRPr="00861D21">
              <w:rPr>
                <w:lang w:eastAsia="en-AU"/>
              </w:rPr>
              <w:t>108.8</w:t>
            </w:r>
          </w:p>
        </w:tc>
      </w:tr>
      <w:tr w:rsidR="00F674AC" w:rsidRPr="00861D21" w:rsidTr="009903BE">
        <w:trPr>
          <w:trHeight w:val="240"/>
        </w:trPr>
        <w:tc>
          <w:tcPr>
            <w:cnfStyle w:val="001000000000" w:firstRow="0" w:lastRow="0" w:firstColumn="1" w:lastColumn="0" w:oddVBand="0" w:evenVBand="0" w:oddHBand="0" w:evenHBand="0" w:firstRowFirstColumn="0" w:firstRowLastColumn="0" w:lastRowFirstColumn="0" w:lastRowLastColumn="0"/>
            <w:tcW w:w="3340" w:type="dxa"/>
            <w:hideMark/>
          </w:tcPr>
          <w:p w:rsidR="00F674AC" w:rsidRPr="00861D21" w:rsidRDefault="00F674AC" w:rsidP="009903BE">
            <w:pPr>
              <w:pStyle w:val="AERtabletextleft"/>
              <w:rPr>
                <w:lang w:eastAsia="en-AU"/>
              </w:rPr>
            </w:pPr>
            <w:r>
              <w:t>I</w:t>
            </w:r>
            <w:r w:rsidRPr="00861D21">
              <w:rPr>
                <w:lang w:eastAsia="en-AU"/>
              </w:rPr>
              <w:t>ndexation of assets</w:t>
            </w:r>
          </w:p>
        </w:tc>
        <w:tc>
          <w:tcPr>
            <w:tcW w:w="1168" w:type="dxa"/>
            <w:hideMark/>
          </w:tcPr>
          <w:p w:rsidR="00F674AC" w:rsidRPr="00861D21" w:rsidRDefault="00F674AC" w:rsidP="005525B4">
            <w:pPr>
              <w:pStyle w:val="AERtabletextleft"/>
              <w:cnfStyle w:val="000000000000" w:firstRow="0" w:lastRow="0" w:firstColumn="0" w:lastColumn="0" w:oddVBand="0" w:evenVBand="0" w:oddHBand="0" w:evenHBand="0" w:firstRowFirstColumn="0" w:firstRowLastColumn="0" w:lastRowFirstColumn="0" w:lastRowLastColumn="0"/>
              <w:rPr>
                <w:lang w:eastAsia="en-AU"/>
              </w:rPr>
            </w:pPr>
            <w:r w:rsidRPr="00861D21">
              <w:rPr>
                <w:lang w:eastAsia="en-AU"/>
              </w:rPr>
              <w:t>80.5</w:t>
            </w:r>
          </w:p>
        </w:tc>
        <w:tc>
          <w:tcPr>
            <w:tcW w:w="1168" w:type="dxa"/>
            <w:hideMark/>
          </w:tcPr>
          <w:p w:rsidR="00F674AC" w:rsidRPr="00861D21" w:rsidRDefault="00F674AC" w:rsidP="005525B4">
            <w:pPr>
              <w:pStyle w:val="AERtabletextleft"/>
              <w:cnfStyle w:val="000000000000" w:firstRow="0" w:lastRow="0" w:firstColumn="0" w:lastColumn="0" w:oddVBand="0" w:evenVBand="0" w:oddHBand="0" w:evenHBand="0" w:firstRowFirstColumn="0" w:firstRowLastColumn="0" w:lastRowFirstColumn="0" w:lastRowLastColumn="0"/>
              <w:rPr>
                <w:lang w:eastAsia="en-AU"/>
              </w:rPr>
            </w:pPr>
            <w:r w:rsidRPr="00861D21">
              <w:rPr>
                <w:lang w:eastAsia="en-AU"/>
              </w:rPr>
              <w:t>84.</w:t>
            </w:r>
            <w:r w:rsidR="005525B4">
              <w:t>9</w:t>
            </w:r>
          </w:p>
        </w:tc>
        <w:tc>
          <w:tcPr>
            <w:tcW w:w="1168" w:type="dxa"/>
            <w:hideMark/>
          </w:tcPr>
          <w:p w:rsidR="00F674AC" w:rsidRPr="00861D21" w:rsidRDefault="00F674AC" w:rsidP="005525B4">
            <w:pPr>
              <w:pStyle w:val="AERtabletextleft"/>
              <w:cnfStyle w:val="000000000000" w:firstRow="0" w:lastRow="0" w:firstColumn="0" w:lastColumn="0" w:oddVBand="0" w:evenVBand="0" w:oddHBand="0" w:evenHBand="0" w:firstRowFirstColumn="0" w:firstRowLastColumn="0" w:lastRowFirstColumn="0" w:lastRowLastColumn="0"/>
              <w:rPr>
                <w:lang w:eastAsia="en-AU"/>
              </w:rPr>
            </w:pPr>
            <w:r w:rsidRPr="00861D21">
              <w:rPr>
                <w:lang w:eastAsia="en-AU"/>
              </w:rPr>
              <w:t>89.2</w:t>
            </w:r>
          </w:p>
        </w:tc>
        <w:tc>
          <w:tcPr>
            <w:tcW w:w="1168" w:type="dxa"/>
            <w:hideMark/>
          </w:tcPr>
          <w:p w:rsidR="00F674AC" w:rsidRPr="00861D21" w:rsidRDefault="00F674AC" w:rsidP="005525B4">
            <w:pPr>
              <w:pStyle w:val="AERtabletextleft"/>
              <w:cnfStyle w:val="000000000000" w:firstRow="0" w:lastRow="0" w:firstColumn="0" w:lastColumn="0" w:oddVBand="0" w:evenVBand="0" w:oddHBand="0" w:evenHBand="0" w:firstRowFirstColumn="0" w:firstRowLastColumn="0" w:lastRowFirstColumn="0" w:lastRowLastColumn="0"/>
              <w:rPr>
                <w:lang w:eastAsia="en-AU"/>
              </w:rPr>
            </w:pPr>
            <w:r w:rsidRPr="00861D21">
              <w:rPr>
                <w:lang w:eastAsia="en-AU"/>
              </w:rPr>
              <w:t>93.</w:t>
            </w:r>
            <w:r w:rsidR="005525B4">
              <w:t>3</w:t>
            </w:r>
          </w:p>
        </w:tc>
        <w:tc>
          <w:tcPr>
            <w:tcW w:w="1168" w:type="dxa"/>
            <w:hideMark/>
          </w:tcPr>
          <w:p w:rsidR="00F674AC" w:rsidRPr="00861D21" w:rsidRDefault="00F674AC" w:rsidP="005525B4">
            <w:pPr>
              <w:pStyle w:val="AERtabletextleft"/>
              <w:cnfStyle w:val="000000000000" w:firstRow="0" w:lastRow="0" w:firstColumn="0" w:lastColumn="0" w:oddVBand="0" w:evenVBand="0" w:oddHBand="0" w:evenHBand="0" w:firstRowFirstColumn="0" w:firstRowLastColumn="0" w:lastRowFirstColumn="0" w:lastRowLastColumn="0"/>
              <w:rPr>
                <w:lang w:eastAsia="en-AU"/>
              </w:rPr>
            </w:pPr>
            <w:r w:rsidRPr="00861D21">
              <w:rPr>
                <w:lang w:eastAsia="en-AU"/>
              </w:rPr>
              <w:t>96.5</w:t>
            </w:r>
          </w:p>
        </w:tc>
      </w:tr>
      <w:tr w:rsidR="00F674AC" w:rsidRPr="00861D21" w:rsidTr="009903BE">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340" w:type="dxa"/>
            <w:hideMark/>
          </w:tcPr>
          <w:p w:rsidR="00F674AC" w:rsidRPr="00861D21" w:rsidRDefault="00F674AC" w:rsidP="009903BE">
            <w:pPr>
              <w:pStyle w:val="AERtabletextleft"/>
              <w:rPr>
                <w:lang w:eastAsia="en-AU"/>
              </w:rPr>
            </w:pPr>
            <w:r>
              <w:t>N</w:t>
            </w:r>
            <w:r w:rsidRPr="00861D21">
              <w:rPr>
                <w:lang w:eastAsia="en-AU"/>
              </w:rPr>
              <w:t>et capex at end of year</w:t>
            </w:r>
          </w:p>
        </w:tc>
        <w:tc>
          <w:tcPr>
            <w:tcW w:w="1168" w:type="dxa"/>
            <w:hideMark/>
          </w:tcPr>
          <w:p w:rsidR="00F674AC" w:rsidRPr="00861D21" w:rsidRDefault="00F674AC" w:rsidP="005525B4">
            <w:pPr>
              <w:pStyle w:val="AERtabletextleft"/>
              <w:cnfStyle w:val="000000010000" w:firstRow="0" w:lastRow="0" w:firstColumn="0" w:lastColumn="0" w:oddVBand="0" w:evenVBand="0" w:oddHBand="0" w:evenHBand="1" w:firstRowFirstColumn="0" w:firstRowLastColumn="0" w:lastRowFirstColumn="0" w:lastRowLastColumn="0"/>
              <w:rPr>
                <w:lang w:eastAsia="en-AU"/>
              </w:rPr>
            </w:pPr>
            <w:r w:rsidRPr="00861D21">
              <w:rPr>
                <w:lang w:eastAsia="en-AU"/>
              </w:rPr>
              <w:t>119.7</w:t>
            </w:r>
          </w:p>
        </w:tc>
        <w:tc>
          <w:tcPr>
            <w:tcW w:w="1168" w:type="dxa"/>
            <w:hideMark/>
          </w:tcPr>
          <w:p w:rsidR="00F674AC" w:rsidRPr="00861D21" w:rsidRDefault="00F674AC" w:rsidP="005525B4">
            <w:pPr>
              <w:pStyle w:val="AERtabletextleft"/>
              <w:cnfStyle w:val="000000010000" w:firstRow="0" w:lastRow="0" w:firstColumn="0" w:lastColumn="0" w:oddVBand="0" w:evenVBand="0" w:oddHBand="0" w:evenHBand="1" w:firstRowFirstColumn="0" w:firstRowLastColumn="0" w:lastRowFirstColumn="0" w:lastRowLastColumn="0"/>
              <w:rPr>
                <w:lang w:eastAsia="en-AU"/>
              </w:rPr>
            </w:pPr>
            <w:r w:rsidRPr="00861D21">
              <w:rPr>
                <w:lang w:eastAsia="en-AU"/>
              </w:rPr>
              <w:t>122.0</w:t>
            </w:r>
          </w:p>
        </w:tc>
        <w:tc>
          <w:tcPr>
            <w:tcW w:w="1168" w:type="dxa"/>
            <w:hideMark/>
          </w:tcPr>
          <w:p w:rsidR="00F674AC" w:rsidRPr="00861D21" w:rsidRDefault="00F674AC" w:rsidP="005525B4">
            <w:pPr>
              <w:pStyle w:val="AERtabletextleft"/>
              <w:cnfStyle w:val="000000010000" w:firstRow="0" w:lastRow="0" w:firstColumn="0" w:lastColumn="0" w:oddVBand="0" w:evenVBand="0" w:oddHBand="0" w:evenHBand="1" w:firstRowFirstColumn="0" w:firstRowLastColumn="0" w:lastRowFirstColumn="0" w:lastRowLastColumn="0"/>
              <w:rPr>
                <w:lang w:eastAsia="en-AU"/>
              </w:rPr>
            </w:pPr>
            <w:r w:rsidRPr="00861D21">
              <w:rPr>
                <w:lang w:eastAsia="en-AU"/>
              </w:rPr>
              <w:t>132.2</w:t>
            </w:r>
          </w:p>
        </w:tc>
        <w:tc>
          <w:tcPr>
            <w:tcW w:w="1168" w:type="dxa"/>
            <w:hideMark/>
          </w:tcPr>
          <w:p w:rsidR="00F674AC" w:rsidRPr="00861D21" w:rsidRDefault="00F674AC" w:rsidP="005525B4">
            <w:pPr>
              <w:pStyle w:val="AERtabletextleft"/>
              <w:cnfStyle w:val="000000010000" w:firstRow="0" w:lastRow="0" w:firstColumn="0" w:lastColumn="0" w:oddVBand="0" w:evenVBand="0" w:oddHBand="0" w:evenHBand="1" w:firstRowFirstColumn="0" w:firstRowLastColumn="0" w:lastRowFirstColumn="0" w:lastRowLastColumn="0"/>
              <w:rPr>
                <w:lang w:eastAsia="en-AU"/>
              </w:rPr>
            </w:pPr>
            <w:r w:rsidRPr="00861D21">
              <w:rPr>
                <w:lang w:eastAsia="en-AU"/>
              </w:rPr>
              <w:t>122.9</w:t>
            </w:r>
          </w:p>
        </w:tc>
        <w:tc>
          <w:tcPr>
            <w:tcW w:w="1168" w:type="dxa"/>
            <w:hideMark/>
          </w:tcPr>
          <w:p w:rsidR="00F674AC" w:rsidRPr="00861D21" w:rsidRDefault="00F674AC" w:rsidP="005525B4">
            <w:pPr>
              <w:pStyle w:val="AERtabletextleft"/>
              <w:cnfStyle w:val="000000010000" w:firstRow="0" w:lastRow="0" w:firstColumn="0" w:lastColumn="0" w:oddVBand="0" w:evenVBand="0" w:oddHBand="0" w:evenHBand="1" w:firstRowFirstColumn="0" w:firstRowLastColumn="0" w:lastRowFirstColumn="0" w:lastRowLastColumn="0"/>
              <w:rPr>
                <w:lang w:eastAsia="en-AU"/>
              </w:rPr>
            </w:pPr>
            <w:r w:rsidRPr="00861D21">
              <w:rPr>
                <w:lang w:eastAsia="en-AU"/>
              </w:rPr>
              <w:t>111.6</w:t>
            </w:r>
          </w:p>
        </w:tc>
      </w:tr>
      <w:tr w:rsidR="00F674AC" w:rsidRPr="00861D21" w:rsidTr="009903BE">
        <w:trPr>
          <w:trHeight w:val="240"/>
        </w:trPr>
        <w:tc>
          <w:tcPr>
            <w:cnfStyle w:val="001000000000" w:firstRow="0" w:lastRow="0" w:firstColumn="1" w:lastColumn="0" w:oddVBand="0" w:evenVBand="0" w:oddHBand="0" w:evenHBand="0" w:firstRowFirstColumn="0" w:firstRowLastColumn="0" w:lastRowFirstColumn="0" w:lastRowLastColumn="0"/>
            <w:tcW w:w="3340" w:type="dxa"/>
            <w:hideMark/>
          </w:tcPr>
          <w:p w:rsidR="00F674AC" w:rsidRPr="00861D21" w:rsidRDefault="00F674AC" w:rsidP="009903BE">
            <w:pPr>
              <w:pStyle w:val="AERtabletextleft"/>
              <w:rPr>
                <w:lang w:eastAsia="en-AU"/>
              </w:rPr>
            </w:pPr>
            <w:r>
              <w:t>D</w:t>
            </w:r>
            <w:r w:rsidRPr="00861D21">
              <w:rPr>
                <w:lang w:eastAsia="en-AU"/>
              </w:rPr>
              <w:t>epreciation</w:t>
            </w:r>
          </w:p>
        </w:tc>
        <w:tc>
          <w:tcPr>
            <w:tcW w:w="1168" w:type="dxa"/>
            <w:hideMark/>
          </w:tcPr>
          <w:p w:rsidR="00F674AC" w:rsidRPr="00861D21" w:rsidRDefault="00212BB6" w:rsidP="005525B4">
            <w:pPr>
              <w:pStyle w:val="AERtabletextleft"/>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r w:rsidR="00F674AC" w:rsidRPr="00861D21">
              <w:rPr>
                <w:lang w:eastAsia="en-AU"/>
              </w:rPr>
              <w:t>147.7</w:t>
            </w:r>
          </w:p>
        </w:tc>
        <w:tc>
          <w:tcPr>
            <w:tcW w:w="1168" w:type="dxa"/>
            <w:hideMark/>
          </w:tcPr>
          <w:p w:rsidR="00F674AC" w:rsidRPr="00861D21" w:rsidRDefault="00212BB6" w:rsidP="005525B4">
            <w:pPr>
              <w:pStyle w:val="AERtabletextleft"/>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r w:rsidR="00F674AC" w:rsidRPr="00861D21">
              <w:rPr>
                <w:lang w:eastAsia="en-AU"/>
              </w:rPr>
              <w:t>164.5</w:t>
            </w:r>
          </w:p>
        </w:tc>
        <w:tc>
          <w:tcPr>
            <w:tcW w:w="1168" w:type="dxa"/>
            <w:hideMark/>
          </w:tcPr>
          <w:p w:rsidR="00F674AC" w:rsidRPr="00861D21" w:rsidRDefault="00212BB6" w:rsidP="005525B4">
            <w:pPr>
              <w:pStyle w:val="AERtabletextleft"/>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r w:rsidR="00F674AC" w:rsidRPr="00861D21">
              <w:rPr>
                <w:lang w:eastAsia="en-AU"/>
              </w:rPr>
              <w:t>182.7</w:t>
            </w:r>
          </w:p>
        </w:tc>
        <w:tc>
          <w:tcPr>
            <w:tcW w:w="1168" w:type="dxa"/>
            <w:hideMark/>
          </w:tcPr>
          <w:p w:rsidR="00F674AC" w:rsidRPr="00861D21" w:rsidRDefault="00212BB6" w:rsidP="005525B4">
            <w:pPr>
              <w:pStyle w:val="AERtabletextleft"/>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r w:rsidR="00F674AC" w:rsidRPr="00861D21">
              <w:rPr>
                <w:lang w:eastAsia="en-AU"/>
              </w:rPr>
              <w:t>197.7</w:t>
            </w:r>
          </w:p>
        </w:tc>
        <w:tc>
          <w:tcPr>
            <w:tcW w:w="1168" w:type="dxa"/>
            <w:hideMark/>
          </w:tcPr>
          <w:p w:rsidR="00F674AC" w:rsidRPr="00861D21" w:rsidRDefault="00212BB6" w:rsidP="005525B4">
            <w:pPr>
              <w:pStyle w:val="AERtabletextleft"/>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r w:rsidR="00F674AC" w:rsidRPr="00861D21">
              <w:rPr>
                <w:lang w:eastAsia="en-AU"/>
              </w:rPr>
              <w:t>189.</w:t>
            </w:r>
            <w:r w:rsidR="005525B4">
              <w:t>3</w:t>
            </w:r>
          </w:p>
        </w:tc>
      </w:tr>
      <w:tr w:rsidR="00F674AC" w:rsidRPr="00861D21" w:rsidTr="009903BE">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340" w:type="dxa"/>
            <w:hideMark/>
          </w:tcPr>
          <w:p w:rsidR="00F674AC" w:rsidRPr="00861D21" w:rsidRDefault="00F674AC" w:rsidP="009903BE">
            <w:pPr>
              <w:pStyle w:val="AERtabletextleft"/>
              <w:rPr>
                <w:lang w:eastAsia="en-AU"/>
              </w:rPr>
            </w:pPr>
            <w:r w:rsidRPr="00861D21">
              <w:rPr>
                <w:lang w:eastAsia="en-AU"/>
              </w:rPr>
              <w:t xml:space="preserve">Closing </w:t>
            </w:r>
            <w:r>
              <w:t>capital base</w:t>
            </w:r>
          </w:p>
        </w:tc>
        <w:tc>
          <w:tcPr>
            <w:tcW w:w="1168" w:type="dxa"/>
            <w:hideMark/>
          </w:tcPr>
          <w:p w:rsidR="00F674AC" w:rsidRPr="00861D21" w:rsidRDefault="00F674AC" w:rsidP="005525B4">
            <w:pPr>
              <w:pStyle w:val="AERtabletextleft"/>
              <w:cnfStyle w:val="000000010000" w:firstRow="0" w:lastRow="0" w:firstColumn="0" w:lastColumn="0" w:oddVBand="0" w:evenVBand="0" w:oddHBand="0" w:evenHBand="1" w:firstRowFirstColumn="0" w:firstRowLastColumn="0" w:lastRowFirstColumn="0" w:lastRowLastColumn="0"/>
              <w:rPr>
                <w:lang w:eastAsia="en-AU"/>
              </w:rPr>
            </w:pPr>
            <w:r w:rsidRPr="00861D21">
              <w:rPr>
                <w:lang w:eastAsia="en-AU"/>
              </w:rPr>
              <w:t>3,21</w:t>
            </w:r>
            <w:r w:rsidR="005525B4">
              <w:t>5</w:t>
            </w:r>
            <w:r w:rsidRPr="00861D21">
              <w:rPr>
                <w:lang w:eastAsia="en-AU"/>
              </w:rPr>
              <w:t>.</w:t>
            </w:r>
            <w:r w:rsidR="005525B4">
              <w:t>0</w:t>
            </w:r>
          </w:p>
        </w:tc>
        <w:tc>
          <w:tcPr>
            <w:tcW w:w="1168" w:type="dxa"/>
            <w:hideMark/>
          </w:tcPr>
          <w:p w:rsidR="00F674AC" w:rsidRPr="00861D21" w:rsidRDefault="00F674AC" w:rsidP="005525B4">
            <w:pPr>
              <w:pStyle w:val="AERtabletextleft"/>
              <w:cnfStyle w:val="000000010000" w:firstRow="0" w:lastRow="0" w:firstColumn="0" w:lastColumn="0" w:oddVBand="0" w:evenVBand="0" w:oddHBand="0" w:evenHBand="1" w:firstRowFirstColumn="0" w:firstRowLastColumn="0" w:lastRowFirstColumn="0" w:lastRowLastColumn="0"/>
              <w:rPr>
                <w:lang w:eastAsia="en-AU"/>
              </w:rPr>
            </w:pPr>
            <w:r w:rsidRPr="00861D21">
              <w:rPr>
                <w:lang w:eastAsia="en-AU"/>
              </w:rPr>
              <w:t>3,376.4</w:t>
            </w:r>
          </w:p>
        </w:tc>
        <w:tc>
          <w:tcPr>
            <w:tcW w:w="1168" w:type="dxa"/>
            <w:hideMark/>
          </w:tcPr>
          <w:p w:rsidR="00F674AC" w:rsidRPr="00861D21" w:rsidRDefault="00F674AC" w:rsidP="005525B4">
            <w:pPr>
              <w:pStyle w:val="AERtabletextleft"/>
              <w:cnfStyle w:val="000000010000" w:firstRow="0" w:lastRow="0" w:firstColumn="0" w:lastColumn="0" w:oddVBand="0" w:evenVBand="0" w:oddHBand="0" w:evenHBand="1" w:firstRowFirstColumn="0" w:firstRowLastColumn="0" w:lastRowFirstColumn="0" w:lastRowLastColumn="0"/>
              <w:rPr>
                <w:lang w:eastAsia="en-AU"/>
              </w:rPr>
            </w:pPr>
            <w:r w:rsidRPr="00861D21">
              <w:rPr>
                <w:lang w:eastAsia="en-AU"/>
              </w:rPr>
              <w:t>3,544.1</w:t>
            </w:r>
          </w:p>
        </w:tc>
        <w:tc>
          <w:tcPr>
            <w:tcW w:w="1168" w:type="dxa"/>
            <w:hideMark/>
          </w:tcPr>
          <w:p w:rsidR="00F674AC" w:rsidRPr="00861D21" w:rsidRDefault="00F674AC" w:rsidP="005525B4">
            <w:pPr>
              <w:pStyle w:val="AERtabletextleft"/>
              <w:cnfStyle w:val="000000010000" w:firstRow="0" w:lastRow="0" w:firstColumn="0" w:lastColumn="0" w:oddVBand="0" w:evenVBand="0" w:oddHBand="0" w:evenHBand="1" w:firstRowFirstColumn="0" w:firstRowLastColumn="0" w:lastRowFirstColumn="0" w:lastRowLastColumn="0"/>
              <w:rPr>
                <w:lang w:eastAsia="en-AU"/>
              </w:rPr>
            </w:pPr>
            <w:r w:rsidRPr="00861D21">
              <w:rPr>
                <w:lang w:eastAsia="en-AU"/>
              </w:rPr>
              <w:t>3,682.5</w:t>
            </w:r>
          </w:p>
        </w:tc>
        <w:tc>
          <w:tcPr>
            <w:tcW w:w="1168" w:type="dxa"/>
            <w:hideMark/>
          </w:tcPr>
          <w:p w:rsidR="00F674AC" w:rsidRPr="00861D21" w:rsidRDefault="00F674AC" w:rsidP="005525B4">
            <w:pPr>
              <w:pStyle w:val="AERtabletextleft"/>
              <w:cnfStyle w:val="000000010000" w:firstRow="0" w:lastRow="0" w:firstColumn="0" w:lastColumn="0" w:oddVBand="0" w:evenVBand="0" w:oddHBand="0" w:evenHBand="1" w:firstRowFirstColumn="0" w:firstRowLastColumn="0" w:lastRowFirstColumn="0" w:lastRowLastColumn="0"/>
              <w:rPr>
                <w:lang w:eastAsia="en-AU"/>
              </w:rPr>
            </w:pPr>
            <w:r w:rsidRPr="00861D21">
              <w:rPr>
                <w:lang w:eastAsia="en-AU"/>
              </w:rPr>
              <w:t>3,810.2</w:t>
            </w:r>
          </w:p>
        </w:tc>
      </w:tr>
    </w:tbl>
    <w:p w:rsidR="00F674AC" w:rsidRPr="00F60627" w:rsidRDefault="00F674AC" w:rsidP="00F674AC">
      <w:pPr>
        <w:pStyle w:val="AERtablesource"/>
        <w:rPr>
          <w:rFonts w:eastAsia="Calibri"/>
        </w:rPr>
      </w:pPr>
      <w:r w:rsidRPr="00F60627">
        <w:rPr>
          <w:rFonts w:eastAsia="Calibri"/>
        </w:rPr>
        <w:t xml:space="preserve">Source: </w:t>
      </w:r>
      <w:r w:rsidRPr="00F60627">
        <w:rPr>
          <w:rFonts w:eastAsia="Calibri"/>
        </w:rPr>
        <w:tab/>
      </w:r>
      <w:r>
        <w:rPr>
          <w:rFonts w:eastAsia="Calibri"/>
        </w:rPr>
        <w:t>JGN</w:t>
      </w:r>
      <w:r>
        <w:t xml:space="preserve">, </w:t>
      </w:r>
      <w:r w:rsidR="00C962E2" w:rsidRPr="00096123">
        <w:rPr>
          <w:rStyle w:val="AERtextitalic"/>
        </w:rPr>
        <w:t>2015–2020 access arrangement information</w:t>
      </w:r>
      <w:r>
        <w:t>, June 2014, Table 8-8, p. 85.</w:t>
      </w:r>
    </w:p>
    <w:p w:rsidR="00F674AC" w:rsidRPr="00F73C2D" w:rsidRDefault="00F674AC" w:rsidP="00F674AC">
      <w:pPr>
        <w:pStyle w:val="Heading2"/>
        <w:numPr>
          <w:ilvl w:val="2"/>
          <w:numId w:val="8"/>
        </w:numPr>
      </w:pPr>
      <w:bookmarkStart w:id="40" w:name="_Toc334608502"/>
      <w:bookmarkStart w:id="41" w:name="_Toc334608734"/>
      <w:bookmarkStart w:id="42" w:name="_Toc404157801"/>
      <w:bookmarkStart w:id="43" w:name="_Toc404158164"/>
      <w:bookmarkStart w:id="44" w:name="_Toc404256803"/>
      <w:r w:rsidRPr="004C06CB">
        <w:lastRenderedPageBreak/>
        <w:t>Assessment approach</w:t>
      </w:r>
      <w:bookmarkEnd w:id="40"/>
      <w:bookmarkEnd w:id="41"/>
      <w:bookmarkEnd w:id="42"/>
      <w:bookmarkEnd w:id="43"/>
      <w:bookmarkEnd w:id="44"/>
    </w:p>
    <w:p w:rsidR="00F674AC" w:rsidRPr="00F73C2D" w:rsidRDefault="00F674AC" w:rsidP="00F674AC">
      <w:pPr>
        <w:pStyle w:val="AERbodytext"/>
        <w:rPr>
          <w:rFonts w:eastAsia="Calibri"/>
        </w:rPr>
      </w:pPr>
      <w:r>
        <w:rPr>
          <w:rFonts w:eastAsia="Calibri"/>
        </w:rPr>
        <w:t>Our</w:t>
      </w:r>
      <w:r w:rsidRPr="00F73C2D">
        <w:rPr>
          <w:rFonts w:eastAsia="Calibri"/>
        </w:rPr>
        <w:t xml:space="preserve"> approach to assessing </w:t>
      </w:r>
      <w:r>
        <w:rPr>
          <w:rFonts w:eastAsia="Calibri"/>
        </w:rPr>
        <w:t>JGN's</w:t>
      </w:r>
      <w:r w:rsidRPr="00F73C2D">
        <w:rPr>
          <w:rFonts w:eastAsia="Calibri"/>
        </w:rPr>
        <w:t xml:space="preserve"> projected capital base is consistent with that adopted in previous gas decisions made under the NGR.</w:t>
      </w:r>
      <w:r w:rsidRPr="00F73C2D">
        <w:rPr>
          <w:rStyle w:val="FootnoteReference"/>
          <w:rFonts w:eastAsia="Calibri"/>
        </w:rPr>
        <w:footnoteReference w:id="14"/>
      </w:r>
      <w:r w:rsidRPr="00F73C2D">
        <w:rPr>
          <w:rFonts w:eastAsia="Calibri"/>
        </w:rPr>
        <w:t xml:space="preserve"> In accordance with r</w:t>
      </w:r>
      <w:r>
        <w:rPr>
          <w:rFonts w:eastAsia="Calibri"/>
        </w:rPr>
        <w:t>ule</w:t>
      </w:r>
      <w:r w:rsidRPr="00F73C2D">
        <w:rPr>
          <w:rFonts w:eastAsia="Calibri"/>
        </w:rPr>
        <w:t xml:space="preserve"> 77(2) and </w:t>
      </w:r>
      <w:r>
        <w:rPr>
          <w:rFonts w:eastAsia="Calibri"/>
        </w:rPr>
        <w:t xml:space="preserve">rule </w:t>
      </w:r>
      <w:r w:rsidRPr="00F73C2D">
        <w:rPr>
          <w:rFonts w:eastAsia="Calibri"/>
        </w:rPr>
        <w:t xml:space="preserve">78 of the NGR, </w:t>
      </w:r>
      <w:r>
        <w:rPr>
          <w:rFonts w:eastAsia="Calibri"/>
        </w:rPr>
        <w:t>we</w:t>
      </w:r>
      <w:r w:rsidRPr="00F73C2D">
        <w:rPr>
          <w:rFonts w:eastAsia="Calibri"/>
        </w:rPr>
        <w:t xml:space="preserve"> applied three steps to calculate the projected capital base:</w:t>
      </w:r>
    </w:p>
    <w:p w:rsidR="00F674AC" w:rsidRPr="00F73C2D" w:rsidRDefault="00F674AC" w:rsidP="00F674AC">
      <w:pPr>
        <w:pStyle w:val="AERbulletlistfirststyle"/>
        <w:rPr>
          <w:rFonts w:eastAsia="Calibri"/>
        </w:rPr>
      </w:pPr>
      <w:r w:rsidRPr="00F73C2D">
        <w:rPr>
          <w:rFonts w:eastAsia="Calibri"/>
        </w:rPr>
        <w:t xml:space="preserve">First, </w:t>
      </w:r>
      <w:r>
        <w:rPr>
          <w:rFonts w:eastAsia="Calibri"/>
        </w:rPr>
        <w:t>we</w:t>
      </w:r>
      <w:r w:rsidRPr="00F73C2D">
        <w:rPr>
          <w:rFonts w:eastAsia="Calibri"/>
        </w:rPr>
        <w:t xml:space="preserve"> confirm the value of the opening capital base for the first year of the 20</w:t>
      </w:r>
      <w:r>
        <w:rPr>
          <w:rFonts w:eastAsia="Calibri"/>
        </w:rPr>
        <w:t>10</w:t>
      </w:r>
      <w:r w:rsidRPr="00F73C2D">
        <w:rPr>
          <w:rFonts w:eastAsia="Calibri"/>
        </w:rPr>
        <w:t>–</w:t>
      </w:r>
      <w:r>
        <w:rPr>
          <w:rFonts w:eastAsia="Calibri"/>
        </w:rPr>
        <w:t>15</w:t>
      </w:r>
      <w:r w:rsidRPr="00F73C2D">
        <w:rPr>
          <w:rFonts w:eastAsia="Calibri"/>
        </w:rPr>
        <w:t xml:space="preserve"> access arrangement </w:t>
      </w:r>
      <w:proofErr w:type="gramStart"/>
      <w:r w:rsidRPr="00F73C2D">
        <w:rPr>
          <w:rFonts w:eastAsia="Calibri"/>
        </w:rPr>
        <w:t>period</w:t>
      </w:r>
      <w:proofErr w:type="gramEnd"/>
      <w:r w:rsidRPr="00F73C2D">
        <w:rPr>
          <w:rFonts w:eastAsia="Calibri"/>
        </w:rPr>
        <w:t xml:space="preserve"> (in this case, 1 </w:t>
      </w:r>
      <w:r>
        <w:rPr>
          <w:rFonts w:eastAsia="Calibri"/>
        </w:rPr>
        <w:t>July</w:t>
      </w:r>
      <w:r w:rsidRPr="00F73C2D">
        <w:rPr>
          <w:rFonts w:eastAsia="Calibri"/>
        </w:rPr>
        <w:t xml:space="preserve"> 20</w:t>
      </w:r>
      <w:r>
        <w:rPr>
          <w:rFonts w:eastAsia="Calibri"/>
        </w:rPr>
        <w:t>10</w:t>
      </w:r>
      <w:r w:rsidRPr="00F73C2D">
        <w:rPr>
          <w:rFonts w:eastAsia="Calibri"/>
        </w:rPr>
        <w:t xml:space="preserve">). Typically, this </w:t>
      </w:r>
      <w:r>
        <w:rPr>
          <w:rFonts w:eastAsia="Calibri"/>
        </w:rPr>
        <w:t>includes</w:t>
      </w:r>
      <w:r w:rsidRPr="00F73C2D">
        <w:rPr>
          <w:rFonts w:eastAsia="Calibri"/>
        </w:rPr>
        <w:t xml:space="preserve"> making an adjustment to account for any difference between actual and estimated capex in the final year of the previous access arrangement period (in this case, 20</w:t>
      </w:r>
      <w:r>
        <w:rPr>
          <w:rFonts w:eastAsia="Calibri"/>
        </w:rPr>
        <w:t>09–10</w:t>
      </w:r>
      <w:r w:rsidRPr="00F73C2D">
        <w:rPr>
          <w:rFonts w:eastAsia="Calibri"/>
        </w:rPr>
        <w:t xml:space="preserve">). This adjustment is also subject to any changes made in </w:t>
      </w:r>
      <w:r>
        <w:rPr>
          <w:rFonts w:eastAsia="Calibri"/>
        </w:rPr>
        <w:t>our</w:t>
      </w:r>
      <w:r w:rsidRPr="00F73C2D">
        <w:rPr>
          <w:rFonts w:eastAsia="Calibri"/>
        </w:rPr>
        <w:t xml:space="preserve"> assessment of conforming capex for that year. </w:t>
      </w:r>
    </w:p>
    <w:p w:rsidR="00F674AC" w:rsidRPr="00F73C2D" w:rsidRDefault="00F674AC" w:rsidP="00F674AC">
      <w:pPr>
        <w:pStyle w:val="AERbulletlistfirststyle"/>
        <w:rPr>
          <w:rFonts w:eastAsia="Calibri"/>
        </w:rPr>
      </w:pPr>
      <w:r w:rsidRPr="00F73C2D">
        <w:rPr>
          <w:rFonts w:eastAsia="Calibri"/>
        </w:rPr>
        <w:t xml:space="preserve">Second, the opening capital base as at 1 </w:t>
      </w:r>
      <w:r>
        <w:rPr>
          <w:rFonts w:eastAsia="Calibri"/>
        </w:rPr>
        <w:t>July</w:t>
      </w:r>
      <w:r w:rsidRPr="00F73C2D">
        <w:rPr>
          <w:rFonts w:eastAsia="Calibri"/>
        </w:rPr>
        <w:t xml:space="preserve"> 20</w:t>
      </w:r>
      <w:r>
        <w:rPr>
          <w:rFonts w:eastAsia="Calibri"/>
        </w:rPr>
        <w:t>10</w:t>
      </w:r>
      <w:r w:rsidRPr="00F73C2D">
        <w:rPr>
          <w:rFonts w:eastAsia="Calibri"/>
        </w:rPr>
        <w:t xml:space="preserve"> is rolled forward to determine th</w:t>
      </w:r>
      <w:r>
        <w:rPr>
          <w:rFonts w:eastAsia="Calibri"/>
        </w:rPr>
        <w:t>e closing capital base as at 30</w:t>
      </w:r>
      <w:r w:rsidRPr="00F73C2D">
        <w:rPr>
          <w:rFonts w:eastAsia="Calibri"/>
        </w:rPr>
        <w:t xml:space="preserve"> </w:t>
      </w:r>
      <w:r>
        <w:rPr>
          <w:rFonts w:eastAsia="Calibri"/>
        </w:rPr>
        <w:t xml:space="preserve">June </w:t>
      </w:r>
      <w:r w:rsidRPr="00F73C2D">
        <w:rPr>
          <w:rFonts w:eastAsia="Calibri"/>
        </w:rPr>
        <w:t>201</w:t>
      </w:r>
      <w:r>
        <w:rPr>
          <w:rFonts w:eastAsia="Calibri"/>
        </w:rPr>
        <w:t>5</w:t>
      </w:r>
      <w:r w:rsidRPr="00F73C2D">
        <w:rPr>
          <w:rFonts w:eastAsia="Calibri"/>
        </w:rPr>
        <w:t xml:space="preserve">. This closing capital base is also used as the value of the opening capital base for the access arrangement period as at 1 </w:t>
      </w:r>
      <w:r>
        <w:rPr>
          <w:rFonts w:eastAsia="Calibri"/>
        </w:rPr>
        <w:t>July</w:t>
      </w:r>
      <w:r w:rsidRPr="00F73C2D">
        <w:rPr>
          <w:rFonts w:eastAsia="Calibri"/>
        </w:rPr>
        <w:t xml:space="preserve"> 20</w:t>
      </w:r>
      <w:r>
        <w:rPr>
          <w:rFonts w:eastAsia="Calibri"/>
        </w:rPr>
        <w:t>15</w:t>
      </w:r>
      <w:r w:rsidRPr="00F73C2D">
        <w:rPr>
          <w:rFonts w:eastAsia="Calibri"/>
        </w:rPr>
        <w:t>. This involves:</w:t>
      </w:r>
      <w:r w:rsidRPr="00F73C2D">
        <w:rPr>
          <w:rStyle w:val="FootnoteReference"/>
          <w:rFonts w:eastAsia="Calibri"/>
        </w:rPr>
        <w:footnoteReference w:id="15"/>
      </w:r>
    </w:p>
    <w:p w:rsidR="00F674AC" w:rsidRPr="00F73C2D" w:rsidRDefault="00F674AC" w:rsidP="00F674AC">
      <w:pPr>
        <w:pStyle w:val="AERbulletlistsecondstyle"/>
        <w:rPr>
          <w:rFonts w:eastAsia="Calibri"/>
        </w:rPr>
      </w:pPr>
      <w:r w:rsidRPr="00F73C2D">
        <w:rPr>
          <w:rFonts w:eastAsia="Calibri"/>
        </w:rPr>
        <w:t>adding conforming actual capex for each year—this requires assessing the capex and determining that it is consistent with the provisions of the 20</w:t>
      </w:r>
      <w:r>
        <w:rPr>
          <w:rFonts w:eastAsia="Calibri"/>
        </w:rPr>
        <w:t>10</w:t>
      </w:r>
      <w:r w:rsidRPr="00F73C2D">
        <w:rPr>
          <w:rFonts w:eastAsia="Calibri"/>
        </w:rPr>
        <w:t>–1</w:t>
      </w:r>
      <w:r>
        <w:rPr>
          <w:rFonts w:eastAsia="Calibri"/>
        </w:rPr>
        <w:t>5</w:t>
      </w:r>
      <w:r w:rsidRPr="00F73C2D">
        <w:rPr>
          <w:rFonts w:eastAsia="Calibri"/>
        </w:rPr>
        <w:t xml:space="preserve"> access arrangement and </w:t>
      </w:r>
      <w:r>
        <w:rPr>
          <w:rFonts w:eastAsia="Calibri"/>
        </w:rPr>
        <w:t>data from audited annual reporting regulatory information notices, as well as the definition of 'conforming capital expenditure' in the NGR</w:t>
      </w:r>
      <w:r w:rsidRPr="00F73C2D">
        <w:rPr>
          <w:rStyle w:val="FootnoteReference"/>
          <w:rFonts w:eastAsia="Calibri"/>
        </w:rPr>
        <w:footnoteReference w:id="16"/>
      </w:r>
    </w:p>
    <w:p w:rsidR="00F674AC" w:rsidRPr="00F73C2D" w:rsidRDefault="00F674AC" w:rsidP="00F674AC">
      <w:pPr>
        <w:pStyle w:val="AERbulletlistsecondstyle"/>
        <w:rPr>
          <w:rFonts w:eastAsia="Calibri"/>
        </w:rPr>
      </w:pPr>
      <w:r w:rsidRPr="00F73C2D">
        <w:rPr>
          <w:rFonts w:eastAsia="Calibri"/>
        </w:rPr>
        <w:t>removing forecast depreciation for each year based on the approach approved for the 20</w:t>
      </w:r>
      <w:r>
        <w:rPr>
          <w:rFonts w:eastAsia="Calibri"/>
        </w:rPr>
        <w:t>10</w:t>
      </w:r>
      <w:r w:rsidRPr="00F73C2D">
        <w:rPr>
          <w:rFonts w:eastAsia="Calibri"/>
        </w:rPr>
        <w:t>–1</w:t>
      </w:r>
      <w:r>
        <w:rPr>
          <w:rFonts w:eastAsia="Calibri"/>
        </w:rPr>
        <w:t>5</w:t>
      </w:r>
      <w:r w:rsidRPr="00F73C2D">
        <w:rPr>
          <w:rFonts w:eastAsia="Calibri"/>
        </w:rPr>
        <w:t xml:space="preserve"> access arrangement</w:t>
      </w:r>
    </w:p>
    <w:p w:rsidR="00F674AC" w:rsidRPr="00F73C2D" w:rsidRDefault="00F674AC" w:rsidP="00F674AC">
      <w:pPr>
        <w:pStyle w:val="AERbulletlistsecondstyle"/>
        <w:rPr>
          <w:rFonts w:eastAsia="Calibri"/>
        </w:rPr>
      </w:pPr>
      <w:r w:rsidRPr="00F73C2D">
        <w:rPr>
          <w:rFonts w:eastAsia="Calibri"/>
        </w:rPr>
        <w:t>removing any capital contributions during the 20</w:t>
      </w:r>
      <w:r>
        <w:rPr>
          <w:rFonts w:eastAsia="Calibri"/>
        </w:rPr>
        <w:t>10</w:t>
      </w:r>
      <w:r w:rsidRPr="00F73C2D">
        <w:rPr>
          <w:rFonts w:eastAsia="Calibri"/>
        </w:rPr>
        <w:t>–1</w:t>
      </w:r>
      <w:r>
        <w:rPr>
          <w:rFonts w:eastAsia="Calibri"/>
        </w:rPr>
        <w:t>5</w:t>
      </w:r>
      <w:r w:rsidRPr="00F73C2D">
        <w:rPr>
          <w:rFonts w:eastAsia="Calibri"/>
        </w:rPr>
        <w:t xml:space="preserve"> access arrangement period</w:t>
      </w:r>
    </w:p>
    <w:p w:rsidR="00F674AC" w:rsidRPr="00F73C2D" w:rsidRDefault="00F674AC" w:rsidP="00F674AC">
      <w:pPr>
        <w:pStyle w:val="AERbulletlistsecondstyle"/>
        <w:rPr>
          <w:rFonts w:eastAsia="Calibri"/>
        </w:rPr>
      </w:pPr>
      <w:r w:rsidRPr="00F73C2D">
        <w:rPr>
          <w:rFonts w:eastAsia="Calibri"/>
        </w:rPr>
        <w:t xml:space="preserve">adding any speculative capex or redundant assets that were reused during the </w:t>
      </w:r>
      <w:r w:rsidRPr="00F73C2D">
        <w:rPr>
          <w:rFonts w:eastAsia="Calibri"/>
        </w:rPr>
        <w:br/>
        <w:t>20</w:t>
      </w:r>
      <w:r>
        <w:rPr>
          <w:rFonts w:eastAsia="Calibri"/>
        </w:rPr>
        <w:t>15</w:t>
      </w:r>
      <w:r w:rsidRPr="00F73C2D">
        <w:rPr>
          <w:rFonts w:eastAsia="Calibri"/>
        </w:rPr>
        <w:t>–</w:t>
      </w:r>
      <w:r>
        <w:rPr>
          <w:rFonts w:eastAsia="Calibri"/>
        </w:rPr>
        <w:t>20</w:t>
      </w:r>
      <w:r w:rsidRPr="00F73C2D">
        <w:rPr>
          <w:rFonts w:eastAsia="Calibri"/>
        </w:rPr>
        <w:t xml:space="preserve"> access arrangement period</w:t>
      </w:r>
    </w:p>
    <w:p w:rsidR="00F674AC" w:rsidRPr="00F73C2D" w:rsidRDefault="00F674AC" w:rsidP="00F674AC">
      <w:pPr>
        <w:pStyle w:val="AERbulletlistsecondstyle"/>
        <w:rPr>
          <w:rFonts w:eastAsia="Calibri"/>
        </w:rPr>
      </w:pPr>
      <w:r w:rsidRPr="00F73C2D">
        <w:rPr>
          <w:rFonts w:eastAsia="Calibri"/>
        </w:rPr>
        <w:t>removing any redundant assets and disposals during the 20</w:t>
      </w:r>
      <w:r>
        <w:rPr>
          <w:rFonts w:eastAsia="Calibri"/>
        </w:rPr>
        <w:t>10–15</w:t>
      </w:r>
      <w:r w:rsidRPr="00F73C2D">
        <w:rPr>
          <w:rFonts w:eastAsia="Calibri"/>
        </w:rPr>
        <w:t xml:space="preserve"> access arrangement period</w:t>
      </w:r>
    </w:p>
    <w:p w:rsidR="00F674AC" w:rsidRPr="00F73C2D" w:rsidRDefault="00F674AC" w:rsidP="00F674AC">
      <w:pPr>
        <w:pStyle w:val="AERbulletlistsecondstyle"/>
        <w:rPr>
          <w:rFonts w:eastAsia="Calibri"/>
        </w:rPr>
      </w:pPr>
      <w:proofErr w:type="gramStart"/>
      <w:r w:rsidRPr="00F73C2D">
        <w:rPr>
          <w:rFonts w:eastAsia="Calibri"/>
        </w:rPr>
        <w:t>indexing</w:t>
      </w:r>
      <w:proofErr w:type="gramEnd"/>
      <w:r w:rsidRPr="00F73C2D">
        <w:rPr>
          <w:rFonts w:eastAsia="Calibri"/>
        </w:rPr>
        <w:t xml:space="preserve"> the roll forward each year for actual inflation.</w:t>
      </w:r>
    </w:p>
    <w:p w:rsidR="00F674AC" w:rsidRPr="00F73C2D" w:rsidRDefault="00F674AC" w:rsidP="00F674AC">
      <w:pPr>
        <w:pStyle w:val="AERbulletlistfirststyle"/>
        <w:rPr>
          <w:rFonts w:eastAsia="Calibri"/>
        </w:rPr>
      </w:pPr>
      <w:r w:rsidRPr="00F73C2D">
        <w:rPr>
          <w:rFonts w:eastAsia="Calibri"/>
        </w:rPr>
        <w:t>Third, the capital base is projected over the 201</w:t>
      </w:r>
      <w:r>
        <w:rPr>
          <w:rFonts w:eastAsia="Calibri"/>
        </w:rPr>
        <w:t>5</w:t>
      </w:r>
      <w:r w:rsidRPr="00F73C2D">
        <w:rPr>
          <w:rFonts w:eastAsia="Calibri"/>
        </w:rPr>
        <w:t>–</w:t>
      </w:r>
      <w:r>
        <w:rPr>
          <w:rFonts w:eastAsia="Calibri"/>
        </w:rPr>
        <w:t>20</w:t>
      </w:r>
      <w:r w:rsidRPr="00F73C2D">
        <w:rPr>
          <w:rFonts w:eastAsia="Calibri"/>
        </w:rPr>
        <w:t xml:space="preserve"> access arrangement period by rolling forward the opening capital base as at 1</w:t>
      </w:r>
      <w:r>
        <w:rPr>
          <w:rFonts w:eastAsia="Calibri"/>
        </w:rPr>
        <w:t xml:space="preserve"> July</w:t>
      </w:r>
      <w:r w:rsidRPr="00F73C2D">
        <w:rPr>
          <w:rFonts w:eastAsia="Calibri"/>
        </w:rPr>
        <w:t xml:space="preserve"> 20</w:t>
      </w:r>
      <w:r>
        <w:rPr>
          <w:rFonts w:eastAsia="Calibri"/>
        </w:rPr>
        <w:t>15 to 30 June</w:t>
      </w:r>
      <w:r w:rsidRPr="00F73C2D">
        <w:rPr>
          <w:rFonts w:eastAsia="Calibri"/>
        </w:rPr>
        <w:t xml:space="preserve"> 20</w:t>
      </w:r>
      <w:r>
        <w:rPr>
          <w:rFonts w:eastAsia="Calibri"/>
        </w:rPr>
        <w:t>20</w:t>
      </w:r>
      <w:r w:rsidRPr="00F73C2D">
        <w:rPr>
          <w:rFonts w:eastAsia="Calibri"/>
        </w:rPr>
        <w:t xml:space="preserve">. This involves </w:t>
      </w:r>
      <w:r>
        <w:rPr>
          <w:rFonts w:eastAsia="Calibri"/>
        </w:rPr>
        <w:t xml:space="preserve">performing the following on </w:t>
      </w:r>
      <w:r w:rsidRPr="00F73C2D">
        <w:rPr>
          <w:rFonts w:eastAsia="Calibri"/>
        </w:rPr>
        <w:t>the opening capital base:</w:t>
      </w:r>
      <w:r w:rsidRPr="00F73C2D">
        <w:rPr>
          <w:rStyle w:val="FootnoteReference"/>
          <w:rFonts w:eastAsia="Calibri"/>
        </w:rPr>
        <w:footnoteReference w:id="17"/>
      </w:r>
    </w:p>
    <w:p w:rsidR="00F674AC" w:rsidRPr="00F73C2D" w:rsidRDefault="00F674AC" w:rsidP="00F674AC">
      <w:pPr>
        <w:pStyle w:val="AERbulletlistsecondstyle"/>
        <w:rPr>
          <w:rFonts w:eastAsia="Calibri"/>
        </w:rPr>
      </w:pPr>
      <w:r w:rsidRPr="00F73C2D">
        <w:rPr>
          <w:rFonts w:eastAsia="Calibri"/>
        </w:rPr>
        <w:t>adding forecast conforming capex for each year</w:t>
      </w:r>
    </w:p>
    <w:p w:rsidR="00F674AC" w:rsidRPr="00F73C2D" w:rsidRDefault="00F674AC" w:rsidP="00F674AC">
      <w:pPr>
        <w:pStyle w:val="AERbulletlistsecondstyle"/>
        <w:rPr>
          <w:rFonts w:eastAsia="Calibri"/>
        </w:rPr>
      </w:pPr>
      <w:r w:rsidRPr="00F73C2D">
        <w:rPr>
          <w:rFonts w:eastAsia="Calibri"/>
        </w:rPr>
        <w:t>removing forecast depreciation for each year</w:t>
      </w:r>
    </w:p>
    <w:p w:rsidR="00F674AC" w:rsidRPr="00F73C2D" w:rsidRDefault="00F674AC" w:rsidP="00F674AC">
      <w:pPr>
        <w:pStyle w:val="AERbulletlistsecondstyle"/>
        <w:rPr>
          <w:rFonts w:eastAsia="Calibri"/>
        </w:rPr>
      </w:pPr>
      <w:r w:rsidRPr="00F73C2D">
        <w:rPr>
          <w:rFonts w:eastAsia="Calibri"/>
        </w:rPr>
        <w:t>removing the forecast value of assets to be disposed of during the 201</w:t>
      </w:r>
      <w:r>
        <w:rPr>
          <w:rFonts w:eastAsia="Calibri"/>
        </w:rPr>
        <w:t>5</w:t>
      </w:r>
      <w:r w:rsidRPr="00F73C2D">
        <w:rPr>
          <w:rFonts w:eastAsia="Calibri"/>
        </w:rPr>
        <w:t>–</w:t>
      </w:r>
      <w:r>
        <w:rPr>
          <w:rFonts w:eastAsia="Calibri"/>
        </w:rPr>
        <w:t>20</w:t>
      </w:r>
      <w:r w:rsidRPr="00F73C2D">
        <w:rPr>
          <w:rFonts w:eastAsia="Calibri"/>
        </w:rPr>
        <w:t xml:space="preserve"> access arrangement period</w:t>
      </w:r>
    </w:p>
    <w:p w:rsidR="00F674AC" w:rsidRDefault="00F674AC" w:rsidP="00F674AC">
      <w:pPr>
        <w:pStyle w:val="AERbulletlistsecondstyle"/>
        <w:rPr>
          <w:rFonts w:eastAsia="Calibri"/>
        </w:rPr>
      </w:pPr>
      <w:proofErr w:type="gramStart"/>
      <w:r w:rsidRPr="00F73C2D">
        <w:rPr>
          <w:rFonts w:eastAsia="Calibri"/>
        </w:rPr>
        <w:t>indexing</w:t>
      </w:r>
      <w:proofErr w:type="gramEnd"/>
      <w:r w:rsidRPr="00F73C2D">
        <w:rPr>
          <w:rFonts w:eastAsia="Calibri"/>
        </w:rPr>
        <w:t xml:space="preserve"> the capital base of the roll forward each year for forecast inflation.</w:t>
      </w:r>
    </w:p>
    <w:p w:rsidR="00F674AC" w:rsidRDefault="00F674AC" w:rsidP="00F674AC">
      <w:pPr>
        <w:pStyle w:val="Heading3"/>
        <w:numPr>
          <w:ilvl w:val="3"/>
          <w:numId w:val="8"/>
        </w:numPr>
        <w:rPr>
          <w:rFonts w:eastAsia="Calibri"/>
        </w:rPr>
      </w:pPr>
      <w:bookmarkStart w:id="45" w:name="_Toc404157802"/>
      <w:bookmarkStart w:id="46" w:name="_Toc404158165"/>
      <w:bookmarkStart w:id="47" w:name="_Toc404256804"/>
      <w:r>
        <w:rPr>
          <w:rFonts w:eastAsia="Calibri"/>
        </w:rPr>
        <w:lastRenderedPageBreak/>
        <w:t>Interrelationships</w:t>
      </w:r>
      <w:bookmarkEnd w:id="45"/>
      <w:bookmarkEnd w:id="46"/>
      <w:bookmarkEnd w:id="47"/>
      <w:r>
        <w:rPr>
          <w:rFonts w:eastAsia="Calibri"/>
        </w:rPr>
        <w:t xml:space="preserve"> </w:t>
      </w:r>
    </w:p>
    <w:p w:rsidR="00F674AC" w:rsidRPr="00255314" w:rsidRDefault="00F674AC" w:rsidP="00F674AC">
      <w:pPr>
        <w:pStyle w:val="AERbodytext"/>
      </w:pPr>
      <w:r w:rsidRPr="00255314">
        <w:t xml:space="preserve">The </w:t>
      </w:r>
      <w:r>
        <w:t>level of the capital base</w:t>
      </w:r>
      <w:r w:rsidRPr="00255314">
        <w:t xml:space="preserve"> </w:t>
      </w:r>
      <w:r>
        <w:t xml:space="preserve">substantially impacts the service provider's revenue and the price consumers pay. It </w:t>
      </w:r>
      <w:r w:rsidRPr="00255314">
        <w:t>is an input into the determination of the return on capital and depreciation (return of capital) allowances.</w:t>
      </w:r>
      <w:r w:rsidRPr="00255314">
        <w:rPr>
          <w:rStyle w:val="FootnoteReference"/>
        </w:rPr>
        <w:footnoteReference w:id="18"/>
      </w:r>
      <w:r w:rsidRPr="00255314">
        <w:t xml:space="preserve"> Factors that influence the </w:t>
      </w:r>
      <w:r>
        <w:t>capital base</w:t>
      </w:r>
      <w:r w:rsidRPr="00255314">
        <w:t xml:space="preserve"> will therefore flow through to these building block components and the annual building block revenue requirement. Other things being equal, a higher </w:t>
      </w:r>
      <w:r>
        <w:t>capital base</w:t>
      </w:r>
      <w:r w:rsidRPr="00255314">
        <w:t xml:space="preserve"> increases both the return on capital and depreciation allowances</w:t>
      </w:r>
      <w:r>
        <w:t>. In turn, it increases the service provider's revenue, and prices for its services</w:t>
      </w:r>
      <w:r w:rsidRPr="00255314">
        <w:t>.</w:t>
      </w:r>
    </w:p>
    <w:p w:rsidR="00F674AC" w:rsidRPr="00255314" w:rsidRDefault="00F674AC" w:rsidP="00F674AC">
      <w:pPr>
        <w:pStyle w:val="AERbodytext"/>
      </w:pPr>
      <w:r w:rsidRPr="00255314">
        <w:t xml:space="preserve">The </w:t>
      </w:r>
      <w:r>
        <w:t>capital base</w:t>
      </w:r>
      <w:r w:rsidRPr="00255314">
        <w:t xml:space="preserve"> is determined by various factors, including;</w:t>
      </w:r>
    </w:p>
    <w:p w:rsidR="00F674AC" w:rsidRPr="00255314" w:rsidRDefault="00F674AC" w:rsidP="00F674AC">
      <w:pPr>
        <w:pStyle w:val="AERbulletlistfirststyle"/>
      </w:pPr>
      <w:r w:rsidRPr="00255314">
        <w:t xml:space="preserve">the opening </w:t>
      </w:r>
      <w:r>
        <w:t>capital base</w:t>
      </w:r>
      <w:r w:rsidRPr="00255314">
        <w:t xml:space="preserve"> (meaning the value of existing assets at the beginning of the </w:t>
      </w:r>
      <w:r>
        <w:t>access arrangement</w:t>
      </w:r>
      <w:r w:rsidRPr="00255314">
        <w:t xml:space="preserve"> period)</w:t>
      </w:r>
    </w:p>
    <w:p w:rsidR="00F674AC" w:rsidRPr="00255314" w:rsidRDefault="00F674AC" w:rsidP="00F674AC">
      <w:pPr>
        <w:pStyle w:val="AERbulletlistfirststyle"/>
      </w:pPr>
      <w:r>
        <w:t xml:space="preserve">net </w:t>
      </w:r>
      <w:r w:rsidRPr="00255314">
        <w:t>capex</w:t>
      </w:r>
      <w:r w:rsidRPr="00255314">
        <w:rPr>
          <w:rStyle w:val="FootnoteReference"/>
        </w:rPr>
        <w:footnoteReference w:id="19"/>
      </w:r>
    </w:p>
    <w:p w:rsidR="00F674AC" w:rsidRPr="00255314" w:rsidRDefault="00F674AC" w:rsidP="00F674AC">
      <w:pPr>
        <w:pStyle w:val="AERbulletlistfirststyle"/>
      </w:pPr>
      <w:r w:rsidRPr="00255314">
        <w:t>depreciation</w:t>
      </w:r>
    </w:p>
    <w:p w:rsidR="00F674AC" w:rsidRPr="00255314" w:rsidRDefault="00F674AC" w:rsidP="00F674AC">
      <w:pPr>
        <w:pStyle w:val="AERbulletlistfirststyle"/>
      </w:pPr>
      <w:proofErr w:type="gramStart"/>
      <w:r w:rsidRPr="00255314">
        <w:t>indexation</w:t>
      </w:r>
      <w:proofErr w:type="gramEnd"/>
      <w:r w:rsidRPr="00255314">
        <w:t xml:space="preserve"> adjustment – so the </w:t>
      </w:r>
      <w:r>
        <w:t>capital base</w:t>
      </w:r>
      <w:r w:rsidRPr="00255314">
        <w:t xml:space="preserve"> is presented in nominal terms, consistent with the rate of return.</w:t>
      </w:r>
    </w:p>
    <w:p w:rsidR="00F674AC" w:rsidRPr="00255314" w:rsidRDefault="00F674AC" w:rsidP="00F674AC">
      <w:pPr>
        <w:pStyle w:val="AERbodytext"/>
      </w:pPr>
      <w:r w:rsidRPr="00255314">
        <w:t xml:space="preserve">The opening </w:t>
      </w:r>
      <w:r>
        <w:t>capital base</w:t>
      </w:r>
      <w:r w:rsidRPr="00255314">
        <w:t xml:space="preserve"> depends on the value of existing assets </w:t>
      </w:r>
      <w:r>
        <w:t xml:space="preserve">as well as </w:t>
      </w:r>
      <w:r w:rsidRPr="00255314">
        <w:t xml:space="preserve">actual </w:t>
      </w:r>
      <w:r>
        <w:t xml:space="preserve">conforming net </w:t>
      </w:r>
      <w:r w:rsidRPr="00255314">
        <w:t xml:space="preserve">capex, actual inflation outcomes and depreciation in the past. </w:t>
      </w:r>
    </w:p>
    <w:p w:rsidR="00F674AC" w:rsidRPr="00255314" w:rsidRDefault="00F674AC" w:rsidP="00F674AC">
      <w:pPr>
        <w:pStyle w:val="AERbodytext"/>
      </w:pPr>
      <w:r w:rsidRPr="00255314">
        <w:t xml:space="preserve">The </w:t>
      </w:r>
      <w:r>
        <w:t>capital base</w:t>
      </w:r>
      <w:r w:rsidRPr="00255314">
        <w:t xml:space="preserve"> when projected to the end of the </w:t>
      </w:r>
      <w:r>
        <w:t>access arrangement</w:t>
      </w:r>
      <w:r w:rsidRPr="00255314">
        <w:t xml:space="preserve"> period </w:t>
      </w:r>
      <w:r>
        <w:t xml:space="preserve">may </w:t>
      </w:r>
      <w:r w:rsidRPr="00255314">
        <w:t xml:space="preserve">increase due to </w:t>
      </w:r>
      <w:r>
        <w:t xml:space="preserve">forecast </w:t>
      </w:r>
      <w:r w:rsidRPr="00255314">
        <w:t xml:space="preserve">new capex and the indexation adjustment. The size of the indexation adjustment depends on expected inflation (which also affects the nominal rate of return or WACC) and the size of the </w:t>
      </w:r>
      <w:r>
        <w:t>capital base</w:t>
      </w:r>
      <w:r w:rsidRPr="00255314">
        <w:t xml:space="preserve"> at the start of each year. </w:t>
      </w:r>
    </w:p>
    <w:p w:rsidR="00F674AC" w:rsidRPr="00255314" w:rsidRDefault="00F674AC" w:rsidP="00F674AC">
      <w:pPr>
        <w:pStyle w:val="AERbodytext"/>
      </w:pPr>
      <w:r w:rsidRPr="00255314">
        <w:t xml:space="preserve">Depreciation reduces the </w:t>
      </w:r>
      <w:r>
        <w:t>capital base</w:t>
      </w:r>
      <w:r w:rsidRPr="00255314">
        <w:t xml:space="preserve">. The depreciation allowance depends on the size of the opening </w:t>
      </w:r>
      <w:r>
        <w:t>capital base</w:t>
      </w:r>
      <w:r w:rsidRPr="00255314">
        <w:t xml:space="preserve"> and the forecast </w:t>
      </w:r>
      <w:r>
        <w:t xml:space="preserve">net </w:t>
      </w:r>
      <w:r w:rsidRPr="00255314">
        <w:t xml:space="preserve">capex. By convention, the indexation adjustment is also offset against depreciation to prevent double counting of inflation in the </w:t>
      </w:r>
      <w:r>
        <w:t>capital base</w:t>
      </w:r>
      <w:r w:rsidRPr="00255314">
        <w:t xml:space="preserve"> and WACC, which are both presented in nominal terms. This reduces the apparent </w:t>
      </w:r>
      <w:r>
        <w:t xml:space="preserve">size of the </w:t>
      </w:r>
      <w:r w:rsidRPr="00255314">
        <w:t xml:space="preserve">depreciation building block that feeds into the annual building block </w:t>
      </w:r>
      <w:r>
        <w:t xml:space="preserve">model for setting </w:t>
      </w:r>
      <w:r w:rsidRPr="00255314">
        <w:t>revenue.</w:t>
      </w:r>
    </w:p>
    <w:p w:rsidR="00F674AC" w:rsidRPr="001A2042" w:rsidRDefault="0033625D" w:rsidP="00F674AC">
      <w:pPr>
        <w:pStyle w:val="AERbodytext"/>
      </w:pPr>
      <w:r>
        <w:rPr>
          <w:rStyle w:val="AERbody"/>
        </w:rPr>
        <w:fldChar w:fldCharType="begin"/>
      </w:r>
      <w:r>
        <w:rPr>
          <w:rStyle w:val="AERbody"/>
        </w:rPr>
        <w:instrText xml:space="preserve"> REF _Ref404157407 \h </w:instrText>
      </w:r>
      <w:r>
        <w:rPr>
          <w:rStyle w:val="AERbody"/>
        </w:rPr>
      </w:r>
      <w:r>
        <w:rPr>
          <w:rStyle w:val="AERbody"/>
        </w:rPr>
        <w:fldChar w:fldCharType="separate"/>
      </w:r>
      <w:r w:rsidR="00752809">
        <w:t xml:space="preserve">Figure </w:t>
      </w:r>
      <w:r w:rsidR="00752809">
        <w:rPr>
          <w:noProof/>
        </w:rPr>
        <w:t>2</w:t>
      </w:r>
      <w:r w:rsidR="00752809">
        <w:noBreakHyphen/>
      </w:r>
      <w:r w:rsidR="00752809">
        <w:rPr>
          <w:noProof/>
        </w:rPr>
        <w:t>1</w:t>
      </w:r>
      <w:r>
        <w:rPr>
          <w:rStyle w:val="AERbody"/>
        </w:rPr>
        <w:fldChar w:fldCharType="end"/>
      </w:r>
      <w:r>
        <w:rPr>
          <w:rStyle w:val="AERbody"/>
        </w:rPr>
        <w:t xml:space="preserve"> </w:t>
      </w:r>
      <w:r w:rsidR="00F674AC" w:rsidRPr="00C06BD9">
        <w:rPr>
          <w:rStyle w:val="AERbody"/>
        </w:rPr>
        <w:t>shows</w:t>
      </w:r>
      <w:r w:rsidR="00F674AC" w:rsidRPr="001A2042">
        <w:t xml:space="preserve"> the key drivers of the change in the capital base over the 2015–20 access arrangement </w:t>
      </w:r>
      <w:proofErr w:type="gramStart"/>
      <w:r w:rsidR="00F674AC" w:rsidRPr="001A2042">
        <w:t>period</w:t>
      </w:r>
      <w:proofErr w:type="gramEnd"/>
      <w:r w:rsidR="00F674AC" w:rsidRPr="001A2042">
        <w:t xml:space="preserve"> as proposed by JGN. Overall, the closing capital base at the end of the 2015–20 regulatory control </w:t>
      </w:r>
      <w:proofErr w:type="gramStart"/>
      <w:r w:rsidR="00F674AC" w:rsidRPr="001A2042">
        <w:t>period</w:t>
      </w:r>
      <w:proofErr w:type="gramEnd"/>
      <w:r w:rsidR="00F674AC" w:rsidRPr="001A2042">
        <w:t xml:space="preserve"> would be </w:t>
      </w:r>
      <w:r w:rsidR="00F674AC" w:rsidRPr="001A2042">
        <w:rPr>
          <w:rStyle w:val="AERbody"/>
        </w:rPr>
        <w:t>19 per cent</w:t>
      </w:r>
      <w:r w:rsidR="00F674AC" w:rsidRPr="001A2042">
        <w:t xml:space="preserve"> higher than the opening capital base at the start of that period based on the proposal</w:t>
      </w:r>
      <w:r w:rsidR="00F674AC">
        <w:t>, in nominal terms</w:t>
      </w:r>
      <w:r w:rsidR="00F674AC" w:rsidRPr="001A2042">
        <w:t xml:space="preserve">. The proposed </w:t>
      </w:r>
      <w:r w:rsidR="00F674AC" w:rsidRPr="001A2042">
        <w:rPr>
          <w:rStyle w:val="AERbody"/>
        </w:rPr>
        <w:t>forecast net capex increases the capital base by about 39 per cent, while forecast inflation increases it by about 15 per cent. Forecast depreciation, on the other hand, reduces the capital base by about 29 per cent.</w:t>
      </w:r>
      <w:r w:rsidR="00F674AC" w:rsidRPr="001A2042">
        <w:t xml:space="preserve"> </w:t>
      </w:r>
    </w:p>
    <w:p w:rsidR="00F674AC" w:rsidRPr="001A2042" w:rsidRDefault="00F674AC" w:rsidP="00F674AC">
      <w:pPr>
        <w:pStyle w:val="AERbodytext"/>
        <w:rPr>
          <w:rStyle w:val="AERtexthighlight"/>
          <w:shd w:val="clear" w:color="auto" w:fill="auto"/>
        </w:rPr>
      </w:pPr>
      <w:r w:rsidRPr="001A2042">
        <w:rPr>
          <w:rStyle w:val="AERtexthighlight"/>
          <w:shd w:val="clear" w:color="auto" w:fill="auto"/>
        </w:rPr>
        <w:t xml:space="preserve">The capital base would rise in real terms over the 2015–20 regulatory control period based on JGN's proposal. The depreciation amount also largely depends on the opening capital base (which in turn depends </w:t>
      </w:r>
      <w:r w:rsidRPr="00FC3DA7">
        <w:rPr>
          <w:rStyle w:val="AERtexthighlight"/>
          <w:shd w:val="clear" w:color="auto" w:fill="auto"/>
        </w:rPr>
        <w:t xml:space="preserve">on </w:t>
      </w:r>
      <w:r w:rsidRPr="0032070E">
        <w:rPr>
          <w:rStyle w:val="AERtexthighlight"/>
          <w:shd w:val="clear" w:color="auto" w:fill="auto"/>
        </w:rPr>
        <w:t xml:space="preserve">past </w:t>
      </w:r>
      <w:r w:rsidRPr="00FC3DA7">
        <w:rPr>
          <w:rStyle w:val="AERtexthighlight"/>
          <w:shd w:val="clear" w:color="auto" w:fill="auto"/>
        </w:rPr>
        <w:t xml:space="preserve">capex). However, we do have concerns with the size of the forecast net capex. </w:t>
      </w:r>
      <w:r>
        <w:rPr>
          <w:rStyle w:val="AERbody"/>
        </w:rPr>
        <w:fldChar w:fldCharType="begin"/>
      </w:r>
      <w:r>
        <w:rPr>
          <w:rStyle w:val="AERtexthighlight"/>
          <w:shd w:val="clear" w:color="auto" w:fill="auto"/>
        </w:rPr>
        <w:instrText xml:space="preserve"> REF _Ref404157407 \h </w:instrText>
      </w:r>
      <w:r>
        <w:rPr>
          <w:rStyle w:val="AERbody"/>
        </w:rPr>
      </w:r>
      <w:r>
        <w:rPr>
          <w:rStyle w:val="AERbody"/>
        </w:rPr>
        <w:fldChar w:fldCharType="separate"/>
      </w:r>
      <w:r w:rsidR="00752809">
        <w:t xml:space="preserve">Figure </w:t>
      </w:r>
      <w:r w:rsidR="00752809">
        <w:rPr>
          <w:noProof/>
        </w:rPr>
        <w:t>2</w:t>
      </w:r>
      <w:r w:rsidR="00752809">
        <w:noBreakHyphen/>
      </w:r>
      <w:r w:rsidR="00752809">
        <w:rPr>
          <w:noProof/>
        </w:rPr>
        <w:t>1</w:t>
      </w:r>
      <w:r>
        <w:rPr>
          <w:rStyle w:val="AERbody"/>
        </w:rPr>
        <w:fldChar w:fldCharType="end"/>
      </w:r>
      <w:r>
        <w:rPr>
          <w:rStyle w:val="AERbody"/>
        </w:rPr>
        <w:t xml:space="preserve"> </w:t>
      </w:r>
      <w:r w:rsidRPr="00C06BD9">
        <w:rPr>
          <w:rStyle w:val="AERbody"/>
        </w:rPr>
        <w:t>s</w:t>
      </w:r>
      <w:r w:rsidRPr="001A2042">
        <w:rPr>
          <w:rStyle w:val="AERtexthighlight"/>
          <w:shd w:val="clear" w:color="auto" w:fill="auto"/>
        </w:rPr>
        <w:t xml:space="preserve">hows forecast net capex is the largest driver of the increase in the capital base and we have considered whether it is appropriate that the forecast net capex exceeds depreciation as JGN has proposed. Refer </w:t>
      </w:r>
      <w:r w:rsidRPr="00785ED3">
        <w:rPr>
          <w:rStyle w:val="AERbody"/>
        </w:rPr>
        <w:t>to attachment 6 for</w:t>
      </w:r>
      <w:r w:rsidRPr="001A2042">
        <w:rPr>
          <w:rStyle w:val="AERtexthighlight"/>
          <w:shd w:val="clear" w:color="auto" w:fill="auto"/>
        </w:rPr>
        <w:t xml:space="preserve"> the discussion on forecast capex.</w:t>
      </w:r>
    </w:p>
    <w:p w:rsidR="00F674AC" w:rsidRDefault="00F674AC" w:rsidP="00F674AC">
      <w:pPr>
        <w:pStyle w:val="Caption"/>
        <w:rPr>
          <w:rStyle w:val="AERtexthighlight"/>
        </w:rPr>
      </w:pPr>
      <w:bookmarkStart w:id="48" w:name="_Ref404157407"/>
      <w:bookmarkStart w:id="49" w:name="_Ref398273927"/>
      <w:r>
        <w:lastRenderedPageBreak/>
        <w:t xml:space="preserve">Figure </w:t>
      </w:r>
      <w:fldSimple w:instr=" STYLEREF 1 \s ">
        <w:r w:rsidR="00752809">
          <w:rPr>
            <w:noProof/>
          </w:rPr>
          <w:t>2</w:t>
        </w:r>
      </w:fldSimple>
      <w:r>
        <w:noBreakHyphen/>
      </w:r>
      <w:fldSimple w:instr=" SEQ Figure \* ARABIC \s 1 ">
        <w:r w:rsidR="00752809">
          <w:rPr>
            <w:noProof/>
          </w:rPr>
          <w:t>1</w:t>
        </w:r>
      </w:fldSimple>
      <w:bookmarkEnd w:id="48"/>
      <w:r>
        <w:tab/>
      </w:r>
      <w:r w:rsidRPr="00585B5C">
        <w:t>Key drivers of changes in the RAB ($ million, nominal)</w:t>
      </w:r>
      <w:bookmarkEnd w:id="49"/>
    </w:p>
    <w:p w:rsidR="00F674AC" w:rsidRDefault="00F674AC" w:rsidP="00F674AC">
      <w:pPr>
        <w:pStyle w:val="AERbodytext"/>
      </w:pPr>
      <w:r>
        <w:rPr>
          <w:noProof/>
          <w:lang w:eastAsia="en-AU"/>
        </w:rPr>
        <w:drawing>
          <wp:inline distT="0" distB="0" distL="0" distR="0" wp14:anchorId="35D149BA" wp14:editId="390631D2">
            <wp:extent cx="5731510" cy="3385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1-2014 1-48-18 PM.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3385185"/>
                    </a:xfrm>
                    <a:prstGeom prst="rect">
                      <a:avLst/>
                    </a:prstGeom>
                  </pic:spPr>
                </pic:pic>
              </a:graphicData>
            </a:graphic>
          </wp:inline>
        </w:drawing>
      </w:r>
    </w:p>
    <w:p w:rsidR="00F674AC" w:rsidRPr="00255314" w:rsidRDefault="00F674AC" w:rsidP="00F674AC">
      <w:pPr>
        <w:pStyle w:val="AERtablesource"/>
        <w:ind w:left="0" w:firstLine="0"/>
      </w:pPr>
      <w:r>
        <w:t xml:space="preserve">Source: </w:t>
      </w:r>
      <w:r>
        <w:tab/>
        <w:t xml:space="preserve">AER analysis </w:t>
      </w:r>
    </w:p>
    <w:p w:rsidR="00F674AC" w:rsidRPr="00255314" w:rsidRDefault="00F674AC" w:rsidP="00F674AC">
      <w:pPr>
        <w:pStyle w:val="AERbodytext"/>
      </w:pPr>
      <w:r w:rsidRPr="00255314">
        <w:t xml:space="preserve">A </w:t>
      </w:r>
      <w:r>
        <w:t>ten</w:t>
      </w:r>
      <w:r w:rsidRPr="00255314">
        <w:t xml:space="preserve"> per cent increase in the </w:t>
      </w:r>
      <w:r w:rsidR="005E276F">
        <w:t xml:space="preserve">opening </w:t>
      </w:r>
      <w:r>
        <w:t>capital base</w:t>
      </w:r>
      <w:r w:rsidRPr="00255314">
        <w:t xml:space="preserve"> </w:t>
      </w:r>
      <w:r w:rsidRPr="00785ED3">
        <w:rPr>
          <w:rStyle w:val="AERbody"/>
        </w:rPr>
        <w:t xml:space="preserve">causes revenues to increase by about </w:t>
      </w:r>
      <w:r w:rsidR="005E276F">
        <w:rPr>
          <w:rStyle w:val="AERbody"/>
        </w:rPr>
        <w:t>six</w:t>
      </w:r>
      <w:r w:rsidR="007C1012">
        <w:rPr>
          <w:rStyle w:val="AERbody"/>
        </w:rPr>
        <w:t> </w:t>
      </w:r>
      <w:r w:rsidRPr="00785ED3">
        <w:rPr>
          <w:rStyle w:val="AERbody"/>
        </w:rPr>
        <w:t>per cent. However, the impact on revenues of the annual change in capital base depends on the source of the capital base change, as some drivers affect more than one building block cost.</w:t>
      </w:r>
      <w:r>
        <w:rPr>
          <w:rStyle w:val="FootnoteReference"/>
        </w:rPr>
        <w:footnoteReference w:id="20"/>
      </w:r>
      <w:r w:rsidRPr="00255314">
        <w:t xml:space="preserve"> </w:t>
      </w:r>
    </w:p>
    <w:p w:rsidR="00F674AC" w:rsidRPr="00F73C2D" w:rsidRDefault="00F674AC" w:rsidP="00F674AC">
      <w:pPr>
        <w:pStyle w:val="Heading2"/>
        <w:numPr>
          <w:ilvl w:val="2"/>
          <w:numId w:val="8"/>
        </w:numPr>
      </w:pPr>
      <w:bookmarkStart w:id="50" w:name="_Toc334608503"/>
      <w:bookmarkStart w:id="51" w:name="_Toc334608735"/>
      <w:bookmarkStart w:id="52" w:name="_Toc404157803"/>
      <w:bookmarkStart w:id="53" w:name="_Toc404158166"/>
      <w:bookmarkStart w:id="54" w:name="_Toc404256805"/>
      <w:r w:rsidRPr="004C06CB">
        <w:t>Reasons for draft de</w:t>
      </w:r>
      <w:r w:rsidRPr="00F73C2D">
        <w:t>cision</w:t>
      </w:r>
      <w:bookmarkEnd w:id="50"/>
      <w:bookmarkEnd w:id="51"/>
      <w:bookmarkEnd w:id="52"/>
      <w:bookmarkEnd w:id="53"/>
      <w:bookmarkEnd w:id="54"/>
    </w:p>
    <w:p w:rsidR="00F674AC" w:rsidRPr="00785ED3" w:rsidRDefault="00F674AC" w:rsidP="00F674AC">
      <w:pPr>
        <w:pStyle w:val="AERbodytext"/>
        <w:rPr>
          <w:rStyle w:val="AERbody"/>
        </w:rPr>
      </w:pPr>
      <w:r>
        <w:t xml:space="preserve">We do not </w:t>
      </w:r>
      <w:r w:rsidRPr="00785ED3">
        <w:rPr>
          <w:rStyle w:val="AERbody"/>
        </w:rPr>
        <w:t>approve JGN's proposed opening capital base of $3045.8 million ($nominal) as at 1</w:t>
      </w:r>
      <w:r w:rsidR="00010F01">
        <w:rPr>
          <w:rStyle w:val="AERbody"/>
        </w:rPr>
        <w:t> </w:t>
      </w:r>
      <w:r w:rsidRPr="00785ED3">
        <w:rPr>
          <w:rStyle w:val="AERbody"/>
        </w:rPr>
        <w:t>July 2015. We have instead determined an opening capital base value of $3044.2 million ($nominal) as at 1</w:t>
      </w:r>
      <w:r w:rsidR="00010F01">
        <w:rPr>
          <w:rStyle w:val="AERbody"/>
        </w:rPr>
        <w:t> </w:t>
      </w:r>
      <w:r w:rsidRPr="00785ED3">
        <w:rPr>
          <w:rStyle w:val="AERbody"/>
        </w:rPr>
        <w:t>July 2015, a reduction of $1.6 million ($nominal) or 0.05 per cent from the proposed value. This is due to our removal of the proposed adjustment for the accumulated return on capital associated with the difference between estimated and actual capex for 2009</w:t>
      </w:r>
      <w:r w:rsidRPr="00785ED3">
        <w:rPr>
          <w:rStyle w:val="AERbody"/>
          <w:rFonts w:hint="eastAsia"/>
        </w:rPr>
        <w:t>–</w:t>
      </w:r>
      <w:r w:rsidRPr="00785ED3">
        <w:rPr>
          <w:rStyle w:val="AERbody"/>
        </w:rPr>
        <w:t>10.</w:t>
      </w:r>
    </w:p>
    <w:p w:rsidR="00F674AC" w:rsidRPr="00785ED3" w:rsidRDefault="00F674AC" w:rsidP="00F674AC">
      <w:pPr>
        <w:pStyle w:val="AERbodytext"/>
        <w:rPr>
          <w:rStyle w:val="AERbody"/>
        </w:rPr>
      </w:pPr>
      <w:r w:rsidRPr="00785ED3">
        <w:rPr>
          <w:rStyle w:val="AERbody"/>
        </w:rPr>
        <w:t>We also do not approve JGN's projected closing capital base of $3810.2 million ($nominal) as at 30</w:t>
      </w:r>
      <w:r w:rsidR="00010F01">
        <w:rPr>
          <w:rStyle w:val="AERbody"/>
        </w:rPr>
        <w:t> </w:t>
      </w:r>
      <w:r w:rsidRPr="00785ED3">
        <w:rPr>
          <w:rStyle w:val="AERbody"/>
        </w:rPr>
        <w:t>June 2020. We instead determine a closing capital base of $3595.2 million ($nominal) as at 30 June 2020, a reduction of $215</w:t>
      </w:r>
      <w:r w:rsidR="00010F01">
        <w:rPr>
          <w:rStyle w:val="AERbody"/>
        </w:rPr>
        <w:t>.0</w:t>
      </w:r>
      <w:r w:rsidRPr="00785ED3">
        <w:rPr>
          <w:rStyle w:val="AERbody"/>
        </w:rPr>
        <w:t xml:space="preserve"> million ($nominal) or 5.6</w:t>
      </w:r>
      <w:r w:rsidR="00010F01">
        <w:rPr>
          <w:rStyle w:val="AERbody"/>
        </w:rPr>
        <w:t> </w:t>
      </w:r>
      <w:r w:rsidRPr="00785ED3">
        <w:rPr>
          <w:rStyle w:val="AERbody"/>
        </w:rPr>
        <w:t>per cent from the proposed value. The main reasons for the reduction are our adjustments to its opening capital base as at 1 July 2015 (detailed in section 1.4.1), forecast net capex (detailed in capex attachment 6) and forecast depreciation (detailed in depreciation attachment 5).</w:t>
      </w:r>
    </w:p>
    <w:p w:rsidR="00F674AC" w:rsidRDefault="00F674AC" w:rsidP="00F674AC">
      <w:pPr>
        <w:pStyle w:val="AERbodytext"/>
      </w:pPr>
      <w:r>
        <w:t>We are satisfied each of these amendments is necessary having regard to the requirements of the NGR. The reasons for our decision are discussed below.</w:t>
      </w:r>
    </w:p>
    <w:p w:rsidR="00F674AC" w:rsidRPr="00F73C2D" w:rsidRDefault="00F674AC" w:rsidP="00F674AC">
      <w:pPr>
        <w:pStyle w:val="Heading3"/>
        <w:numPr>
          <w:ilvl w:val="3"/>
          <w:numId w:val="8"/>
        </w:numPr>
      </w:pPr>
      <w:bookmarkStart w:id="55" w:name="_Toc404157804"/>
      <w:bookmarkStart w:id="56" w:name="_Toc404158167"/>
      <w:bookmarkStart w:id="57" w:name="_Toc404256806"/>
      <w:r>
        <w:lastRenderedPageBreak/>
        <w:t xml:space="preserve">Roll forward of </w:t>
      </w:r>
      <w:r w:rsidRPr="00302937">
        <w:t xml:space="preserve">capital base </w:t>
      </w:r>
      <w:r>
        <w:t>during</w:t>
      </w:r>
      <w:r w:rsidRPr="00302937">
        <w:t xml:space="preserve"> the 20</w:t>
      </w:r>
      <w:r>
        <w:t>10–15</w:t>
      </w:r>
      <w:r w:rsidRPr="00302937">
        <w:t xml:space="preserve"> access arrangement period</w:t>
      </w:r>
      <w:bookmarkEnd w:id="55"/>
      <w:bookmarkEnd w:id="56"/>
      <w:bookmarkEnd w:id="57"/>
    </w:p>
    <w:p w:rsidR="00F674AC" w:rsidRDefault="00F674AC" w:rsidP="00F674AC">
      <w:pPr>
        <w:pStyle w:val="AERbodytext"/>
      </w:pPr>
      <w:r w:rsidRPr="00335523">
        <w:t xml:space="preserve">To determine the opening </w:t>
      </w:r>
      <w:r>
        <w:t>capital base</w:t>
      </w:r>
      <w:r w:rsidRPr="00335523">
        <w:t xml:space="preserve"> as at 1 July 201</w:t>
      </w:r>
      <w:r>
        <w:t>5</w:t>
      </w:r>
      <w:r w:rsidRPr="00335523">
        <w:t xml:space="preserve"> we have</w:t>
      </w:r>
      <w:r>
        <w:t xml:space="preserve"> assessed JGN's proposed</w:t>
      </w:r>
      <w:r w:rsidRPr="00335523">
        <w:t xml:space="preserve"> roll forward </w:t>
      </w:r>
      <w:r>
        <w:t>of its</w:t>
      </w:r>
      <w:r w:rsidRPr="00335523">
        <w:t xml:space="preserve"> </w:t>
      </w:r>
      <w:r>
        <w:t xml:space="preserve">capital base </w:t>
      </w:r>
      <w:r w:rsidRPr="00335523">
        <w:t>over the 20</w:t>
      </w:r>
      <w:r>
        <w:t>10–15</w:t>
      </w:r>
      <w:r w:rsidRPr="00335523">
        <w:t xml:space="preserve"> </w:t>
      </w:r>
      <w:r>
        <w:t>access arrangement period t</w:t>
      </w:r>
      <w:r w:rsidRPr="00335523">
        <w:t xml:space="preserve">o determine a closing </w:t>
      </w:r>
      <w:r>
        <w:t>capital base</w:t>
      </w:r>
      <w:r w:rsidRPr="00335523">
        <w:t xml:space="preserve"> value at 30 June 201</w:t>
      </w:r>
      <w:r w:rsidR="00010F01">
        <w:t>5</w:t>
      </w:r>
      <w:r w:rsidRPr="00335523">
        <w:t xml:space="preserve">. </w:t>
      </w:r>
      <w:r>
        <w:t>As part of this, we reviewed the following key inputs to the capital base roll forward:</w:t>
      </w:r>
    </w:p>
    <w:p w:rsidR="00F674AC" w:rsidRDefault="00F674AC" w:rsidP="00F674AC">
      <w:pPr>
        <w:pStyle w:val="AERbulletlistfirststyle"/>
      </w:pPr>
      <w:r>
        <w:t>adjustment for actual capex in 2009–10</w:t>
      </w:r>
    </w:p>
    <w:p w:rsidR="00F674AC" w:rsidRDefault="00F674AC" w:rsidP="00F674AC">
      <w:pPr>
        <w:pStyle w:val="AERbulletlistfirststyle"/>
      </w:pPr>
      <w:r>
        <w:t>conforming capex in the 2010–15 access arrangement period</w:t>
      </w:r>
    </w:p>
    <w:p w:rsidR="00F674AC" w:rsidRPr="00335523" w:rsidRDefault="00F674AC" w:rsidP="00F674AC">
      <w:pPr>
        <w:pStyle w:val="AERbulletlistfirststyle"/>
      </w:pPr>
      <w:proofErr w:type="gramStart"/>
      <w:r>
        <w:t>depreciation</w:t>
      </w:r>
      <w:proofErr w:type="gramEnd"/>
      <w:r>
        <w:t xml:space="preserve"> amounts in the 2010–15 access arrangement period.</w:t>
      </w:r>
    </w:p>
    <w:p w:rsidR="00F674AC" w:rsidRPr="00563F9E" w:rsidRDefault="00F674AC" w:rsidP="00F674AC">
      <w:pPr>
        <w:pStyle w:val="AERbodytext"/>
        <w:rPr>
          <w:rFonts w:eastAsia="Calibri"/>
        </w:rPr>
      </w:pPr>
      <w:r w:rsidRPr="00563F9E">
        <w:rPr>
          <w:rFonts w:eastAsia="Calibri"/>
        </w:rPr>
        <w:t>These are discussed further below.</w:t>
      </w:r>
    </w:p>
    <w:p w:rsidR="00F674AC" w:rsidRPr="00335523" w:rsidRDefault="00F674AC" w:rsidP="00F674AC">
      <w:pPr>
        <w:pStyle w:val="AERbodytext"/>
        <w:rPr>
          <w:rFonts w:eastAsia="Calibri"/>
        </w:rPr>
      </w:pPr>
      <w:r w:rsidRPr="00335523">
        <w:t xml:space="preserve">We also reviewed the other key inputs into </w:t>
      </w:r>
      <w:r>
        <w:t>JGN's</w:t>
      </w:r>
      <w:r w:rsidRPr="00335523">
        <w:t xml:space="preserve"> proposed </w:t>
      </w:r>
      <w:r>
        <w:t xml:space="preserve">capital base roll forward during the 2010–15 access arrangement </w:t>
      </w:r>
      <w:proofErr w:type="gramStart"/>
      <w:r>
        <w:t>period</w:t>
      </w:r>
      <w:proofErr w:type="gramEnd"/>
      <w:r w:rsidRPr="00335523">
        <w:t xml:space="preserve">, such as CPI, rate of return, </w:t>
      </w:r>
      <w:r>
        <w:t>and asset</w:t>
      </w:r>
      <w:r w:rsidRPr="00335523">
        <w:t xml:space="preserve"> lives. We found these were correct and they reconcile with relevant data sources such as ABS data, annual reporting RIN da</w:t>
      </w:r>
      <w:r>
        <w:t>ta and the 2010–</w:t>
      </w:r>
      <w:r w:rsidRPr="00335523">
        <w:t>1</w:t>
      </w:r>
      <w:r>
        <w:t>5</w:t>
      </w:r>
      <w:r w:rsidRPr="00335523">
        <w:t xml:space="preserve"> decision model.</w:t>
      </w:r>
    </w:p>
    <w:p w:rsidR="00F674AC" w:rsidRDefault="00F674AC" w:rsidP="00F674AC">
      <w:pPr>
        <w:pStyle w:val="HeadingBoldBlue"/>
        <w:rPr>
          <w:rFonts w:eastAsia="Calibri"/>
        </w:rPr>
      </w:pPr>
      <w:r>
        <w:rPr>
          <w:rFonts w:eastAsia="Calibri"/>
        </w:rPr>
        <w:t>Adjustment for actual capex in 2009–10</w:t>
      </w:r>
    </w:p>
    <w:p w:rsidR="00F674AC" w:rsidRDefault="00F674AC" w:rsidP="00F674AC">
      <w:pPr>
        <w:pStyle w:val="AERbodytext"/>
        <w:rPr>
          <w:rFonts w:eastAsia="Calibri"/>
        </w:rPr>
      </w:pPr>
      <w:r>
        <w:rPr>
          <w:rFonts w:eastAsia="Calibri"/>
        </w:rPr>
        <w:t>We do not accept JGN's proposed approach to adjusting its capital base for actual capex in 2009–10. W</w:t>
      </w:r>
      <w:r w:rsidRPr="00BE42AC">
        <w:rPr>
          <w:rFonts w:eastAsia="Calibri"/>
        </w:rPr>
        <w:t xml:space="preserve">e consider </w:t>
      </w:r>
      <w:r>
        <w:rPr>
          <w:rFonts w:eastAsia="Calibri"/>
        </w:rPr>
        <w:t>that JGN's proposed</w:t>
      </w:r>
      <w:r w:rsidRPr="00BE42AC">
        <w:rPr>
          <w:rFonts w:eastAsia="Calibri"/>
        </w:rPr>
        <w:t xml:space="preserve"> adjustment to the</w:t>
      </w:r>
      <w:r w:rsidRPr="00F73C2D">
        <w:rPr>
          <w:rFonts w:eastAsia="Calibri"/>
        </w:rPr>
        <w:t xml:space="preserve"> opening capital base reflect</w:t>
      </w:r>
      <w:r>
        <w:rPr>
          <w:rFonts w:eastAsia="Calibri"/>
        </w:rPr>
        <w:t>ing</w:t>
      </w:r>
      <w:r w:rsidRPr="00F73C2D">
        <w:rPr>
          <w:rFonts w:eastAsia="Calibri"/>
        </w:rPr>
        <w:t xml:space="preserve"> </w:t>
      </w:r>
      <w:r>
        <w:rPr>
          <w:rFonts w:eastAsia="Calibri"/>
        </w:rPr>
        <w:t xml:space="preserve">the difference between estimated and </w:t>
      </w:r>
      <w:r w:rsidRPr="00F73C2D">
        <w:rPr>
          <w:rFonts w:eastAsia="Calibri"/>
        </w:rPr>
        <w:t>actual capex for 20</w:t>
      </w:r>
      <w:r>
        <w:rPr>
          <w:rFonts w:eastAsia="Calibri"/>
        </w:rPr>
        <w:t xml:space="preserve">09–10 should not include the accumulated return on capital associated with that difference. </w:t>
      </w:r>
    </w:p>
    <w:p w:rsidR="00F674AC" w:rsidRPr="00C06BD9" w:rsidRDefault="00F674AC" w:rsidP="00F674AC">
      <w:pPr>
        <w:pStyle w:val="AERbodytext"/>
      </w:pPr>
      <w:r w:rsidRPr="00B21C01">
        <w:rPr>
          <w:rFonts w:eastAsia="Calibri"/>
        </w:rPr>
        <w:t xml:space="preserve">JGN's actual capex in 2009–10 of </w:t>
      </w:r>
      <w:r w:rsidRPr="00405C44">
        <w:t>$96.9 millio</w:t>
      </w:r>
      <w:r>
        <w:t xml:space="preserve">n </w:t>
      </w:r>
      <w:r w:rsidRPr="00254619">
        <w:t>($nominal)</w:t>
      </w:r>
      <w:r>
        <w:t xml:space="preserve"> is </w:t>
      </w:r>
      <w:r w:rsidRPr="00405C44">
        <w:t xml:space="preserve">$2.4 million </w:t>
      </w:r>
      <w:r w:rsidRPr="00254619">
        <w:t>($nominal)</w:t>
      </w:r>
      <w:r>
        <w:t xml:space="preserve"> higher than the estimated </w:t>
      </w:r>
      <w:r w:rsidRPr="00405C44">
        <w:t xml:space="preserve">$94.2 million </w:t>
      </w:r>
      <w:r w:rsidRPr="00254619">
        <w:t>($nominal)</w:t>
      </w:r>
      <w:r>
        <w:t xml:space="preserve"> approved in the 2010–15 access arrangement. In accordance with rule 77(2</w:t>
      </w:r>
      <w:proofErr w:type="gramStart"/>
      <w:r>
        <w:t>)(</w:t>
      </w:r>
      <w:proofErr w:type="gramEnd"/>
      <w:r>
        <w:t>a) of the NGR, the opening capital base as at 1 July 2015 should be adjusted to account for this difference. Other than the amount of the capex difference, JGN also proposed to include the accumulated return on capital associated with that difference</w:t>
      </w:r>
      <w:r w:rsidRPr="00B21C01">
        <w:rPr>
          <w:rFonts w:eastAsia="Calibri"/>
        </w:rPr>
        <w:t xml:space="preserve"> in the adjustment to the opening capital base</w:t>
      </w:r>
      <w:r w:rsidRPr="005E65A4">
        <w:rPr>
          <w:rFonts w:eastAsia="Calibri"/>
        </w:rPr>
        <w:t xml:space="preserve">. </w:t>
      </w:r>
      <w:r w:rsidRPr="00B21C01">
        <w:rPr>
          <w:rFonts w:eastAsia="Calibri"/>
        </w:rPr>
        <w:t xml:space="preserve">The Australia Competition Tribunal has determined in a recent decision that rule 77(2)(a) of the NGR does not allow the adjustment to the opening capital base for the difference in estimated and actual capex to include </w:t>
      </w:r>
      <w:r>
        <w:t>the accumulated return on capital associated with that difference</w:t>
      </w:r>
      <w:r w:rsidRPr="00B21C01">
        <w:rPr>
          <w:rFonts w:eastAsia="Calibri"/>
        </w:rPr>
        <w:t>.</w:t>
      </w:r>
      <w:r>
        <w:rPr>
          <w:rStyle w:val="FootnoteReference"/>
          <w:rFonts w:eastAsia="Calibri"/>
        </w:rPr>
        <w:footnoteReference w:id="21"/>
      </w:r>
      <w:r w:rsidRPr="00B21C01">
        <w:rPr>
          <w:rFonts w:eastAsia="Calibri"/>
        </w:rPr>
        <w:t xml:space="preserve"> Consistent with the Australia</w:t>
      </w:r>
      <w:r>
        <w:rPr>
          <w:rFonts w:eastAsia="Calibri"/>
        </w:rPr>
        <w:t>n</w:t>
      </w:r>
      <w:r w:rsidRPr="00B21C01">
        <w:rPr>
          <w:rFonts w:eastAsia="Calibri"/>
        </w:rPr>
        <w:t xml:space="preserve"> Competition Tribunal</w:t>
      </w:r>
      <w:r w:rsidRPr="005E65A4">
        <w:rPr>
          <w:rFonts w:eastAsia="Calibri"/>
        </w:rPr>
        <w:t>'s ruling</w:t>
      </w:r>
      <w:r w:rsidRPr="00B21C01">
        <w:rPr>
          <w:rFonts w:eastAsia="Calibri"/>
        </w:rPr>
        <w:t>,</w:t>
      </w:r>
      <w:r>
        <w:t xml:space="preserve"> we have removed the proposed accumulated return on capital component from the adjustment to JGN's opening capital base.  </w:t>
      </w:r>
    </w:p>
    <w:p w:rsidR="00F674AC" w:rsidRDefault="00F674AC" w:rsidP="00F674AC">
      <w:pPr>
        <w:pStyle w:val="AERbodytext"/>
      </w:pPr>
      <w:r>
        <w:rPr>
          <w:rFonts w:eastAsia="Calibri"/>
        </w:rPr>
        <w:t>O</w:t>
      </w:r>
      <w:r w:rsidRPr="00B21C01">
        <w:rPr>
          <w:rFonts w:eastAsia="Calibri"/>
        </w:rPr>
        <w:t xml:space="preserve">n 10 July 2014, the AEMC released a </w:t>
      </w:r>
      <w:r w:rsidRPr="000F7024">
        <w:t xml:space="preserve">rule change proposal </w:t>
      </w:r>
      <w:r w:rsidRPr="00B21C01">
        <w:rPr>
          <w:rFonts w:eastAsia="Calibri"/>
        </w:rPr>
        <w:t>draft determination</w:t>
      </w:r>
      <w:r w:rsidRPr="007F7E79">
        <w:t xml:space="preserve"> </w:t>
      </w:r>
      <w:r>
        <w:t>on rule</w:t>
      </w:r>
      <w:r w:rsidRPr="00150DAD">
        <w:t xml:space="preserve"> 77(2</w:t>
      </w:r>
      <w:proofErr w:type="gramStart"/>
      <w:r w:rsidRPr="00150DAD">
        <w:t>)(</w:t>
      </w:r>
      <w:proofErr w:type="gramEnd"/>
      <w:r w:rsidRPr="00150DAD">
        <w:t>a)</w:t>
      </w:r>
      <w:r>
        <w:t xml:space="preserve"> of the NGR. The proposed amendment to the rule </w:t>
      </w:r>
      <w:r w:rsidRPr="000F223F">
        <w:t>provide</w:t>
      </w:r>
      <w:r>
        <w:t>s</w:t>
      </w:r>
      <w:r w:rsidRPr="000F223F">
        <w:t xml:space="preserve"> the AER with power to make</w:t>
      </w:r>
      <w:r>
        <w:t xml:space="preserve"> a return on capital adjustment </w:t>
      </w:r>
      <w:r w:rsidRPr="000F223F">
        <w:t>associated with the difference bet</w:t>
      </w:r>
      <w:r>
        <w:t>ween the estimated and the actual capex in the capital base</w:t>
      </w:r>
      <w:r w:rsidRPr="000F223F">
        <w:t>.</w:t>
      </w:r>
      <w:r w:rsidRPr="00150DAD">
        <w:t xml:space="preserve"> </w:t>
      </w:r>
      <w:r>
        <w:t>The AEMC's draft determination stated that it does not intend the amended rules to be applied retrospectively.</w:t>
      </w:r>
      <w:r w:rsidRPr="00A131F7">
        <w:rPr>
          <w:rStyle w:val="FootnoteReference"/>
        </w:rPr>
        <w:footnoteReference w:id="22"/>
      </w:r>
      <w:r>
        <w:t xml:space="preserve"> </w:t>
      </w:r>
      <w:r w:rsidRPr="00285174">
        <w:t>We note that J</w:t>
      </w:r>
      <w:r>
        <w:t>GN</w:t>
      </w:r>
      <w:r w:rsidRPr="00285174">
        <w:t>'s submission to the AEMC's draft decision did not contest th</w:t>
      </w:r>
      <w:r>
        <w:t xml:space="preserve">e issue regarding the retrospective application </w:t>
      </w:r>
      <w:r w:rsidRPr="00285174">
        <w:t>of the rule change decision.</w:t>
      </w:r>
      <w:r>
        <w:rPr>
          <w:rStyle w:val="FootnoteReference"/>
        </w:rPr>
        <w:footnoteReference w:id="23"/>
      </w:r>
    </w:p>
    <w:p w:rsidR="00F674AC" w:rsidRDefault="00F674AC" w:rsidP="00F674AC">
      <w:pPr>
        <w:pStyle w:val="AERbodytext"/>
      </w:pPr>
      <w:r w:rsidRPr="00500947">
        <w:lastRenderedPageBreak/>
        <w:t>On 2 October 2014, the AEMC released its final determination on the rule change, which aligned with the draft determination.</w:t>
      </w:r>
      <w:r w:rsidRPr="00500947">
        <w:rPr>
          <w:rStyle w:val="FootnoteReference"/>
        </w:rPr>
        <w:footnoteReference w:id="24"/>
      </w:r>
      <w:r w:rsidRPr="00500947">
        <w:t xml:space="preserve"> The amended rule commenced as </w:t>
      </w:r>
      <w:r>
        <w:t>at</w:t>
      </w:r>
      <w:r w:rsidRPr="00500947">
        <w:t xml:space="preserve"> that date (2 October) and there was no allowance for retrospective application.</w:t>
      </w:r>
      <w:r w:rsidRPr="00500947">
        <w:rPr>
          <w:rStyle w:val="FootnoteReference"/>
        </w:rPr>
        <w:footnoteReference w:id="25"/>
      </w:r>
    </w:p>
    <w:p w:rsidR="00F674AC" w:rsidRDefault="00F674AC" w:rsidP="00F674AC">
      <w:pPr>
        <w:pStyle w:val="AERbodytext"/>
      </w:pPr>
      <w:r>
        <w:t>On 3 October 2014, JGN contacted the AER to submit that the amended rule should apply to its access arrangement proposal, since the draft decision was to be released after the 2 October 2014 when the rule took effect.</w:t>
      </w:r>
      <w:r>
        <w:rPr>
          <w:rStyle w:val="FootnoteReference"/>
        </w:rPr>
        <w:footnoteReference w:id="26"/>
      </w:r>
      <w:r>
        <w:t xml:space="preserve"> We do not agree with this view because:</w:t>
      </w:r>
    </w:p>
    <w:p w:rsidR="00F674AC" w:rsidRDefault="00F674AC" w:rsidP="00F674AC">
      <w:pPr>
        <w:pStyle w:val="AERbulletlistfirststyle"/>
      </w:pPr>
      <w:r>
        <w:t>We consider the relevant date is the date of the submission of JGN's access arrangement proposal (30 June 2014), not the date of the draft decision (or final decision). We consider our assessment of JGN's access arrangement is governed by the legislation current at 30 June 2014, not the legislation as later amended.</w:t>
      </w:r>
      <w:r>
        <w:rPr>
          <w:rStyle w:val="FootnoteReference"/>
        </w:rPr>
        <w:footnoteReference w:id="27"/>
      </w:r>
      <w:r>
        <w:t xml:space="preserve"> </w:t>
      </w:r>
    </w:p>
    <w:p w:rsidR="00F674AC" w:rsidRDefault="00F674AC" w:rsidP="00F674AC">
      <w:pPr>
        <w:pStyle w:val="AERbulletlistfirststyle"/>
      </w:pPr>
      <w:r>
        <w:t>The AEMC's intent was that the amended rule would not apply to JGN, as is stated in the AEMC draft determination.</w:t>
      </w:r>
      <w:r>
        <w:rPr>
          <w:rStyle w:val="FootnoteReference"/>
        </w:rPr>
        <w:footnoteReference w:id="28"/>
      </w:r>
      <w:r>
        <w:t xml:space="preserve"> </w:t>
      </w:r>
    </w:p>
    <w:p w:rsidR="00F674AC" w:rsidRPr="003D4EA2" w:rsidRDefault="00F674AC" w:rsidP="00F674AC">
      <w:pPr>
        <w:pStyle w:val="AERbulletlistfirststyle"/>
      </w:pPr>
      <w:r>
        <w:t>As a matter of procedural fairness, it would not be appropriate to change the basis for our assessment of the JGN's access arrangement proposal after the process had begun.</w:t>
      </w:r>
      <w:r w:rsidRPr="000B127C">
        <w:t xml:space="preserve"> </w:t>
      </w:r>
      <w:r>
        <w:t>JGN's interpretation applies equally to draft and final decisions. It also applies equally regardless of the significance of any amendment or how late it is made. To accept JGN's interpretation would potentially result in the service provider submitting a proposal under one regulatory framework, stakeholders making submissions under the same framework and the regulator making its decision under a different framework.</w:t>
      </w:r>
      <w:r>
        <w:rPr>
          <w:rStyle w:val="FootnoteReference"/>
        </w:rPr>
        <w:footnoteReference w:id="29"/>
      </w:r>
      <w:r>
        <w:t xml:space="preserve"> This would be an unusual result, given the prescribed consultation process the AER must follow under the NGR.</w:t>
      </w:r>
    </w:p>
    <w:p w:rsidR="00F674AC" w:rsidRPr="00BB697C" w:rsidRDefault="00F674AC" w:rsidP="00F674AC">
      <w:pPr>
        <w:pStyle w:val="AERbodytext"/>
      </w:pPr>
      <w:r w:rsidRPr="003D4EA2">
        <w:t>On this basis</w:t>
      </w:r>
      <w:r>
        <w:t xml:space="preserve"> and for the purposes of assessing this access arrangement</w:t>
      </w:r>
      <w:r w:rsidRPr="003D4EA2">
        <w:t xml:space="preserve">, </w:t>
      </w:r>
      <w:r>
        <w:t xml:space="preserve">we are not satisfied that </w:t>
      </w:r>
      <w:r w:rsidRPr="003D4EA2">
        <w:t xml:space="preserve">the </w:t>
      </w:r>
      <w:r>
        <w:t>recent</w:t>
      </w:r>
      <w:r w:rsidRPr="003D4EA2">
        <w:t xml:space="preserve"> amendment to rule 77(2</w:t>
      </w:r>
      <w:proofErr w:type="gramStart"/>
      <w:r w:rsidRPr="003D4EA2">
        <w:t>)(</w:t>
      </w:r>
      <w:proofErr w:type="gramEnd"/>
      <w:r w:rsidRPr="003D4EA2">
        <w:t>a) of the NGR impact</w:t>
      </w:r>
      <w:r>
        <w:t>s</w:t>
      </w:r>
      <w:r w:rsidRPr="003D4EA2">
        <w:t xml:space="preserve"> the AER's consideration. </w:t>
      </w:r>
      <w:r>
        <w:rPr>
          <w:rFonts w:eastAsia="Calibri"/>
        </w:rPr>
        <w:t>Therefore, we have not added the accumulated return on capital adjustment to JGN's opening capital base.</w:t>
      </w:r>
    </w:p>
    <w:p w:rsidR="00F674AC" w:rsidRPr="00F73C2D" w:rsidRDefault="00F674AC" w:rsidP="00F674AC">
      <w:pPr>
        <w:pStyle w:val="HeadingBoldBlue"/>
      </w:pPr>
      <w:bookmarkStart w:id="58" w:name="_Ref333306080"/>
      <w:r w:rsidRPr="00302937">
        <w:t>Conforming capital expenditure in the 20</w:t>
      </w:r>
      <w:r>
        <w:t>10</w:t>
      </w:r>
      <w:r w:rsidRPr="00302937">
        <w:t>–1</w:t>
      </w:r>
      <w:r>
        <w:t>5</w:t>
      </w:r>
      <w:r w:rsidRPr="00302937">
        <w:t xml:space="preserve"> access arrangement period</w:t>
      </w:r>
      <w:bookmarkEnd w:id="58"/>
    </w:p>
    <w:p w:rsidR="00F674AC" w:rsidRPr="00F73C2D" w:rsidRDefault="00F674AC" w:rsidP="00F674AC">
      <w:pPr>
        <w:pStyle w:val="AERbodytext"/>
        <w:rPr>
          <w:rFonts w:eastAsia="Calibri"/>
        </w:rPr>
      </w:pPr>
      <w:r>
        <w:rPr>
          <w:rFonts w:eastAsia="Calibri"/>
        </w:rPr>
        <w:t>Our</w:t>
      </w:r>
      <w:r w:rsidRPr="00F73C2D">
        <w:rPr>
          <w:rFonts w:eastAsia="Calibri"/>
        </w:rPr>
        <w:t xml:space="preserve"> assessment of conforming capex is set out in </w:t>
      </w:r>
      <w:r>
        <w:rPr>
          <w:rFonts w:eastAsia="Calibri"/>
        </w:rPr>
        <w:t xml:space="preserve">the </w:t>
      </w:r>
      <w:r w:rsidRPr="00785ED3">
        <w:rPr>
          <w:rStyle w:val="AERbody"/>
          <w:rFonts w:eastAsia="Calibri"/>
        </w:rPr>
        <w:t>capex attachment 6. In</w:t>
      </w:r>
      <w:r w:rsidRPr="00F73C2D">
        <w:rPr>
          <w:rFonts w:eastAsia="Calibri"/>
        </w:rPr>
        <w:t xml:space="preserve"> determining the opening capital base as at 1 </w:t>
      </w:r>
      <w:r>
        <w:rPr>
          <w:rFonts w:eastAsia="Calibri"/>
        </w:rPr>
        <w:t>July</w:t>
      </w:r>
      <w:r w:rsidRPr="00F73C2D">
        <w:rPr>
          <w:rFonts w:eastAsia="Calibri"/>
        </w:rPr>
        <w:t xml:space="preserve"> 201</w:t>
      </w:r>
      <w:r>
        <w:rPr>
          <w:rFonts w:eastAsia="Calibri"/>
        </w:rPr>
        <w:t>5</w:t>
      </w:r>
      <w:r w:rsidRPr="00F73C2D">
        <w:rPr>
          <w:rFonts w:eastAsia="Calibri"/>
        </w:rPr>
        <w:t xml:space="preserve">, the AER assessed whether </w:t>
      </w:r>
      <w:r>
        <w:rPr>
          <w:rFonts w:eastAsia="Calibri"/>
        </w:rPr>
        <w:t>JGN</w:t>
      </w:r>
      <w:r w:rsidRPr="00F73C2D">
        <w:rPr>
          <w:rFonts w:eastAsia="Calibri"/>
        </w:rPr>
        <w:t>'s proposed capex amounts for the 20</w:t>
      </w:r>
      <w:r>
        <w:rPr>
          <w:rFonts w:eastAsia="Calibri"/>
        </w:rPr>
        <w:t>10</w:t>
      </w:r>
      <w:r w:rsidRPr="00F73C2D">
        <w:rPr>
          <w:rFonts w:eastAsia="Calibri"/>
        </w:rPr>
        <w:t>–1</w:t>
      </w:r>
      <w:r>
        <w:rPr>
          <w:rFonts w:eastAsia="Calibri"/>
        </w:rPr>
        <w:t>5</w:t>
      </w:r>
      <w:r w:rsidRPr="00F73C2D">
        <w:rPr>
          <w:rFonts w:eastAsia="Calibri"/>
        </w:rPr>
        <w:t xml:space="preserve"> access arrangement are properly accounted for in the capital base roll forward. </w:t>
      </w:r>
    </w:p>
    <w:p w:rsidR="00F674AC" w:rsidRPr="00100B35" w:rsidRDefault="00F674AC" w:rsidP="00F674AC">
      <w:pPr>
        <w:pStyle w:val="AERbodytext"/>
        <w:rPr>
          <w:rFonts w:eastAsia="Calibri"/>
        </w:rPr>
      </w:pPr>
      <w:r>
        <w:rPr>
          <w:rFonts w:eastAsia="Calibri"/>
        </w:rPr>
        <w:t xml:space="preserve">We </w:t>
      </w:r>
      <w:r w:rsidRPr="00100B35">
        <w:rPr>
          <w:rFonts w:eastAsia="Calibri"/>
        </w:rPr>
        <w:t>accept that J</w:t>
      </w:r>
      <w:r>
        <w:rPr>
          <w:rFonts w:eastAsia="Calibri"/>
        </w:rPr>
        <w:t>GN</w:t>
      </w:r>
      <w:r w:rsidRPr="00100B35">
        <w:rPr>
          <w:rFonts w:eastAsia="Calibri"/>
        </w:rPr>
        <w:t xml:space="preserve">'s proposed capex for the 2010–15 access arrangement </w:t>
      </w:r>
      <w:proofErr w:type="gramStart"/>
      <w:r w:rsidRPr="00100B35">
        <w:rPr>
          <w:rFonts w:eastAsia="Calibri"/>
        </w:rPr>
        <w:t>period</w:t>
      </w:r>
      <w:proofErr w:type="gramEnd"/>
      <w:r w:rsidRPr="00100B35">
        <w:rPr>
          <w:rFonts w:eastAsia="Calibri"/>
        </w:rPr>
        <w:t xml:space="preserve"> is properly included in the capital base roll forward and is consistent with the requirements of the NGR.</w:t>
      </w:r>
      <w:r>
        <w:rPr>
          <w:rStyle w:val="FootnoteReference"/>
          <w:rFonts w:eastAsia="Calibri"/>
        </w:rPr>
        <w:footnoteReference w:id="30"/>
      </w:r>
      <w:r w:rsidRPr="00B406D4">
        <w:rPr>
          <w:rFonts w:eastAsia="Calibri"/>
        </w:rPr>
        <w:t xml:space="preserve"> </w:t>
      </w:r>
      <w:r>
        <w:rPr>
          <w:rFonts w:eastAsia="Calibri"/>
        </w:rPr>
        <w:t>We</w:t>
      </w:r>
      <w:r w:rsidRPr="00100B35">
        <w:rPr>
          <w:rFonts w:eastAsia="Calibri"/>
        </w:rPr>
        <w:t xml:space="preserve"> </w:t>
      </w:r>
      <w:r w:rsidRPr="00B406D4">
        <w:rPr>
          <w:rFonts w:eastAsia="Calibri"/>
        </w:rPr>
        <w:t xml:space="preserve">note that the proposed capex </w:t>
      </w:r>
      <w:r>
        <w:rPr>
          <w:rFonts w:eastAsia="Calibri"/>
        </w:rPr>
        <w:t xml:space="preserve">accepted in this draft decision </w:t>
      </w:r>
      <w:r w:rsidRPr="00B406D4">
        <w:rPr>
          <w:rFonts w:eastAsia="Calibri"/>
        </w:rPr>
        <w:t xml:space="preserve">for </w:t>
      </w:r>
      <w:r w:rsidRPr="00B406D4">
        <w:t>2013</w:t>
      </w:r>
      <w:r w:rsidR="00010F01">
        <w:t>–</w:t>
      </w:r>
      <w:r w:rsidRPr="00B406D4">
        <w:t>14 and 2014</w:t>
      </w:r>
      <w:r w:rsidR="00010F01">
        <w:t>–</w:t>
      </w:r>
      <w:r w:rsidRPr="00B406D4">
        <w:t xml:space="preserve">15 are estimates. As part of the final decision, we expect the </w:t>
      </w:r>
      <w:r>
        <w:t xml:space="preserve">2013–14 capex estimates </w:t>
      </w:r>
      <w:r w:rsidRPr="00B406D4">
        <w:t xml:space="preserve">to be replaced by actuals and the </w:t>
      </w:r>
      <w:r>
        <w:t xml:space="preserve">2014–14 capex estimates </w:t>
      </w:r>
      <w:r w:rsidRPr="00B406D4">
        <w:t>to be</w:t>
      </w:r>
      <w:r w:rsidRPr="00AE3A08">
        <w:t xml:space="preserve"> </w:t>
      </w:r>
      <w:r>
        <w:t>revised based on more up to date information.</w:t>
      </w:r>
    </w:p>
    <w:p w:rsidR="00F674AC" w:rsidRPr="007B228C" w:rsidRDefault="00F674AC" w:rsidP="00F674AC">
      <w:pPr>
        <w:pStyle w:val="HeadingBoldBlue"/>
        <w:rPr>
          <w:rFonts w:eastAsia="Calibri"/>
        </w:rPr>
      </w:pPr>
      <w:r w:rsidRPr="007B228C">
        <w:rPr>
          <w:rFonts w:eastAsia="Calibri"/>
        </w:rPr>
        <w:lastRenderedPageBreak/>
        <w:t>Depreciation used in the 20</w:t>
      </w:r>
      <w:r>
        <w:rPr>
          <w:rFonts w:eastAsia="Calibri"/>
        </w:rPr>
        <w:t>10</w:t>
      </w:r>
      <w:r w:rsidRPr="007B228C">
        <w:rPr>
          <w:rFonts w:eastAsia="Calibri"/>
        </w:rPr>
        <w:t>–1</w:t>
      </w:r>
      <w:r>
        <w:rPr>
          <w:rFonts w:eastAsia="Calibri"/>
        </w:rPr>
        <w:t>5</w:t>
      </w:r>
      <w:r w:rsidRPr="007B228C">
        <w:rPr>
          <w:rFonts w:eastAsia="Calibri"/>
        </w:rPr>
        <w:t xml:space="preserve"> access arrangement period</w:t>
      </w:r>
    </w:p>
    <w:p w:rsidR="00F674AC" w:rsidRDefault="00F674AC" w:rsidP="00F674AC">
      <w:pPr>
        <w:pStyle w:val="AERbodytext"/>
        <w:rPr>
          <w:rFonts w:eastAsia="Calibri"/>
        </w:rPr>
      </w:pPr>
      <w:r w:rsidRPr="00024038">
        <w:rPr>
          <w:rFonts w:eastAsia="Calibri"/>
        </w:rPr>
        <w:t>Under the NGR, the AER must subtract from the capital base depreciation calculated in accordance with the relevant access arrangement.</w:t>
      </w:r>
      <w:r w:rsidRPr="00024038">
        <w:rPr>
          <w:rStyle w:val="FootnoteReference"/>
          <w:rFonts w:eastAsia="Calibri"/>
        </w:rPr>
        <w:footnoteReference w:id="31"/>
      </w:r>
      <w:r w:rsidRPr="00024038">
        <w:rPr>
          <w:rFonts w:eastAsia="Calibri"/>
        </w:rPr>
        <w:t xml:space="preserve"> </w:t>
      </w:r>
    </w:p>
    <w:p w:rsidR="00F674AC" w:rsidRPr="007B228C" w:rsidRDefault="00F674AC" w:rsidP="00F674AC">
      <w:pPr>
        <w:pStyle w:val="AERbodytext"/>
        <w:rPr>
          <w:rFonts w:eastAsia="Calibri"/>
        </w:rPr>
      </w:pPr>
      <w:r>
        <w:rPr>
          <w:rFonts w:eastAsia="Calibri"/>
        </w:rPr>
        <w:t>We</w:t>
      </w:r>
      <w:r w:rsidRPr="007B228C">
        <w:rPr>
          <w:rFonts w:eastAsia="Calibri"/>
        </w:rPr>
        <w:t xml:space="preserve"> approve </w:t>
      </w:r>
      <w:r>
        <w:rPr>
          <w:rFonts w:eastAsia="Calibri"/>
        </w:rPr>
        <w:t>JGN'</w:t>
      </w:r>
      <w:r w:rsidRPr="007B228C">
        <w:rPr>
          <w:rFonts w:eastAsia="Calibri"/>
        </w:rPr>
        <w:t>s proposal to roll forwa</w:t>
      </w:r>
      <w:r>
        <w:rPr>
          <w:rFonts w:eastAsia="Calibri"/>
        </w:rPr>
        <w:t>rd the capital base to 1 July</w:t>
      </w:r>
      <w:r w:rsidRPr="007B228C">
        <w:rPr>
          <w:rFonts w:eastAsia="Calibri"/>
        </w:rPr>
        <w:t xml:space="preserve"> 20</w:t>
      </w:r>
      <w:r>
        <w:rPr>
          <w:rFonts w:eastAsia="Calibri"/>
        </w:rPr>
        <w:t>15</w:t>
      </w:r>
      <w:r w:rsidRPr="007B228C">
        <w:rPr>
          <w:rFonts w:eastAsia="Calibri"/>
        </w:rPr>
        <w:t xml:space="preserve"> using forecast depreciation (s</w:t>
      </w:r>
      <w:r>
        <w:rPr>
          <w:rFonts w:eastAsia="Calibri"/>
        </w:rPr>
        <w:t xml:space="preserve">traight-line </w:t>
      </w:r>
      <w:r w:rsidRPr="007B228C">
        <w:rPr>
          <w:rFonts w:eastAsia="Calibri"/>
        </w:rPr>
        <w:t>method</w:t>
      </w:r>
      <w:r>
        <w:rPr>
          <w:rFonts w:eastAsia="Calibri"/>
        </w:rPr>
        <w:t>, adjusted for actual inflation</w:t>
      </w:r>
      <w:r w:rsidRPr="007B228C">
        <w:rPr>
          <w:rFonts w:eastAsia="Calibri"/>
        </w:rPr>
        <w:t xml:space="preserve">) </w:t>
      </w:r>
      <w:r>
        <w:rPr>
          <w:rFonts w:eastAsia="Calibri"/>
        </w:rPr>
        <w:t xml:space="preserve">in accordance with clause 3.1 (c) of </w:t>
      </w:r>
      <w:r w:rsidRPr="007B228C">
        <w:rPr>
          <w:rFonts w:eastAsia="Calibri"/>
        </w:rPr>
        <w:t xml:space="preserve">the </w:t>
      </w:r>
      <w:r>
        <w:rPr>
          <w:rFonts w:eastAsia="Calibri"/>
        </w:rPr>
        <w:t xml:space="preserve">approved 2010–15 </w:t>
      </w:r>
      <w:r w:rsidRPr="007B228C">
        <w:rPr>
          <w:rFonts w:eastAsia="Calibri"/>
        </w:rPr>
        <w:t>acces</w:t>
      </w:r>
      <w:r>
        <w:rPr>
          <w:rFonts w:eastAsia="Calibri"/>
        </w:rPr>
        <w:t>s arrangement</w:t>
      </w:r>
      <w:r w:rsidRPr="007B228C">
        <w:rPr>
          <w:rFonts w:eastAsia="Calibri"/>
        </w:rPr>
        <w:t xml:space="preserve">. </w:t>
      </w:r>
    </w:p>
    <w:p w:rsidR="00F674AC" w:rsidRPr="00F73C2D" w:rsidRDefault="00F674AC" w:rsidP="00F674AC">
      <w:pPr>
        <w:pStyle w:val="Heading3"/>
        <w:numPr>
          <w:ilvl w:val="3"/>
          <w:numId w:val="8"/>
        </w:numPr>
      </w:pPr>
      <w:bookmarkStart w:id="59" w:name="_Toc404157805"/>
      <w:bookmarkStart w:id="60" w:name="_Toc404158168"/>
      <w:bookmarkStart w:id="61" w:name="_Toc404256807"/>
      <w:r>
        <w:t>Projected capital base during the 2015–20 access arrangement period</w:t>
      </w:r>
      <w:bookmarkEnd w:id="59"/>
      <w:bookmarkEnd w:id="60"/>
      <w:bookmarkEnd w:id="61"/>
    </w:p>
    <w:p w:rsidR="00F674AC" w:rsidRPr="00785ED3" w:rsidRDefault="00F674AC" w:rsidP="00F674AC">
      <w:pPr>
        <w:pStyle w:val="AERbodytext"/>
        <w:rPr>
          <w:rStyle w:val="AERbody"/>
          <w:rFonts w:eastAsia="Calibri"/>
        </w:rPr>
      </w:pPr>
      <w:r w:rsidRPr="00785ED3">
        <w:rPr>
          <w:rStyle w:val="AERbody"/>
          <w:rFonts w:eastAsia="Calibri"/>
        </w:rPr>
        <w:t>We forecast JGN's projected capital base at 30 June 2020 to be $3595.2 million ($nominal), a reduction of $215</w:t>
      </w:r>
      <w:r w:rsidR="00010F01">
        <w:rPr>
          <w:rStyle w:val="AERbody"/>
          <w:rFonts w:eastAsia="Calibri"/>
        </w:rPr>
        <w:t>.0</w:t>
      </w:r>
      <w:r w:rsidRPr="00785ED3">
        <w:rPr>
          <w:rStyle w:val="AERbody"/>
          <w:rFonts w:eastAsia="Calibri"/>
        </w:rPr>
        <w:t xml:space="preserve"> million ($nominal) or 5.6 per cent from JGN's proposal. This results from our draft decision on the inputs to the determination of the projected capital base. We have amended the inputs in the following ways:</w:t>
      </w:r>
    </w:p>
    <w:p w:rsidR="00F674AC" w:rsidRPr="00785ED3" w:rsidRDefault="00F674AC" w:rsidP="00F674AC">
      <w:pPr>
        <w:pStyle w:val="AERbulletlistfirststyle"/>
        <w:rPr>
          <w:rStyle w:val="AERbody"/>
        </w:rPr>
      </w:pPr>
      <w:r w:rsidRPr="00785ED3">
        <w:rPr>
          <w:rStyle w:val="AERbody"/>
        </w:rPr>
        <w:t>Reduced JGN's opening capital base as at 1 July 2015 to $3044.2 million ($nominal) or by 0.05 per cent to reflect the changes required in this attachment.</w:t>
      </w:r>
    </w:p>
    <w:p w:rsidR="00F674AC" w:rsidRPr="00785ED3" w:rsidRDefault="00F674AC" w:rsidP="00F674AC">
      <w:pPr>
        <w:pStyle w:val="AERbulletlistfirststyle"/>
        <w:rPr>
          <w:rStyle w:val="AERbody"/>
        </w:rPr>
      </w:pPr>
      <w:r w:rsidRPr="00785ED3">
        <w:rPr>
          <w:rStyle w:val="AERbody"/>
        </w:rPr>
        <w:t>Reduced JGN's proposed forecast net capex by $211.4 million ($real 2015) or 18.7 per cent. Our detailed assessment of the proposed forecast capex is set out in attachment 6.</w:t>
      </w:r>
    </w:p>
    <w:p w:rsidR="00F674AC" w:rsidRPr="00785ED3" w:rsidRDefault="00F674AC" w:rsidP="00F674AC">
      <w:pPr>
        <w:pStyle w:val="AERbulletlistfirststyle"/>
        <w:rPr>
          <w:rStyle w:val="AERbody"/>
        </w:rPr>
      </w:pPr>
      <w:r w:rsidRPr="00785ED3">
        <w:rPr>
          <w:rStyle w:val="AERbody"/>
        </w:rPr>
        <w:t xml:space="preserve">Reduced JGN's proposed forecast depreciation allowance by $12.6 million ($nominal) or 2.9 per cent. The AER's assessment of the proposed forecast depreciation is set out in depreciation attachment 5. </w:t>
      </w:r>
    </w:p>
    <w:p w:rsidR="00F674AC" w:rsidRPr="00785ED3" w:rsidRDefault="00F674AC" w:rsidP="00F674AC">
      <w:pPr>
        <w:pStyle w:val="AERbulletlistfirststyle"/>
        <w:rPr>
          <w:rStyle w:val="AERbody"/>
        </w:rPr>
      </w:pPr>
      <w:r w:rsidRPr="00785ED3">
        <w:rPr>
          <w:rStyle w:val="AERbody"/>
        </w:rPr>
        <w:t>Updated forecast inflation of 2.55 per cent per annum for the 2015–20 access arrangement period.</w:t>
      </w:r>
      <w:r w:rsidR="002050AD">
        <w:rPr>
          <w:rStyle w:val="FootnoteReference"/>
        </w:rPr>
        <w:footnoteReference w:id="32"/>
      </w:r>
      <w:r w:rsidRPr="00785ED3">
        <w:rPr>
          <w:rStyle w:val="AERbody"/>
        </w:rPr>
        <w:t xml:space="preserve"> While we accept JGN's proposed approach to estimate forecast inflation, we have updated the forecast for this draft decision. Our assessment of JGN's proposed forecast inflation is set out in rate of return attachment 3.</w:t>
      </w:r>
    </w:p>
    <w:p w:rsidR="00F674AC" w:rsidRPr="00F73C2D" w:rsidRDefault="00F674AC" w:rsidP="00F674AC">
      <w:pPr>
        <w:pStyle w:val="AERbodytext"/>
        <w:rPr>
          <w:rFonts w:eastAsia="Calibri"/>
        </w:rPr>
      </w:pPr>
      <w:r w:rsidRPr="00F73C2D">
        <w:rPr>
          <w:rFonts w:eastAsia="Calibri"/>
        </w:rPr>
        <w:t>The capital bas</w:t>
      </w:r>
      <w:r>
        <w:rPr>
          <w:rFonts w:eastAsia="Calibri"/>
        </w:rPr>
        <w:t>e at the commencement of the 2020</w:t>
      </w:r>
      <w:r w:rsidRPr="00F73C2D">
        <w:rPr>
          <w:rFonts w:eastAsia="Calibri"/>
        </w:rPr>
        <w:t>–2</w:t>
      </w:r>
      <w:r>
        <w:rPr>
          <w:rFonts w:eastAsia="Calibri"/>
        </w:rPr>
        <w:t>5</w:t>
      </w:r>
      <w:r w:rsidRPr="00F73C2D">
        <w:rPr>
          <w:rFonts w:eastAsia="Calibri"/>
        </w:rPr>
        <w:t xml:space="preserve"> access arrangement </w:t>
      </w:r>
      <w:proofErr w:type="gramStart"/>
      <w:r w:rsidRPr="00F73C2D">
        <w:rPr>
          <w:rFonts w:eastAsia="Calibri"/>
        </w:rPr>
        <w:t>period</w:t>
      </w:r>
      <w:proofErr w:type="gramEnd"/>
      <w:r w:rsidRPr="00F73C2D">
        <w:rPr>
          <w:rFonts w:eastAsia="Calibri"/>
        </w:rPr>
        <w:t xml:space="preserve"> will be subject to adjustments consistent with the NGR.</w:t>
      </w:r>
      <w:r w:rsidRPr="00F73C2D">
        <w:rPr>
          <w:rStyle w:val="FootnoteReference"/>
          <w:rFonts w:eastAsia="Calibri"/>
        </w:rPr>
        <w:footnoteReference w:id="33"/>
      </w:r>
      <w:r w:rsidRPr="00F73C2D">
        <w:rPr>
          <w:rFonts w:eastAsia="Calibri"/>
        </w:rPr>
        <w:t xml:space="preserve"> These adjustments include</w:t>
      </w:r>
      <w:r>
        <w:rPr>
          <w:rFonts w:eastAsia="Calibri"/>
        </w:rPr>
        <w:t xml:space="preserve"> (but are not limited to)</w:t>
      </w:r>
      <w:r w:rsidRPr="00F73C2D">
        <w:rPr>
          <w:rFonts w:eastAsia="Calibri"/>
        </w:rPr>
        <w:t>:</w:t>
      </w:r>
    </w:p>
    <w:p w:rsidR="00F674AC" w:rsidRPr="00F73C2D" w:rsidRDefault="00F674AC" w:rsidP="00F674AC">
      <w:pPr>
        <w:pStyle w:val="AERbulletlistfirststyle"/>
        <w:rPr>
          <w:rFonts w:eastAsia="Calibri"/>
        </w:rPr>
      </w:pPr>
      <w:r w:rsidRPr="00F73C2D">
        <w:rPr>
          <w:rFonts w:eastAsia="Calibri"/>
        </w:rPr>
        <w:t xml:space="preserve">the difference between </w:t>
      </w:r>
      <w:r>
        <w:rPr>
          <w:rFonts w:eastAsia="Calibri"/>
        </w:rPr>
        <w:t xml:space="preserve">estimated and actual </w:t>
      </w:r>
      <w:r w:rsidRPr="00F73C2D">
        <w:rPr>
          <w:rFonts w:eastAsia="Calibri"/>
        </w:rPr>
        <w:t>capex for 201</w:t>
      </w:r>
      <w:r>
        <w:rPr>
          <w:rFonts w:eastAsia="Calibri"/>
        </w:rPr>
        <w:t>4–15</w:t>
      </w:r>
      <w:r w:rsidRPr="00F73C2D">
        <w:rPr>
          <w:rFonts w:eastAsia="Calibri"/>
        </w:rPr>
        <w:t xml:space="preserve"> (the final year of the 20</w:t>
      </w:r>
      <w:r>
        <w:rPr>
          <w:rFonts w:eastAsia="Calibri"/>
        </w:rPr>
        <w:t>15</w:t>
      </w:r>
      <w:r w:rsidRPr="00F73C2D">
        <w:rPr>
          <w:rFonts w:eastAsia="Calibri"/>
        </w:rPr>
        <w:t>–</w:t>
      </w:r>
      <w:r>
        <w:rPr>
          <w:rFonts w:eastAsia="Calibri"/>
        </w:rPr>
        <w:t>20</w:t>
      </w:r>
      <w:r w:rsidRPr="00F73C2D">
        <w:rPr>
          <w:rFonts w:eastAsia="Calibri"/>
        </w:rPr>
        <w:t xml:space="preserve"> access arrangement period)</w:t>
      </w:r>
      <w:r>
        <w:rPr>
          <w:rFonts w:eastAsia="Calibri"/>
        </w:rPr>
        <w:t>, including an adjustment to remove any benefit or penalty associated with the difference between the estimated and actual capex</w:t>
      </w:r>
      <w:r>
        <w:rPr>
          <w:rStyle w:val="FootnoteReference"/>
          <w:rFonts w:eastAsia="Calibri"/>
        </w:rPr>
        <w:footnoteReference w:id="34"/>
      </w:r>
    </w:p>
    <w:p w:rsidR="00F674AC" w:rsidRPr="00F73C2D" w:rsidRDefault="00F674AC" w:rsidP="00F674AC">
      <w:pPr>
        <w:pStyle w:val="AERbulletlistfirststyle"/>
        <w:rPr>
          <w:rFonts w:eastAsia="Calibri"/>
        </w:rPr>
      </w:pPr>
      <w:proofErr w:type="gramStart"/>
      <w:r w:rsidRPr="00F73C2D">
        <w:rPr>
          <w:rFonts w:eastAsia="Calibri"/>
        </w:rPr>
        <w:t>actual</w:t>
      </w:r>
      <w:proofErr w:type="gramEnd"/>
      <w:r w:rsidRPr="00F73C2D">
        <w:rPr>
          <w:rFonts w:eastAsia="Calibri"/>
        </w:rPr>
        <w:t xml:space="preserve"> inflation and approved depreciation over the 201</w:t>
      </w:r>
      <w:r>
        <w:rPr>
          <w:rFonts w:eastAsia="Calibri"/>
        </w:rPr>
        <w:t>5</w:t>
      </w:r>
      <w:r w:rsidRPr="00F73C2D">
        <w:rPr>
          <w:rFonts w:eastAsia="Calibri"/>
        </w:rPr>
        <w:t>–</w:t>
      </w:r>
      <w:r>
        <w:rPr>
          <w:rFonts w:eastAsia="Calibri"/>
        </w:rPr>
        <w:t>20</w:t>
      </w:r>
      <w:r w:rsidRPr="00F73C2D">
        <w:rPr>
          <w:rFonts w:eastAsia="Calibri"/>
        </w:rPr>
        <w:t xml:space="preserve"> access arrangement period. </w:t>
      </w:r>
    </w:p>
    <w:p w:rsidR="00F674AC" w:rsidRPr="00F73C2D" w:rsidRDefault="00F674AC" w:rsidP="00F674AC">
      <w:pPr>
        <w:pStyle w:val="AERbodytext"/>
        <w:rPr>
          <w:rFonts w:eastAsia="Calibri"/>
        </w:rPr>
      </w:pPr>
      <w:r>
        <w:rPr>
          <w:rFonts w:eastAsia="Calibri"/>
        </w:rPr>
        <w:t xml:space="preserve">We </w:t>
      </w:r>
      <w:r w:rsidRPr="00F73C2D">
        <w:rPr>
          <w:rFonts w:eastAsia="Calibri"/>
        </w:rPr>
        <w:t xml:space="preserve">accept </w:t>
      </w:r>
      <w:r>
        <w:rPr>
          <w:rFonts w:eastAsia="Calibri"/>
        </w:rPr>
        <w:t>JGN's</w:t>
      </w:r>
      <w:r w:rsidRPr="00F73C2D">
        <w:rPr>
          <w:rFonts w:eastAsia="Calibri"/>
        </w:rPr>
        <w:t xml:space="preserve"> proposal to use forecast depreciation</w:t>
      </w:r>
      <w:r>
        <w:rPr>
          <w:rFonts w:eastAsia="Calibri"/>
        </w:rPr>
        <w:t xml:space="preserve"> (to be</w:t>
      </w:r>
      <w:r w:rsidRPr="00F73C2D">
        <w:rPr>
          <w:rFonts w:eastAsia="Calibri"/>
        </w:rPr>
        <w:t xml:space="preserve"> approved in the final decision for the 201</w:t>
      </w:r>
      <w:r>
        <w:rPr>
          <w:rFonts w:eastAsia="Calibri"/>
        </w:rPr>
        <w:t>5</w:t>
      </w:r>
      <w:r w:rsidRPr="00F73C2D">
        <w:rPr>
          <w:rFonts w:eastAsia="Calibri"/>
        </w:rPr>
        <w:t>–</w:t>
      </w:r>
      <w:r>
        <w:rPr>
          <w:rFonts w:eastAsia="Calibri"/>
        </w:rPr>
        <w:t>20</w:t>
      </w:r>
      <w:r w:rsidRPr="00F73C2D">
        <w:rPr>
          <w:rFonts w:eastAsia="Calibri"/>
        </w:rPr>
        <w:t xml:space="preserve"> access arrangement period</w:t>
      </w:r>
      <w:r>
        <w:rPr>
          <w:rFonts w:eastAsia="Calibri"/>
        </w:rPr>
        <w:t>)</w:t>
      </w:r>
      <w:r w:rsidRPr="00F73C2D">
        <w:rPr>
          <w:rFonts w:eastAsia="Calibri"/>
        </w:rPr>
        <w:t xml:space="preserve"> to establish </w:t>
      </w:r>
      <w:r>
        <w:rPr>
          <w:rFonts w:eastAsia="Calibri"/>
        </w:rPr>
        <w:t>JGN</w:t>
      </w:r>
      <w:r w:rsidRPr="00F73C2D">
        <w:rPr>
          <w:rFonts w:eastAsia="Calibri"/>
        </w:rPr>
        <w:t xml:space="preserve">’s opening capital base as at 1 </w:t>
      </w:r>
      <w:r>
        <w:rPr>
          <w:rFonts w:eastAsia="Calibri"/>
        </w:rPr>
        <w:t>July</w:t>
      </w:r>
      <w:r w:rsidRPr="00F73C2D">
        <w:rPr>
          <w:rFonts w:eastAsia="Calibri"/>
        </w:rPr>
        <w:t xml:space="preserve"> 20</w:t>
      </w:r>
      <w:r>
        <w:rPr>
          <w:rFonts w:eastAsia="Calibri"/>
        </w:rPr>
        <w:t>20</w:t>
      </w:r>
      <w:r w:rsidRPr="00F73C2D">
        <w:rPr>
          <w:rFonts w:eastAsia="Calibri"/>
        </w:rPr>
        <w:t>.</w:t>
      </w:r>
      <w:r w:rsidRPr="00F73C2D">
        <w:rPr>
          <w:rStyle w:val="FootnoteReference"/>
          <w:rFonts w:eastAsia="Calibri"/>
        </w:rPr>
        <w:footnoteReference w:id="35"/>
      </w:r>
      <w:r w:rsidRPr="00F73C2D">
        <w:rPr>
          <w:rFonts w:eastAsia="Calibri"/>
        </w:rPr>
        <w:t xml:space="preserve"> </w:t>
      </w:r>
      <w:r>
        <w:rPr>
          <w:rFonts w:eastAsia="Calibri"/>
        </w:rPr>
        <w:t xml:space="preserve">We </w:t>
      </w:r>
      <w:r w:rsidRPr="00F73C2D">
        <w:rPr>
          <w:rFonts w:eastAsia="Calibri"/>
        </w:rPr>
        <w:t xml:space="preserve">approved such an approach in the decisions for APT </w:t>
      </w:r>
      <w:proofErr w:type="spellStart"/>
      <w:r w:rsidRPr="00F73C2D">
        <w:rPr>
          <w:rFonts w:eastAsia="Calibri"/>
        </w:rPr>
        <w:t>Allgas</w:t>
      </w:r>
      <w:proofErr w:type="spellEnd"/>
      <w:r w:rsidRPr="00F73C2D">
        <w:rPr>
          <w:rFonts w:eastAsia="Calibri"/>
        </w:rPr>
        <w:t xml:space="preserve">, </w:t>
      </w:r>
      <w:proofErr w:type="spellStart"/>
      <w:r w:rsidRPr="00F73C2D">
        <w:rPr>
          <w:rFonts w:eastAsia="Calibri"/>
        </w:rPr>
        <w:t>Envestra</w:t>
      </w:r>
      <w:proofErr w:type="spellEnd"/>
      <w:r w:rsidRPr="00F73C2D">
        <w:rPr>
          <w:rFonts w:eastAsia="Calibri"/>
        </w:rPr>
        <w:t xml:space="preserve"> networks</w:t>
      </w:r>
      <w:r>
        <w:rPr>
          <w:rFonts w:eastAsia="Calibri"/>
        </w:rPr>
        <w:t>, and the Victorian gas service providers</w:t>
      </w:r>
      <w:r w:rsidRPr="00F73C2D">
        <w:rPr>
          <w:rFonts w:eastAsia="Calibri"/>
        </w:rPr>
        <w:t>.</w:t>
      </w:r>
      <w:r w:rsidRPr="00F73C2D">
        <w:rPr>
          <w:rStyle w:val="FootnoteReference"/>
          <w:rFonts w:eastAsia="Calibri"/>
        </w:rPr>
        <w:footnoteReference w:id="36"/>
      </w:r>
      <w:r w:rsidRPr="00F73C2D">
        <w:rPr>
          <w:rFonts w:eastAsia="Calibri"/>
        </w:rPr>
        <w:t xml:space="preserve"> This approach is also consistent with the approach outlined in the AER’s Access Arrangement Guideline.</w:t>
      </w:r>
      <w:r w:rsidRPr="00F73C2D">
        <w:rPr>
          <w:rStyle w:val="FootnoteReference"/>
          <w:rFonts w:eastAsia="Calibri"/>
        </w:rPr>
        <w:footnoteReference w:id="37"/>
      </w:r>
    </w:p>
    <w:p w:rsidR="00F674AC" w:rsidRPr="00F73C2D" w:rsidRDefault="00F674AC" w:rsidP="00F674AC">
      <w:pPr>
        <w:pStyle w:val="Heading2"/>
        <w:numPr>
          <w:ilvl w:val="2"/>
          <w:numId w:val="8"/>
        </w:numPr>
      </w:pPr>
      <w:bookmarkStart w:id="62" w:name="_Toc334608504"/>
      <w:bookmarkStart w:id="63" w:name="_Toc334608736"/>
      <w:bookmarkStart w:id="64" w:name="_Toc404157806"/>
      <w:bookmarkStart w:id="65" w:name="_Toc404158169"/>
      <w:bookmarkStart w:id="66" w:name="_Toc404256808"/>
      <w:r w:rsidRPr="005B258D">
        <w:lastRenderedPageBreak/>
        <w:t>Revisions</w:t>
      </w:r>
      <w:bookmarkEnd w:id="62"/>
      <w:bookmarkEnd w:id="63"/>
      <w:bookmarkEnd w:id="64"/>
      <w:bookmarkEnd w:id="65"/>
      <w:bookmarkEnd w:id="66"/>
    </w:p>
    <w:p w:rsidR="00F674AC" w:rsidRPr="00111CA5" w:rsidRDefault="00F674AC" w:rsidP="00F674AC">
      <w:pPr>
        <w:pStyle w:val="AERbodytext"/>
      </w:pPr>
      <w:r w:rsidRPr="00646746">
        <w:t xml:space="preserve">The AER requires the following revisions to make the access </w:t>
      </w:r>
      <w:r>
        <w:t>arrangement proposal acceptable</w:t>
      </w:r>
      <w:r w:rsidRPr="00111CA5">
        <w:t>:</w:t>
      </w:r>
    </w:p>
    <w:p w:rsidR="00103B25" w:rsidRDefault="00103B25" w:rsidP="00103B25">
      <w:pPr>
        <w:pStyle w:val="AERrevisionbox"/>
        <w:rPr>
          <w:rFonts w:eastAsia="Calibri"/>
        </w:rPr>
      </w:pPr>
      <w:r w:rsidRPr="00103B25">
        <w:rPr>
          <w:rStyle w:val="AERtextbold"/>
          <w:rFonts w:eastAsia="Calibri"/>
        </w:rPr>
        <w:t>Revision 2.1</w:t>
      </w:r>
      <w:r w:rsidRPr="00103B25">
        <w:rPr>
          <w:rFonts w:eastAsia="Calibri"/>
        </w:rPr>
        <w:t>: Make all necessary amendments to reflect the AER's draft decision on the roll forward of the capital base for the 2010–15 access arrangement period, as set out in</w:t>
      </w:r>
      <w:r w:rsidR="00752809">
        <w:rPr>
          <w:rFonts w:eastAsia="Calibri"/>
        </w:rPr>
        <w:t xml:space="preserve"> </w:t>
      </w:r>
      <w:r w:rsidR="00752809">
        <w:rPr>
          <w:rFonts w:eastAsia="Calibri"/>
        </w:rPr>
        <w:fldChar w:fldCharType="begin"/>
      </w:r>
      <w:r w:rsidR="00752809">
        <w:rPr>
          <w:rFonts w:eastAsia="Calibri"/>
        </w:rPr>
        <w:instrText xml:space="preserve"> REF _Ref404157003 \h </w:instrText>
      </w:r>
      <w:r w:rsidR="00752809">
        <w:rPr>
          <w:rFonts w:eastAsia="Calibri"/>
        </w:rPr>
      </w:r>
      <w:r w:rsidR="00752809">
        <w:rPr>
          <w:rFonts w:eastAsia="Calibri"/>
        </w:rPr>
        <w:fldChar w:fldCharType="separate"/>
      </w:r>
      <w:r w:rsidR="00752809">
        <w:t xml:space="preserve">Table </w:t>
      </w:r>
      <w:r w:rsidR="00752809">
        <w:rPr>
          <w:noProof/>
        </w:rPr>
        <w:t>2</w:t>
      </w:r>
      <w:r w:rsidR="00752809">
        <w:noBreakHyphen/>
      </w:r>
      <w:r w:rsidR="00752809">
        <w:rPr>
          <w:noProof/>
        </w:rPr>
        <w:t>1</w:t>
      </w:r>
      <w:r w:rsidR="00752809">
        <w:rPr>
          <w:rFonts w:eastAsia="Calibri"/>
        </w:rPr>
        <w:fldChar w:fldCharType="end"/>
      </w:r>
      <w:r w:rsidRPr="00103B25">
        <w:rPr>
          <w:rFonts w:eastAsia="Calibri"/>
        </w:rPr>
        <w:t>.</w:t>
      </w:r>
    </w:p>
    <w:p w:rsidR="00752809" w:rsidRDefault="00752809" w:rsidP="00103B25">
      <w:pPr>
        <w:pStyle w:val="AERrevisionbox"/>
        <w:rPr>
          <w:rFonts w:eastAsia="Calibri"/>
        </w:rPr>
      </w:pPr>
      <w:r w:rsidRPr="00752809">
        <w:rPr>
          <w:rStyle w:val="AERtextbold"/>
          <w:rFonts w:eastAsia="Calibri"/>
        </w:rPr>
        <w:t>Revision 2.1</w:t>
      </w:r>
      <w:r w:rsidRPr="00752809">
        <w:rPr>
          <w:rFonts w:eastAsia="Calibri"/>
        </w:rPr>
        <w:t xml:space="preserve">: Make all necessary amendments to reflect the AER's draft decision on the </w:t>
      </w:r>
      <w:r>
        <w:rPr>
          <w:rFonts w:eastAsia="Calibri"/>
        </w:rPr>
        <w:t>projected opening cap</w:t>
      </w:r>
      <w:r w:rsidRPr="00752809">
        <w:rPr>
          <w:rFonts w:eastAsia="Calibri"/>
        </w:rPr>
        <w:t>ital base for the 201</w:t>
      </w:r>
      <w:r>
        <w:rPr>
          <w:rFonts w:eastAsia="Calibri"/>
        </w:rPr>
        <w:t>5–20</w:t>
      </w:r>
      <w:r w:rsidRPr="00752809">
        <w:rPr>
          <w:rFonts w:eastAsia="Calibri"/>
        </w:rPr>
        <w:t xml:space="preserve"> access arrangement </w:t>
      </w:r>
      <w:proofErr w:type="gramStart"/>
      <w:r w:rsidRPr="00752809">
        <w:rPr>
          <w:rFonts w:eastAsia="Calibri"/>
        </w:rPr>
        <w:t>period</w:t>
      </w:r>
      <w:proofErr w:type="gramEnd"/>
      <w:r w:rsidRPr="00752809">
        <w:rPr>
          <w:rFonts w:eastAsia="Calibri"/>
        </w:rPr>
        <w:t>, as set out in</w:t>
      </w:r>
      <w:r>
        <w:rPr>
          <w:rFonts w:eastAsia="Calibri"/>
        </w:rPr>
        <w:t xml:space="preserve"> </w:t>
      </w:r>
      <w:r>
        <w:rPr>
          <w:rFonts w:eastAsia="Calibri"/>
        </w:rPr>
        <w:fldChar w:fldCharType="begin"/>
      </w:r>
      <w:r>
        <w:rPr>
          <w:rFonts w:eastAsia="Calibri"/>
        </w:rPr>
        <w:instrText xml:space="preserve"> REF _Ref404703901 \h </w:instrText>
      </w:r>
      <w:r>
        <w:rPr>
          <w:rFonts w:eastAsia="Calibri"/>
        </w:rPr>
      </w:r>
      <w:r>
        <w:rPr>
          <w:rFonts w:eastAsia="Calibri"/>
        </w:rPr>
        <w:fldChar w:fldCharType="separate"/>
      </w:r>
      <w:r>
        <w:t xml:space="preserve">Table </w:t>
      </w:r>
      <w:r>
        <w:rPr>
          <w:noProof/>
        </w:rPr>
        <w:t>2</w:t>
      </w:r>
      <w:r>
        <w:noBreakHyphen/>
      </w:r>
      <w:r>
        <w:rPr>
          <w:noProof/>
        </w:rPr>
        <w:t>2</w:t>
      </w:r>
      <w:r>
        <w:rPr>
          <w:rFonts w:eastAsia="Calibri"/>
        </w:rPr>
        <w:fldChar w:fldCharType="end"/>
      </w:r>
      <w:r>
        <w:rPr>
          <w:rFonts w:eastAsia="Calibri"/>
        </w:rPr>
        <w:t>.</w:t>
      </w:r>
    </w:p>
    <w:p w:rsidR="00F674AC" w:rsidRPr="008639B0" w:rsidRDefault="00F674AC" w:rsidP="00F674AC">
      <w:pPr>
        <w:pStyle w:val="AERbodytext"/>
      </w:pPr>
    </w:p>
    <w:sectPr w:rsidR="00F674AC" w:rsidRPr="008639B0" w:rsidSect="003D1269">
      <w:footerReference w:type="even" r:id="rId12"/>
      <w:footerReference w:type="default" r:id="rId13"/>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B25" w:rsidRPr="00AB4345" w:rsidRDefault="00103B25" w:rsidP="00AB4345">
      <w:r>
        <w:separator/>
      </w:r>
    </w:p>
  </w:endnote>
  <w:endnote w:type="continuationSeparator" w:id="0">
    <w:p w:rsidR="00103B25" w:rsidRPr="00AB4345" w:rsidRDefault="00103B25"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103B25" w:rsidRPr="00824CC8" w:rsidRDefault="00103B25" w:rsidP="00824CC8">
        <w:pPr>
          <w:pStyle w:val="Footer"/>
        </w:pPr>
        <w:r w:rsidRPr="00824CC8">
          <w:fldChar w:fldCharType="begin"/>
        </w:r>
        <w:r w:rsidRPr="00824CC8">
          <w:instrText xml:space="preserve"> PAGE   \* MERGEFORMAT </w:instrText>
        </w:r>
        <w:r w:rsidRPr="00824CC8">
          <w:fldChar w:fldCharType="separate"/>
        </w:r>
        <w:r w:rsidR="00076455">
          <w:rPr>
            <w:noProof/>
          </w:rPr>
          <w:t>2-18</w:t>
        </w:r>
        <w:r w:rsidRPr="00824CC8">
          <w:fldChar w:fldCharType="end"/>
        </w:r>
        <w:r w:rsidRPr="00824CC8">
          <w:tab/>
        </w:r>
        <w:r>
          <w:t xml:space="preserve">                                                          </w:t>
        </w:r>
        <w:r w:rsidRPr="00824CC8">
          <w:rPr>
            <w:rStyle w:val="AERbody"/>
          </w:rPr>
          <w:t xml:space="preserve">Attachment </w:t>
        </w:r>
        <w:r>
          <w:rPr>
            <w:rStyle w:val="AERbody"/>
          </w:rPr>
          <w:t xml:space="preserve">2 Capital base </w:t>
        </w:r>
        <w:r w:rsidRPr="00824CC8">
          <w:rPr>
            <w:rStyle w:val="AERbody"/>
          </w:rPr>
          <w:t xml:space="preserve">| </w:t>
        </w:r>
        <w:r>
          <w:rPr>
            <w:rStyle w:val="AERbody"/>
          </w:rPr>
          <w:t>Jemena Gas Networks 2015–20</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B25" w:rsidRPr="00824CC8" w:rsidRDefault="00103B25" w:rsidP="00824CC8">
    <w:pPr>
      <w:pStyle w:val="Footer"/>
      <w:rPr>
        <w:rStyle w:val="AERbody"/>
      </w:rPr>
    </w:pPr>
    <w:r>
      <w:rPr>
        <w:rStyle w:val="AERbody"/>
      </w:rPr>
      <w:t>Jemena Gas Networks 2015–20</w:t>
    </w:r>
    <w:r w:rsidRPr="00210880">
      <w:rPr>
        <w:rStyle w:val="AERbody"/>
      </w:rPr>
      <w:t xml:space="preserve"> | </w:t>
    </w:r>
    <w:r w:rsidRPr="00824CC8">
      <w:rPr>
        <w:rStyle w:val="AERbody"/>
      </w:rPr>
      <w:t xml:space="preserve">Attachment </w:t>
    </w:r>
    <w:r>
      <w:rPr>
        <w:rStyle w:val="AERbody"/>
      </w:rPr>
      <w:t>2 Capital base</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076455">
      <w:rPr>
        <w:rStyle w:val="AERbody"/>
        <w:noProof/>
      </w:rPr>
      <w:t>2-17</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B25" w:rsidRPr="00AB4345" w:rsidRDefault="00103B25" w:rsidP="00AB4345">
      <w:r>
        <w:separator/>
      </w:r>
    </w:p>
  </w:footnote>
  <w:footnote w:type="continuationSeparator" w:id="0">
    <w:p w:rsidR="00103B25" w:rsidRPr="00AB4345" w:rsidRDefault="00103B25" w:rsidP="00AB4345">
      <w:r>
        <w:continuationSeparator/>
      </w:r>
    </w:p>
  </w:footnote>
  <w:footnote w:id="1">
    <w:p w:rsidR="00103B25" w:rsidRPr="00C06BD9" w:rsidRDefault="00103B25" w:rsidP="00F674AC">
      <w:pPr>
        <w:pStyle w:val="FootnoteText"/>
        <w:rPr>
          <w:rStyle w:val="AERtexthighlight"/>
        </w:rPr>
      </w:pPr>
      <w:r w:rsidRPr="00467610">
        <w:rPr>
          <w:rStyle w:val="FootnoteReference"/>
        </w:rPr>
        <w:footnoteRef/>
      </w:r>
      <w:r w:rsidRPr="00C06BD9">
        <w:rPr>
          <w:rStyle w:val="FootnoteReference"/>
        </w:rPr>
        <w:t xml:space="preserve"> </w:t>
      </w:r>
      <w:r w:rsidRPr="00C06BD9">
        <w:rPr>
          <w:rStyle w:val="AERtexthighlight"/>
          <w:shd w:val="clear" w:color="auto" w:fill="auto"/>
        </w:rPr>
        <w:tab/>
        <w:t>The term 'rolled forward' means the process of carrying over the value of the capital base from one regulatory year to the next.</w:t>
      </w:r>
      <w:r w:rsidRPr="00C06BD9">
        <w:rPr>
          <w:rStyle w:val="AERtexthighlight"/>
        </w:rPr>
        <w:t xml:space="preserve">     </w:t>
      </w:r>
    </w:p>
  </w:footnote>
  <w:footnote w:id="2">
    <w:p w:rsidR="00103B25" w:rsidRDefault="00103B25" w:rsidP="00F674AC">
      <w:pPr>
        <w:pStyle w:val="FootnoteText"/>
      </w:pPr>
      <w:r>
        <w:rPr>
          <w:rStyle w:val="FootnoteReference"/>
        </w:rPr>
        <w:footnoteRef/>
      </w:r>
      <w:r>
        <w:t xml:space="preserve"> </w:t>
      </w:r>
      <w:r>
        <w:tab/>
        <w:t>NGR, r. 77(2</w:t>
      </w:r>
      <w:proofErr w:type="gramStart"/>
      <w:r>
        <w:t>)(</w:t>
      </w:r>
      <w:proofErr w:type="gramEnd"/>
      <w:r>
        <w:t xml:space="preserve">a). </w:t>
      </w:r>
    </w:p>
  </w:footnote>
  <w:footnote w:id="3">
    <w:p w:rsidR="00103B25" w:rsidRDefault="00103B25" w:rsidP="00F674AC">
      <w:pPr>
        <w:pStyle w:val="FootnoteText"/>
      </w:pPr>
      <w:r>
        <w:rPr>
          <w:rStyle w:val="FootnoteReference"/>
        </w:rPr>
        <w:footnoteRef/>
      </w:r>
      <w:r>
        <w:t xml:space="preserve"> </w:t>
      </w:r>
      <w:r>
        <w:tab/>
        <w:t xml:space="preserve">Our draft decision also </w:t>
      </w:r>
      <w:r w:rsidRPr="009D4B7E">
        <w:t xml:space="preserve">reflects a minor update to </w:t>
      </w:r>
      <w:r>
        <w:t xml:space="preserve">the </w:t>
      </w:r>
      <w:r w:rsidRPr="009D4B7E">
        <w:t>estimate of 2014-15 capex submitted by JGN after the original proposal.</w:t>
      </w:r>
      <w:r>
        <w:t xml:space="preserve"> JGN, </w:t>
      </w:r>
      <w:r w:rsidRPr="00D96F43">
        <w:rPr>
          <w:rStyle w:val="AERtextitalic"/>
        </w:rPr>
        <w:t>Email response to information request AER JGN 025a, Submissions on JGN proposal (pricing issues) - follow up</w:t>
      </w:r>
      <w:r>
        <w:t>, 25 September 2014.</w:t>
      </w:r>
    </w:p>
  </w:footnote>
  <w:footnote w:id="4">
    <w:p w:rsidR="00103B25" w:rsidRDefault="00103B25" w:rsidP="00F674AC">
      <w:pPr>
        <w:pStyle w:val="FootnoteText"/>
      </w:pPr>
      <w:r>
        <w:rPr>
          <w:rStyle w:val="FootnoteReference"/>
        </w:rPr>
        <w:footnoteRef/>
      </w:r>
      <w:r>
        <w:t xml:space="preserve"> </w:t>
      </w:r>
      <w:r>
        <w:tab/>
        <w:t xml:space="preserve">JGN, </w:t>
      </w:r>
      <w:r w:rsidRPr="006D5605">
        <w:rPr>
          <w:rStyle w:val="AERtextitalic"/>
        </w:rPr>
        <w:t>201</w:t>
      </w:r>
      <w:r>
        <w:rPr>
          <w:rStyle w:val="AERtextitalic"/>
        </w:rPr>
        <w:t>5</w:t>
      </w:r>
      <w:r w:rsidRPr="006D5605">
        <w:rPr>
          <w:rStyle w:val="AERtextitalic"/>
        </w:rPr>
        <w:t>–20</w:t>
      </w:r>
      <w:r>
        <w:rPr>
          <w:rStyle w:val="AERtextitalic"/>
        </w:rPr>
        <w:t xml:space="preserve">20 </w:t>
      </w:r>
      <w:r w:rsidRPr="006D5605">
        <w:rPr>
          <w:rStyle w:val="AERtextitalic"/>
        </w:rPr>
        <w:t>Access arrangement information</w:t>
      </w:r>
      <w:r>
        <w:t xml:space="preserve">, June 2014, table 8–4 p, 84. </w:t>
      </w:r>
    </w:p>
  </w:footnote>
  <w:footnote w:id="5">
    <w:p w:rsidR="00103B25" w:rsidRDefault="00103B25" w:rsidP="00F674AC">
      <w:pPr>
        <w:pStyle w:val="FootnoteText"/>
      </w:pPr>
      <w:r>
        <w:rPr>
          <w:rStyle w:val="FootnoteReference"/>
        </w:rPr>
        <w:footnoteRef/>
      </w:r>
      <w:r>
        <w:t xml:space="preserve"> </w:t>
      </w:r>
      <w:r>
        <w:tab/>
        <w:t>NGR, r. 77(2</w:t>
      </w:r>
      <w:proofErr w:type="gramStart"/>
      <w:r>
        <w:t>)(</w:t>
      </w:r>
      <w:proofErr w:type="gramEnd"/>
      <w:r>
        <w:t xml:space="preserve">a). </w:t>
      </w:r>
    </w:p>
  </w:footnote>
  <w:footnote w:id="6">
    <w:p w:rsidR="00103B25" w:rsidRDefault="00103B25" w:rsidP="00F674AC">
      <w:pPr>
        <w:pStyle w:val="FootnoteText"/>
      </w:pPr>
      <w:r>
        <w:rPr>
          <w:rStyle w:val="FootnoteReference"/>
        </w:rPr>
        <w:footnoteRef/>
      </w:r>
      <w:r>
        <w:t xml:space="preserve"> </w:t>
      </w:r>
      <w:r>
        <w:tab/>
        <w:t>JGN</w:t>
      </w:r>
      <w:r w:rsidRPr="00096123">
        <w:t xml:space="preserve">, </w:t>
      </w:r>
      <w:r w:rsidRPr="00096123">
        <w:rPr>
          <w:rStyle w:val="AERtextitalic"/>
        </w:rPr>
        <w:t>2015–2020 access arrangement information</w:t>
      </w:r>
      <w:r w:rsidRPr="00096123">
        <w:t>, June 2014, table 8–</w:t>
      </w:r>
      <w:r>
        <w:t>2</w:t>
      </w:r>
      <w:r w:rsidRPr="00096123">
        <w:t xml:space="preserve"> p, 8</w:t>
      </w:r>
      <w:r>
        <w:t>2</w:t>
      </w:r>
      <w:r w:rsidRPr="00096123">
        <w:t>.</w:t>
      </w:r>
    </w:p>
  </w:footnote>
  <w:footnote w:id="7">
    <w:p w:rsidR="00103B25" w:rsidRDefault="00103B25" w:rsidP="00F674AC">
      <w:pPr>
        <w:pStyle w:val="FootnoteText"/>
      </w:pPr>
      <w:r>
        <w:rPr>
          <w:rStyle w:val="FootnoteReference"/>
        </w:rPr>
        <w:footnoteRef/>
      </w:r>
      <w:r>
        <w:t xml:space="preserve"> </w:t>
      </w:r>
      <w:r>
        <w:tab/>
        <w:t xml:space="preserve">JGN, </w:t>
      </w:r>
      <w:r w:rsidRPr="00096123">
        <w:rPr>
          <w:rStyle w:val="AERtextitalic"/>
        </w:rPr>
        <w:t>2015–2020 access arrangement information</w:t>
      </w:r>
      <w:r>
        <w:t>, June 2014, table 8–4 p, 82.</w:t>
      </w:r>
    </w:p>
    <w:p w:rsidR="00103B25" w:rsidRDefault="00103B25" w:rsidP="00F674AC">
      <w:pPr>
        <w:pStyle w:val="FootnoteText"/>
      </w:pPr>
      <w:r>
        <w:tab/>
        <w:t>The inflation adjustment for 2009–10 to 2013–14 is calculated based on actual CPI data, while 2014–15 is adjustment is based on RBA estimate. The cost of capital compensation is calculated based on real WACC of 7.63% applied in the current 201–15 access arrangement period.</w:t>
      </w:r>
    </w:p>
  </w:footnote>
  <w:footnote w:id="8">
    <w:p w:rsidR="00103B25" w:rsidRDefault="00103B25" w:rsidP="00F674AC">
      <w:pPr>
        <w:pStyle w:val="FootnoteText"/>
      </w:pPr>
      <w:r>
        <w:rPr>
          <w:rStyle w:val="FootnoteReference"/>
        </w:rPr>
        <w:footnoteRef/>
      </w:r>
      <w:r>
        <w:t xml:space="preserve"> </w:t>
      </w:r>
      <w:r>
        <w:tab/>
        <w:t xml:space="preserve">JGN, </w:t>
      </w:r>
      <w:r w:rsidRPr="00096123">
        <w:rPr>
          <w:rStyle w:val="AERtextitalic"/>
        </w:rPr>
        <w:t>2015–2020 access arrangement information</w:t>
      </w:r>
      <w:r>
        <w:rPr>
          <w:rStyle w:val="AERtextitalic"/>
        </w:rPr>
        <w:t>, Appendix 12.1 Revenue model</w:t>
      </w:r>
      <w:r>
        <w:t>, June 2014.</w:t>
      </w:r>
    </w:p>
  </w:footnote>
  <w:footnote w:id="9">
    <w:p w:rsidR="00103B25" w:rsidRDefault="00103B25" w:rsidP="00F674AC">
      <w:pPr>
        <w:pStyle w:val="FootnoteText"/>
      </w:pPr>
      <w:r>
        <w:rPr>
          <w:rStyle w:val="FootnoteReference"/>
        </w:rPr>
        <w:footnoteRef/>
      </w:r>
      <w:r>
        <w:t xml:space="preserve"> </w:t>
      </w:r>
      <w:r>
        <w:tab/>
      </w:r>
      <w:proofErr w:type="gramStart"/>
      <w:r w:rsidRPr="007C6DD2">
        <w:t>JGN</w:t>
      </w:r>
      <w:r w:rsidRPr="00096123">
        <w:t xml:space="preserve">, </w:t>
      </w:r>
      <w:r w:rsidRPr="00096123">
        <w:rPr>
          <w:rStyle w:val="AERtextitalic"/>
        </w:rPr>
        <w:t>2015–2020 access arrangement information</w:t>
      </w:r>
      <w:r w:rsidRPr="00096123">
        <w:t>, June 2014, p, 8</w:t>
      </w:r>
      <w:r>
        <w:t>3</w:t>
      </w:r>
      <w:r w:rsidRPr="00096123">
        <w:t>.</w:t>
      </w:r>
      <w:proofErr w:type="gramEnd"/>
    </w:p>
  </w:footnote>
  <w:footnote w:id="10">
    <w:p w:rsidR="00103B25" w:rsidRDefault="00103B25" w:rsidP="00F674AC">
      <w:pPr>
        <w:pStyle w:val="FootnoteText"/>
      </w:pPr>
      <w:r>
        <w:rPr>
          <w:rStyle w:val="FootnoteReference"/>
        </w:rPr>
        <w:footnoteRef/>
      </w:r>
      <w:r>
        <w:t xml:space="preserve"> </w:t>
      </w:r>
      <w:r>
        <w:tab/>
      </w:r>
      <w:proofErr w:type="gramStart"/>
      <w:r w:rsidRPr="00F60627">
        <w:rPr>
          <w:rFonts w:eastAsia="Calibri"/>
        </w:rPr>
        <w:t>J</w:t>
      </w:r>
      <w:r>
        <w:rPr>
          <w:rFonts w:eastAsia="Calibri"/>
        </w:rPr>
        <w:t>GN</w:t>
      </w:r>
      <w:r w:rsidRPr="005259B0">
        <w:t xml:space="preserve">, </w:t>
      </w:r>
      <w:r w:rsidRPr="00096123">
        <w:rPr>
          <w:rStyle w:val="AERtextitalic"/>
        </w:rPr>
        <w:t>2015–2020 access arrangement information</w:t>
      </w:r>
      <w:r w:rsidRPr="005259B0">
        <w:t>, June 2014</w:t>
      </w:r>
      <w:r>
        <w:t>, p. 83</w:t>
      </w:r>
      <w:r w:rsidRPr="005259B0">
        <w:t>.</w:t>
      </w:r>
      <w:proofErr w:type="gramEnd"/>
      <w:r>
        <w:tab/>
      </w:r>
    </w:p>
  </w:footnote>
  <w:footnote w:id="11">
    <w:p w:rsidR="00103B25" w:rsidRDefault="00103B25" w:rsidP="00F674AC">
      <w:pPr>
        <w:pStyle w:val="FootnoteText"/>
      </w:pPr>
      <w:r>
        <w:rPr>
          <w:rStyle w:val="FootnoteReference"/>
        </w:rPr>
        <w:footnoteRef/>
      </w:r>
      <w:r>
        <w:t xml:space="preserve"> </w:t>
      </w:r>
      <w:r>
        <w:tab/>
      </w:r>
      <w:proofErr w:type="gramStart"/>
      <w:r w:rsidRPr="007C6DD2">
        <w:t>JGN</w:t>
      </w:r>
      <w:r>
        <w:t xml:space="preserve">, </w:t>
      </w:r>
      <w:r w:rsidRPr="00096123">
        <w:rPr>
          <w:rStyle w:val="AERtextitalic"/>
        </w:rPr>
        <w:t>2015–2020 access arrangement information</w:t>
      </w:r>
      <w:r>
        <w:t>, June 2014, p. 97.</w:t>
      </w:r>
      <w:proofErr w:type="gramEnd"/>
    </w:p>
  </w:footnote>
  <w:footnote w:id="12">
    <w:p w:rsidR="00103B25" w:rsidRDefault="00103B25" w:rsidP="005525B4">
      <w:pPr>
        <w:pStyle w:val="FootnoteText"/>
      </w:pPr>
      <w:r>
        <w:rPr>
          <w:rStyle w:val="FootnoteReference"/>
        </w:rPr>
        <w:footnoteRef/>
      </w:r>
      <w:r>
        <w:t xml:space="preserve"> </w:t>
      </w:r>
      <w:r>
        <w:tab/>
      </w:r>
      <w:r w:rsidRPr="00C06BD9">
        <w:rPr>
          <w:rStyle w:val="AERtexthighlight"/>
          <w:shd w:val="clear" w:color="auto" w:fill="auto"/>
        </w:rPr>
        <w:t>Under the straight-line method, the asset cost depreciates evenly in every year throughout the useful life of the asset.</w:t>
      </w:r>
    </w:p>
  </w:footnote>
  <w:footnote w:id="13">
    <w:p w:rsidR="00103B25" w:rsidRDefault="00103B25" w:rsidP="00F674AC">
      <w:pPr>
        <w:pStyle w:val="FootnoteText"/>
      </w:pPr>
      <w:r>
        <w:rPr>
          <w:rStyle w:val="FootnoteReference"/>
        </w:rPr>
        <w:footnoteRef/>
      </w:r>
      <w:r>
        <w:t xml:space="preserve"> </w:t>
      </w:r>
      <w:r>
        <w:tab/>
      </w:r>
      <w:proofErr w:type="gramStart"/>
      <w:r w:rsidRPr="007C6DD2">
        <w:t>JGN</w:t>
      </w:r>
      <w:r>
        <w:t xml:space="preserve">, </w:t>
      </w:r>
      <w:r w:rsidRPr="00096123">
        <w:rPr>
          <w:rStyle w:val="AERtextitalic"/>
        </w:rPr>
        <w:t>2015–2020 access arrangement information</w:t>
      </w:r>
      <w:r>
        <w:t>, June 2014, p. 88.</w:t>
      </w:r>
      <w:proofErr w:type="gramEnd"/>
    </w:p>
  </w:footnote>
  <w:footnote w:id="14">
    <w:p w:rsidR="00103B25" w:rsidRDefault="00103B25" w:rsidP="00F674AC">
      <w:pPr>
        <w:pStyle w:val="FootnoteText"/>
      </w:pPr>
      <w:r>
        <w:rPr>
          <w:rStyle w:val="FootnoteReference"/>
        </w:rPr>
        <w:footnoteRef/>
      </w:r>
      <w:r>
        <w:t xml:space="preserve"> </w:t>
      </w:r>
      <w:r>
        <w:tab/>
        <w:t xml:space="preserve">For example, </w:t>
      </w:r>
      <w:r w:rsidRPr="00100B35">
        <w:rPr>
          <w:rFonts w:eastAsia="Calibri"/>
        </w:rPr>
        <w:t xml:space="preserve">AER, </w:t>
      </w:r>
      <w:r w:rsidRPr="00100B35">
        <w:rPr>
          <w:rStyle w:val="AERtextitalic"/>
          <w:rFonts w:eastAsia="Calibri"/>
        </w:rPr>
        <w:t>Final decision: Roma to Brisbane Pipeline 2012–13 to 2016–17</w:t>
      </w:r>
      <w:r w:rsidRPr="00100B35">
        <w:rPr>
          <w:rFonts w:eastAsia="Calibri"/>
        </w:rPr>
        <w:t xml:space="preserve">, April 2012; AER, </w:t>
      </w:r>
      <w:r w:rsidRPr="00100B35">
        <w:rPr>
          <w:rStyle w:val="AERtextitalic"/>
          <w:rFonts w:eastAsia="Calibri"/>
        </w:rPr>
        <w:t xml:space="preserve">Final decision: </w:t>
      </w:r>
      <w:proofErr w:type="spellStart"/>
      <w:r w:rsidRPr="00100B35">
        <w:rPr>
          <w:rStyle w:val="AERtextitalic"/>
          <w:rFonts w:eastAsia="Calibri"/>
        </w:rPr>
        <w:t>Envestra</w:t>
      </w:r>
      <w:proofErr w:type="spellEnd"/>
      <w:r w:rsidRPr="00100B35">
        <w:rPr>
          <w:rStyle w:val="AERtextitalic"/>
          <w:rFonts w:eastAsia="Calibri"/>
        </w:rPr>
        <w:t xml:space="preserve"> (Victoria) access arrangement 2013–17 proposal</w:t>
      </w:r>
      <w:r w:rsidRPr="00100B35">
        <w:rPr>
          <w:rFonts w:eastAsia="Calibri"/>
        </w:rPr>
        <w:t xml:space="preserve">, March 2013; AER, </w:t>
      </w:r>
      <w:r w:rsidRPr="00100B35">
        <w:rPr>
          <w:rStyle w:val="AERtextitalic"/>
          <w:rFonts w:eastAsia="Calibri"/>
        </w:rPr>
        <w:t>Final decision: A</w:t>
      </w:r>
      <w:r>
        <w:rPr>
          <w:rStyle w:val="AERtextitalic"/>
          <w:rFonts w:eastAsia="Calibri"/>
        </w:rPr>
        <w:t>u</w:t>
      </w:r>
      <w:r w:rsidRPr="00100B35">
        <w:rPr>
          <w:rStyle w:val="AERtextitalic"/>
          <w:rFonts w:eastAsia="Calibri"/>
        </w:rPr>
        <w:t>sNet (SP AusNet) arrangement proposal 2013–17</w:t>
      </w:r>
      <w:r w:rsidRPr="00100B35">
        <w:rPr>
          <w:rFonts w:eastAsia="Calibri"/>
        </w:rPr>
        <w:t>, March 2013;</w:t>
      </w:r>
      <w:r>
        <w:rPr>
          <w:rFonts w:eastAsia="Calibri"/>
        </w:rPr>
        <w:t xml:space="preserve"> AER,</w:t>
      </w:r>
      <w:r w:rsidRPr="004069F0">
        <w:rPr>
          <w:rStyle w:val="AERtextitalic"/>
          <w:rFonts w:eastAsia="Calibri"/>
        </w:rPr>
        <w:t xml:space="preserve"> Final decision: </w:t>
      </w:r>
      <w:proofErr w:type="spellStart"/>
      <w:r>
        <w:rPr>
          <w:rStyle w:val="AERtextitalic"/>
          <w:rFonts w:eastAsia="Calibri"/>
        </w:rPr>
        <w:t>MultiNet</w:t>
      </w:r>
      <w:proofErr w:type="spellEnd"/>
      <w:r>
        <w:rPr>
          <w:rStyle w:val="AERtextitalic"/>
          <w:rFonts w:eastAsia="Calibri"/>
        </w:rPr>
        <w:t xml:space="preserve"> Gas </w:t>
      </w:r>
      <w:r w:rsidRPr="004069F0">
        <w:rPr>
          <w:rStyle w:val="AERtextitalic"/>
          <w:rFonts w:eastAsia="Calibri"/>
        </w:rPr>
        <w:t>arrangement proposal 2013–17</w:t>
      </w:r>
      <w:r>
        <w:rPr>
          <w:rFonts w:eastAsia="Calibri"/>
        </w:rPr>
        <w:t>, March 2013.</w:t>
      </w:r>
    </w:p>
  </w:footnote>
  <w:footnote w:id="15">
    <w:p w:rsidR="00103B25" w:rsidRDefault="00103B25" w:rsidP="00F674AC">
      <w:pPr>
        <w:pStyle w:val="FootnoteText"/>
      </w:pPr>
      <w:r>
        <w:rPr>
          <w:rStyle w:val="FootnoteReference"/>
        </w:rPr>
        <w:footnoteRef/>
      </w:r>
      <w:r>
        <w:t xml:space="preserve"> </w:t>
      </w:r>
      <w:r>
        <w:tab/>
      </w:r>
      <w:proofErr w:type="gramStart"/>
      <w:r w:rsidRPr="005819F1">
        <w:rPr>
          <w:rFonts w:eastAsia="Calibri"/>
        </w:rPr>
        <w:t>NGR</w:t>
      </w:r>
      <w:r>
        <w:rPr>
          <w:rFonts w:eastAsia="Calibri"/>
        </w:rPr>
        <w:t>,</w:t>
      </w:r>
      <w:r w:rsidRPr="005819F1">
        <w:rPr>
          <w:rFonts w:eastAsia="Calibri"/>
        </w:rPr>
        <w:t xml:space="preserve"> r. 77(2)</w:t>
      </w:r>
      <w:r>
        <w:rPr>
          <w:rFonts w:eastAsia="Calibri"/>
        </w:rPr>
        <w:t>.</w:t>
      </w:r>
      <w:proofErr w:type="gramEnd"/>
    </w:p>
  </w:footnote>
  <w:footnote w:id="16">
    <w:p w:rsidR="00103B25" w:rsidRDefault="00103B25" w:rsidP="00F674AC">
      <w:pPr>
        <w:pStyle w:val="FootnoteText"/>
      </w:pPr>
      <w:r>
        <w:rPr>
          <w:rStyle w:val="FootnoteReference"/>
        </w:rPr>
        <w:footnoteRef/>
      </w:r>
      <w:r>
        <w:t xml:space="preserve"> </w:t>
      </w:r>
      <w:r>
        <w:tab/>
      </w:r>
      <w:proofErr w:type="gramStart"/>
      <w:r w:rsidRPr="00825413">
        <w:rPr>
          <w:rFonts w:eastAsia="Calibri"/>
        </w:rPr>
        <w:t>NGR, r. 77(2).</w:t>
      </w:r>
      <w:proofErr w:type="gramEnd"/>
    </w:p>
  </w:footnote>
  <w:footnote w:id="17">
    <w:p w:rsidR="00103B25" w:rsidRDefault="00103B25" w:rsidP="00F674AC">
      <w:pPr>
        <w:pStyle w:val="FootnoteText"/>
      </w:pPr>
      <w:r>
        <w:rPr>
          <w:rStyle w:val="FootnoteReference"/>
        </w:rPr>
        <w:footnoteRef/>
      </w:r>
      <w:r>
        <w:t xml:space="preserve"> </w:t>
      </w:r>
      <w:r>
        <w:tab/>
      </w:r>
      <w:proofErr w:type="gramStart"/>
      <w:r w:rsidRPr="008C7C1B">
        <w:rPr>
          <w:rFonts w:eastAsia="Calibri"/>
        </w:rPr>
        <w:t>NGR</w:t>
      </w:r>
      <w:r>
        <w:rPr>
          <w:rFonts w:eastAsia="Calibri"/>
        </w:rPr>
        <w:t>,</w:t>
      </w:r>
      <w:r w:rsidRPr="008C7C1B">
        <w:rPr>
          <w:rFonts w:eastAsia="Calibri"/>
        </w:rPr>
        <w:t xml:space="preserve"> r. 78</w:t>
      </w:r>
      <w:r>
        <w:rPr>
          <w:rFonts w:eastAsia="Calibri"/>
        </w:rPr>
        <w:t>.</w:t>
      </w:r>
      <w:proofErr w:type="gramEnd"/>
    </w:p>
  </w:footnote>
  <w:footnote w:id="18">
    <w:p w:rsidR="00103B25" w:rsidRDefault="00103B25" w:rsidP="00F674AC">
      <w:pPr>
        <w:pStyle w:val="FootnoteText"/>
      </w:pPr>
      <w:r>
        <w:rPr>
          <w:rStyle w:val="FootnoteReference"/>
        </w:rPr>
        <w:footnoteRef/>
      </w:r>
      <w:r>
        <w:t xml:space="preserve"> </w:t>
      </w:r>
      <w:r>
        <w:tab/>
      </w:r>
      <w:r w:rsidRPr="008D04DA">
        <w:t xml:space="preserve">The size of the </w:t>
      </w:r>
      <w:r>
        <w:t>capital base</w:t>
      </w:r>
      <w:r w:rsidRPr="008D04DA">
        <w:t xml:space="preserve"> also impacts the </w:t>
      </w:r>
      <w:r>
        <w:t xml:space="preserve">benchmark </w:t>
      </w:r>
      <w:r w:rsidRPr="008D04DA">
        <w:t>debt raising cost allowance. However, this amount is usually relatively small and therefore not a significant determinant of revenues overall.</w:t>
      </w:r>
    </w:p>
  </w:footnote>
  <w:footnote w:id="19">
    <w:p w:rsidR="00103B25" w:rsidRDefault="00103B25" w:rsidP="00F674AC">
      <w:pPr>
        <w:pStyle w:val="FootnoteText"/>
      </w:pPr>
      <w:r>
        <w:rPr>
          <w:rStyle w:val="FootnoteReference"/>
        </w:rPr>
        <w:footnoteRef/>
      </w:r>
      <w:r>
        <w:t xml:space="preserve"> </w:t>
      </w:r>
      <w:r>
        <w:tab/>
        <w:t xml:space="preserve">Net capex is gross capex less disposals and capital contribution. </w:t>
      </w:r>
    </w:p>
  </w:footnote>
  <w:footnote w:id="20">
    <w:p w:rsidR="00103B25" w:rsidRDefault="00103B25" w:rsidP="00F674AC">
      <w:pPr>
        <w:pStyle w:val="FootnoteText"/>
      </w:pPr>
      <w:r>
        <w:rPr>
          <w:rStyle w:val="FootnoteReference"/>
        </w:rPr>
        <w:footnoteRef/>
      </w:r>
      <w:r>
        <w:t xml:space="preserve"> </w:t>
      </w:r>
      <w:r>
        <w:tab/>
      </w:r>
      <w:r w:rsidRPr="005401F8">
        <w:t>If capex causes the capital base increase, then return on capital, depreciation, and debt raising costs all increase too. If a reduction in depreciation causes the capital base increase, revenue could increase or decrease. In this case, the higher return on capital is offset (perhaps more than offset) by the reduction in depreciation allowance. Inflation naturally increases the capital base in nominal terms. However, the real impact from changing the inflation forecast is inconsequential as revenues are updated annually by actual inflation and the X factor, which is generally unaffected by the assumed forecast inflation rate.</w:t>
      </w:r>
    </w:p>
  </w:footnote>
  <w:footnote w:id="21">
    <w:p w:rsidR="00103B25" w:rsidRDefault="00103B25" w:rsidP="00F674AC">
      <w:pPr>
        <w:pStyle w:val="FootnoteText"/>
      </w:pPr>
      <w:r>
        <w:rPr>
          <w:rStyle w:val="FootnoteReference"/>
        </w:rPr>
        <w:footnoteRef/>
      </w:r>
      <w:r>
        <w:t xml:space="preserve"> </w:t>
      </w:r>
      <w:r>
        <w:tab/>
        <w:t xml:space="preserve">Australian Competition Tribunal, </w:t>
      </w:r>
      <w:r w:rsidRPr="00100B35">
        <w:rPr>
          <w:rStyle w:val="AERtextitalic"/>
        </w:rPr>
        <w:t xml:space="preserve">Application by APA </w:t>
      </w:r>
      <w:proofErr w:type="spellStart"/>
      <w:r w:rsidRPr="00100B35">
        <w:rPr>
          <w:rStyle w:val="AERtextitalic"/>
        </w:rPr>
        <w:t>GasNet</w:t>
      </w:r>
      <w:proofErr w:type="spellEnd"/>
      <w:r w:rsidRPr="00100B35">
        <w:rPr>
          <w:rStyle w:val="AERtextitalic"/>
        </w:rPr>
        <w:t xml:space="preserve"> Australia (Operations) Pty Limited (No 2) [2013] </w:t>
      </w:r>
      <w:proofErr w:type="spellStart"/>
      <w:r w:rsidRPr="00100B35">
        <w:rPr>
          <w:rStyle w:val="AERtextitalic"/>
        </w:rPr>
        <w:t>ACompT</w:t>
      </w:r>
      <w:proofErr w:type="spellEnd"/>
      <w:r w:rsidRPr="00100B35">
        <w:rPr>
          <w:rStyle w:val="AERtextitalic"/>
        </w:rPr>
        <w:t xml:space="preserve"> 8</w:t>
      </w:r>
      <w:r>
        <w:t>, September 2013, pp. 19–35.</w:t>
      </w:r>
      <w:r w:rsidRPr="00DB17FD">
        <w:t xml:space="preserve"> </w:t>
      </w:r>
    </w:p>
  </w:footnote>
  <w:footnote w:id="22">
    <w:p w:rsidR="00103B25" w:rsidRDefault="00103B25" w:rsidP="00F674AC">
      <w:pPr>
        <w:pStyle w:val="FootnoteText"/>
      </w:pPr>
      <w:r>
        <w:rPr>
          <w:rStyle w:val="FootnoteReference"/>
        </w:rPr>
        <w:footnoteRef/>
      </w:r>
      <w:r>
        <w:t xml:space="preserve"> </w:t>
      </w:r>
      <w:r>
        <w:tab/>
        <w:t xml:space="preserve">AEMC, </w:t>
      </w:r>
      <w:r w:rsidRPr="00100B35">
        <w:rPr>
          <w:rStyle w:val="AERtextitalic"/>
        </w:rPr>
        <w:t>Draft rule determination – National Gas Amendment (Setting the Opening Capital Base) Rule 2014</w:t>
      </w:r>
      <w:r>
        <w:t xml:space="preserve">, 10 July 2014, p. 15. The AEMC statement was in response to JGN's submission stating that the rule should be applied retrospectively. See JGN, </w:t>
      </w:r>
      <w:r w:rsidRPr="00251377">
        <w:rPr>
          <w:rStyle w:val="AERtextitalic"/>
        </w:rPr>
        <w:t>GRC0025: Setting the opening base–JGN submission on the consultation paper</w:t>
      </w:r>
      <w:r>
        <w:t>, 22 May 2014.</w:t>
      </w:r>
    </w:p>
  </w:footnote>
  <w:footnote w:id="23">
    <w:p w:rsidR="00103B25" w:rsidRDefault="00103B25" w:rsidP="00F674AC">
      <w:pPr>
        <w:pStyle w:val="FootnoteText"/>
      </w:pPr>
      <w:r>
        <w:rPr>
          <w:rStyle w:val="FootnoteReference"/>
        </w:rPr>
        <w:footnoteRef/>
      </w:r>
      <w:r>
        <w:t xml:space="preserve"> </w:t>
      </w:r>
      <w:r>
        <w:tab/>
        <w:t xml:space="preserve">JGN, </w:t>
      </w:r>
      <w:r w:rsidRPr="00100B35">
        <w:rPr>
          <w:rStyle w:val="AERtextitalic"/>
        </w:rPr>
        <w:t>GRC0025: Setting the opening capital base – JGN submission on the draft determination</w:t>
      </w:r>
      <w:r>
        <w:t xml:space="preserve">, 21 August 2014. </w:t>
      </w:r>
    </w:p>
  </w:footnote>
  <w:footnote w:id="24">
    <w:p w:rsidR="00103B25" w:rsidRDefault="00103B25" w:rsidP="00F674AC">
      <w:pPr>
        <w:pStyle w:val="FootnoteText"/>
      </w:pPr>
      <w:r>
        <w:rPr>
          <w:rStyle w:val="FootnoteReference"/>
        </w:rPr>
        <w:footnoteRef/>
      </w:r>
      <w:r>
        <w:t xml:space="preserve"> </w:t>
      </w:r>
      <w:r>
        <w:tab/>
      </w:r>
      <w:proofErr w:type="gramStart"/>
      <w:r>
        <w:t xml:space="preserve">AEMC, </w:t>
      </w:r>
      <w:r w:rsidRPr="00251377">
        <w:rPr>
          <w:rStyle w:val="AERtextitalic"/>
        </w:rPr>
        <w:t>Rule determination, National Gas Amendment (Setting the Opening Capital Base) Rule 2014</w:t>
      </w:r>
      <w:r>
        <w:t>, 2 October 2014.</w:t>
      </w:r>
      <w:proofErr w:type="gramEnd"/>
    </w:p>
  </w:footnote>
  <w:footnote w:id="25">
    <w:p w:rsidR="00103B25" w:rsidRDefault="00103B25" w:rsidP="00F674AC">
      <w:pPr>
        <w:pStyle w:val="FootnoteText"/>
      </w:pPr>
      <w:r>
        <w:rPr>
          <w:rStyle w:val="FootnoteReference"/>
        </w:rPr>
        <w:footnoteRef/>
      </w:r>
      <w:r>
        <w:t xml:space="preserve"> </w:t>
      </w:r>
      <w:r>
        <w:tab/>
      </w:r>
      <w:r w:rsidRPr="00500947">
        <w:t xml:space="preserve">AEMC, </w:t>
      </w:r>
      <w:r w:rsidRPr="00500947">
        <w:rPr>
          <w:rStyle w:val="AERtextitalic"/>
        </w:rPr>
        <w:t>Rule determination, National Gas Amendment (Setting the Opening Capital Base) Rule 2014</w:t>
      </w:r>
      <w:r w:rsidRPr="00500947">
        <w:t>, 2 October 2014</w:t>
      </w:r>
      <w:r>
        <w:t>, p. 3.</w:t>
      </w:r>
    </w:p>
  </w:footnote>
  <w:footnote w:id="26">
    <w:p w:rsidR="00103B25" w:rsidRDefault="00103B25" w:rsidP="00F674AC">
      <w:pPr>
        <w:pStyle w:val="FootnoteText"/>
      </w:pPr>
      <w:r>
        <w:rPr>
          <w:rStyle w:val="FootnoteReference"/>
        </w:rPr>
        <w:footnoteRef/>
      </w:r>
      <w:r>
        <w:t xml:space="preserve"> </w:t>
      </w:r>
      <w:r>
        <w:tab/>
        <w:t xml:space="preserve">JGN, </w:t>
      </w:r>
      <w:r w:rsidRPr="006469EA">
        <w:rPr>
          <w:rStyle w:val="AERtextitalic"/>
        </w:rPr>
        <w:t>Email re: AEMC WACC clawback rule change - no impact on JGN submitted models</w:t>
      </w:r>
      <w:r>
        <w:t>, 3 October 2014.</w:t>
      </w:r>
    </w:p>
  </w:footnote>
  <w:footnote w:id="27">
    <w:p w:rsidR="00103B25" w:rsidRDefault="00103B25" w:rsidP="00F674AC">
      <w:pPr>
        <w:pStyle w:val="FootnoteText"/>
      </w:pPr>
      <w:r>
        <w:rPr>
          <w:rStyle w:val="FootnoteReference"/>
        </w:rPr>
        <w:footnoteRef/>
      </w:r>
      <w:r>
        <w:t xml:space="preserve"> </w:t>
      </w:r>
      <w:r>
        <w:tab/>
        <w:t xml:space="preserve">See NGL, schedule 2, rule 43. Further, JGN appears to have held this interpretation at the time of its first submission to the AEMC. See </w:t>
      </w:r>
      <w:r w:rsidRPr="00500947">
        <w:t xml:space="preserve">JGN, </w:t>
      </w:r>
      <w:r w:rsidRPr="00500947">
        <w:rPr>
          <w:rStyle w:val="AERtextitalic"/>
        </w:rPr>
        <w:t>GRC0025: Setting the opening base–JGN submission on the consultation paper</w:t>
      </w:r>
      <w:r w:rsidRPr="00500947">
        <w:t>, 22 May 2014</w:t>
      </w:r>
      <w:r>
        <w:t>.</w:t>
      </w:r>
    </w:p>
  </w:footnote>
  <w:footnote w:id="28">
    <w:p w:rsidR="00103B25" w:rsidRDefault="00103B25" w:rsidP="00F674AC">
      <w:pPr>
        <w:pStyle w:val="FootnoteText"/>
      </w:pPr>
      <w:r>
        <w:rPr>
          <w:rStyle w:val="FootnoteReference"/>
        </w:rPr>
        <w:footnoteRef/>
      </w:r>
      <w:r>
        <w:t xml:space="preserve"> </w:t>
      </w:r>
      <w:r>
        <w:tab/>
      </w:r>
      <w:r w:rsidRPr="003D4EA2">
        <w:t xml:space="preserve">AEMC, </w:t>
      </w:r>
      <w:r w:rsidRPr="003D4EA2">
        <w:rPr>
          <w:rStyle w:val="AERtextitalic"/>
        </w:rPr>
        <w:t>Draft rule determination – National Gas Amendment (Setting the Opening Capital Base) Rule 2014</w:t>
      </w:r>
      <w:r w:rsidRPr="003D4EA2">
        <w:t>, 10 July 2014, p. 15.</w:t>
      </w:r>
      <w:r>
        <w:t xml:space="preserve"> Further, JGN had opportunity to contest this point but did not do so in its subsequent submission to the AEMC. See </w:t>
      </w:r>
      <w:r w:rsidRPr="003D4EA2">
        <w:t xml:space="preserve">JGN, </w:t>
      </w:r>
      <w:r w:rsidRPr="003D4EA2">
        <w:rPr>
          <w:rStyle w:val="AERtextitalic"/>
        </w:rPr>
        <w:t>GRC0025: Setting the opening capital base – JGN submission on the draft determination</w:t>
      </w:r>
      <w:r w:rsidRPr="003D4EA2">
        <w:t>, 21 August 2014.</w:t>
      </w:r>
    </w:p>
  </w:footnote>
  <w:footnote w:id="29">
    <w:p w:rsidR="00103B25" w:rsidRDefault="00103B25" w:rsidP="00F674AC">
      <w:pPr>
        <w:pStyle w:val="FootnoteText"/>
      </w:pPr>
      <w:r>
        <w:rPr>
          <w:rStyle w:val="FootnoteReference"/>
        </w:rPr>
        <w:footnoteRef/>
      </w:r>
      <w:r>
        <w:t xml:space="preserve"> </w:t>
      </w:r>
      <w:r>
        <w:tab/>
        <w:t>We note that 2 October 2014 is after the closing date for submissions from other parties on JGN's proposal (25 August 2014), so customers (who would be adversely affected by the AEMC decision if it were to apply) would not have opportunity to comment.</w:t>
      </w:r>
    </w:p>
  </w:footnote>
  <w:footnote w:id="30">
    <w:p w:rsidR="00103B25" w:rsidRDefault="00103B25" w:rsidP="00F674AC">
      <w:pPr>
        <w:pStyle w:val="FootnoteText"/>
      </w:pPr>
      <w:r>
        <w:rPr>
          <w:rStyle w:val="FootnoteReference"/>
        </w:rPr>
        <w:footnoteRef/>
      </w:r>
      <w:r>
        <w:t xml:space="preserve"> </w:t>
      </w:r>
      <w:r>
        <w:tab/>
      </w:r>
      <w:r w:rsidRPr="00100B35">
        <w:t xml:space="preserve">NGR, </w:t>
      </w:r>
      <w:r w:rsidRPr="00100B35">
        <w:rPr>
          <w:rFonts w:eastAsia="Calibri"/>
        </w:rPr>
        <w:t>r. 77(2</w:t>
      </w:r>
      <w:proofErr w:type="gramStart"/>
      <w:r w:rsidRPr="00100B35">
        <w:rPr>
          <w:rFonts w:eastAsia="Calibri"/>
        </w:rPr>
        <w:t>)(</w:t>
      </w:r>
      <w:proofErr w:type="gramEnd"/>
      <w:r w:rsidRPr="00100B35">
        <w:rPr>
          <w:rFonts w:eastAsia="Calibri"/>
        </w:rPr>
        <w:t>b).</w:t>
      </w:r>
    </w:p>
  </w:footnote>
  <w:footnote w:id="31">
    <w:p w:rsidR="00103B25" w:rsidRDefault="00103B25" w:rsidP="00F674AC">
      <w:pPr>
        <w:pStyle w:val="FootnoteText"/>
      </w:pPr>
      <w:r>
        <w:rPr>
          <w:rStyle w:val="FootnoteReference"/>
        </w:rPr>
        <w:footnoteRef/>
      </w:r>
      <w:r>
        <w:t xml:space="preserve"> </w:t>
      </w:r>
      <w:r>
        <w:tab/>
        <w:t xml:space="preserve">NGR, </w:t>
      </w:r>
      <w:r w:rsidRPr="004C1441">
        <w:rPr>
          <w:rFonts w:eastAsia="Calibri"/>
        </w:rPr>
        <w:t>r. 77(2</w:t>
      </w:r>
      <w:proofErr w:type="gramStart"/>
      <w:r w:rsidRPr="004C1441">
        <w:rPr>
          <w:rFonts w:eastAsia="Calibri"/>
        </w:rPr>
        <w:t>)(</w:t>
      </w:r>
      <w:proofErr w:type="gramEnd"/>
      <w:r w:rsidRPr="004C1441">
        <w:rPr>
          <w:rFonts w:eastAsia="Calibri"/>
        </w:rPr>
        <w:t>d)</w:t>
      </w:r>
      <w:r>
        <w:rPr>
          <w:rFonts w:eastAsia="Calibri"/>
        </w:rPr>
        <w:t>.</w:t>
      </w:r>
    </w:p>
  </w:footnote>
  <w:footnote w:id="32">
    <w:p w:rsidR="00103B25" w:rsidRDefault="00103B25" w:rsidP="002050AD">
      <w:pPr>
        <w:pStyle w:val="FootnoteText"/>
      </w:pPr>
      <w:r>
        <w:rPr>
          <w:rStyle w:val="FootnoteReference"/>
        </w:rPr>
        <w:footnoteRef/>
      </w:r>
      <w:r>
        <w:t xml:space="preserve"> </w:t>
      </w:r>
      <w:r>
        <w:tab/>
        <w:t>When rounded to two decimal places, this is the same value proposed by JGN; but the unrounded number (used in the relevant models) differs slightly at the third decimal place.</w:t>
      </w:r>
    </w:p>
  </w:footnote>
  <w:footnote w:id="33">
    <w:p w:rsidR="00103B25" w:rsidRDefault="00103B25" w:rsidP="00F674AC">
      <w:pPr>
        <w:pStyle w:val="FootnoteText"/>
      </w:pPr>
      <w:r>
        <w:rPr>
          <w:rStyle w:val="FootnoteReference"/>
        </w:rPr>
        <w:footnoteRef/>
      </w:r>
      <w:r>
        <w:t xml:space="preserve"> </w:t>
      </w:r>
      <w:r>
        <w:tab/>
      </w:r>
      <w:proofErr w:type="gramStart"/>
      <w:r>
        <w:t xml:space="preserve">NGR, </w:t>
      </w:r>
      <w:r w:rsidRPr="004C1441">
        <w:rPr>
          <w:rFonts w:eastAsia="Calibri"/>
        </w:rPr>
        <w:t>r. 77(2)</w:t>
      </w:r>
      <w:r>
        <w:rPr>
          <w:rFonts w:eastAsia="Calibri"/>
        </w:rPr>
        <w:t>.</w:t>
      </w:r>
      <w:proofErr w:type="gramEnd"/>
    </w:p>
  </w:footnote>
  <w:footnote w:id="34">
    <w:p w:rsidR="00103B25" w:rsidRDefault="00103B25" w:rsidP="00F674AC">
      <w:pPr>
        <w:pStyle w:val="FootnoteText"/>
      </w:pPr>
      <w:r>
        <w:rPr>
          <w:rStyle w:val="FootnoteReference"/>
        </w:rPr>
        <w:footnoteRef/>
      </w:r>
      <w:r>
        <w:t xml:space="preserve"> </w:t>
      </w:r>
      <w:r>
        <w:tab/>
        <w:t>That is, the amended NGR r. 77(2</w:t>
      </w:r>
      <w:proofErr w:type="gramStart"/>
      <w:r>
        <w:t>)(</w:t>
      </w:r>
      <w:proofErr w:type="gramEnd"/>
      <w:r>
        <w:t>a) will apply.</w:t>
      </w:r>
    </w:p>
  </w:footnote>
  <w:footnote w:id="35">
    <w:p w:rsidR="00103B25" w:rsidRDefault="00103B25" w:rsidP="00F674AC">
      <w:pPr>
        <w:pStyle w:val="FootnoteText"/>
      </w:pPr>
      <w:r>
        <w:rPr>
          <w:rStyle w:val="FootnoteReference"/>
        </w:rPr>
        <w:footnoteRef/>
      </w:r>
      <w:r>
        <w:t xml:space="preserve"> </w:t>
      </w:r>
      <w:r>
        <w:tab/>
      </w:r>
      <w:proofErr w:type="gramStart"/>
      <w:r>
        <w:t xml:space="preserve">JGN, </w:t>
      </w:r>
      <w:r w:rsidRPr="00096123">
        <w:rPr>
          <w:rStyle w:val="AERtextitalic"/>
        </w:rPr>
        <w:t>2015–2020 access arrangement information</w:t>
      </w:r>
      <w:r>
        <w:t>, June 2014, pp. 166</w:t>
      </w:r>
      <w:r w:rsidRPr="00716BFA">
        <w:t>–</w:t>
      </w:r>
      <w:r>
        <w:t>167.</w:t>
      </w:r>
      <w:proofErr w:type="gramEnd"/>
    </w:p>
  </w:footnote>
  <w:footnote w:id="36">
    <w:p w:rsidR="00103B25" w:rsidRDefault="00103B25" w:rsidP="00F674AC">
      <w:pPr>
        <w:pStyle w:val="FootnoteText"/>
      </w:pPr>
      <w:r>
        <w:rPr>
          <w:rStyle w:val="FootnoteReference"/>
        </w:rPr>
        <w:footnoteRef/>
      </w:r>
      <w:r>
        <w:t xml:space="preserve"> </w:t>
      </w:r>
      <w:r>
        <w:tab/>
      </w:r>
      <w:r w:rsidRPr="00AB1230">
        <w:rPr>
          <w:rFonts w:eastAsia="Calibri"/>
        </w:rPr>
        <w:t xml:space="preserve">AER, </w:t>
      </w:r>
      <w:r w:rsidRPr="009C3817">
        <w:rPr>
          <w:rStyle w:val="AERtextitalic"/>
          <w:rFonts w:eastAsia="Calibri"/>
        </w:rPr>
        <w:t xml:space="preserve">Final decision: APT </w:t>
      </w:r>
      <w:proofErr w:type="spellStart"/>
      <w:r w:rsidRPr="009C3817">
        <w:rPr>
          <w:rStyle w:val="AERtextitalic"/>
          <w:rFonts w:eastAsia="Calibri"/>
        </w:rPr>
        <w:t>Allgas</w:t>
      </w:r>
      <w:proofErr w:type="spellEnd"/>
      <w:r w:rsidRPr="009C3817">
        <w:rPr>
          <w:rStyle w:val="AERtextitalic"/>
          <w:rFonts w:eastAsia="Calibri"/>
        </w:rPr>
        <w:t xml:space="preserve"> access arrangement</w:t>
      </w:r>
      <w:r w:rsidRPr="00AB1230">
        <w:rPr>
          <w:rFonts w:eastAsia="Calibri"/>
        </w:rPr>
        <w:t xml:space="preserve">, June 2011, p. 13; AER, </w:t>
      </w:r>
      <w:r w:rsidRPr="009C3817">
        <w:rPr>
          <w:rStyle w:val="AERtextitalic"/>
          <w:rFonts w:eastAsia="Calibri"/>
        </w:rPr>
        <w:t xml:space="preserve">Final decision: </w:t>
      </w:r>
      <w:proofErr w:type="spellStart"/>
      <w:r w:rsidRPr="009C3817">
        <w:rPr>
          <w:rStyle w:val="AERtextitalic"/>
          <w:rFonts w:eastAsia="Calibri"/>
        </w:rPr>
        <w:t>Envestra</w:t>
      </w:r>
      <w:proofErr w:type="spellEnd"/>
      <w:r w:rsidRPr="009C3817">
        <w:rPr>
          <w:rStyle w:val="AERtextitalic"/>
          <w:rFonts w:eastAsia="Calibri"/>
        </w:rPr>
        <w:t xml:space="preserve"> access arrangement</w:t>
      </w:r>
      <w:r>
        <w:rPr>
          <w:rStyle w:val="AERtextitalic"/>
          <w:rFonts w:eastAsia="Calibri"/>
        </w:rPr>
        <w:t xml:space="preserve"> </w:t>
      </w:r>
      <w:r w:rsidRPr="009C3817">
        <w:rPr>
          <w:rStyle w:val="AERtextitalic"/>
          <w:rFonts w:eastAsia="Calibri"/>
        </w:rPr>
        <w:t>Qld</w:t>
      </w:r>
      <w:r w:rsidRPr="00AB1230">
        <w:rPr>
          <w:rFonts w:eastAsia="Calibri"/>
        </w:rPr>
        <w:t>, June 2011, p.</w:t>
      </w:r>
      <w:r>
        <w:rPr>
          <w:rFonts w:eastAsia="Calibri"/>
        </w:rPr>
        <w:t xml:space="preserve"> </w:t>
      </w:r>
      <w:r w:rsidRPr="00AB1230">
        <w:rPr>
          <w:rFonts w:eastAsia="Calibri"/>
        </w:rPr>
        <w:t xml:space="preserve">25; AER, </w:t>
      </w:r>
      <w:r w:rsidRPr="009C3817">
        <w:rPr>
          <w:rStyle w:val="AERtextitalic"/>
          <w:rFonts w:eastAsia="Calibri"/>
        </w:rPr>
        <w:t xml:space="preserve">Final decision: </w:t>
      </w:r>
      <w:proofErr w:type="spellStart"/>
      <w:r w:rsidRPr="009C3817">
        <w:rPr>
          <w:rStyle w:val="AERtextitalic"/>
          <w:rFonts w:eastAsia="Calibri"/>
        </w:rPr>
        <w:t>Envestra</w:t>
      </w:r>
      <w:proofErr w:type="spellEnd"/>
      <w:r w:rsidRPr="009C3817">
        <w:rPr>
          <w:rStyle w:val="AERtextitalic"/>
          <w:rFonts w:eastAsia="Calibri"/>
        </w:rPr>
        <w:t xml:space="preserve"> access arrangement SA</w:t>
      </w:r>
      <w:r w:rsidRPr="00AB1230">
        <w:rPr>
          <w:rFonts w:eastAsia="Calibri"/>
        </w:rPr>
        <w:t>, June 2011, p. 28.</w:t>
      </w:r>
      <w:r>
        <w:rPr>
          <w:rFonts w:eastAsia="Calibri"/>
        </w:rPr>
        <w:t xml:space="preserve"> </w:t>
      </w:r>
      <w:r w:rsidRPr="00100B35">
        <w:rPr>
          <w:rFonts w:eastAsia="Calibri"/>
        </w:rPr>
        <w:t xml:space="preserve">AER, </w:t>
      </w:r>
      <w:r w:rsidRPr="00100B35">
        <w:rPr>
          <w:rStyle w:val="AERtextitalic"/>
          <w:rFonts w:eastAsia="Calibri"/>
        </w:rPr>
        <w:t xml:space="preserve">Final decision: </w:t>
      </w:r>
      <w:proofErr w:type="spellStart"/>
      <w:r w:rsidRPr="00100B35">
        <w:rPr>
          <w:rStyle w:val="AERtextitalic"/>
          <w:rFonts w:eastAsia="Calibri"/>
        </w:rPr>
        <w:t>Envestra</w:t>
      </w:r>
      <w:proofErr w:type="spellEnd"/>
      <w:r w:rsidRPr="00100B35">
        <w:rPr>
          <w:rStyle w:val="AERtextitalic"/>
          <w:rFonts w:eastAsia="Calibri"/>
        </w:rPr>
        <w:t xml:space="preserve"> (Victoria) access arrangement propos</w:t>
      </w:r>
      <w:r>
        <w:rPr>
          <w:rStyle w:val="AERtextitalic"/>
          <w:rFonts w:eastAsia="Calibri"/>
        </w:rPr>
        <w:t xml:space="preserve">al 2013–17 </w:t>
      </w:r>
      <w:r w:rsidRPr="004069F0">
        <w:rPr>
          <w:rStyle w:val="AERtextitalic"/>
          <w:rFonts w:eastAsia="Calibri"/>
        </w:rPr>
        <w:t>Part2: Attachments</w:t>
      </w:r>
      <w:r>
        <w:rPr>
          <w:rFonts w:eastAsia="Calibri"/>
        </w:rPr>
        <w:t xml:space="preserve">, </w:t>
      </w:r>
      <w:r w:rsidRPr="00100B35">
        <w:rPr>
          <w:rFonts w:eastAsia="Calibri"/>
        </w:rPr>
        <w:t>March 2013</w:t>
      </w:r>
      <w:r>
        <w:rPr>
          <w:rFonts w:eastAsia="Calibri"/>
        </w:rPr>
        <w:t>, p. 24</w:t>
      </w:r>
      <w:r w:rsidRPr="00100B35">
        <w:rPr>
          <w:rFonts w:eastAsia="Calibri"/>
        </w:rPr>
        <w:t xml:space="preserve">; AER, </w:t>
      </w:r>
      <w:r w:rsidRPr="00100B35">
        <w:rPr>
          <w:rStyle w:val="AERtextitalic"/>
          <w:rFonts w:eastAsia="Calibri"/>
        </w:rPr>
        <w:t>Final decision: A</w:t>
      </w:r>
      <w:r>
        <w:rPr>
          <w:rStyle w:val="AERtextitalic"/>
          <w:rFonts w:eastAsia="Calibri"/>
        </w:rPr>
        <w:t>u</w:t>
      </w:r>
      <w:r w:rsidRPr="00100B35">
        <w:rPr>
          <w:rStyle w:val="AERtextitalic"/>
          <w:rFonts w:eastAsia="Calibri"/>
        </w:rPr>
        <w:t>sNet (SP AusNet) arrangement proposal 2013–17</w:t>
      </w:r>
      <w:r>
        <w:rPr>
          <w:rStyle w:val="AERtextitalic"/>
          <w:rFonts w:eastAsia="Calibri"/>
        </w:rPr>
        <w:t xml:space="preserve"> Part2: Attachments</w:t>
      </w:r>
      <w:r w:rsidRPr="00100B35">
        <w:rPr>
          <w:rFonts w:eastAsia="Calibri"/>
        </w:rPr>
        <w:t>, March 2013</w:t>
      </w:r>
      <w:r>
        <w:rPr>
          <w:rFonts w:eastAsia="Calibri"/>
        </w:rPr>
        <w:t>, p. 23</w:t>
      </w:r>
      <w:r w:rsidRPr="00100B35">
        <w:rPr>
          <w:rFonts w:eastAsia="Calibri"/>
        </w:rPr>
        <w:t>;</w:t>
      </w:r>
      <w:r>
        <w:rPr>
          <w:rFonts w:eastAsia="Calibri"/>
        </w:rPr>
        <w:t xml:space="preserve"> </w:t>
      </w:r>
      <w:r w:rsidRPr="004069F0">
        <w:rPr>
          <w:rFonts w:eastAsia="Calibri"/>
        </w:rPr>
        <w:t>AER,</w:t>
      </w:r>
      <w:r w:rsidRPr="004069F0">
        <w:rPr>
          <w:rStyle w:val="AERtextitalic"/>
          <w:rFonts w:eastAsia="Calibri"/>
        </w:rPr>
        <w:t xml:space="preserve"> Final decision: </w:t>
      </w:r>
      <w:proofErr w:type="spellStart"/>
      <w:r w:rsidRPr="004069F0">
        <w:rPr>
          <w:rStyle w:val="AERtextitalic"/>
          <w:rFonts w:eastAsia="Calibri"/>
        </w:rPr>
        <w:t>MultiNet</w:t>
      </w:r>
      <w:proofErr w:type="spellEnd"/>
      <w:r w:rsidRPr="004069F0">
        <w:rPr>
          <w:rStyle w:val="AERtextitalic"/>
          <w:rFonts w:eastAsia="Calibri"/>
        </w:rPr>
        <w:t xml:space="preserve"> Gas arrangement proposal 2013–17</w:t>
      </w:r>
      <w:r w:rsidRPr="004069F0">
        <w:rPr>
          <w:rFonts w:eastAsia="Calibri"/>
        </w:rPr>
        <w:t>, March 2013</w:t>
      </w:r>
      <w:r>
        <w:rPr>
          <w:rFonts w:eastAsia="Calibri"/>
        </w:rPr>
        <w:t>, p. 24.</w:t>
      </w:r>
    </w:p>
  </w:footnote>
  <w:footnote w:id="37">
    <w:p w:rsidR="00103B25" w:rsidRDefault="00103B25" w:rsidP="00F674AC">
      <w:pPr>
        <w:pStyle w:val="FootnoteText"/>
      </w:pPr>
      <w:r>
        <w:rPr>
          <w:rStyle w:val="FootnoteReference"/>
        </w:rPr>
        <w:footnoteRef/>
      </w:r>
      <w:r>
        <w:t xml:space="preserve"> </w:t>
      </w:r>
      <w:r>
        <w:tab/>
      </w:r>
      <w:proofErr w:type="gramStart"/>
      <w:r>
        <w:t xml:space="preserve">AER, </w:t>
      </w:r>
      <w:r w:rsidRPr="009C3817">
        <w:rPr>
          <w:rStyle w:val="AERtextitalic"/>
        </w:rPr>
        <w:t>Final access arrangement guideline</w:t>
      </w:r>
      <w:r>
        <w:t>, March 2009, pp. 65</w:t>
      </w:r>
      <w:r>
        <w:rPr>
          <w:rFonts w:cs="Gautami"/>
        </w:rPr>
        <w:t>–</w:t>
      </w:r>
      <w:r>
        <w:t>66.</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2">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2"/>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
    <w:nsid w:val="301B31FF"/>
    <w:multiLevelType w:val="multilevel"/>
    <w:tmpl w:val="6B1233F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8">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62BF0570"/>
    <w:multiLevelType w:val="hybridMultilevel"/>
    <w:tmpl w:val="2C38EE7E"/>
    <w:styleLink w:val="1ai"/>
    <w:lvl w:ilvl="0" w:tplc="605E865A">
      <w:start w:val="1"/>
      <w:numFmt w:val="bullet"/>
      <w:lvlText w:val=""/>
      <w:lvlJc w:val="left"/>
      <w:pPr>
        <w:tabs>
          <w:tab w:val="num" w:pos="870"/>
        </w:tabs>
        <w:ind w:left="870" w:hanging="360"/>
      </w:pPr>
      <w:rPr>
        <w:rFonts w:ascii="Wingdings" w:hAnsi="Wingdings" w:hint="default"/>
        <w:color w:val="auto"/>
        <w:sz w:val="16"/>
        <w:szCs w:val="16"/>
      </w:rPr>
    </w:lvl>
    <w:lvl w:ilvl="1" w:tplc="FFFFFFFF" w:tentative="1">
      <w:start w:val="1"/>
      <w:numFmt w:val="bullet"/>
      <w:lvlText w:val="o"/>
      <w:lvlJc w:val="left"/>
      <w:pPr>
        <w:tabs>
          <w:tab w:val="num" w:pos="1590"/>
        </w:tabs>
        <w:ind w:left="1590" w:hanging="360"/>
      </w:pPr>
      <w:rPr>
        <w:rFonts w:ascii="Courier New" w:hAnsi="Courier New" w:cs="Courier New" w:hint="default"/>
      </w:rPr>
    </w:lvl>
    <w:lvl w:ilvl="2" w:tplc="FFFFFFFF" w:tentative="1">
      <w:start w:val="1"/>
      <w:numFmt w:val="bullet"/>
      <w:lvlText w:val=""/>
      <w:lvlJc w:val="left"/>
      <w:pPr>
        <w:tabs>
          <w:tab w:val="num" w:pos="2310"/>
        </w:tabs>
        <w:ind w:left="2310" w:hanging="360"/>
      </w:pPr>
      <w:rPr>
        <w:rFonts w:ascii="Wingdings" w:hAnsi="Wingdings" w:hint="default"/>
      </w:rPr>
    </w:lvl>
    <w:lvl w:ilvl="3" w:tplc="FFFFFFFF" w:tentative="1">
      <w:start w:val="1"/>
      <w:numFmt w:val="bullet"/>
      <w:lvlText w:val=""/>
      <w:lvlJc w:val="left"/>
      <w:pPr>
        <w:tabs>
          <w:tab w:val="num" w:pos="3030"/>
        </w:tabs>
        <w:ind w:left="3030" w:hanging="360"/>
      </w:pPr>
      <w:rPr>
        <w:rFonts w:ascii="Symbol" w:hAnsi="Symbol" w:hint="default"/>
      </w:rPr>
    </w:lvl>
    <w:lvl w:ilvl="4" w:tplc="FFFFFFFF" w:tentative="1">
      <w:start w:val="1"/>
      <w:numFmt w:val="bullet"/>
      <w:lvlText w:val="o"/>
      <w:lvlJc w:val="left"/>
      <w:pPr>
        <w:tabs>
          <w:tab w:val="num" w:pos="3750"/>
        </w:tabs>
        <w:ind w:left="3750" w:hanging="360"/>
      </w:pPr>
      <w:rPr>
        <w:rFonts w:ascii="Courier New" w:hAnsi="Courier New" w:cs="Courier New" w:hint="default"/>
      </w:rPr>
    </w:lvl>
    <w:lvl w:ilvl="5" w:tplc="FFFFFFFF" w:tentative="1">
      <w:start w:val="1"/>
      <w:numFmt w:val="bullet"/>
      <w:lvlText w:val=""/>
      <w:lvlJc w:val="left"/>
      <w:pPr>
        <w:tabs>
          <w:tab w:val="num" w:pos="4470"/>
        </w:tabs>
        <w:ind w:left="4470" w:hanging="360"/>
      </w:pPr>
      <w:rPr>
        <w:rFonts w:ascii="Wingdings" w:hAnsi="Wingdings" w:hint="default"/>
      </w:rPr>
    </w:lvl>
    <w:lvl w:ilvl="6" w:tplc="FFFFFFFF" w:tentative="1">
      <w:start w:val="1"/>
      <w:numFmt w:val="bullet"/>
      <w:lvlText w:val=""/>
      <w:lvlJc w:val="left"/>
      <w:pPr>
        <w:tabs>
          <w:tab w:val="num" w:pos="5190"/>
        </w:tabs>
        <w:ind w:left="5190" w:hanging="360"/>
      </w:pPr>
      <w:rPr>
        <w:rFonts w:ascii="Symbol" w:hAnsi="Symbol" w:hint="default"/>
      </w:rPr>
    </w:lvl>
    <w:lvl w:ilvl="7" w:tplc="FFFFFFFF" w:tentative="1">
      <w:start w:val="1"/>
      <w:numFmt w:val="bullet"/>
      <w:lvlText w:val="o"/>
      <w:lvlJc w:val="left"/>
      <w:pPr>
        <w:tabs>
          <w:tab w:val="num" w:pos="5910"/>
        </w:tabs>
        <w:ind w:left="5910" w:hanging="360"/>
      </w:pPr>
      <w:rPr>
        <w:rFonts w:ascii="Courier New" w:hAnsi="Courier New" w:cs="Courier New" w:hint="default"/>
      </w:rPr>
    </w:lvl>
    <w:lvl w:ilvl="8" w:tplc="FFFFFFFF" w:tentative="1">
      <w:start w:val="1"/>
      <w:numFmt w:val="bullet"/>
      <w:lvlText w:val=""/>
      <w:lvlJc w:val="left"/>
      <w:pPr>
        <w:tabs>
          <w:tab w:val="num" w:pos="6630"/>
        </w:tabs>
        <w:ind w:left="6630" w:hanging="360"/>
      </w:pPr>
      <w:rPr>
        <w:rFonts w:ascii="Wingdings" w:hAnsi="Wingdings" w:hint="default"/>
      </w:rPr>
    </w:lvl>
  </w:abstractNum>
  <w:abstractNum w:abstractNumId="10">
    <w:nsid w:val="7AAC6DD7"/>
    <w:multiLevelType w:val="multilevel"/>
    <w:tmpl w:val="950A1C52"/>
    <w:numStyleLink w:val="AERHeadings"/>
  </w:abstractNum>
  <w:abstractNum w:abstractNumId="11">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AEF67FF"/>
    <w:multiLevelType w:val="multilevel"/>
    <w:tmpl w:val="E1F4D8C6"/>
    <w:lvl w:ilvl="0">
      <w:start w:val="1"/>
      <w:numFmt w:val="bullet"/>
      <w:lvlText w:val=""/>
      <w:lvlJc w:val="left"/>
      <w:pPr>
        <w:tabs>
          <w:tab w:val="num" w:pos="1071"/>
        </w:tabs>
        <w:ind w:left="1071" w:hanging="357"/>
      </w:pPr>
      <w:rPr>
        <w:rFonts w:ascii="Wingdings" w:hAnsi="Wingdings" w:hint="default"/>
        <w:sz w:val="28"/>
      </w:rPr>
    </w:lvl>
    <w:lvl w:ilvl="1">
      <w:start w:val="1"/>
      <w:numFmt w:val="bullet"/>
      <w:lvlText w:val=""/>
      <w:lvlJc w:val="left"/>
      <w:pPr>
        <w:tabs>
          <w:tab w:val="num" w:pos="2154"/>
        </w:tabs>
        <w:ind w:left="2154" w:hanging="360"/>
      </w:pPr>
      <w:rPr>
        <w:rFonts w:ascii="Wingdings" w:hAnsi="Wingdings" w:hint="default"/>
      </w:rPr>
    </w:lvl>
    <w:lvl w:ilvl="2">
      <w:start w:val="1"/>
      <w:numFmt w:val="bullet"/>
      <w:lvlText w:val="—"/>
      <w:lvlJc w:val="left"/>
      <w:pPr>
        <w:tabs>
          <w:tab w:val="num" w:pos="2874"/>
        </w:tabs>
        <w:ind w:left="2874" w:hanging="360"/>
      </w:pPr>
      <w:rPr>
        <w:rFonts w:ascii="Times New Roman" w:hAnsi="Times New Roman" w:cs="Times New Roman"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cs="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cs="Courier New" w:hint="default"/>
      </w:rPr>
    </w:lvl>
    <w:lvl w:ilvl="8">
      <w:start w:val="1"/>
      <w:numFmt w:val="bullet"/>
      <w:lvlText w:val=""/>
      <w:lvlJc w:val="left"/>
      <w:pPr>
        <w:tabs>
          <w:tab w:val="num" w:pos="7194"/>
        </w:tabs>
        <w:ind w:left="7194" w:hanging="360"/>
      </w:pPr>
      <w:rPr>
        <w:rFonts w:ascii="Wingdings" w:hAnsi="Wingdings" w:hint="default"/>
      </w:rPr>
    </w:lvl>
  </w:abstractNum>
  <w:num w:numId="1">
    <w:abstractNumId w:val="2"/>
  </w:num>
  <w:num w:numId="2">
    <w:abstractNumId w:val="6"/>
  </w:num>
  <w:num w:numId="3">
    <w:abstractNumId w:val="4"/>
  </w:num>
  <w:num w:numId="4">
    <w:abstractNumId w:val="11"/>
  </w:num>
  <w:num w:numId="5">
    <w:abstractNumId w:val="0"/>
  </w:num>
  <w:num w:numId="6">
    <w:abstractNumId w:val="8"/>
  </w:num>
  <w:num w:numId="7">
    <w:abstractNumId w:val="5"/>
  </w:num>
  <w:num w:numId="8">
    <w:abstractNumId w:val="10"/>
  </w:num>
  <w:num w:numId="9">
    <w:abstractNumId w:val="7"/>
    <w:lvlOverride w:ilvl="0">
      <w:startOverride w:val="1"/>
    </w:lvlOverride>
  </w:num>
  <w:num w:numId="10">
    <w:abstractNumId w:val="6"/>
  </w:num>
  <w:num w:numId="11">
    <w:abstractNumId w:val="10"/>
  </w:num>
  <w:num w:numId="12">
    <w:abstractNumId w:val="10"/>
  </w:num>
  <w:num w:numId="13">
    <w:abstractNumId w:val="10"/>
  </w:num>
  <w:num w:numId="14">
    <w:abstractNumId w:val="10"/>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2"/>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5"/>
        <w:numFmt w:val="decimal"/>
        <w:pStyle w:val="Heading1"/>
        <w:lvlText w:val="%1%2"/>
        <w:lvlJc w:val="left"/>
        <w:pPr>
          <w:tabs>
            <w:tab w:val="num" w:pos="0"/>
          </w:tabs>
          <w:ind w:left="0" w:hanging="851"/>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3">
    <w:abstractNumId w:val="1"/>
  </w:num>
  <w:num w:numId="24">
    <w:abstractNumId w:val="10"/>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proofState w:spelling="clean" w:grammar="clean"/>
  <w:documentProtection w:formatting="1" w:enforcement="1" w:cryptProviderType="rsaFull" w:cryptAlgorithmClass="hash" w:cryptAlgorithmType="typeAny" w:cryptAlgorithmSid="4" w:cryptSpinCount="100000" w:hash="IVBSryH27sVE4j/iM5f8i2dMQBE=" w:salt="S4NBQ25N+IjtNJufhhsxmQ=="/>
  <w:defaultTabStop w:val="720"/>
  <w:evenAndOddHeaders/>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7560\D14 118339  Jemena Gas 2014 Draft decision Tariff setting.DOCX"/>
  </w:docVars>
  <w:rsids>
    <w:rsidRoot w:val="000C052F"/>
    <w:rsid w:val="0000077D"/>
    <w:rsid w:val="00010F01"/>
    <w:rsid w:val="00011129"/>
    <w:rsid w:val="00022493"/>
    <w:rsid w:val="00022606"/>
    <w:rsid w:val="00040599"/>
    <w:rsid w:val="00040749"/>
    <w:rsid w:val="00060877"/>
    <w:rsid w:val="00067A6E"/>
    <w:rsid w:val="000722CB"/>
    <w:rsid w:val="00076455"/>
    <w:rsid w:val="00091E13"/>
    <w:rsid w:val="00093E0D"/>
    <w:rsid w:val="000A1730"/>
    <w:rsid w:val="000A1CC2"/>
    <w:rsid w:val="000A333F"/>
    <w:rsid w:val="000A5342"/>
    <w:rsid w:val="000B0C71"/>
    <w:rsid w:val="000B15CA"/>
    <w:rsid w:val="000B5BF9"/>
    <w:rsid w:val="000C052F"/>
    <w:rsid w:val="000C2CC6"/>
    <w:rsid w:val="000C3430"/>
    <w:rsid w:val="000C5F5D"/>
    <w:rsid w:val="000C6D71"/>
    <w:rsid w:val="000D03C2"/>
    <w:rsid w:val="000D04B1"/>
    <w:rsid w:val="000D1496"/>
    <w:rsid w:val="000D401F"/>
    <w:rsid w:val="000E1A25"/>
    <w:rsid w:val="000E6418"/>
    <w:rsid w:val="000E689D"/>
    <w:rsid w:val="000F3A6A"/>
    <w:rsid w:val="001033B3"/>
    <w:rsid w:val="00103B25"/>
    <w:rsid w:val="00105636"/>
    <w:rsid w:val="00106F84"/>
    <w:rsid w:val="00111B01"/>
    <w:rsid w:val="001168DE"/>
    <w:rsid w:val="001215CC"/>
    <w:rsid w:val="00121FBC"/>
    <w:rsid w:val="0013022D"/>
    <w:rsid w:val="00142E50"/>
    <w:rsid w:val="00147A4A"/>
    <w:rsid w:val="001543D2"/>
    <w:rsid w:val="001708CC"/>
    <w:rsid w:val="00174026"/>
    <w:rsid w:val="001836BF"/>
    <w:rsid w:val="001856EE"/>
    <w:rsid w:val="0018578C"/>
    <w:rsid w:val="00194744"/>
    <w:rsid w:val="00194C3C"/>
    <w:rsid w:val="00196100"/>
    <w:rsid w:val="001B6619"/>
    <w:rsid w:val="001C12E5"/>
    <w:rsid w:val="001D0C6B"/>
    <w:rsid w:val="001F2038"/>
    <w:rsid w:val="001F5BE2"/>
    <w:rsid w:val="001F67AF"/>
    <w:rsid w:val="00201D22"/>
    <w:rsid w:val="002023C1"/>
    <w:rsid w:val="002050AD"/>
    <w:rsid w:val="0020711E"/>
    <w:rsid w:val="00210880"/>
    <w:rsid w:val="00212B7E"/>
    <w:rsid w:val="00212BB6"/>
    <w:rsid w:val="00213992"/>
    <w:rsid w:val="002242A6"/>
    <w:rsid w:val="002257B9"/>
    <w:rsid w:val="0022766D"/>
    <w:rsid w:val="0023137D"/>
    <w:rsid w:val="00235F70"/>
    <w:rsid w:val="00266710"/>
    <w:rsid w:val="00271281"/>
    <w:rsid w:val="00274E61"/>
    <w:rsid w:val="002805B8"/>
    <w:rsid w:val="00291950"/>
    <w:rsid w:val="002938CE"/>
    <w:rsid w:val="00296327"/>
    <w:rsid w:val="002B5813"/>
    <w:rsid w:val="002B6640"/>
    <w:rsid w:val="002D61AC"/>
    <w:rsid w:val="002E4720"/>
    <w:rsid w:val="00303452"/>
    <w:rsid w:val="00305716"/>
    <w:rsid w:val="00311EE2"/>
    <w:rsid w:val="003153DD"/>
    <w:rsid w:val="0031732A"/>
    <w:rsid w:val="003324F7"/>
    <w:rsid w:val="00334F88"/>
    <w:rsid w:val="0033625D"/>
    <w:rsid w:val="0033654C"/>
    <w:rsid w:val="0034264C"/>
    <w:rsid w:val="00351732"/>
    <w:rsid w:val="00352941"/>
    <w:rsid w:val="0035558A"/>
    <w:rsid w:val="003668AB"/>
    <w:rsid w:val="003676B7"/>
    <w:rsid w:val="003707DB"/>
    <w:rsid w:val="003719B5"/>
    <w:rsid w:val="00375AEC"/>
    <w:rsid w:val="00376236"/>
    <w:rsid w:val="0037652C"/>
    <w:rsid w:val="003800E4"/>
    <w:rsid w:val="00380FF5"/>
    <w:rsid w:val="003841CE"/>
    <w:rsid w:val="00384D85"/>
    <w:rsid w:val="00391596"/>
    <w:rsid w:val="003A4BAC"/>
    <w:rsid w:val="003A6174"/>
    <w:rsid w:val="003A7C8A"/>
    <w:rsid w:val="003A7EE5"/>
    <w:rsid w:val="003B6BFA"/>
    <w:rsid w:val="003C0C81"/>
    <w:rsid w:val="003D1269"/>
    <w:rsid w:val="003E411D"/>
    <w:rsid w:val="003E6299"/>
    <w:rsid w:val="003F55FC"/>
    <w:rsid w:val="004005EB"/>
    <w:rsid w:val="004030AB"/>
    <w:rsid w:val="00404222"/>
    <w:rsid w:val="00404EAB"/>
    <w:rsid w:val="00410517"/>
    <w:rsid w:val="00412282"/>
    <w:rsid w:val="004256BA"/>
    <w:rsid w:val="00431999"/>
    <w:rsid w:val="00433475"/>
    <w:rsid w:val="00435682"/>
    <w:rsid w:val="00436C61"/>
    <w:rsid w:val="00456081"/>
    <w:rsid w:val="00464F5D"/>
    <w:rsid w:val="00465C62"/>
    <w:rsid w:val="0046605D"/>
    <w:rsid w:val="004708F5"/>
    <w:rsid w:val="00474FBD"/>
    <w:rsid w:val="0047790E"/>
    <w:rsid w:val="00491D7D"/>
    <w:rsid w:val="004964DB"/>
    <w:rsid w:val="004C115A"/>
    <w:rsid w:val="004C3F45"/>
    <w:rsid w:val="004D2E88"/>
    <w:rsid w:val="004D3B47"/>
    <w:rsid w:val="004D3FDE"/>
    <w:rsid w:val="004E40EF"/>
    <w:rsid w:val="004E73F7"/>
    <w:rsid w:val="004F0195"/>
    <w:rsid w:val="004F76A0"/>
    <w:rsid w:val="00500E7F"/>
    <w:rsid w:val="00501919"/>
    <w:rsid w:val="00510278"/>
    <w:rsid w:val="00512D17"/>
    <w:rsid w:val="00520094"/>
    <w:rsid w:val="0052179D"/>
    <w:rsid w:val="00525604"/>
    <w:rsid w:val="005311F1"/>
    <w:rsid w:val="005456A9"/>
    <w:rsid w:val="005525B4"/>
    <w:rsid w:val="00555D52"/>
    <w:rsid w:val="005566D7"/>
    <w:rsid w:val="00561F7F"/>
    <w:rsid w:val="00564677"/>
    <w:rsid w:val="00566B35"/>
    <w:rsid w:val="005715BC"/>
    <w:rsid w:val="005732CC"/>
    <w:rsid w:val="00575422"/>
    <w:rsid w:val="005938C6"/>
    <w:rsid w:val="005A0431"/>
    <w:rsid w:val="005A733C"/>
    <w:rsid w:val="005B2DD0"/>
    <w:rsid w:val="005B3752"/>
    <w:rsid w:val="005B61C2"/>
    <w:rsid w:val="005C5D3E"/>
    <w:rsid w:val="005D1F46"/>
    <w:rsid w:val="005D26B7"/>
    <w:rsid w:val="005D4AA1"/>
    <w:rsid w:val="005D594C"/>
    <w:rsid w:val="005E276F"/>
    <w:rsid w:val="005E3E0C"/>
    <w:rsid w:val="005E56FE"/>
    <w:rsid w:val="0060146C"/>
    <w:rsid w:val="0060207D"/>
    <w:rsid w:val="006039F2"/>
    <w:rsid w:val="006049FB"/>
    <w:rsid w:val="006061B0"/>
    <w:rsid w:val="0060732E"/>
    <w:rsid w:val="006076A9"/>
    <w:rsid w:val="00614D8E"/>
    <w:rsid w:val="00622AE3"/>
    <w:rsid w:val="006346A7"/>
    <w:rsid w:val="00635671"/>
    <w:rsid w:val="0065014D"/>
    <w:rsid w:val="0065125A"/>
    <w:rsid w:val="006544EA"/>
    <w:rsid w:val="0066569F"/>
    <w:rsid w:val="00665CAE"/>
    <w:rsid w:val="00666F46"/>
    <w:rsid w:val="00681367"/>
    <w:rsid w:val="0069004B"/>
    <w:rsid w:val="006962A0"/>
    <w:rsid w:val="006B08EB"/>
    <w:rsid w:val="006B319B"/>
    <w:rsid w:val="006B481F"/>
    <w:rsid w:val="006C10BB"/>
    <w:rsid w:val="006D7DC9"/>
    <w:rsid w:val="006F638E"/>
    <w:rsid w:val="00703E42"/>
    <w:rsid w:val="00705F01"/>
    <w:rsid w:val="00713058"/>
    <w:rsid w:val="007335FD"/>
    <w:rsid w:val="007368AD"/>
    <w:rsid w:val="00751D2A"/>
    <w:rsid w:val="00752809"/>
    <w:rsid w:val="00752DAF"/>
    <w:rsid w:val="0075425F"/>
    <w:rsid w:val="00754DC8"/>
    <w:rsid w:val="00755095"/>
    <w:rsid w:val="007550E1"/>
    <w:rsid w:val="00791A78"/>
    <w:rsid w:val="00796A07"/>
    <w:rsid w:val="007B0BB0"/>
    <w:rsid w:val="007B3B61"/>
    <w:rsid w:val="007B5D8B"/>
    <w:rsid w:val="007C1012"/>
    <w:rsid w:val="007C3B99"/>
    <w:rsid w:val="007C5E48"/>
    <w:rsid w:val="007C6C8A"/>
    <w:rsid w:val="007D1665"/>
    <w:rsid w:val="007E1B95"/>
    <w:rsid w:val="007F06C1"/>
    <w:rsid w:val="007F10E3"/>
    <w:rsid w:val="007F212D"/>
    <w:rsid w:val="007F2C0E"/>
    <w:rsid w:val="007F6B32"/>
    <w:rsid w:val="00804AEB"/>
    <w:rsid w:val="008216A9"/>
    <w:rsid w:val="00824CC8"/>
    <w:rsid w:val="00831491"/>
    <w:rsid w:val="00836D17"/>
    <w:rsid w:val="00840A55"/>
    <w:rsid w:val="00841E25"/>
    <w:rsid w:val="0084378B"/>
    <w:rsid w:val="00843A7C"/>
    <w:rsid w:val="008464CD"/>
    <w:rsid w:val="008515EE"/>
    <w:rsid w:val="0085249B"/>
    <w:rsid w:val="00854AEE"/>
    <w:rsid w:val="0085593A"/>
    <w:rsid w:val="0086160E"/>
    <w:rsid w:val="00861C4E"/>
    <w:rsid w:val="00866D21"/>
    <w:rsid w:val="00872448"/>
    <w:rsid w:val="00872D85"/>
    <w:rsid w:val="00880D0C"/>
    <w:rsid w:val="00883DDA"/>
    <w:rsid w:val="00883F67"/>
    <w:rsid w:val="00891FF9"/>
    <w:rsid w:val="00893367"/>
    <w:rsid w:val="00893D07"/>
    <w:rsid w:val="008B262C"/>
    <w:rsid w:val="008B4932"/>
    <w:rsid w:val="008B7956"/>
    <w:rsid w:val="008C3722"/>
    <w:rsid w:val="008C3B67"/>
    <w:rsid w:val="008C3F48"/>
    <w:rsid w:val="008D1473"/>
    <w:rsid w:val="008D49B4"/>
    <w:rsid w:val="008D7498"/>
    <w:rsid w:val="008E43EB"/>
    <w:rsid w:val="008E630D"/>
    <w:rsid w:val="00920432"/>
    <w:rsid w:val="00927984"/>
    <w:rsid w:val="00932E96"/>
    <w:rsid w:val="00933484"/>
    <w:rsid w:val="009418E6"/>
    <w:rsid w:val="0094235F"/>
    <w:rsid w:val="0094279F"/>
    <w:rsid w:val="009429FF"/>
    <w:rsid w:val="00946B98"/>
    <w:rsid w:val="0095052A"/>
    <w:rsid w:val="009516DF"/>
    <w:rsid w:val="00957F1D"/>
    <w:rsid w:val="00963AFA"/>
    <w:rsid w:val="009658F0"/>
    <w:rsid w:val="00971655"/>
    <w:rsid w:val="00971C63"/>
    <w:rsid w:val="00972175"/>
    <w:rsid w:val="0097658F"/>
    <w:rsid w:val="00980D9B"/>
    <w:rsid w:val="00983C6C"/>
    <w:rsid w:val="00985A25"/>
    <w:rsid w:val="009903BE"/>
    <w:rsid w:val="009A4AE9"/>
    <w:rsid w:val="009A73F2"/>
    <w:rsid w:val="009C17AC"/>
    <w:rsid w:val="009C71D5"/>
    <w:rsid w:val="009D013F"/>
    <w:rsid w:val="009D02E8"/>
    <w:rsid w:val="009D5F52"/>
    <w:rsid w:val="009E0833"/>
    <w:rsid w:val="009E3537"/>
    <w:rsid w:val="009F6E3A"/>
    <w:rsid w:val="009F7CE4"/>
    <w:rsid w:val="00A03483"/>
    <w:rsid w:val="00A036EE"/>
    <w:rsid w:val="00A11162"/>
    <w:rsid w:val="00A1253E"/>
    <w:rsid w:val="00A3053C"/>
    <w:rsid w:val="00A37F0F"/>
    <w:rsid w:val="00A43227"/>
    <w:rsid w:val="00A46CCD"/>
    <w:rsid w:val="00A5047C"/>
    <w:rsid w:val="00A62D21"/>
    <w:rsid w:val="00A65133"/>
    <w:rsid w:val="00A652C5"/>
    <w:rsid w:val="00A73A0F"/>
    <w:rsid w:val="00A7774C"/>
    <w:rsid w:val="00A831F6"/>
    <w:rsid w:val="00A85C5A"/>
    <w:rsid w:val="00A9309D"/>
    <w:rsid w:val="00A96A08"/>
    <w:rsid w:val="00AA0161"/>
    <w:rsid w:val="00AA4CC1"/>
    <w:rsid w:val="00AB1D08"/>
    <w:rsid w:val="00AB3BE9"/>
    <w:rsid w:val="00AB4345"/>
    <w:rsid w:val="00AB472F"/>
    <w:rsid w:val="00AB5BD7"/>
    <w:rsid w:val="00AC0135"/>
    <w:rsid w:val="00AC070D"/>
    <w:rsid w:val="00AC1B94"/>
    <w:rsid w:val="00AC48A1"/>
    <w:rsid w:val="00AD0616"/>
    <w:rsid w:val="00AD34FF"/>
    <w:rsid w:val="00AD4DE6"/>
    <w:rsid w:val="00AE6DBC"/>
    <w:rsid w:val="00AE7BE2"/>
    <w:rsid w:val="00AE7C53"/>
    <w:rsid w:val="00AF3E95"/>
    <w:rsid w:val="00AF7C67"/>
    <w:rsid w:val="00B14C33"/>
    <w:rsid w:val="00B15FE9"/>
    <w:rsid w:val="00B2004B"/>
    <w:rsid w:val="00B2412C"/>
    <w:rsid w:val="00B26B38"/>
    <w:rsid w:val="00B36C53"/>
    <w:rsid w:val="00B44BC6"/>
    <w:rsid w:val="00B51883"/>
    <w:rsid w:val="00B60D45"/>
    <w:rsid w:val="00B61FD4"/>
    <w:rsid w:val="00B62AFF"/>
    <w:rsid w:val="00B674DB"/>
    <w:rsid w:val="00B82E8D"/>
    <w:rsid w:val="00B8622C"/>
    <w:rsid w:val="00B9264D"/>
    <w:rsid w:val="00B94D99"/>
    <w:rsid w:val="00BB3FA1"/>
    <w:rsid w:val="00BB62BB"/>
    <w:rsid w:val="00BB6419"/>
    <w:rsid w:val="00BC05C5"/>
    <w:rsid w:val="00BC4779"/>
    <w:rsid w:val="00BC57A6"/>
    <w:rsid w:val="00BC5B1F"/>
    <w:rsid w:val="00BC6334"/>
    <w:rsid w:val="00BD04BE"/>
    <w:rsid w:val="00BD203B"/>
    <w:rsid w:val="00BD2A5A"/>
    <w:rsid w:val="00BE6F28"/>
    <w:rsid w:val="00BF1CAF"/>
    <w:rsid w:val="00BF29FA"/>
    <w:rsid w:val="00C03E5F"/>
    <w:rsid w:val="00C04D2B"/>
    <w:rsid w:val="00C122F8"/>
    <w:rsid w:val="00C1324E"/>
    <w:rsid w:val="00C21585"/>
    <w:rsid w:val="00C272B4"/>
    <w:rsid w:val="00C277B2"/>
    <w:rsid w:val="00C557F2"/>
    <w:rsid w:val="00C737C5"/>
    <w:rsid w:val="00C85F9A"/>
    <w:rsid w:val="00C86695"/>
    <w:rsid w:val="00C90B93"/>
    <w:rsid w:val="00C91879"/>
    <w:rsid w:val="00C962E2"/>
    <w:rsid w:val="00CA0B34"/>
    <w:rsid w:val="00CA3540"/>
    <w:rsid w:val="00CA6DED"/>
    <w:rsid w:val="00CC49D4"/>
    <w:rsid w:val="00CD1010"/>
    <w:rsid w:val="00CE00A3"/>
    <w:rsid w:val="00CE6F5A"/>
    <w:rsid w:val="00CF2AD4"/>
    <w:rsid w:val="00CF42CF"/>
    <w:rsid w:val="00CF6994"/>
    <w:rsid w:val="00D04377"/>
    <w:rsid w:val="00D102E9"/>
    <w:rsid w:val="00D14AA4"/>
    <w:rsid w:val="00D1688F"/>
    <w:rsid w:val="00D20390"/>
    <w:rsid w:val="00D2117F"/>
    <w:rsid w:val="00D21A6A"/>
    <w:rsid w:val="00D25317"/>
    <w:rsid w:val="00D31E37"/>
    <w:rsid w:val="00D470CA"/>
    <w:rsid w:val="00D603A4"/>
    <w:rsid w:val="00D60821"/>
    <w:rsid w:val="00D62997"/>
    <w:rsid w:val="00D66E8B"/>
    <w:rsid w:val="00D81B53"/>
    <w:rsid w:val="00D82184"/>
    <w:rsid w:val="00D834B7"/>
    <w:rsid w:val="00D85715"/>
    <w:rsid w:val="00D85B90"/>
    <w:rsid w:val="00D85DF1"/>
    <w:rsid w:val="00D8706C"/>
    <w:rsid w:val="00D96F43"/>
    <w:rsid w:val="00DA4C62"/>
    <w:rsid w:val="00DA76E6"/>
    <w:rsid w:val="00DA7967"/>
    <w:rsid w:val="00DB6A17"/>
    <w:rsid w:val="00DD4E84"/>
    <w:rsid w:val="00DD5520"/>
    <w:rsid w:val="00DE22F1"/>
    <w:rsid w:val="00DF16C2"/>
    <w:rsid w:val="00E00F76"/>
    <w:rsid w:val="00E21E75"/>
    <w:rsid w:val="00E244E4"/>
    <w:rsid w:val="00E30377"/>
    <w:rsid w:val="00E41CD5"/>
    <w:rsid w:val="00E47128"/>
    <w:rsid w:val="00E519DC"/>
    <w:rsid w:val="00E649AC"/>
    <w:rsid w:val="00E6571F"/>
    <w:rsid w:val="00E807DA"/>
    <w:rsid w:val="00E82908"/>
    <w:rsid w:val="00E84E3A"/>
    <w:rsid w:val="00E868CF"/>
    <w:rsid w:val="00E902E6"/>
    <w:rsid w:val="00E91F70"/>
    <w:rsid w:val="00E95DF8"/>
    <w:rsid w:val="00E97CFD"/>
    <w:rsid w:val="00EA05AF"/>
    <w:rsid w:val="00EA5036"/>
    <w:rsid w:val="00EA50CD"/>
    <w:rsid w:val="00EB5CDF"/>
    <w:rsid w:val="00EC43B9"/>
    <w:rsid w:val="00ED08EA"/>
    <w:rsid w:val="00ED4963"/>
    <w:rsid w:val="00ED4D69"/>
    <w:rsid w:val="00ED6FB9"/>
    <w:rsid w:val="00EE0E2F"/>
    <w:rsid w:val="00EE362F"/>
    <w:rsid w:val="00EF0E19"/>
    <w:rsid w:val="00F01C9D"/>
    <w:rsid w:val="00F05478"/>
    <w:rsid w:val="00F06EA7"/>
    <w:rsid w:val="00F114AE"/>
    <w:rsid w:val="00F27FD7"/>
    <w:rsid w:val="00F42940"/>
    <w:rsid w:val="00F43CA0"/>
    <w:rsid w:val="00F54216"/>
    <w:rsid w:val="00F55030"/>
    <w:rsid w:val="00F636D6"/>
    <w:rsid w:val="00F63E70"/>
    <w:rsid w:val="00F66FFC"/>
    <w:rsid w:val="00F674AC"/>
    <w:rsid w:val="00F7696F"/>
    <w:rsid w:val="00F8209B"/>
    <w:rsid w:val="00F97CD9"/>
    <w:rsid w:val="00FA0576"/>
    <w:rsid w:val="00FB4C7F"/>
    <w:rsid w:val="00FB50B4"/>
    <w:rsid w:val="00FD4B97"/>
    <w:rsid w:val="00FE5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uiPriority="0"/>
    <w:lsdException w:name="footer" w:locked="0" w:uiPriority="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qFormat="1"/>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uiPriority="0"/>
    <w:lsdException w:name="No List" w:locked="0"/>
    <w:lsdException w:name="Outline List 3" w:locked="0"/>
    <w:lsdException w:name="Balloon Text" w:uiPriority="0"/>
    <w:lsdException w:name="Table Grid" w:locked="0" w:semiHidden="0" w:uiPriority="59" w:unhideWhenUsed="0"/>
    <w:lsdException w:name="Placeholder Text" w:locked="0"/>
    <w:lsdException w:name="No Spacing" w:locked="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D81B53"/>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15"/>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6"/>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aliases w:val="ACCC Table"/>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EndnoteText">
    <w:name w:val="endnote text"/>
    <w:basedOn w:val="Normal"/>
    <w:link w:val="EndnoteTextChar"/>
    <w:uiPriority w:val="99"/>
    <w:semiHidden/>
    <w:unhideWhenUsed/>
    <w:rsid w:val="00D20390"/>
    <w:pPr>
      <w:spacing w:after="0" w:line="240" w:lineRule="auto"/>
    </w:pPr>
  </w:style>
  <w:style w:type="character" w:customStyle="1" w:styleId="EndnoteTextChar">
    <w:name w:val="Endnote Text Char"/>
    <w:basedOn w:val="DefaultParagraphFont"/>
    <w:link w:val="EndnoteText"/>
    <w:uiPriority w:val="99"/>
    <w:semiHidden/>
    <w:rsid w:val="00D20390"/>
    <w:rPr>
      <w:lang w:eastAsia="en-US"/>
    </w:rPr>
  </w:style>
  <w:style w:type="character" w:styleId="EndnoteReference">
    <w:name w:val="endnote reference"/>
    <w:basedOn w:val="DefaultParagraphFont"/>
    <w:uiPriority w:val="99"/>
    <w:semiHidden/>
    <w:unhideWhenUsed/>
    <w:rsid w:val="00D20390"/>
    <w:rPr>
      <w:vertAlign w:val="superscript"/>
    </w:rPr>
  </w:style>
  <w:style w:type="paragraph" w:styleId="Title">
    <w:name w:val="Title"/>
    <w:next w:val="Subtitle"/>
    <w:link w:val="TitleChar"/>
    <w:uiPriority w:val="10"/>
    <w:qFormat/>
    <w:rsid w:val="00D85B90"/>
    <w:pPr>
      <w:spacing w:before="2400" w:after="1920"/>
      <w:jc w:val="center"/>
    </w:pPr>
    <w:rPr>
      <w:rFonts w:ascii="Arial" w:eastAsia="Times New Roman" w:hAnsi="Arial" w:cs="Arial"/>
      <w:b/>
      <w:bCs/>
      <w:kern w:val="28"/>
      <w:sz w:val="36"/>
      <w:szCs w:val="32"/>
      <w:lang w:eastAsia="en-US"/>
    </w:rPr>
  </w:style>
  <w:style w:type="character" w:customStyle="1" w:styleId="TitleChar">
    <w:name w:val="Title Char"/>
    <w:basedOn w:val="DefaultParagraphFont"/>
    <w:link w:val="Title"/>
    <w:uiPriority w:val="10"/>
    <w:rsid w:val="00D85B90"/>
    <w:rPr>
      <w:rFonts w:ascii="Arial" w:eastAsia="Times New Roman" w:hAnsi="Arial" w:cs="Arial"/>
      <w:b/>
      <w:bCs/>
      <w:kern w:val="28"/>
      <w:sz w:val="36"/>
      <w:szCs w:val="32"/>
      <w:lang w:eastAsia="en-US"/>
    </w:rPr>
  </w:style>
  <w:style w:type="paragraph" w:styleId="Subtitle">
    <w:name w:val="Subtitle"/>
    <w:link w:val="SubtitleChar"/>
    <w:uiPriority w:val="11"/>
    <w:qFormat/>
    <w:rsid w:val="00D85B90"/>
    <w:pPr>
      <w:spacing w:after="60"/>
      <w:jc w:val="center"/>
      <w:outlineLvl w:val="1"/>
    </w:pPr>
    <w:rPr>
      <w:rFonts w:ascii="Arial" w:eastAsia="Times New Roman" w:hAnsi="Arial" w:cs="Arial"/>
      <w:sz w:val="28"/>
      <w:szCs w:val="24"/>
      <w:lang w:eastAsia="en-US"/>
    </w:rPr>
  </w:style>
  <w:style w:type="character" w:customStyle="1" w:styleId="SubtitleChar">
    <w:name w:val="Subtitle Char"/>
    <w:basedOn w:val="DefaultParagraphFont"/>
    <w:link w:val="Subtitle"/>
    <w:uiPriority w:val="11"/>
    <w:rsid w:val="00D85B90"/>
    <w:rPr>
      <w:rFonts w:ascii="Arial" w:eastAsia="Times New Roman" w:hAnsi="Arial" w:cs="Arial"/>
      <w:sz w:val="28"/>
      <w:szCs w:val="24"/>
      <w:lang w:eastAsia="en-US"/>
    </w:rPr>
  </w:style>
  <w:style w:type="paragraph" w:styleId="Revision">
    <w:name w:val="Revision"/>
    <w:hidden/>
    <w:uiPriority w:val="99"/>
    <w:semiHidden/>
    <w:rsid w:val="00F674AC"/>
    <w:rPr>
      <w:rFonts w:eastAsia="Times New Roman"/>
      <w:szCs w:val="24"/>
    </w:rPr>
  </w:style>
  <w:style w:type="numbering" w:styleId="1ai">
    <w:name w:val="Outline List 1"/>
    <w:basedOn w:val="NoList"/>
    <w:uiPriority w:val="99"/>
    <w:semiHidden/>
    <w:unhideWhenUsed/>
    <w:locked/>
    <w:rsid w:val="00F674AC"/>
    <w:pPr>
      <w:numPr>
        <w:numId w:val="17"/>
      </w:numPr>
    </w:pPr>
  </w:style>
  <w:style w:type="paragraph" w:styleId="Quote">
    <w:name w:val="Quote"/>
    <w:basedOn w:val="Normal"/>
    <w:next w:val="Normal"/>
    <w:link w:val="QuoteChar"/>
    <w:uiPriority w:val="29"/>
    <w:qFormat/>
    <w:rsid w:val="00F674AC"/>
    <w:pPr>
      <w:spacing w:after="0" w:line="240" w:lineRule="auto"/>
      <w:jc w:val="left"/>
    </w:pPr>
    <w:rPr>
      <w:rFonts w:ascii="Times New Roman" w:eastAsia="Times New Roman" w:hAnsi="Times New Roman"/>
      <w:i/>
      <w:iCs/>
      <w:color w:val="000000"/>
      <w:sz w:val="24"/>
      <w:szCs w:val="24"/>
      <w:lang w:eastAsia="en-AU"/>
    </w:rPr>
  </w:style>
  <w:style w:type="character" w:customStyle="1" w:styleId="QuoteChar">
    <w:name w:val="Quote Char"/>
    <w:basedOn w:val="DefaultParagraphFont"/>
    <w:link w:val="Quote"/>
    <w:uiPriority w:val="29"/>
    <w:rsid w:val="00F674AC"/>
    <w:rPr>
      <w:rFonts w:ascii="Times New Roman" w:eastAsia="Times New Roman" w:hAnsi="Times New Roman"/>
      <w:i/>
      <w:iCs/>
      <w:color w:val="000000"/>
      <w:sz w:val="24"/>
      <w:szCs w:val="24"/>
    </w:rPr>
  </w:style>
  <w:style w:type="paragraph" w:styleId="NoSpacing">
    <w:name w:val="No Spacing"/>
    <w:uiPriority w:val="1"/>
    <w:qFormat/>
    <w:rsid w:val="00F674AC"/>
    <w:pPr>
      <w:jc w:val="both"/>
    </w:pPr>
    <w:rPr>
      <w:rFonts w:eastAsia="Times New Roman"/>
      <w:szCs w:val="24"/>
    </w:rPr>
  </w:style>
  <w:style w:type="character" w:styleId="FollowedHyperlink">
    <w:name w:val="FollowedHyperlink"/>
    <w:basedOn w:val="DefaultParagraphFont"/>
    <w:uiPriority w:val="99"/>
    <w:semiHidden/>
    <w:unhideWhenUsed/>
    <w:rsid w:val="00F674AC"/>
    <w:rPr>
      <w:color w:val="800080"/>
      <w:u w:val="single"/>
    </w:rPr>
  </w:style>
  <w:style w:type="paragraph" w:styleId="DocumentMap">
    <w:name w:val="Document Map"/>
    <w:basedOn w:val="Normal"/>
    <w:link w:val="DocumentMapChar"/>
    <w:uiPriority w:val="99"/>
    <w:semiHidden/>
    <w:unhideWhenUsed/>
    <w:rsid w:val="00F674AC"/>
    <w:pPr>
      <w:spacing w:after="0" w:line="240" w:lineRule="auto"/>
      <w:jc w:val="left"/>
    </w:pPr>
    <w:rPr>
      <w:rFonts w:ascii="Tahoma" w:eastAsia="Times New Roman" w:hAnsi="Tahoma" w:cs="Tahoma"/>
      <w:sz w:val="16"/>
      <w:szCs w:val="16"/>
      <w:lang w:eastAsia="en-AU"/>
    </w:rPr>
  </w:style>
  <w:style w:type="character" w:customStyle="1" w:styleId="DocumentMapChar">
    <w:name w:val="Document Map Char"/>
    <w:basedOn w:val="DefaultParagraphFont"/>
    <w:link w:val="DocumentMap"/>
    <w:uiPriority w:val="99"/>
    <w:semiHidden/>
    <w:rsid w:val="00F674AC"/>
    <w:rPr>
      <w:rFonts w:ascii="Tahoma" w:eastAsia="Times New Roman" w:hAnsi="Tahoma" w:cs="Tahoma"/>
      <w:sz w:val="16"/>
      <w:szCs w:val="16"/>
    </w:rPr>
  </w:style>
  <w:style w:type="paragraph" w:styleId="ListBullet">
    <w:name w:val="List Bullet"/>
    <w:basedOn w:val="Normal"/>
    <w:uiPriority w:val="99"/>
    <w:semiHidden/>
    <w:unhideWhenUsed/>
    <w:locked/>
    <w:rsid w:val="00F674AC"/>
    <w:pPr>
      <w:tabs>
        <w:tab w:val="num" w:pos="0"/>
      </w:tabs>
      <w:spacing w:after="0" w:line="240" w:lineRule="auto"/>
      <w:contextualSpacing/>
      <w:jc w:val="left"/>
    </w:pPr>
    <w:rPr>
      <w:rFonts w:ascii="Times New Roman" w:eastAsia="Times New Roman" w:hAnsi="Times New Roman"/>
      <w:sz w:val="24"/>
      <w:szCs w:val="24"/>
      <w:lang w:eastAsia="en-AU"/>
    </w:rPr>
  </w:style>
  <w:style w:type="character" w:styleId="IntenseReference">
    <w:name w:val="Intense Reference"/>
    <w:uiPriority w:val="32"/>
    <w:qFormat/>
    <w:rsid w:val="00F674AC"/>
    <w:rPr>
      <w:smallCaps/>
      <w:spacing w:val="5"/>
      <w:u w:val="single"/>
    </w:rPr>
  </w:style>
  <w:style w:type="character" w:styleId="PlaceholderText">
    <w:name w:val="Placeholder Text"/>
    <w:basedOn w:val="DefaultParagraphFont"/>
    <w:uiPriority w:val="99"/>
    <w:unhideWhenUsed/>
    <w:rsid w:val="00F674A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
      </w:numPr>
    </w:pPr>
  </w:style>
  <w:style w:type="numbering" w:customStyle="1" w:styleId="Heading1Char">
    <w:name w:val="OldAERheadings"/>
    <w:pPr>
      <w:numPr>
        <w:numId w:val="7"/>
      </w:numPr>
    </w:pPr>
  </w:style>
  <w:style w:type="numbering" w:customStyle="1" w:styleId="Heading2Char">
    <w:name w:val="AERnumberedlist"/>
    <w:pPr>
      <w:numPr>
        <w:numId w:val="6"/>
      </w:numPr>
    </w:pPr>
  </w:style>
  <w:style w:type="numbering" w:customStyle="1" w:styleId="Heading3Char">
    <w:name w:val="1ai"/>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54520">
      <w:bodyDiv w:val="1"/>
      <w:marLeft w:val="0"/>
      <w:marRight w:val="0"/>
      <w:marTop w:val="0"/>
      <w:marBottom w:val="0"/>
      <w:divBdr>
        <w:top w:val="none" w:sz="0" w:space="0" w:color="auto"/>
        <w:left w:val="none" w:sz="0" w:space="0" w:color="auto"/>
        <w:bottom w:val="none" w:sz="0" w:space="0" w:color="auto"/>
        <w:right w:val="none" w:sz="0" w:space="0" w:color="auto"/>
      </w:divBdr>
    </w:div>
    <w:div w:id="306857222">
      <w:bodyDiv w:val="1"/>
      <w:marLeft w:val="0"/>
      <w:marRight w:val="0"/>
      <w:marTop w:val="0"/>
      <w:marBottom w:val="0"/>
      <w:divBdr>
        <w:top w:val="none" w:sz="0" w:space="0" w:color="auto"/>
        <w:left w:val="none" w:sz="0" w:space="0" w:color="auto"/>
        <w:bottom w:val="none" w:sz="0" w:space="0" w:color="auto"/>
        <w:right w:val="none" w:sz="0" w:space="0" w:color="auto"/>
      </w:divBdr>
    </w:div>
    <w:div w:id="741605736">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361979677">
      <w:bodyDiv w:val="1"/>
      <w:marLeft w:val="0"/>
      <w:marRight w:val="0"/>
      <w:marTop w:val="0"/>
      <w:marBottom w:val="0"/>
      <w:divBdr>
        <w:top w:val="none" w:sz="0" w:space="0" w:color="auto"/>
        <w:left w:val="none" w:sz="0" w:space="0" w:color="auto"/>
        <w:bottom w:val="none" w:sz="0" w:space="0" w:color="auto"/>
        <w:right w:val="none" w:sz="0" w:space="0" w:color="auto"/>
      </w:divBdr>
    </w:div>
    <w:div w:id="1540052541">
      <w:bodyDiv w:val="1"/>
      <w:marLeft w:val="0"/>
      <w:marRight w:val="0"/>
      <w:marTop w:val="0"/>
      <w:marBottom w:val="0"/>
      <w:divBdr>
        <w:top w:val="none" w:sz="0" w:space="0" w:color="auto"/>
        <w:left w:val="none" w:sz="0" w:space="0" w:color="auto"/>
        <w:bottom w:val="none" w:sz="0" w:space="0" w:color="auto"/>
        <w:right w:val="none" w:sz="0" w:space="0" w:color="auto"/>
      </w:divBdr>
    </w:div>
    <w:div w:id="201965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FA9E4AB2.dotm</Template>
  <TotalTime>0</TotalTime>
  <Pages>18</Pages>
  <Words>4683</Words>
  <Characters>26694</Characters>
  <Application>Microsoft Office Word</Application>
  <DocSecurity>0</DocSecurity>
  <Lines>222</Lines>
  <Paragraphs>62</Paragraphs>
  <ScaleCrop>false</ScaleCrop>
  <Company/>
  <LinksUpToDate>false</LinksUpToDate>
  <CharactersWithSpaces>31315</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2014-11-26T04:04:00Z</dcterms:created>
  <dcterms:modified xsi:type="dcterms:W3CDTF">2014-11-26T04:05:00Z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8308278</vt:lpwstr>
  </property>
</Properties>
</file>