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EBE" w:rsidRDefault="00300EBE" w:rsidP="00300EBE">
      <w:pPr>
        <w:pStyle w:val="AERtitle1"/>
      </w:pPr>
      <w:bookmarkStart w:id="0" w:name="_Toc396744615"/>
      <w:bookmarkStart w:id="1" w:name="_GoBack"/>
      <w:bookmarkEnd w:id="1"/>
      <w:r w:rsidRPr="00300EBE">
        <w:rPr>
          <w:noProof/>
        </w:rPr>
        <w:drawing>
          <wp:anchor distT="0" distB="0" distL="114300" distR="114300" simplePos="0" relativeHeight="251659264" behindDoc="1" locked="0" layoutInCell="1" allowOverlap="1" wp14:anchorId="21996A7A" wp14:editId="15969540">
            <wp:simplePos x="0" y="0"/>
            <wp:positionH relativeFrom="column">
              <wp:posOffset>-948513</wp:posOffset>
            </wp:positionH>
            <wp:positionV relativeFrom="paragraph">
              <wp:posOffset>-946298</wp:posOffset>
            </wp:positionV>
            <wp:extent cx="7657657" cy="10792047"/>
            <wp:effectExtent l="19050" t="0" r="443" b="0"/>
            <wp:wrapNone/>
            <wp:docPr id="40" name="Picture 2" descr="AER-draft-br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draft-brown"/>
                    <pic:cNvPicPr>
                      <a:picLocks noChangeAspect="1" noChangeArrowheads="1"/>
                    </pic:cNvPicPr>
                  </pic:nvPicPr>
                  <pic:blipFill>
                    <a:blip r:embed="rId8" cstate="print"/>
                    <a:srcRect/>
                    <a:stretch>
                      <a:fillRect/>
                    </a:stretch>
                  </pic:blipFill>
                  <pic:spPr bwMode="auto">
                    <a:xfrm>
                      <a:off x="0" y="0"/>
                      <a:ext cx="7657657" cy="10792047"/>
                    </a:xfrm>
                    <a:prstGeom prst="rect">
                      <a:avLst/>
                    </a:prstGeom>
                    <a:noFill/>
                    <a:ln w="9525">
                      <a:noFill/>
                      <a:miter lim="800000"/>
                      <a:headEnd/>
                      <a:tailEnd/>
                    </a:ln>
                  </pic:spPr>
                </pic:pic>
              </a:graphicData>
            </a:graphic>
          </wp:anchor>
        </w:drawing>
      </w:r>
    </w:p>
    <w:p w:rsidR="00300EBE" w:rsidRDefault="00300EBE" w:rsidP="00300EBE">
      <w:pPr>
        <w:pStyle w:val="AERtitle1"/>
      </w:pPr>
    </w:p>
    <w:p w:rsidR="00300EBE" w:rsidRDefault="00300EBE" w:rsidP="00300EBE">
      <w:pPr>
        <w:pStyle w:val="AERtitle1"/>
      </w:pPr>
    </w:p>
    <w:p w:rsidR="00300EBE" w:rsidRDefault="00300EBE" w:rsidP="00300EBE">
      <w:pPr>
        <w:pStyle w:val="AERtitle1"/>
      </w:pPr>
    </w:p>
    <w:p w:rsidR="00300EBE" w:rsidRDefault="00300EBE" w:rsidP="00300EBE">
      <w:pPr>
        <w:pStyle w:val="AERtitle1"/>
      </w:pPr>
    </w:p>
    <w:p w:rsidR="00300EBE" w:rsidRDefault="00300EBE" w:rsidP="00300EBE">
      <w:pPr>
        <w:pStyle w:val="AERtitle1"/>
      </w:pPr>
      <w:r>
        <w:t>Draft decision</w:t>
      </w:r>
    </w:p>
    <w:p w:rsidR="00300EBE" w:rsidRDefault="00300EBE" w:rsidP="00300EBE">
      <w:pPr>
        <w:pStyle w:val="AERtitle1"/>
      </w:pPr>
      <w:r>
        <w:t>Jemena Gas Networks</w:t>
      </w:r>
      <w:r w:rsidR="00CF5788">
        <w:t xml:space="preserve"> (NSW) Ltd</w:t>
      </w:r>
    </w:p>
    <w:p w:rsidR="00300EBE" w:rsidRPr="00357921" w:rsidRDefault="00300EBE" w:rsidP="00300EBE">
      <w:pPr>
        <w:pStyle w:val="AERtitle1"/>
      </w:pPr>
      <w:r w:rsidRPr="00357921">
        <w:t>Access arrangement 2015-2020</w:t>
      </w:r>
    </w:p>
    <w:p w:rsidR="00300EBE" w:rsidRDefault="00300EBE" w:rsidP="00300EBE">
      <w:pPr>
        <w:pStyle w:val="AERtitle1"/>
      </w:pPr>
    </w:p>
    <w:p w:rsidR="00300EBE" w:rsidRDefault="00300EBE" w:rsidP="00300EBE">
      <w:pPr>
        <w:pStyle w:val="AERtitle1"/>
      </w:pPr>
      <w:r>
        <w:t>Attachment 13 - Demand</w:t>
      </w:r>
    </w:p>
    <w:p w:rsidR="00300EBE" w:rsidRDefault="00300EBE" w:rsidP="00300EBE">
      <w:pPr>
        <w:pStyle w:val="AERtitle1"/>
      </w:pPr>
    </w:p>
    <w:p w:rsidR="00300EBE" w:rsidRDefault="00300EBE" w:rsidP="00300EBE">
      <w:pPr>
        <w:pStyle w:val="AERtitle1"/>
      </w:pPr>
    </w:p>
    <w:p w:rsidR="00300EBE" w:rsidRDefault="00300EBE" w:rsidP="00300EBE"/>
    <w:p w:rsidR="00300EBE" w:rsidRPr="00300EBE" w:rsidRDefault="00300EBE" w:rsidP="00300EBE">
      <w:pPr>
        <w:pStyle w:val="AERtitle2"/>
      </w:pPr>
      <w:r>
        <w:t>November 2014</w:t>
      </w:r>
    </w:p>
    <w:p w:rsidR="00300EBE" w:rsidRPr="00F6235D" w:rsidRDefault="00300EBE" w:rsidP="00300EBE">
      <w:r w:rsidRPr="00F6235D">
        <w:t xml:space="preserve"> </w:t>
      </w:r>
    </w:p>
    <w:p w:rsidR="00300EBE" w:rsidRPr="00EF0E19" w:rsidRDefault="00300EBE" w:rsidP="00300EBE">
      <w:pPr>
        <w:rPr>
          <w:rStyle w:val="AERtextbold"/>
        </w:rPr>
      </w:pPr>
      <w:r>
        <w:rPr>
          <w:rStyle w:val="AERtextbold"/>
        </w:rPr>
        <w:br w:type="page"/>
      </w:r>
    </w:p>
    <w:p w:rsidR="00300EBE" w:rsidRPr="008F1A4A" w:rsidRDefault="00300EBE" w:rsidP="00300EBE">
      <w:pPr>
        <w:pStyle w:val="AERbodytextnospace"/>
        <w:rPr>
          <w:rStyle w:val="AERtextbold"/>
        </w:rPr>
      </w:pPr>
      <w:r w:rsidRPr="008F1A4A">
        <w:rPr>
          <w:rStyle w:val="AERtextbold"/>
        </w:rPr>
        <w:lastRenderedPageBreak/>
        <w:t>© Commonwealth of Australia 201</w:t>
      </w:r>
      <w:r>
        <w:rPr>
          <w:rStyle w:val="AERtextbold"/>
        </w:rPr>
        <w:t>4</w:t>
      </w:r>
    </w:p>
    <w:p w:rsidR="00300EBE" w:rsidRDefault="00300EBE" w:rsidP="00300EBE">
      <w:r w:rsidRPr="00F6235D">
        <w:t xml:space="preserve">This work is copyright. Apart from any use permitted by the Copyright Act 1968, </w:t>
      </w:r>
      <w:r w:rsidRPr="008E43EB">
        <w:t>all material contained within this work is provided under a Creative Commons Attribution 3.0 Australia licence</w:t>
      </w:r>
      <w:r>
        <w:t xml:space="preserve"> </w:t>
      </w:r>
      <w:r w:rsidRPr="008E43EB">
        <w:t>with the exception of:</w:t>
      </w:r>
    </w:p>
    <w:p w:rsidR="00300EBE" w:rsidRDefault="00300EBE" w:rsidP="00300EBE">
      <w:pPr>
        <w:pStyle w:val="AERbulletlistsecondstyle"/>
      </w:pPr>
      <w:r>
        <w:t>Commonwealth Coat of Arms</w:t>
      </w:r>
    </w:p>
    <w:p w:rsidR="00300EBE" w:rsidRDefault="00300EBE" w:rsidP="00300EBE">
      <w:pPr>
        <w:pStyle w:val="AERbulletlistsecondstyle"/>
      </w:pPr>
      <w:r>
        <w:t>the ACCC and AER logos</w:t>
      </w:r>
    </w:p>
    <w:p w:rsidR="00300EBE" w:rsidRPr="008E43EB" w:rsidRDefault="00300EBE" w:rsidP="00300EBE">
      <w:pPr>
        <w:pStyle w:val="AERbulletlistsecondstyle"/>
      </w:pPr>
      <w:r w:rsidRPr="008E43EB">
        <w:t>any illustration, diagram, photograph or graphic over which the Australian Competition and Consumer Commission does not hold copyright, but which may be part of or contained within this publication</w:t>
      </w:r>
    </w:p>
    <w:p w:rsidR="00300EBE" w:rsidRPr="008E43EB" w:rsidRDefault="00300EBE" w:rsidP="00300EBE">
      <w:pPr>
        <w:pStyle w:val="AERbodytext"/>
      </w:pPr>
      <w:r w:rsidRPr="008E43EB">
        <w:t>The details of the relevant licence conditions are available on the Creative Commons website, as is the full legal code for the CC BY 3.0 AU licence.</w:t>
      </w:r>
    </w:p>
    <w:p w:rsidR="00300EBE" w:rsidRPr="008E43EB" w:rsidRDefault="00300EBE" w:rsidP="00300EBE">
      <w:pPr>
        <w:pStyle w:val="AERbodytext"/>
      </w:pPr>
      <w:r w:rsidRPr="008E43EB">
        <w:t xml:space="preserve">Requests and inquiries concerning reproduction and rights should be addressed to the Director, Corporate Communications, ACCC, GPO Box 3131, Canberra ACT 2601, or </w:t>
      </w:r>
      <w:hyperlink r:id="rId9" w:history="1">
        <w:r w:rsidRPr="008E43EB">
          <w:rPr>
            <w:rStyle w:val="Hyperlink"/>
          </w:rPr>
          <w:t>publishing.unit@accc.gov.au</w:t>
        </w:r>
      </w:hyperlink>
      <w:r w:rsidRPr="008E43EB">
        <w:t xml:space="preserve"> .</w:t>
      </w:r>
    </w:p>
    <w:p w:rsidR="00300EBE" w:rsidRDefault="00300EBE" w:rsidP="00300EBE">
      <w:pPr>
        <w:pStyle w:val="AERbodytext"/>
      </w:pPr>
      <w:r w:rsidRPr="008E43EB">
        <w:t>Inquiries about this decision should be addressed to:</w:t>
      </w:r>
    </w:p>
    <w:p w:rsidR="00300EBE" w:rsidRPr="00300EBE" w:rsidRDefault="00300EBE" w:rsidP="00300EBE">
      <w:pPr>
        <w:pStyle w:val="AERbodytext"/>
      </w:pPr>
      <w:r>
        <w:t>Australian Energy Regulator</w:t>
      </w:r>
    </w:p>
    <w:p w:rsidR="00300EBE" w:rsidRDefault="00300EBE" w:rsidP="00300EBE">
      <w:pPr>
        <w:pStyle w:val="AERbodytextnospace"/>
      </w:pPr>
      <w:r>
        <w:t>GPO Box 520</w:t>
      </w:r>
    </w:p>
    <w:p w:rsidR="00300EBE" w:rsidRDefault="00300EBE" w:rsidP="00300EBE">
      <w:pPr>
        <w:pStyle w:val="AERbodytextnospace"/>
      </w:pPr>
      <w:r>
        <w:t>Melbourne  Vic  3001</w:t>
      </w:r>
    </w:p>
    <w:p w:rsidR="00300EBE" w:rsidRDefault="00300EBE" w:rsidP="00300EBE">
      <w:pPr>
        <w:pStyle w:val="AERbodytextnospace"/>
      </w:pPr>
      <w:r>
        <w:t>Tel: (03) 9290 1444</w:t>
      </w:r>
    </w:p>
    <w:p w:rsidR="00300EBE" w:rsidRDefault="00300EBE" w:rsidP="00300EBE">
      <w:pPr>
        <w:pStyle w:val="AERbodytextnospace"/>
      </w:pPr>
      <w:r>
        <w:t>Fax: (03) 9290 1457</w:t>
      </w:r>
    </w:p>
    <w:p w:rsidR="00300EBE" w:rsidRDefault="00300EBE" w:rsidP="00300EBE">
      <w:pPr>
        <w:pStyle w:val="AERbodytextnospace"/>
      </w:pPr>
      <w:r>
        <w:t xml:space="preserve">Email: </w:t>
      </w:r>
      <w:hyperlink r:id="rId10" w:history="1">
        <w:r w:rsidRPr="003E184A">
          <w:rPr>
            <w:rStyle w:val="Hyperlink"/>
          </w:rPr>
          <w:t>AERInquiry@aer.gov.au</w:t>
        </w:r>
      </w:hyperlink>
    </w:p>
    <w:p w:rsidR="00300EBE" w:rsidRPr="008F1A4A" w:rsidRDefault="00300EBE" w:rsidP="00300EBE"/>
    <w:p w:rsidR="00300EBE" w:rsidRDefault="00300EBE" w:rsidP="00300EBE">
      <w:r>
        <w:t xml:space="preserve">AER reference:   </w:t>
      </w:r>
      <w:r w:rsidR="00CF5788">
        <w:t>51741</w:t>
      </w:r>
    </w:p>
    <w:p w:rsidR="00300EBE" w:rsidRDefault="00300EBE" w:rsidP="00300EBE">
      <w:pPr>
        <w:pStyle w:val="AERbodytext"/>
      </w:pPr>
    </w:p>
    <w:p w:rsidR="00300EBE" w:rsidRDefault="00300EBE" w:rsidP="00300EBE">
      <w:pPr>
        <w:pStyle w:val="AERbodytext"/>
      </w:pPr>
    </w:p>
    <w:p w:rsidR="00300EBE" w:rsidRDefault="00300EBE" w:rsidP="00300EBE">
      <w:pPr>
        <w:pStyle w:val="AERbodytext"/>
      </w:pPr>
    </w:p>
    <w:p w:rsidR="00300EBE" w:rsidRDefault="00300EBE" w:rsidP="00300EBE">
      <w:pPr>
        <w:pStyle w:val="AERbodytext"/>
      </w:pPr>
    </w:p>
    <w:p w:rsidR="00300EBE" w:rsidRDefault="00300EBE" w:rsidP="00300EBE">
      <w:pPr>
        <w:pStyle w:val="AERbodytext"/>
      </w:pPr>
    </w:p>
    <w:p w:rsidR="00300EBE" w:rsidRDefault="00300EBE" w:rsidP="00300EBE">
      <w:pPr>
        <w:pStyle w:val="AERbodytext"/>
      </w:pPr>
    </w:p>
    <w:p w:rsidR="00300EBE" w:rsidRDefault="00300EBE" w:rsidP="00300EBE">
      <w:pPr>
        <w:pStyle w:val="AERbodytext"/>
      </w:pPr>
    </w:p>
    <w:p w:rsidR="00300EBE" w:rsidRDefault="00300EBE" w:rsidP="00300EBE">
      <w:pPr>
        <w:pStyle w:val="AERbodytext"/>
      </w:pPr>
    </w:p>
    <w:p w:rsidR="00300EBE" w:rsidRDefault="00300EBE" w:rsidP="00300EBE">
      <w:pPr>
        <w:pStyle w:val="AERbodytext"/>
      </w:pPr>
    </w:p>
    <w:p w:rsidR="00300EBE" w:rsidRPr="00300EBE" w:rsidRDefault="00300EBE" w:rsidP="00300EBE">
      <w:r>
        <w:br w:type="page"/>
      </w:r>
    </w:p>
    <w:p w:rsidR="00300EBE" w:rsidRPr="00627323" w:rsidRDefault="00300EBE" w:rsidP="00300EBE">
      <w:pPr>
        <w:pStyle w:val="UnnumberedHeading"/>
        <w:numPr>
          <w:ilvl w:val="0"/>
          <w:numId w:val="1"/>
        </w:numPr>
        <w:rPr>
          <w:rStyle w:val="AERtextblue"/>
        </w:rPr>
      </w:pPr>
      <w:bookmarkStart w:id="2" w:name="_Toc404152781"/>
      <w:bookmarkStart w:id="3" w:name="_Toc404254563"/>
      <w:bookmarkStart w:id="4" w:name="_Toc404613555"/>
      <w:r w:rsidRPr="00300EBE">
        <w:rPr>
          <w:rStyle w:val="AERtextblue"/>
        </w:rPr>
        <w:lastRenderedPageBreak/>
        <w:t>Note</w:t>
      </w:r>
      <w:bookmarkEnd w:id="2"/>
      <w:bookmarkEnd w:id="3"/>
      <w:bookmarkEnd w:id="4"/>
    </w:p>
    <w:p w:rsidR="00300EBE" w:rsidRDefault="00300EBE" w:rsidP="00300EBE">
      <w:r>
        <w:t>This attachment forms part of the AER's draft decision on Jemena Gas Networks</w:t>
      </w:r>
      <w:r w:rsidR="004F3C24">
        <w:t>’</w:t>
      </w:r>
      <w:r>
        <w:t xml:space="preserve"> 2015–20 access arrangement. It should be read with other parts of the draft decision.</w:t>
      </w:r>
    </w:p>
    <w:p w:rsidR="00300EBE" w:rsidRDefault="00300EBE" w:rsidP="00300EBE">
      <w:r>
        <w:t>The draft decision includes the following documents:</w:t>
      </w:r>
    </w:p>
    <w:p w:rsidR="00300EBE" w:rsidRDefault="00300EBE" w:rsidP="00300EBE">
      <w:r>
        <w:t>Overview</w:t>
      </w:r>
    </w:p>
    <w:p w:rsidR="00300EBE" w:rsidRDefault="00300EBE" w:rsidP="00300EBE">
      <w:r>
        <w:t>Attachment 1 – services covered by the access arrangement</w:t>
      </w:r>
    </w:p>
    <w:p w:rsidR="00300EBE" w:rsidRDefault="00300EBE" w:rsidP="00300EBE">
      <w:r>
        <w:t>Attachment 2 – capital base</w:t>
      </w:r>
    </w:p>
    <w:p w:rsidR="00300EBE" w:rsidRDefault="00300EBE" w:rsidP="00300EBE">
      <w:r>
        <w:t>Attachment 3 – rate of return</w:t>
      </w:r>
    </w:p>
    <w:p w:rsidR="00300EBE" w:rsidRDefault="00300EBE" w:rsidP="00300EBE">
      <w:r>
        <w:t>Attachment 4 – value of imputation credits</w:t>
      </w:r>
    </w:p>
    <w:p w:rsidR="00300EBE" w:rsidRDefault="00300EBE" w:rsidP="00300EBE">
      <w:r>
        <w:t>Attachment 5 – regulatory depreciation</w:t>
      </w:r>
    </w:p>
    <w:p w:rsidR="00300EBE" w:rsidRDefault="00300EBE" w:rsidP="00300EBE">
      <w:r>
        <w:t>Attachment 6 – capital expenditure</w:t>
      </w:r>
      <w:r w:rsidRPr="0012445F">
        <w:t xml:space="preserve"> </w:t>
      </w:r>
    </w:p>
    <w:p w:rsidR="00300EBE" w:rsidRDefault="00300EBE" w:rsidP="00300EBE">
      <w:r>
        <w:t>Attachment 7 – operating expenditure</w:t>
      </w:r>
    </w:p>
    <w:p w:rsidR="00300EBE" w:rsidRDefault="00300EBE" w:rsidP="00300EBE">
      <w:r>
        <w:t>Attachment 8 – corporate income tax</w:t>
      </w:r>
    </w:p>
    <w:p w:rsidR="004F3C24" w:rsidRDefault="004F3C24" w:rsidP="004F3C24">
      <w:r>
        <w:t>Attachment 9 – efficiency carryover mechanism</w:t>
      </w:r>
    </w:p>
    <w:p w:rsidR="00300EBE" w:rsidRDefault="00300EBE" w:rsidP="00300EBE">
      <w:r w:rsidRPr="00DF268E">
        <w:t xml:space="preserve">Attachment </w:t>
      </w:r>
      <w:r>
        <w:t>10</w:t>
      </w:r>
      <w:r w:rsidRPr="00DF268E">
        <w:t xml:space="preserve"> –</w:t>
      </w:r>
      <w:r>
        <w:t xml:space="preserve"> reference tariff setting</w:t>
      </w:r>
    </w:p>
    <w:p w:rsidR="00300EBE" w:rsidRDefault="00300EBE" w:rsidP="00300EBE">
      <w:r w:rsidRPr="00DF268E">
        <w:t>Attachment 1</w:t>
      </w:r>
      <w:r>
        <w:t>1 – reference tariff variation mechanism</w:t>
      </w:r>
    </w:p>
    <w:p w:rsidR="00300EBE" w:rsidRDefault="00300EBE" w:rsidP="00300EBE">
      <w:r w:rsidRPr="00DF268E">
        <w:t>Attachment 1</w:t>
      </w:r>
      <w:r>
        <w:t>2</w:t>
      </w:r>
      <w:r w:rsidRPr="00DF268E">
        <w:t xml:space="preserve"> –</w:t>
      </w:r>
      <w:r>
        <w:t xml:space="preserve"> non-tariff components</w:t>
      </w:r>
    </w:p>
    <w:p w:rsidR="00300EBE" w:rsidRDefault="00300EBE" w:rsidP="00162B38">
      <w:r>
        <w:t>Attachment 13 – demand</w:t>
      </w:r>
    </w:p>
    <w:p w:rsidR="00300EBE" w:rsidRDefault="00300EBE" w:rsidP="00300EBE">
      <w:pPr>
        <w:pStyle w:val="AERbodytext"/>
      </w:pPr>
    </w:p>
    <w:p w:rsidR="00300EBE" w:rsidRDefault="00300EBE" w:rsidP="00300EBE">
      <w:pPr>
        <w:pStyle w:val="AERbodytext"/>
      </w:pPr>
    </w:p>
    <w:p w:rsidR="00300EBE" w:rsidRDefault="00300EBE" w:rsidP="00300EBE">
      <w:pPr>
        <w:pStyle w:val="AERbodytext"/>
      </w:pPr>
    </w:p>
    <w:p w:rsidR="00300EBE" w:rsidRDefault="00300EBE" w:rsidP="00300EBE">
      <w:pPr>
        <w:pStyle w:val="AERbodytext"/>
      </w:pPr>
    </w:p>
    <w:p w:rsidR="00300EBE" w:rsidRDefault="00300EBE" w:rsidP="00300EBE">
      <w:pPr>
        <w:pStyle w:val="UnnumberedHeading"/>
        <w:numPr>
          <w:ilvl w:val="0"/>
          <w:numId w:val="1"/>
        </w:numPr>
      </w:pPr>
      <w:bookmarkStart w:id="5" w:name="_Toc404613556"/>
      <w:r>
        <w:lastRenderedPageBreak/>
        <w:t>Contents</w:t>
      </w:r>
      <w:bookmarkEnd w:id="5"/>
    </w:p>
    <w:sdt>
      <w:sdtPr>
        <w:rPr>
          <w:rFonts w:ascii="Gautami" w:eastAsia="Calibri" w:hAnsi="Gautami"/>
          <w:b w:val="0"/>
          <w:bCs w:val="0"/>
          <w:color w:val="auto"/>
          <w:sz w:val="20"/>
          <w:szCs w:val="20"/>
          <w:lang w:val="en-AU"/>
        </w:rPr>
        <w:id w:val="2131349066"/>
        <w:docPartObj>
          <w:docPartGallery w:val="Table of Contents"/>
          <w:docPartUnique/>
        </w:docPartObj>
      </w:sdtPr>
      <w:sdtEndPr/>
      <w:sdtContent>
        <w:p w:rsidR="00300EBE" w:rsidRPr="0084378B" w:rsidRDefault="00300EBE" w:rsidP="00300EBE">
          <w:pPr>
            <w:pStyle w:val="TOCHeading"/>
          </w:pPr>
        </w:p>
        <w:p w:rsidR="004F3C24" w:rsidRDefault="00300EBE">
          <w:pPr>
            <w:pStyle w:val="TOC1"/>
            <w:tabs>
              <w:tab w:val="right" w:leader="dot" w:pos="9016"/>
            </w:tabs>
            <w:rPr>
              <w:rFonts w:asciiTheme="minorHAnsi" w:eastAsiaTheme="minorEastAsia" w:hAnsiTheme="minorHAnsi" w:cstheme="minorBidi"/>
              <w:b w:val="0"/>
              <w:bCs w:val="0"/>
              <w:noProof/>
              <w:sz w:val="22"/>
              <w:szCs w:val="22"/>
              <w:lang w:eastAsia="en-AU"/>
            </w:rPr>
          </w:pPr>
          <w:r w:rsidRPr="0084378B">
            <w:fldChar w:fldCharType="begin"/>
          </w:r>
          <w:r w:rsidRPr="00300EBE">
            <w:instrText xml:space="preserve"> TOC \o "1-3" \h \z \u </w:instrText>
          </w:r>
          <w:r w:rsidRPr="0084378B">
            <w:fldChar w:fldCharType="separate"/>
          </w:r>
          <w:hyperlink w:anchor="_Toc404613555" w:history="1">
            <w:r w:rsidR="004F3C24" w:rsidRPr="00E7506A">
              <w:rPr>
                <w:rStyle w:val="Hyperlink"/>
                <w:noProof/>
              </w:rPr>
              <w:t>Note</w:t>
            </w:r>
            <w:r w:rsidR="004F3C24">
              <w:rPr>
                <w:noProof/>
                <w:webHidden/>
              </w:rPr>
              <w:tab/>
            </w:r>
            <w:r w:rsidR="004F3C24">
              <w:rPr>
                <w:noProof/>
                <w:webHidden/>
              </w:rPr>
              <w:fldChar w:fldCharType="begin"/>
            </w:r>
            <w:r w:rsidR="004F3C24">
              <w:rPr>
                <w:noProof/>
                <w:webHidden/>
              </w:rPr>
              <w:instrText xml:space="preserve"> PAGEREF _Toc404613555 \h </w:instrText>
            </w:r>
            <w:r w:rsidR="004F3C24">
              <w:rPr>
                <w:noProof/>
                <w:webHidden/>
              </w:rPr>
            </w:r>
            <w:r w:rsidR="004F3C24">
              <w:rPr>
                <w:noProof/>
                <w:webHidden/>
              </w:rPr>
              <w:fldChar w:fldCharType="separate"/>
            </w:r>
            <w:r w:rsidR="004F3C24">
              <w:rPr>
                <w:noProof/>
                <w:webHidden/>
              </w:rPr>
              <w:t>13-3</w:t>
            </w:r>
            <w:r w:rsidR="004F3C24">
              <w:rPr>
                <w:noProof/>
                <w:webHidden/>
              </w:rPr>
              <w:fldChar w:fldCharType="end"/>
            </w:r>
          </w:hyperlink>
        </w:p>
        <w:p w:rsidR="004F3C24" w:rsidRDefault="00DF296E">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613556" w:history="1">
            <w:r w:rsidR="004F3C24" w:rsidRPr="00E7506A">
              <w:rPr>
                <w:rStyle w:val="Hyperlink"/>
                <w:noProof/>
              </w:rPr>
              <w:t>Contents</w:t>
            </w:r>
            <w:r w:rsidR="004F3C24">
              <w:rPr>
                <w:noProof/>
                <w:webHidden/>
              </w:rPr>
              <w:tab/>
            </w:r>
            <w:r w:rsidR="004F3C24">
              <w:rPr>
                <w:noProof/>
                <w:webHidden/>
              </w:rPr>
              <w:fldChar w:fldCharType="begin"/>
            </w:r>
            <w:r w:rsidR="004F3C24">
              <w:rPr>
                <w:noProof/>
                <w:webHidden/>
              </w:rPr>
              <w:instrText xml:space="preserve"> PAGEREF _Toc404613556 \h </w:instrText>
            </w:r>
            <w:r w:rsidR="004F3C24">
              <w:rPr>
                <w:noProof/>
                <w:webHidden/>
              </w:rPr>
            </w:r>
            <w:r w:rsidR="004F3C24">
              <w:rPr>
                <w:noProof/>
                <w:webHidden/>
              </w:rPr>
              <w:fldChar w:fldCharType="separate"/>
            </w:r>
            <w:r w:rsidR="004F3C24">
              <w:rPr>
                <w:noProof/>
                <w:webHidden/>
              </w:rPr>
              <w:t>13-4</w:t>
            </w:r>
            <w:r w:rsidR="004F3C24">
              <w:rPr>
                <w:noProof/>
                <w:webHidden/>
              </w:rPr>
              <w:fldChar w:fldCharType="end"/>
            </w:r>
          </w:hyperlink>
        </w:p>
        <w:p w:rsidR="004F3C24" w:rsidRDefault="00DF296E">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613557" w:history="1">
            <w:r w:rsidR="004F3C24" w:rsidRPr="00E7506A">
              <w:rPr>
                <w:rStyle w:val="Hyperlink"/>
                <w:noProof/>
              </w:rPr>
              <w:t>Shortened forms</w:t>
            </w:r>
            <w:r w:rsidR="004F3C24">
              <w:rPr>
                <w:noProof/>
                <w:webHidden/>
              </w:rPr>
              <w:tab/>
            </w:r>
            <w:r w:rsidR="004F3C24">
              <w:rPr>
                <w:noProof/>
                <w:webHidden/>
              </w:rPr>
              <w:fldChar w:fldCharType="begin"/>
            </w:r>
            <w:r w:rsidR="004F3C24">
              <w:rPr>
                <w:noProof/>
                <w:webHidden/>
              </w:rPr>
              <w:instrText xml:space="preserve"> PAGEREF _Toc404613557 \h </w:instrText>
            </w:r>
            <w:r w:rsidR="004F3C24">
              <w:rPr>
                <w:noProof/>
                <w:webHidden/>
              </w:rPr>
            </w:r>
            <w:r w:rsidR="004F3C24">
              <w:rPr>
                <w:noProof/>
                <w:webHidden/>
              </w:rPr>
              <w:fldChar w:fldCharType="separate"/>
            </w:r>
            <w:r w:rsidR="004F3C24">
              <w:rPr>
                <w:noProof/>
                <w:webHidden/>
              </w:rPr>
              <w:t>13-5</w:t>
            </w:r>
            <w:r w:rsidR="004F3C24">
              <w:rPr>
                <w:noProof/>
                <w:webHidden/>
              </w:rPr>
              <w:fldChar w:fldCharType="end"/>
            </w:r>
          </w:hyperlink>
        </w:p>
        <w:p w:rsidR="004F3C24" w:rsidRDefault="00DF296E">
          <w:pPr>
            <w:pStyle w:val="TOC1"/>
            <w:tabs>
              <w:tab w:val="left" w:pos="600"/>
              <w:tab w:val="right" w:leader="dot" w:pos="9016"/>
            </w:tabs>
            <w:rPr>
              <w:rFonts w:asciiTheme="minorHAnsi" w:eastAsiaTheme="minorEastAsia" w:hAnsiTheme="minorHAnsi" w:cstheme="minorBidi"/>
              <w:b w:val="0"/>
              <w:bCs w:val="0"/>
              <w:noProof/>
              <w:sz w:val="22"/>
              <w:szCs w:val="22"/>
              <w:lang w:eastAsia="en-AU"/>
            </w:rPr>
          </w:pPr>
          <w:hyperlink w:anchor="_Toc404613558" w:history="1">
            <w:r w:rsidR="004F3C24" w:rsidRPr="00E7506A">
              <w:rPr>
                <w:rStyle w:val="Hyperlink"/>
                <w:noProof/>
              </w:rPr>
              <w:t>13</w:t>
            </w:r>
            <w:r w:rsidR="004F3C24">
              <w:rPr>
                <w:rFonts w:asciiTheme="minorHAnsi" w:eastAsiaTheme="minorEastAsia" w:hAnsiTheme="minorHAnsi" w:cstheme="minorBidi"/>
                <w:b w:val="0"/>
                <w:bCs w:val="0"/>
                <w:noProof/>
                <w:sz w:val="22"/>
                <w:szCs w:val="22"/>
                <w:lang w:eastAsia="en-AU"/>
              </w:rPr>
              <w:tab/>
            </w:r>
            <w:r w:rsidR="004F3C24" w:rsidRPr="00E7506A">
              <w:rPr>
                <w:rStyle w:val="Hyperlink"/>
                <w:noProof/>
              </w:rPr>
              <w:t>Demand forecasts</w:t>
            </w:r>
            <w:r w:rsidR="004F3C24">
              <w:rPr>
                <w:noProof/>
                <w:webHidden/>
              </w:rPr>
              <w:tab/>
            </w:r>
            <w:r w:rsidR="004F3C24">
              <w:rPr>
                <w:noProof/>
                <w:webHidden/>
              </w:rPr>
              <w:fldChar w:fldCharType="begin"/>
            </w:r>
            <w:r w:rsidR="004F3C24">
              <w:rPr>
                <w:noProof/>
                <w:webHidden/>
              </w:rPr>
              <w:instrText xml:space="preserve"> PAGEREF _Toc404613558 \h </w:instrText>
            </w:r>
            <w:r w:rsidR="004F3C24">
              <w:rPr>
                <w:noProof/>
                <w:webHidden/>
              </w:rPr>
            </w:r>
            <w:r w:rsidR="004F3C24">
              <w:rPr>
                <w:noProof/>
                <w:webHidden/>
              </w:rPr>
              <w:fldChar w:fldCharType="separate"/>
            </w:r>
            <w:r w:rsidR="004F3C24">
              <w:rPr>
                <w:noProof/>
                <w:webHidden/>
              </w:rPr>
              <w:t>13-7</w:t>
            </w:r>
            <w:r w:rsidR="004F3C24">
              <w:rPr>
                <w:noProof/>
                <w:webHidden/>
              </w:rPr>
              <w:fldChar w:fldCharType="end"/>
            </w:r>
          </w:hyperlink>
        </w:p>
        <w:p w:rsidR="004F3C24" w:rsidRDefault="00DF296E">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613559" w:history="1">
            <w:r w:rsidR="004F3C24" w:rsidRPr="00E7506A">
              <w:rPr>
                <w:rStyle w:val="Hyperlink"/>
                <w:noProof/>
              </w:rPr>
              <w:t>13.1</w:t>
            </w:r>
            <w:r w:rsidR="004F3C24">
              <w:rPr>
                <w:rFonts w:asciiTheme="minorHAnsi" w:eastAsiaTheme="minorEastAsia" w:hAnsiTheme="minorHAnsi" w:cstheme="minorBidi"/>
                <w:iCs w:val="0"/>
                <w:noProof/>
                <w:sz w:val="22"/>
                <w:szCs w:val="22"/>
                <w:lang w:eastAsia="en-AU"/>
              </w:rPr>
              <w:tab/>
            </w:r>
            <w:r w:rsidR="004F3C24" w:rsidRPr="00E7506A">
              <w:rPr>
                <w:rStyle w:val="Hyperlink"/>
                <w:noProof/>
              </w:rPr>
              <w:t>Draft decision</w:t>
            </w:r>
            <w:r w:rsidR="004F3C24">
              <w:rPr>
                <w:noProof/>
                <w:webHidden/>
              </w:rPr>
              <w:tab/>
            </w:r>
            <w:r w:rsidR="004F3C24">
              <w:rPr>
                <w:noProof/>
                <w:webHidden/>
              </w:rPr>
              <w:fldChar w:fldCharType="begin"/>
            </w:r>
            <w:r w:rsidR="004F3C24">
              <w:rPr>
                <w:noProof/>
                <w:webHidden/>
              </w:rPr>
              <w:instrText xml:space="preserve"> PAGEREF _Toc404613559 \h </w:instrText>
            </w:r>
            <w:r w:rsidR="004F3C24">
              <w:rPr>
                <w:noProof/>
                <w:webHidden/>
              </w:rPr>
            </w:r>
            <w:r w:rsidR="004F3C24">
              <w:rPr>
                <w:noProof/>
                <w:webHidden/>
              </w:rPr>
              <w:fldChar w:fldCharType="separate"/>
            </w:r>
            <w:r w:rsidR="004F3C24">
              <w:rPr>
                <w:noProof/>
                <w:webHidden/>
              </w:rPr>
              <w:t>13-7</w:t>
            </w:r>
            <w:r w:rsidR="004F3C24">
              <w:rPr>
                <w:noProof/>
                <w:webHidden/>
              </w:rPr>
              <w:fldChar w:fldCharType="end"/>
            </w:r>
          </w:hyperlink>
        </w:p>
        <w:p w:rsidR="004F3C24" w:rsidRDefault="00DF296E">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613560" w:history="1">
            <w:r w:rsidR="004F3C24" w:rsidRPr="00E7506A">
              <w:rPr>
                <w:rStyle w:val="Hyperlink"/>
                <w:noProof/>
              </w:rPr>
              <w:t>13.2</w:t>
            </w:r>
            <w:r w:rsidR="004F3C24">
              <w:rPr>
                <w:rFonts w:asciiTheme="minorHAnsi" w:eastAsiaTheme="minorEastAsia" w:hAnsiTheme="minorHAnsi" w:cstheme="minorBidi"/>
                <w:iCs w:val="0"/>
                <w:noProof/>
                <w:sz w:val="22"/>
                <w:szCs w:val="22"/>
                <w:lang w:eastAsia="en-AU"/>
              </w:rPr>
              <w:tab/>
            </w:r>
            <w:r w:rsidR="004F3C24" w:rsidRPr="00E7506A">
              <w:rPr>
                <w:rStyle w:val="Hyperlink"/>
                <w:noProof/>
              </w:rPr>
              <w:t>Jemena Gas Network's proposal</w:t>
            </w:r>
            <w:r w:rsidR="004F3C24">
              <w:rPr>
                <w:noProof/>
                <w:webHidden/>
              </w:rPr>
              <w:tab/>
            </w:r>
            <w:r w:rsidR="004F3C24">
              <w:rPr>
                <w:noProof/>
                <w:webHidden/>
              </w:rPr>
              <w:fldChar w:fldCharType="begin"/>
            </w:r>
            <w:r w:rsidR="004F3C24">
              <w:rPr>
                <w:noProof/>
                <w:webHidden/>
              </w:rPr>
              <w:instrText xml:space="preserve"> PAGEREF _Toc404613560 \h </w:instrText>
            </w:r>
            <w:r w:rsidR="004F3C24">
              <w:rPr>
                <w:noProof/>
                <w:webHidden/>
              </w:rPr>
            </w:r>
            <w:r w:rsidR="004F3C24">
              <w:rPr>
                <w:noProof/>
                <w:webHidden/>
              </w:rPr>
              <w:fldChar w:fldCharType="separate"/>
            </w:r>
            <w:r w:rsidR="004F3C24">
              <w:rPr>
                <w:noProof/>
                <w:webHidden/>
              </w:rPr>
              <w:t>13-7</w:t>
            </w:r>
            <w:r w:rsidR="004F3C24">
              <w:rPr>
                <w:noProof/>
                <w:webHidden/>
              </w:rPr>
              <w:fldChar w:fldCharType="end"/>
            </w:r>
          </w:hyperlink>
        </w:p>
        <w:p w:rsidR="004F3C24" w:rsidRDefault="00DF296E">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613561" w:history="1">
            <w:r w:rsidR="004F3C24" w:rsidRPr="00E7506A">
              <w:rPr>
                <w:rStyle w:val="Hyperlink"/>
                <w:noProof/>
              </w:rPr>
              <w:t>13.3</w:t>
            </w:r>
            <w:r w:rsidR="004F3C24">
              <w:rPr>
                <w:rFonts w:asciiTheme="minorHAnsi" w:eastAsiaTheme="minorEastAsia" w:hAnsiTheme="minorHAnsi" w:cstheme="minorBidi"/>
                <w:iCs w:val="0"/>
                <w:noProof/>
                <w:sz w:val="22"/>
                <w:szCs w:val="22"/>
                <w:lang w:eastAsia="en-AU"/>
              </w:rPr>
              <w:tab/>
            </w:r>
            <w:r w:rsidR="004F3C24" w:rsidRPr="00E7506A">
              <w:rPr>
                <w:rStyle w:val="Hyperlink"/>
                <w:noProof/>
              </w:rPr>
              <w:t>Assessment approach</w:t>
            </w:r>
            <w:r w:rsidR="004F3C24">
              <w:rPr>
                <w:noProof/>
                <w:webHidden/>
              </w:rPr>
              <w:tab/>
            </w:r>
            <w:r w:rsidR="004F3C24">
              <w:rPr>
                <w:noProof/>
                <w:webHidden/>
              </w:rPr>
              <w:fldChar w:fldCharType="begin"/>
            </w:r>
            <w:r w:rsidR="004F3C24">
              <w:rPr>
                <w:noProof/>
                <w:webHidden/>
              </w:rPr>
              <w:instrText xml:space="preserve"> PAGEREF _Toc404613561 \h </w:instrText>
            </w:r>
            <w:r w:rsidR="004F3C24">
              <w:rPr>
                <w:noProof/>
                <w:webHidden/>
              </w:rPr>
            </w:r>
            <w:r w:rsidR="004F3C24">
              <w:rPr>
                <w:noProof/>
                <w:webHidden/>
              </w:rPr>
              <w:fldChar w:fldCharType="separate"/>
            </w:r>
            <w:r w:rsidR="004F3C24">
              <w:rPr>
                <w:noProof/>
                <w:webHidden/>
              </w:rPr>
              <w:t>13-8</w:t>
            </w:r>
            <w:r w:rsidR="004F3C24">
              <w:rPr>
                <w:noProof/>
                <w:webHidden/>
              </w:rPr>
              <w:fldChar w:fldCharType="end"/>
            </w:r>
          </w:hyperlink>
        </w:p>
        <w:p w:rsidR="004F3C24" w:rsidRDefault="00DF296E">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613562" w:history="1">
            <w:r w:rsidR="004F3C24" w:rsidRPr="00E7506A">
              <w:rPr>
                <w:rStyle w:val="Hyperlink"/>
                <w:noProof/>
              </w:rPr>
              <w:t>13.3.1</w:t>
            </w:r>
            <w:r w:rsidR="004F3C24">
              <w:rPr>
                <w:rFonts w:asciiTheme="minorHAnsi" w:eastAsiaTheme="minorEastAsia" w:hAnsiTheme="minorHAnsi" w:cstheme="minorBidi"/>
                <w:noProof/>
                <w:sz w:val="22"/>
                <w:szCs w:val="22"/>
                <w:lang w:eastAsia="en-AU"/>
              </w:rPr>
              <w:tab/>
            </w:r>
            <w:r w:rsidR="004F3C24" w:rsidRPr="00E7506A">
              <w:rPr>
                <w:rStyle w:val="Hyperlink"/>
                <w:noProof/>
              </w:rPr>
              <w:t>Interrelationships</w:t>
            </w:r>
            <w:r w:rsidR="004F3C24">
              <w:rPr>
                <w:noProof/>
                <w:webHidden/>
              </w:rPr>
              <w:tab/>
            </w:r>
            <w:r w:rsidR="004F3C24">
              <w:rPr>
                <w:noProof/>
                <w:webHidden/>
              </w:rPr>
              <w:fldChar w:fldCharType="begin"/>
            </w:r>
            <w:r w:rsidR="004F3C24">
              <w:rPr>
                <w:noProof/>
                <w:webHidden/>
              </w:rPr>
              <w:instrText xml:space="preserve"> PAGEREF _Toc404613562 \h </w:instrText>
            </w:r>
            <w:r w:rsidR="004F3C24">
              <w:rPr>
                <w:noProof/>
                <w:webHidden/>
              </w:rPr>
            </w:r>
            <w:r w:rsidR="004F3C24">
              <w:rPr>
                <w:noProof/>
                <w:webHidden/>
              </w:rPr>
              <w:fldChar w:fldCharType="separate"/>
            </w:r>
            <w:r w:rsidR="004F3C24">
              <w:rPr>
                <w:noProof/>
                <w:webHidden/>
              </w:rPr>
              <w:t>13-9</w:t>
            </w:r>
            <w:r w:rsidR="004F3C24">
              <w:rPr>
                <w:noProof/>
                <w:webHidden/>
              </w:rPr>
              <w:fldChar w:fldCharType="end"/>
            </w:r>
          </w:hyperlink>
        </w:p>
        <w:p w:rsidR="004F3C24" w:rsidRDefault="00DF296E">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613563" w:history="1">
            <w:r w:rsidR="004F3C24" w:rsidRPr="00E7506A">
              <w:rPr>
                <w:rStyle w:val="Hyperlink"/>
                <w:noProof/>
              </w:rPr>
              <w:t>13.4</w:t>
            </w:r>
            <w:r w:rsidR="004F3C24">
              <w:rPr>
                <w:rFonts w:asciiTheme="minorHAnsi" w:eastAsiaTheme="minorEastAsia" w:hAnsiTheme="minorHAnsi" w:cstheme="minorBidi"/>
                <w:iCs w:val="0"/>
                <w:noProof/>
                <w:sz w:val="22"/>
                <w:szCs w:val="22"/>
                <w:lang w:eastAsia="en-AU"/>
              </w:rPr>
              <w:tab/>
            </w:r>
            <w:r w:rsidR="004F3C24" w:rsidRPr="00E7506A">
              <w:rPr>
                <w:rStyle w:val="Hyperlink"/>
                <w:noProof/>
              </w:rPr>
              <w:t>Reasons for draft decision</w:t>
            </w:r>
            <w:r w:rsidR="004F3C24">
              <w:rPr>
                <w:noProof/>
                <w:webHidden/>
              </w:rPr>
              <w:tab/>
            </w:r>
            <w:r w:rsidR="004F3C24">
              <w:rPr>
                <w:noProof/>
                <w:webHidden/>
              </w:rPr>
              <w:fldChar w:fldCharType="begin"/>
            </w:r>
            <w:r w:rsidR="004F3C24">
              <w:rPr>
                <w:noProof/>
                <w:webHidden/>
              </w:rPr>
              <w:instrText xml:space="preserve"> PAGEREF _Toc404613563 \h </w:instrText>
            </w:r>
            <w:r w:rsidR="004F3C24">
              <w:rPr>
                <w:noProof/>
                <w:webHidden/>
              </w:rPr>
            </w:r>
            <w:r w:rsidR="004F3C24">
              <w:rPr>
                <w:noProof/>
                <w:webHidden/>
              </w:rPr>
              <w:fldChar w:fldCharType="separate"/>
            </w:r>
            <w:r w:rsidR="004F3C24">
              <w:rPr>
                <w:noProof/>
                <w:webHidden/>
              </w:rPr>
              <w:t>13-9</w:t>
            </w:r>
            <w:r w:rsidR="004F3C24">
              <w:rPr>
                <w:noProof/>
                <w:webHidden/>
              </w:rPr>
              <w:fldChar w:fldCharType="end"/>
            </w:r>
          </w:hyperlink>
        </w:p>
        <w:p w:rsidR="004F3C24" w:rsidRDefault="00DF296E">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613564" w:history="1">
            <w:r w:rsidR="004F3C24" w:rsidRPr="00E7506A">
              <w:rPr>
                <w:rStyle w:val="Hyperlink"/>
                <w:noProof/>
              </w:rPr>
              <w:t>13.4.1</w:t>
            </w:r>
            <w:r w:rsidR="004F3C24">
              <w:rPr>
                <w:rFonts w:asciiTheme="minorHAnsi" w:eastAsiaTheme="minorEastAsia" w:hAnsiTheme="minorHAnsi" w:cstheme="minorBidi"/>
                <w:noProof/>
                <w:sz w:val="22"/>
                <w:szCs w:val="22"/>
                <w:lang w:eastAsia="en-AU"/>
              </w:rPr>
              <w:tab/>
            </w:r>
            <w:r w:rsidR="004F3C24" w:rsidRPr="00E7506A">
              <w:rPr>
                <w:rStyle w:val="Hyperlink"/>
                <w:noProof/>
              </w:rPr>
              <w:t>Minimum, maximum and average demand</w:t>
            </w:r>
            <w:r w:rsidR="004F3C24">
              <w:rPr>
                <w:noProof/>
                <w:webHidden/>
              </w:rPr>
              <w:tab/>
            </w:r>
            <w:r w:rsidR="004F3C24">
              <w:rPr>
                <w:noProof/>
                <w:webHidden/>
              </w:rPr>
              <w:fldChar w:fldCharType="begin"/>
            </w:r>
            <w:r w:rsidR="004F3C24">
              <w:rPr>
                <w:noProof/>
                <w:webHidden/>
              </w:rPr>
              <w:instrText xml:space="preserve"> PAGEREF _Toc404613564 \h </w:instrText>
            </w:r>
            <w:r w:rsidR="004F3C24">
              <w:rPr>
                <w:noProof/>
                <w:webHidden/>
              </w:rPr>
            </w:r>
            <w:r w:rsidR="004F3C24">
              <w:rPr>
                <w:noProof/>
                <w:webHidden/>
              </w:rPr>
              <w:fldChar w:fldCharType="separate"/>
            </w:r>
            <w:r w:rsidR="004F3C24">
              <w:rPr>
                <w:noProof/>
                <w:webHidden/>
              </w:rPr>
              <w:t>13-11</w:t>
            </w:r>
            <w:r w:rsidR="004F3C24">
              <w:rPr>
                <w:noProof/>
                <w:webHidden/>
              </w:rPr>
              <w:fldChar w:fldCharType="end"/>
            </w:r>
          </w:hyperlink>
        </w:p>
        <w:p w:rsidR="004F3C24" w:rsidRDefault="00DF296E">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613565" w:history="1">
            <w:r w:rsidR="004F3C24" w:rsidRPr="00E7506A">
              <w:rPr>
                <w:rStyle w:val="Hyperlink"/>
                <w:noProof/>
              </w:rPr>
              <w:t>13.4.2</w:t>
            </w:r>
            <w:r w:rsidR="004F3C24">
              <w:rPr>
                <w:rFonts w:asciiTheme="minorHAnsi" w:eastAsiaTheme="minorEastAsia" w:hAnsiTheme="minorHAnsi" w:cstheme="minorBidi"/>
                <w:noProof/>
                <w:sz w:val="22"/>
                <w:szCs w:val="22"/>
                <w:lang w:eastAsia="en-AU"/>
              </w:rPr>
              <w:tab/>
            </w:r>
            <w:r w:rsidR="004F3C24" w:rsidRPr="00E7506A">
              <w:rPr>
                <w:rStyle w:val="Hyperlink"/>
                <w:noProof/>
              </w:rPr>
              <w:t>Forecast pipeline capacity and utilisation</w:t>
            </w:r>
            <w:r w:rsidR="004F3C24">
              <w:rPr>
                <w:noProof/>
                <w:webHidden/>
              </w:rPr>
              <w:tab/>
            </w:r>
            <w:r w:rsidR="004F3C24">
              <w:rPr>
                <w:noProof/>
                <w:webHidden/>
              </w:rPr>
              <w:fldChar w:fldCharType="begin"/>
            </w:r>
            <w:r w:rsidR="004F3C24">
              <w:rPr>
                <w:noProof/>
                <w:webHidden/>
              </w:rPr>
              <w:instrText xml:space="preserve"> PAGEREF _Toc404613565 \h </w:instrText>
            </w:r>
            <w:r w:rsidR="004F3C24">
              <w:rPr>
                <w:noProof/>
                <w:webHidden/>
              </w:rPr>
            </w:r>
            <w:r w:rsidR="004F3C24">
              <w:rPr>
                <w:noProof/>
                <w:webHidden/>
              </w:rPr>
              <w:fldChar w:fldCharType="separate"/>
            </w:r>
            <w:r w:rsidR="004F3C24">
              <w:rPr>
                <w:noProof/>
                <w:webHidden/>
              </w:rPr>
              <w:t>13-11</w:t>
            </w:r>
            <w:r w:rsidR="004F3C24">
              <w:rPr>
                <w:noProof/>
                <w:webHidden/>
              </w:rPr>
              <w:fldChar w:fldCharType="end"/>
            </w:r>
          </w:hyperlink>
        </w:p>
        <w:p w:rsidR="004F3C24" w:rsidRDefault="00DF296E">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613566" w:history="1">
            <w:r w:rsidR="004F3C24" w:rsidRPr="00E7506A">
              <w:rPr>
                <w:rStyle w:val="Hyperlink"/>
                <w:noProof/>
              </w:rPr>
              <w:t>13.4.3</w:t>
            </w:r>
            <w:r w:rsidR="004F3C24">
              <w:rPr>
                <w:rFonts w:asciiTheme="minorHAnsi" w:eastAsiaTheme="minorEastAsia" w:hAnsiTheme="minorHAnsi" w:cstheme="minorBidi"/>
                <w:noProof/>
                <w:sz w:val="22"/>
                <w:szCs w:val="22"/>
                <w:lang w:eastAsia="en-AU"/>
              </w:rPr>
              <w:tab/>
            </w:r>
            <w:r w:rsidR="004F3C24" w:rsidRPr="00E7506A">
              <w:rPr>
                <w:rStyle w:val="Hyperlink"/>
                <w:noProof/>
              </w:rPr>
              <w:t>Forecast of consumption per customer</w:t>
            </w:r>
            <w:r w:rsidR="004F3C24">
              <w:rPr>
                <w:noProof/>
                <w:webHidden/>
              </w:rPr>
              <w:tab/>
            </w:r>
            <w:r w:rsidR="004F3C24">
              <w:rPr>
                <w:noProof/>
                <w:webHidden/>
              </w:rPr>
              <w:fldChar w:fldCharType="begin"/>
            </w:r>
            <w:r w:rsidR="004F3C24">
              <w:rPr>
                <w:noProof/>
                <w:webHidden/>
              </w:rPr>
              <w:instrText xml:space="preserve"> PAGEREF _Toc404613566 \h </w:instrText>
            </w:r>
            <w:r w:rsidR="004F3C24">
              <w:rPr>
                <w:noProof/>
                <w:webHidden/>
              </w:rPr>
            </w:r>
            <w:r w:rsidR="004F3C24">
              <w:rPr>
                <w:noProof/>
                <w:webHidden/>
              </w:rPr>
              <w:fldChar w:fldCharType="separate"/>
            </w:r>
            <w:r w:rsidR="004F3C24">
              <w:rPr>
                <w:noProof/>
                <w:webHidden/>
              </w:rPr>
              <w:t>13-11</w:t>
            </w:r>
            <w:r w:rsidR="004F3C24">
              <w:rPr>
                <w:noProof/>
                <w:webHidden/>
              </w:rPr>
              <w:fldChar w:fldCharType="end"/>
            </w:r>
          </w:hyperlink>
        </w:p>
        <w:p w:rsidR="004F3C24" w:rsidRDefault="00DF296E">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613567" w:history="1">
            <w:r w:rsidR="004F3C24" w:rsidRPr="00E7506A">
              <w:rPr>
                <w:rStyle w:val="Hyperlink"/>
                <w:noProof/>
              </w:rPr>
              <w:t>13.1.1</w:t>
            </w:r>
            <w:r w:rsidR="004F3C24">
              <w:rPr>
                <w:rFonts w:asciiTheme="minorHAnsi" w:eastAsiaTheme="minorEastAsia" w:hAnsiTheme="minorHAnsi" w:cstheme="minorBidi"/>
                <w:noProof/>
                <w:sz w:val="22"/>
                <w:szCs w:val="22"/>
                <w:lang w:eastAsia="en-AU"/>
              </w:rPr>
              <w:tab/>
            </w:r>
            <w:r w:rsidR="004F3C24" w:rsidRPr="00E7506A">
              <w:rPr>
                <w:rStyle w:val="Hyperlink"/>
                <w:noProof/>
              </w:rPr>
              <w:t>Forecast of number of connections</w:t>
            </w:r>
            <w:r w:rsidR="004F3C24">
              <w:rPr>
                <w:noProof/>
                <w:webHidden/>
              </w:rPr>
              <w:tab/>
            </w:r>
            <w:r w:rsidR="004F3C24">
              <w:rPr>
                <w:noProof/>
                <w:webHidden/>
              </w:rPr>
              <w:fldChar w:fldCharType="begin"/>
            </w:r>
            <w:r w:rsidR="004F3C24">
              <w:rPr>
                <w:noProof/>
                <w:webHidden/>
              </w:rPr>
              <w:instrText xml:space="preserve"> PAGEREF _Toc404613567 \h </w:instrText>
            </w:r>
            <w:r w:rsidR="004F3C24">
              <w:rPr>
                <w:noProof/>
                <w:webHidden/>
              </w:rPr>
            </w:r>
            <w:r w:rsidR="004F3C24">
              <w:rPr>
                <w:noProof/>
                <w:webHidden/>
              </w:rPr>
              <w:fldChar w:fldCharType="separate"/>
            </w:r>
            <w:r w:rsidR="004F3C24">
              <w:rPr>
                <w:noProof/>
                <w:webHidden/>
              </w:rPr>
              <w:t>13-15</w:t>
            </w:r>
            <w:r w:rsidR="004F3C24">
              <w:rPr>
                <w:noProof/>
                <w:webHidden/>
              </w:rPr>
              <w:fldChar w:fldCharType="end"/>
            </w:r>
          </w:hyperlink>
        </w:p>
        <w:p w:rsidR="004F3C24" w:rsidRDefault="00DF296E">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613568" w:history="1">
            <w:r w:rsidR="004F3C24" w:rsidRPr="00E7506A">
              <w:rPr>
                <w:rStyle w:val="Hyperlink"/>
                <w:noProof/>
              </w:rPr>
              <w:t>13.5</w:t>
            </w:r>
            <w:r w:rsidR="004F3C24">
              <w:rPr>
                <w:rFonts w:asciiTheme="minorHAnsi" w:eastAsiaTheme="minorEastAsia" w:hAnsiTheme="minorHAnsi" w:cstheme="minorBidi"/>
                <w:iCs w:val="0"/>
                <w:noProof/>
                <w:sz w:val="22"/>
                <w:szCs w:val="22"/>
                <w:lang w:eastAsia="en-AU"/>
              </w:rPr>
              <w:tab/>
            </w:r>
            <w:r w:rsidR="004F3C24" w:rsidRPr="00E7506A">
              <w:rPr>
                <w:rStyle w:val="Hyperlink"/>
                <w:noProof/>
              </w:rPr>
              <w:t>Revisions</w:t>
            </w:r>
            <w:r w:rsidR="004F3C24">
              <w:rPr>
                <w:noProof/>
                <w:webHidden/>
              </w:rPr>
              <w:tab/>
            </w:r>
            <w:r w:rsidR="004F3C24">
              <w:rPr>
                <w:noProof/>
                <w:webHidden/>
              </w:rPr>
              <w:fldChar w:fldCharType="begin"/>
            </w:r>
            <w:r w:rsidR="004F3C24">
              <w:rPr>
                <w:noProof/>
                <w:webHidden/>
              </w:rPr>
              <w:instrText xml:space="preserve"> PAGEREF _Toc404613568 \h </w:instrText>
            </w:r>
            <w:r w:rsidR="004F3C24">
              <w:rPr>
                <w:noProof/>
                <w:webHidden/>
              </w:rPr>
            </w:r>
            <w:r w:rsidR="004F3C24">
              <w:rPr>
                <w:noProof/>
                <w:webHidden/>
              </w:rPr>
              <w:fldChar w:fldCharType="separate"/>
            </w:r>
            <w:r w:rsidR="004F3C24">
              <w:rPr>
                <w:noProof/>
                <w:webHidden/>
              </w:rPr>
              <w:t>13-18</w:t>
            </w:r>
            <w:r w:rsidR="004F3C24">
              <w:rPr>
                <w:noProof/>
                <w:webHidden/>
              </w:rPr>
              <w:fldChar w:fldCharType="end"/>
            </w:r>
          </w:hyperlink>
        </w:p>
        <w:p w:rsidR="00300EBE" w:rsidRPr="0084378B" w:rsidRDefault="00300EBE" w:rsidP="00300EBE">
          <w:r w:rsidRPr="0084378B">
            <w:fldChar w:fldCharType="end"/>
          </w:r>
        </w:p>
      </w:sdtContent>
    </w:sdt>
    <w:p w:rsidR="00300EBE" w:rsidRPr="00300EBE" w:rsidRDefault="00300EBE" w:rsidP="00300EBE">
      <w:r>
        <w:br w:type="page"/>
      </w:r>
    </w:p>
    <w:p w:rsidR="00300EBE" w:rsidRDefault="00300EBE" w:rsidP="00300EBE">
      <w:pPr>
        <w:pStyle w:val="UnnumberedHeading"/>
        <w:numPr>
          <w:ilvl w:val="0"/>
          <w:numId w:val="1"/>
        </w:numPr>
      </w:pPr>
      <w:bookmarkStart w:id="6" w:name="_Toc404152783"/>
      <w:bookmarkStart w:id="7" w:name="_Toc404613557"/>
      <w:r>
        <w:lastRenderedPageBreak/>
        <w:t>Shortened forms</w:t>
      </w:r>
      <w:bookmarkEnd w:id="6"/>
      <w:bookmarkEnd w:id="7"/>
    </w:p>
    <w:tbl>
      <w:tblPr>
        <w:tblStyle w:val="AERtable-numbers"/>
        <w:tblW w:w="0" w:type="auto"/>
        <w:tblLook w:val="04A0" w:firstRow="1" w:lastRow="0" w:firstColumn="1" w:lastColumn="0" w:noHBand="0" w:noVBand="1"/>
      </w:tblPr>
      <w:tblGrid>
        <w:gridCol w:w="4621"/>
        <w:gridCol w:w="4621"/>
      </w:tblGrid>
      <w:tr w:rsidR="00300EBE" w:rsidTr="003F39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300EBE" w:rsidRDefault="00300EBE" w:rsidP="00300EBE">
            <w:pPr>
              <w:pStyle w:val="AERbodytext"/>
            </w:pPr>
            <w:r>
              <w:t>Shortened form</w:t>
            </w:r>
          </w:p>
        </w:tc>
        <w:tc>
          <w:tcPr>
            <w:tcW w:w="4621" w:type="dxa"/>
          </w:tcPr>
          <w:p w:rsidR="00300EBE" w:rsidRDefault="00300EBE" w:rsidP="00300EBE">
            <w:pPr>
              <w:pStyle w:val="AERbodytext"/>
              <w:cnfStyle w:val="100000000000" w:firstRow="1" w:lastRow="0" w:firstColumn="0" w:lastColumn="0" w:oddVBand="0" w:evenVBand="0" w:oddHBand="0" w:evenHBand="0" w:firstRowFirstColumn="0" w:firstRowLastColumn="0" w:lastRowFirstColumn="0" w:lastRowLastColumn="0"/>
            </w:pPr>
            <w:r>
              <w:t>Extended form</w:t>
            </w:r>
          </w:p>
        </w:tc>
      </w:tr>
      <w:tr w:rsidR="00300EBE" w:rsidTr="003F3932">
        <w:tc>
          <w:tcPr>
            <w:cnfStyle w:val="001000000000" w:firstRow="0" w:lastRow="0" w:firstColumn="1" w:lastColumn="0" w:oddVBand="0" w:evenVBand="0" w:oddHBand="0" w:evenHBand="0" w:firstRowFirstColumn="0" w:firstRowLastColumn="0" w:lastRowFirstColumn="0" w:lastRowLastColumn="0"/>
            <w:tcW w:w="4621" w:type="dxa"/>
          </w:tcPr>
          <w:p w:rsidR="00300EBE" w:rsidRDefault="00300EBE" w:rsidP="00300EBE">
            <w:pPr>
              <w:pStyle w:val="AERbodytext"/>
            </w:pPr>
            <w:r>
              <w:t>2010–15 access arrangement</w:t>
            </w:r>
          </w:p>
        </w:tc>
        <w:tc>
          <w:tcPr>
            <w:tcW w:w="4621" w:type="dxa"/>
          </w:tcPr>
          <w:p w:rsidR="00300EBE" w:rsidRDefault="00300EBE" w:rsidP="00300EBE">
            <w:pPr>
              <w:pStyle w:val="AERbodytext"/>
              <w:cnfStyle w:val="000000000000" w:firstRow="0" w:lastRow="0" w:firstColumn="0" w:lastColumn="0" w:oddVBand="0" w:evenVBand="0" w:oddHBand="0" w:evenHBand="0" w:firstRowFirstColumn="0" w:firstRowLastColumn="0" w:lastRowFirstColumn="0" w:lastRowLastColumn="0"/>
            </w:pPr>
            <w:r>
              <w:t>Access arrangement for JGN effective from 1 July 2010 to 30 June 2015 inclusive</w:t>
            </w:r>
          </w:p>
        </w:tc>
      </w:tr>
      <w:tr w:rsidR="00300EBE" w:rsidTr="003F39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300EBE" w:rsidRPr="00E854E3" w:rsidRDefault="00300EBE" w:rsidP="00300EBE">
            <w:pPr>
              <w:pStyle w:val="AERbodytext"/>
            </w:pPr>
            <w:r w:rsidRPr="00E854E3">
              <w:t>2010–15 access arrangement</w:t>
            </w:r>
            <w:r>
              <w:t xml:space="preserve"> period</w:t>
            </w:r>
          </w:p>
        </w:tc>
        <w:tc>
          <w:tcPr>
            <w:tcW w:w="4621" w:type="dxa"/>
          </w:tcPr>
          <w:p w:rsidR="00300EBE" w:rsidRPr="00E854E3" w:rsidRDefault="00300EBE" w:rsidP="00300EBE">
            <w:pPr>
              <w:pStyle w:val="AERbodytext"/>
              <w:cnfStyle w:val="000000010000" w:firstRow="0" w:lastRow="0" w:firstColumn="0" w:lastColumn="0" w:oddVBand="0" w:evenVBand="0" w:oddHBand="0" w:evenHBand="1" w:firstRowFirstColumn="0" w:firstRowLastColumn="0" w:lastRowFirstColumn="0" w:lastRowLastColumn="0"/>
            </w:pPr>
            <w:r w:rsidRPr="00E854E3">
              <w:t>1 July 2010 to 30 June 2015 inclusive</w:t>
            </w:r>
          </w:p>
        </w:tc>
      </w:tr>
      <w:tr w:rsidR="00300EBE" w:rsidTr="003F3932">
        <w:tc>
          <w:tcPr>
            <w:cnfStyle w:val="001000000000" w:firstRow="0" w:lastRow="0" w:firstColumn="1" w:lastColumn="0" w:oddVBand="0" w:evenVBand="0" w:oddHBand="0" w:evenHBand="0" w:firstRowFirstColumn="0" w:firstRowLastColumn="0" w:lastRowFirstColumn="0" w:lastRowLastColumn="0"/>
            <w:tcW w:w="4621" w:type="dxa"/>
          </w:tcPr>
          <w:p w:rsidR="00300EBE" w:rsidRPr="00E854E3" w:rsidRDefault="00300EBE" w:rsidP="00300EBE">
            <w:pPr>
              <w:pStyle w:val="AERbodytext"/>
            </w:pPr>
            <w:r w:rsidRPr="00E854E3">
              <w:t>201</w:t>
            </w:r>
            <w:r>
              <w:t>5</w:t>
            </w:r>
            <w:r w:rsidRPr="00E854E3">
              <w:t>–</w:t>
            </w:r>
            <w:r>
              <w:t>20</w:t>
            </w:r>
            <w:r w:rsidRPr="00E854E3">
              <w:t xml:space="preserve"> access arrangement</w:t>
            </w:r>
          </w:p>
        </w:tc>
        <w:tc>
          <w:tcPr>
            <w:tcW w:w="4621" w:type="dxa"/>
          </w:tcPr>
          <w:p w:rsidR="00300EBE" w:rsidRPr="00E854E3" w:rsidRDefault="00300EBE" w:rsidP="00300EBE">
            <w:pPr>
              <w:pStyle w:val="AERbodytext"/>
              <w:cnfStyle w:val="000000000000" w:firstRow="0" w:lastRow="0" w:firstColumn="0" w:lastColumn="0" w:oddVBand="0" w:evenVBand="0" w:oddHBand="0" w:evenHBand="0" w:firstRowFirstColumn="0" w:firstRowLastColumn="0" w:lastRowFirstColumn="0" w:lastRowLastColumn="0"/>
            </w:pPr>
            <w:r w:rsidRPr="00E854E3">
              <w:t>Access arrangement for JGN effective from 1 July 201</w:t>
            </w:r>
            <w:r>
              <w:t>5</w:t>
            </w:r>
            <w:r w:rsidRPr="00E854E3">
              <w:t xml:space="preserve"> to 30 June 20</w:t>
            </w:r>
            <w:r>
              <w:t>20</w:t>
            </w:r>
            <w:r w:rsidRPr="00E854E3">
              <w:t xml:space="preserve"> inclusive</w:t>
            </w:r>
          </w:p>
        </w:tc>
      </w:tr>
      <w:tr w:rsidR="00300EBE" w:rsidTr="003F39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300EBE" w:rsidRPr="00E854E3" w:rsidRDefault="00300EBE" w:rsidP="00300EBE">
            <w:pPr>
              <w:pStyle w:val="AERbodytext"/>
            </w:pPr>
            <w:r w:rsidRPr="00E854E3">
              <w:t>201</w:t>
            </w:r>
            <w:r>
              <w:t>5</w:t>
            </w:r>
            <w:r w:rsidRPr="00E854E3">
              <w:t>–</w:t>
            </w:r>
            <w:r>
              <w:t>20</w:t>
            </w:r>
            <w:r w:rsidRPr="00E854E3">
              <w:t xml:space="preserve"> access arrangement period</w:t>
            </w:r>
          </w:p>
        </w:tc>
        <w:tc>
          <w:tcPr>
            <w:tcW w:w="4621" w:type="dxa"/>
          </w:tcPr>
          <w:p w:rsidR="00300EBE" w:rsidRPr="00E854E3" w:rsidRDefault="00300EBE" w:rsidP="00300EBE">
            <w:pPr>
              <w:pStyle w:val="AERbodytext"/>
              <w:cnfStyle w:val="000000010000" w:firstRow="0" w:lastRow="0" w:firstColumn="0" w:lastColumn="0" w:oddVBand="0" w:evenVBand="0" w:oddHBand="0" w:evenHBand="1" w:firstRowFirstColumn="0" w:firstRowLastColumn="0" w:lastRowFirstColumn="0" w:lastRowLastColumn="0"/>
            </w:pPr>
            <w:r w:rsidRPr="00E854E3">
              <w:t>1 July 201</w:t>
            </w:r>
            <w:r>
              <w:t>5</w:t>
            </w:r>
            <w:r w:rsidRPr="00E854E3">
              <w:t xml:space="preserve"> to 30 June 20</w:t>
            </w:r>
            <w:r>
              <w:t>20</w:t>
            </w:r>
            <w:r w:rsidRPr="00E854E3">
              <w:t xml:space="preserve"> inclusive</w:t>
            </w:r>
          </w:p>
        </w:tc>
      </w:tr>
      <w:tr w:rsidR="00300EBE" w:rsidTr="003F3932">
        <w:tc>
          <w:tcPr>
            <w:cnfStyle w:val="001000000000" w:firstRow="0" w:lastRow="0" w:firstColumn="1" w:lastColumn="0" w:oddVBand="0" w:evenVBand="0" w:oddHBand="0" w:evenHBand="0" w:firstRowFirstColumn="0" w:firstRowLastColumn="0" w:lastRowFirstColumn="0" w:lastRowLastColumn="0"/>
            <w:tcW w:w="4621" w:type="dxa"/>
          </w:tcPr>
          <w:p w:rsidR="00300EBE" w:rsidRDefault="00300EBE" w:rsidP="00300EBE">
            <w:pPr>
              <w:pStyle w:val="AERbodytext"/>
            </w:pPr>
            <w:r>
              <w:t>Access arrangement information</w:t>
            </w:r>
          </w:p>
        </w:tc>
        <w:tc>
          <w:tcPr>
            <w:tcW w:w="4621" w:type="dxa"/>
          </w:tcPr>
          <w:p w:rsidR="00300EBE" w:rsidRDefault="00300EBE" w:rsidP="00300EBE">
            <w:pPr>
              <w:pStyle w:val="AERbodytext"/>
              <w:cnfStyle w:val="000000000000" w:firstRow="0" w:lastRow="0" w:firstColumn="0" w:lastColumn="0" w:oddVBand="0" w:evenVBand="0" w:oddHBand="0" w:evenHBand="0" w:firstRowFirstColumn="0" w:firstRowLastColumn="0" w:lastRowFirstColumn="0" w:lastRowLastColumn="0"/>
            </w:pPr>
            <w:r w:rsidRPr="00A41D43">
              <w:t xml:space="preserve">Jemena Gas Networks (NSW) Ltd, </w:t>
            </w:r>
            <w:r w:rsidRPr="00A41D43">
              <w:rPr>
                <w:rStyle w:val="AERtextitalic"/>
              </w:rPr>
              <w:t>Access Arrangement Informatio</w:t>
            </w:r>
            <w:r>
              <w:rPr>
                <w:rStyle w:val="AERtextitalic"/>
              </w:rPr>
              <w:t>n 2015–20</w:t>
            </w:r>
            <w:r w:rsidRPr="00A41D43">
              <w:t>, 30 June 2014</w:t>
            </w:r>
          </w:p>
        </w:tc>
      </w:tr>
      <w:tr w:rsidR="00300EBE" w:rsidTr="003F39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300EBE" w:rsidRDefault="00300EBE" w:rsidP="00300EBE">
            <w:pPr>
              <w:pStyle w:val="AERbodytext"/>
            </w:pPr>
            <w:r>
              <w:t>Access arrangement proposal</w:t>
            </w:r>
          </w:p>
        </w:tc>
        <w:tc>
          <w:tcPr>
            <w:tcW w:w="4621" w:type="dxa"/>
          </w:tcPr>
          <w:p w:rsidR="00300EBE" w:rsidRDefault="00300EBE" w:rsidP="00300EBE">
            <w:pPr>
              <w:pStyle w:val="AERbodytext"/>
              <w:cnfStyle w:val="000000010000" w:firstRow="0" w:lastRow="0" w:firstColumn="0" w:lastColumn="0" w:oddVBand="0" w:evenVBand="0" w:oddHBand="0" w:evenHBand="1" w:firstRowFirstColumn="0" w:firstRowLastColumn="0" w:lastRowFirstColumn="0" w:lastRowLastColumn="0"/>
            </w:pPr>
            <w:r w:rsidRPr="00A41D43">
              <w:t xml:space="preserve">Jemena Gas Networks (NSW) Ltd,  </w:t>
            </w:r>
            <w:r w:rsidRPr="00A41D43">
              <w:rPr>
                <w:rStyle w:val="AERtextitalic"/>
              </w:rPr>
              <w:t>Access arrangement, JGN’s NSW gas distribution networks, 1 July 2015 – 30 June 2020</w:t>
            </w:r>
            <w:r w:rsidRPr="00A41D43">
              <w:t>, 30 June 2014</w:t>
            </w:r>
          </w:p>
        </w:tc>
      </w:tr>
      <w:tr w:rsidR="00300EBE" w:rsidTr="003F3932">
        <w:tc>
          <w:tcPr>
            <w:cnfStyle w:val="001000000000" w:firstRow="0" w:lastRow="0" w:firstColumn="1" w:lastColumn="0" w:oddVBand="0" w:evenVBand="0" w:oddHBand="0" w:evenHBand="0" w:firstRowFirstColumn="0" w:firstRowLastColumn="0" w:lastRowFirstColumn="0" w:lastRowLastColumn="0"/>
            <w:tcW w:w="4621" w:type="dxa"/>
          </w:tcPr>
          <w:p w:rsidR="00300EBE" w:rsidRDefault="00300EBE" w:rsidP="00300EBE">
            <w:pPr>
              <w:pStyle w:val="AERbodytext"/>
            </w:pPr>
            <w:r>
              <w:t>AER</w:t>
            </w:r>
          </w:p>
        </w:tc>
        <w:tc>
          <w:tcPr>
            <w:tcW w:w="4621" w:type="dxa"/>
          </w:tcPr>
          <w:p w:rsidR="00300EBE" w:rsidRDefault="00300EBE" w:rsidP="00300EBE">
            <w:pPr>
              <w:pStyle w:val="AERbodytext"/>
              <w:cnfStyle w:val="000000000000" w:firstRow="0" w:lastRow="0" w:firstColumn="0" w:lastColumn="0" w:oddVBand="0" w:evenVBand="0" w:oddHBand="0" w:evenHBand="0" w:firstRowFirstColumn="0" w:firstRowLastColumn="0" w:lastRowFirstColumn="0" w:lastRowLastColumn="0"/>
            </w:pPr>
            <w:r>
              <w:t>Australian Energy Regulator</w:t>
            </w:r>
          </w:p>
        </w:tc>
      </w:tr>
      <w:tr w:rsidR="00300EBE" w:rsidTr="003F39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300EBE" w:rsidRDefault="00300EBE" w:rsidP="00300EBE">
            <w:pPr>
              <w:pStyle w:val="AERbodytext"/>
            </w:pPr>
            <w:r>
              <w:t>capex</w:t>
            </w:r>
          </w:p>
        </w:tc>
        <w:tc>
          <w:tcPr>
            <w:tcW w:w="4621" w:type="dxa"/>
          </w:tcPr>
          <w:p w:rsidR="00300EBE" w:rsidRDefault="00300EBE" w:rsidP="00300EBE">
            <w:pPr>
              <w:pStyle w:val="AERbodytext"/>
              <w:cnfStyle w:val="000000010000" w:firstRow="0" w:lastRow="0" w:firstColumn="0" w:lastColumn="0" w:oddVBand="0" w:evenVBand="0" w:oddHBand="0" w:evenHBand="1" w:firstRowFirstColumn="0" w:firstRowLastColumn="0" w:lastRowFirstColumn="0" w:lastRowLastColumn="0"/>
            </w:pPr>
            <w:r>
              <w:t>capital expenditure</w:t>
            </w:r>
          </w:p>
        </w:tc>
      </w:tr>
      <w:tr w:rsidR="00300EBE" w:rsidTr="003F3932">
        <w:tc>
          <w:tcPr>
            <w:cnfStyle w:val="001000000000" w:firstRow="0" w:lastRow="0" w:firstColumn="1" w:lastColumn="0" w:oddVBand="0" w:evenVBand="0" w:oddHBand="0" w:evenHBand="0" w:firstRowFirstColumn="0" w:firstRowLastColumn="0" w:lastRowFirstColumn="0" w:lastRowLastColumn="0"/>
            <w:tcW w:w="4621" w:type="dxa"/>
          </w:tcPr>
          <w:p w:rsidR="00300EBE" w:rsidRDefault="00300EBE" w:rsidP="00300EBE">
            <w:pPr>
              <w:pStyle w:val="AERbodytext"/>
            </w:pPr>
            <w:r>
              <w:t>CAPM</w:t>
            </w:r>
          </w:p>
        </w:tc>
        <w:tc>
          <w:tcPr>
            <w:tcW w:w="4621" w:type="dxa"/>
          </w:tcPr>
          <w:p w:rsidR="00300EBE" w:rsidRDefault="00300EBE" w:rsidP="00300EBE">
            <w:pPr>
              <w:pStyle w:val="AERbodytext"/>
              <w:cnfStyle w:val="000000000000" w:firstRow="0" w:lastRow="0" w:firstColumn="0" w:lastColumn="0" w:oddVBand="0" w:evenVBand="0" w:oddHBand="0" w:evenHBand="0" w:firstRowFirstColumn="0" w:firstRowLastColumn="0" w:lastRowFirstColumn="0" w:lastRowLastColumn="0"/>
            </w:pPr>
            <w:r>
              <w:t>capital asset pricing model</w:t>
            </w:r>
          </w:p>
        </w:tc>
      </w:tr>
      <w:tr w:rsidR="00300EBE" w:rsidTr="003F39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300EBE" w:rsidRDefault="00300EBE" w:rsidP="00300EBE">
            <w:pPr>
              <w:pStyle w:val="AERbodytext"/>
            </w:pPr>
            <w:r>
              <w:t>CCP</w:t>
            </w:r>
          </w:p>
        </w:tc>
        <w:tc>
          <w:tcPr>
            <w:tcW w:w="4621" w:type="dxa"/>
          </w:tcPr>
          <w:p w:rsidR="00300EBE" w:rsidRDefault="00300EBE" w:rsidP="00300EBE">
            <w:pPr>
              <w:pStyle w:val="AERbodytext"/>
              <w:cnfStyle w:val="000000010000" w:firstRow="0" w:lastRow="0" w:firstColumn="0" w:lastColumn="0" w:oddVBand="0" w:evenVBand="0" w:oddHBand="0" w:evenHBand="1" w:firstRowFirstColumn="0" w:firstRowLastColumn="0" w:lastRowFirstColumn="0" w:lastRowLastColumn="0"/>
            </w:pPr>
            <w:r>
              <w:t>Consumer Challenge Panel</w:t>
            </w:r>
          </w:p>
        </w:tc>
      </w:tr>
      <w:tr w:rsidR="00300EBE" w:rsidTr="003F3932">
        <w:tc>
          <w:tcPr>
            <w:cnfStyle w:val="001000000000" w:firstRow="0" w:lastRow="0" w:firstColumn="1" w:lastColumn="0" w:oddVBand="0" w:evenVBand="0" w:oddHBand="0" w:evenHBand="0" w:firstRowFirstColumn="0" w:firstRowLastColumn="0" w:lastRowFirstColumn="0" w:lastRowLastColumn="0"/>
            <w:tcW w:w="4621" w:type="dxa"/>
          </w:tcPr>
          <w:p w:rsidR="00300EBE" w:rsidRDefault="00300EBE" w:rsidP="00300EBE">
            <w:pPr>
              <w:pStyle w:val="AERbodytext"/>
            </w:pPr>
            <w:r>
              <w:t>Code</w:t>
            </w:r>
          </w:p>
        </w:tc>
        <w:tc>
          <w:tcPr>
            <w:tcW w:w="4621" w:type="dxa"/>
          </w:tcPr>
          <w:p w:rsidR="00300EBE" w:rsidRDefault="00300EBE" w:rsidP="00300EBE">
            <w:pPr>
              <w:pStyle w:val="AERbodytext"/>
              <w:cnfStyle w:val="000000000000" w:firstRow="0" w:lastRow="0" w:firstColumn="0" w:lastColumn="0" w:oddVBand="0" w:evenVBand="0" w:oddHBand="0" w:evenHBand="0" w:firstRowFirstColumn="0" w:firstRowLastColumn="0" w:lastRowFirstColumn="0" w:lastRowLastColumn="0"/>
            </w:pPr>
            <w:r>
              <w:t>National Third Party Access Code for Natural Gas Pipeline Systems</w:t>
            </w:r>
          </w:p>
        </w:tc>
      </w:tr>
      <w:tr w:rsidR="00300EBE" w:rsidTr="003F39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300EBE" w:rsidRDefault="00300EBE" w:rsidP="00300EBE">
            <w:pPr>
              <w:pStyle w:val="AERbodytext"/>
            </w:pPr>
            <w:r>
              <w:t>CPI</w:t>
            </w:r>
          </w:p>
        </w:tc>
        <w:tc>
          <w:tcPr>
            <w:tcW w:w="4621" w:type="dxa"/>
          </w:tcPr>
          <w:p w:rsidR="00300EBE" w:rsidRDefault="00300EBE" w:rsidP="00300EBE">
            <w:pPr>
              <w:pStyle w:val="AERbodytext"/>
              <w:cnfStyle w:val="000000010000" w:firstRow="0" w:lastRow="0" w:firstColumn="0" w:lastColumn="0" w:oddVBand="0" w:evenVBand="0" w:oddHBand="0" w:evenHBand="1" w:firstRowFirstColumn="0" w:firstRowLastColumn="0" w:lastRowFirstColumn="0" w:lastRowLastColumn="0"/>
            </w:pPr>
            <w:r>
              <w:t>consumer price index</w:t>
            </w:r>
          </w:p>
        </w:tc>
      </w:tr>
      <w:tr w:rsidR="00300EBE" w:rsidTr="003F3932">
        <w:tc>
          <w:tcPr>
            <w:cnfStyle w:val="001000000000" w:firstRow="0" w:lastRow="0" w:firstColumn="1" w:lastColumn="0" w:oddVBand="0" w:evenVBand="0" w:oddHBand="0" w:evenHBand="0" w:firstRowFirstColumn="0" w:firstRowLastColumn="0" w:lastRowFirstColumn="0" w:lastRowLastColumn="0"/>
            <w:tcW w:w="4621" w:type="dxa"/>
          </w:tcPr>
          <w:p w:rsidR="00300EBE" w:rsidRDefault="00300EBE" w:rsidP="00300EBE">
            <w:pPr>
              <w:pStyle w:val="AERbodytext"/>
            </w:pPr>
            <w:r>
              <w:t>DRP</w:t>
            </w:r>
          </w:p>
        </w:tc>
        <w:tc>
          <w:tcPr>
            <w:tcW w:w="4621" w:type="dxa"/>
          </w:tcPr>
          <w:p w:rsidR="00300EBE" w:rsidRDefault="00300EBE" w:rsidP="00300EBE">
            <w:pPr>
              <w:pStyle w:val="AERbodytext"/>
              <w:cnfStyle w:val="000000000000" w:firstRow="0" w:lastRow="0" w:firstColumn="0" w:lastColumn="0" w:oddVBand="0" w:evenVBand="0" w:oddHBand="0" w:evenHBand="0" w:firstRowFirstColumn="0" w:firstRowLastColumn="0" w:lastRowFirstColumn="0" w:lastRowLastColumn="0"/>
            </w:pPr>
            <w:r>
              <w:t>debt risk premium</w:t>
            </w:r>
          </w:p>
        </w:tc>
      </w:tr>
      <w:tr w:rsidR="00300EBE" w:rsidTr="003F39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300EBE" w:rsidRDefault="00300EBE" w:rsidP="00300EBE">
            <w:pPr>
              <w:pStyle w:val="AERbodytext"/>
            </w:pPr>
            <w:r>
              <w:t>ERP</w:t>
            </w:r>
          </w:p>
        </w:tc>
        <w:tc>
          <w:tcPr>
            <w:tcW w:w="4621" w:type="dxa"/>
          </w:tcPr>
          <w:p w:rsidR="00300EBE" w:rsidRDefault="00300EBE" w:rsidP="00300EBE">
            <w:pPr>
              <w:pStyle w:val="AERbodytext"/>
              <w:cnfStyle w:val="000000010000" w:firstRow="0" w:lastRow="0" w:firstColumn="0" w:lastColumn="0" w:oddVBand="0" w:evenVBand="0" w:oddHBand="0" w:evenHBand="1" w:firstRowFirstColumn="0" w:firstRowLastColumn="0" w:lastRowFirstColumn="0" w:lastRowLastColumn="0"/>
            </w:pPr>
            <w:r>
              <w:t>equity risk premium</w:t>
            </w:r>
          </w:p>
        </w:tc>
      </w:tr>
      <w:tr w:rsidR="00300EBE" w:rsidTr="003F3932">
        <w:tc>
          <w:tcPr>
            <w:cnfStyle w:val="001000000000" w:firstRow="0" w:lastRow="0" w:firstColumn="1" w:lastColumn="0" w:oddVBand="0" w:evenVBand="0" w:oddHBand="0" w:evenHBand="0" w:firstRowFirstColumn="0" w:firstRowLastColumn="0" w:lastRowFirstColumn="0" w:lastRowLastColumn="0"/>
            <w:tcW w:w="4621" w:type="dxa"/>
          </w:tcPr>
          <w:p w:rsidR="00300EBE" w:rsidRDefault="00300EBE" w:rsidP="00300EBE">
            <w:pPr>
              <w:pStyle w:val="AERbodytext"/>
            </w:pPr>
            <w:r>
              <w:t>JGN</w:t>
            </w:r>
          </w:p>
        </w:tc>
        <w:tc>
          <w:tcPr>
            <w:tcW w:w="4621" w:type="dxa"/>
          </w:tcPr>
          <w:p w:rsidR="00300EBE" w:rsidRDefault="00300EBE" w:rsidP="00300EBE">
            <w:pPr>
              <w:pStyle w:val="AERbodytext"/>
              <w:cnfStyle w:val="000000000000" w:firstRow="0" w:lastRow="0" w:firstColumn="0" w:lastColumn="0" w:oddVBand="0" w:evenVBand="0" w:oddHBand="0" w:evenHBand="0" w:firstRowFirstColumn="0" w:firstRowLastColumn="0" w:lastRowFirstColumn="0" w:lastRowLastColumn="0"/>
            </w:pPr>
            <w:r>
              <w:t>Jemena Gas Networks (NSW) Ltd (CAN 003 004 322)</w:t>
            </w:r>
          </w:p>
        </w:tc>
      </w:tr>
      <w:tr w:rsidR="00300EBE" w:rsidTr="003F39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300EBE" w:rsidRDefault="00300EBE" w:rsidP="00300EBE">
            <w:pPr>
              <w:pStyle w:val="AERbodytext"/>
            </w:pPr>
            <w:r>
              <w:t>MRP</w:t>
            </w:r>
          </w:p>
        </w:tc>
        <w:tc>
          <w:tcPr>
            <w:tcW w:w="4621" w:type="dxa"/>
          </w:tcPr>
          <w:p w:rsidR="00300EBE" w:rsidRDefault="00300EBE" w:rsidP="00300EBE">
            <w:pPr>
              <w:pStyle w:val="AERbodytext"/>
              <w:cnfStyle w:val="000000010000" w:firstRow="0" w:lastRow="0" w:firstColumn="0" w:lastColumn="0" w:oddVBand="0" w:evenVBand="0" w:oddHBand="0" w:evenHBand="1" w:firstRowFirstColumn="0" w:firstRowLastColumn="0" w:lastRowFirstColumn="0" w:lastRowLastColumn="0"/>
            </w:pPr>
            <w:r>
              <w:t>market risk premium</w:t>
            </w:r>
          </w:p>
        </w:tc>
      </w:tr>
      <w:tr w:rsidR="00300EBE" w:rsidTr="003F3932">
        <w:tc>
          <w:tcPr>
            <w:cnfStyle w:val="001000000000" w:firstRow="0" w:lastRow="0" w:firstColumn="1" w:lastColumn="0" w:oddVBand="0" w:evenVBand="0" w:oddHBand="0" w:evenHBand="0" w:firstRowFirstColumn="0" w:firstRowLastColumn="0" w:lastRowFirstColumn="0" w:lastRowLastColumn="0"/>
            <w:tcW w:w="4621" w:type="dxa"/>
          </w:tcPr>
          <w:p w:rsidR="00300EBE" w:rsidRDefault="00300EBE" w:rsidP="00300EBE">
            <w:pPr>
              <w:pStyle w:val="AERbodytext"/>
            </w:pPr>
            <w:r>
              <w:t>NGL</w:t>
            </w:r>
          </w:p>
        </w:tc>
        <w:tc>
          <w:tcPr>
            <w:tcW w:w="4621" w:type="dxa"/>
          </w:tcPr>
          <w:p w:rsidR="00300EBE" w:rsidRDefault="00300EBE" w:rsidP="00300EBE">
            <w:pPr>
              <w:pStyle w:val="AERbodytext"/>
              <w:cnfStyle w:val="000000000000" w:firstRow="0" w:lastRow="0" w:firstColumn="0" w:lastColumn="0" w:oddVBand="0" w:evenVBand="0" w:oddHBand="0" w:evenHBand="0" w:firstRowFirstColumn="0" w:firstRowLastColumn="0" w:lastRowFirstColumn="0" w:lastRowLastColumn="0"/>
            </w:pPr>
            <w:r>
              <w:t>national gas law</w:t>
            </w:r>
          </w:p>
        </w:tc>
      </w:tr>
      <w:tr w:rsidR="00300EBE" w:rsidTr="003F39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300EBE" w:rsidRDefault="00300EBE" w:rsidP="00300EBE">
            <w:pPr>
              <w:pStyle w:val="AERbodytext"/>
            </w:pPr>
            <w:r>
              <w:t>NGO</w:t>
            </w:r>
          </w:p>
        </w:tc>
        <w:tc>
          <w:tcPr>
            <w:tcW w:w="4621" w:type="dxa"/>
          </w:tcPr>
          <w:p w:rsidR="00300EBE" w:rsidRDefault="00300EBE" w:rsidP="00300EBE">
            <w:pPr>
              <w:pStyle w:val="AERbodytext"/>
              <w:cnfStyle w:val="000000010000" w:firstRow="0" w:lastRow="0" w:firstColumn="0" w:lastColumn="0" w:oddVBand="0" w:evenVBand="0" w:oddHBand="0" w:evenHBand="1" w:firstRowFirstColumn="0" w:firstRowLastColumn="0" w:lastRowFirstColumn="0" w:lastRowLastColumn="0"/>
            </w:pPr>
            <w:r>
              <w:t>national gas objective</w:t>
            </w:r>
          </w:p>
        </w:tc>
      </w:tr>
      <w:tr w:rsidR="00300EBE" w:rsidTr="003F3932">
        <w:tc>
          <w:tcPr>
            <w:cnfStyle w:val="001000000000" w:firstRow="0" w:lastRow="0" w:firstColumn="1" w:lastColumn="0" w:oddVBand="0" w:evenVBand="0" w:oddHBand="0" w:evenHBand="0" w:firstRowFirstColumn="0" w:firstRowLastColumn="0" w:lastRowFirstColumn="0" w:lastRowLastColumn="0"/>
            <w:tcW w:w="4621" w:type="dxa"/>
          </w:tcPr>
          <w:p w:rsidR="00300EBE" w:rsidRDefault="00300EBE" w:rsidP="00300EBE">
            <w:pPr>
              <w:pStyle w:val="AERbodytext"/>
            </w:pPr>
            <w:r>
              <w:t>NGR</w:t>
            </w:r>
          </w:p>
        </w:tc>
        <w:tc>
          <w:tcPr>
            <w:tcW w:w="4621" w:type="dxa"/>
          </w:tcPr>
          <w:p w:rsidR="00300EBE" w:rsidRDefault="00300EBE" w:rsidP="00300EBE">
            <w:pPr>
              <w:pStyle w:val="AERbodytext"/>
              <w:cnfStyle w:val="000000000000" w:firstRow="0" w:lastRow="0" w:firstColumn="0" w:lastColumn="0" w:oddVBand="0" w:evenVBand="0" w:oddHBand="0" w:evenHBand="0" w:firstRowFirstColumn="0" w:firstRowLastColumn="0" w:lastRowFirstColumn="0" w:lastRowLastColumn="0"/>
            </w:pPr>
            <w:r>
              <w:t>national gas rules</w:t>
            </w:r>
          </w:p>
        </w:tc>
      </w:tr>
      <w:tr w:rsidR="00300EBE" w:rsidTr="003F39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300EBE" w:rsidRDefault="00300EBE" w:rsidP="00300EBE">
            <w:pPr>
              <w:pStyle w:val="AERbodytext"/>
            </w:pPr>
            <w:r>
              <w:lastRenderedPageBreak/>
              <w:t>opex</w:t>
            </w:r>
          </w:p>
        </w:tc>
        <w:tc>
          <w:tcPr>
            <w:tcW w:w="4621" w:type="dxa"/>
          </w:tcPr>
          <w:p w:rsidR="00300EBE" w:rsidRDefault="00300EBE" w:rsidP="00300EBE">
            <w:pPr>
              <w:pStyle w:val="AERbodytext"/>
              <w:cnfStyle w:val="000000010000" w:firstRow="0" w:lastRow="0" w:firstColumn="0" w:lastColumn="0" w:oddVBand="0" w:evenVBand="0" w:oddHBand="0" w:evenHBand="1" w:firstRowFirstColumn="0" w:firstRowLastColumn="0" w:lastRowFirstColumn="0" w:lastRowLastColumn="0"/>
            </w:pPr>
            <w:r>
              <w:t>operating expenditure</w:t>
            </w:r>
          </w:p>
        </w:tc>
      </w:tr>
      <w:tr w:rsidR="00300EBE" w:rsidTr="003F3932">
        <w:tc>
          <w:tcPr>
            <w:cnfStyle w:val="001000000000" w:firstRow="0" w:lastRow="0" w:firstColumn="1" w:lastColumn="0" w:oddVBand="0" w:evenVBand="0" w:oddHBand="0" w:evenHBand="0" w:firstRowFirstColumn="0" w:firstRowLastColumn="0" w:lastRowFirstColumn="0" w:lastRowLastColumn="0"/>
            <w:tcW w:w="4621" w:type="dxa"/>
          </w:tcPr>
          <w:p w:rsidR="00300EBE" w:rsidRDefault="00300EBE" w:rsidP="00300EBE">
            <w:pPr>
              <w:pStyle w:val="AERbodytext"/>
            </w:pPr>
            <w:r>
              <w:t>PPI</w:t>
            </w:r>
          </w:p>
        </w:tc>
        <w:tc>
          <w:tcPr>
            <w:tcW w:w="4621" w:type="dxa"/>
          </w:tcPr>
          <w:p w:rsidR="00300EBE" w:rsidRDefault="00300EBE" w:rsidP="00300EBE">
            <w:pPr>
              <w:pStyle w:val="AERbodytext"/>
              <w:cnfStyle w:val="000000000000" w:firstRow="0" w:lastRow="0" w:firstColumn="0" w:lastColumn="0" w:oddVBand="0" w:evenVBand="0" w:oddHBand="0" w:evenHBand="0" w:firstRowFirstColumn="0" w:firstRowLastColumn="0" w:lastRowFirstColumn="0" w:lastRowLastColumn="0"/>
            </w:pPr>
            <w:r>
              <w:t>partial performance indicators</w:t>
            </w:r>
          </w:p>
        </w:tc>
      </w:tr>
      <w:tr w:rsidR="00300EBE" w:rsidTr="003F39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300EBE" w:rsidRDefault="00300EBE" w:rsidP="00300EBE">
            <w:pPr>
              <w:pStyle w:val="AERbodytext"/>
            </w:pPr>
            <w:r>
              <w:t>PTRM</w:t>
            </w:r>
          </w:p>
        </w:tc>
        <w:tc>
          <w:tcPr>
            <w:tcW w:w="4621" w:type="dxa"/>
          </w:tcPr>
          <w:p w:rsidR="00300EBE" w:rsidRDefault="00300EBE" w:rsidP="00300EBE">
            <w:pPr>
              <w:pStyle w:val="AERbodytext"/>
              <w:cnfStyle w:val="000000010000" w:firstRow="0" w:lastRow="0" w:firstColumn="0" w:lastColumn="0" w:oddVBand="0" w:evenVBand="0" w:oddHBand="0" w:evenHBand="1" w:firstRowFirstColumn="0" w:firstRowLastColumn="0" w:lastRowFirstColumn="0" w:lastRowLastColumn="0"/>
            </w:pPr>
            <w:r>
              <w:t>post-tax revenue model</w:t>
            </w:r>
          </w:p>
        </w:tc>
      </w:tr>
      <w:tr w:rsidR="00300EBE" w:rsidTr="003F3932">
        <w:tc>
          <w:tcPr>
            <w:cnfStyle w:val="001000000000" w:firstRow="0" w:lastRow="0" w:firstColumn="1" w:lastColumn="0" w:oddVBand="0" w:evenVBand="0" w:oddHBand="0" w:evenHBand="0" w:firstRowFirstColumn="0" w:firstRowLastColumn="0" w:lastRowFirstColumn="0" w:lastRowLastColumn="0"/>
            <w:tcW w:w="4621" w:type="dxa"/>
          </w:tcPr>
          <w:p w:rsidR="00300EBE" w:rsidRDefault="00300EBE" w:rsidP="00300EBE">
            <w:pPr>
              <w:pStyle w:val="AERbodytext"/>
            </w:pPr>
            <w:r>
              <w:t>RAB</w:t>
            </w:r>
          </w:p>
        </w:tc>
        <w:tc>
          <w:tcPr>
            <w:tcW w:w="4621" w:type="dxa"/>
          </w:tcPr>
          <w:p w:rsidR="00300EBE" w:rsidRDefault="00300EBE" w:rsidP="00300EBE">
            <w:pPr>
              <w:pStyle w:val="AERbodytext"/>
              <w:cnfStyle w:val="000000000000" w:firstRow="0" w:lastRow="0" w:firstColumn="0" w:lastColumn="0" w:oddVBand="0" w:evenVBand="0" w:oddHBand="0" w:evenHBand="0" w:firstRowFirstColumn="0" w:firstRowLastColumn="0" w:lastRowFirstColumn="0" w:lastRowLastColumn="0"/>
            </w:pPr>
            <w:r>
              <w:t>regulatory asset base</w:t>
            </w:r>
          </w:p>
        </w:tc>
      </w:tr>
      <w:tr w:rsidR="00300EBE" w:rsidTr="003F39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300EBE" w:rsidRDefault="00300EBE" w:rsidP="00300EBE">
            <w:pPr>
              <w:pStyle w:val="AERbodytext"/>
            </w:pPr>
            <w:r>
              <w:t>RBA</w:t>
            </w:r>
          </w:p>
        </w:tc>
        <w:tc>
          <w:tcPr>
            <w:tcW w:w="4621" w:type="dxa"/>
          </w:tcPr>
          <w:p w:rsidR="00300EBE" w:rsidRDefault="00300EBE" w:rsidP="00300EBE">
            <w:pPr>
              <w:pStyle w:val="AERbodytext"/>
              <w:cnfStyle w:val="000000010000" w:firstRow="0" w:lastRow="0" w:firstColumn="0" w:lastColumn="0" w:oddVBand="0" w:evenVBand="0" w:oddHBand="0" w:evenHBand="1" w:firstRowFirstColumn="0" w:firstRowLastColumn="0" w:lastRowFirstColumn="0" w:lastRowLastColumn="0"/>
            </w:pPr>
            <w:r>
              <w:t>Reserve Bank of Australia</w:t>
            </w:r>
          </w:p>
        </w:tc>
      </w:tr>
      <w:tr w:rsidR="00300EBE" w:rsidTr="003F3932">
        <w:tc>
          <w:tcPr>
            <w:cnfStyle w:val="001000000000" w:firstRow="0" w:lastRow="0" w:firstColumn="1" w:lastColumn="0" w:oddVBand="0" w:evenVBand="0" w:oddHBand="0" w:evenHBand="0" w:firstRowFirstColumn="0" w:firstRowLastColumn="0" w:lastRowFirstColumn="0" w:lastRowLastColumn="0"/>
            <w:tcW w:w="4621" w:type="dxa"/>
          </w:tcPr>
          <w:p w:rsidR="00300EBE" w:rsidRDefault="00300EBE" w:rsidP="00300EBE">
            <w:pPr>
              <w:pStyle w:val="AERbodytext"/>
            </w:pPr>
            <w:r>
              <w:t>Reference service agreement proposal</w:t>
            </w:r>
          </w:p>
        </w:tc>
        <w:tc>
          <w:tcPr>
            <w:tcW w:w="4621" w:type="dxa"/>
          </w:tcPr>
          <w:p w:rsidR="00300EBE" w:rsidRDefault="00300EBE" w:rsidP="00300EBE">
            <w:pPr>
              <w:pStyle w:val="AERbodytext"/>
              <w:cnfStyle w:val="000000000000" w:firstRow="0" w:lastRow="0" w:firstColumn="0" w:lastColumn="0" w:oddVBand="0" w:evenVBand="0" w:oddHBand="0" w:evenHBand="0" w:firstRowFirstColumn="0" w:firstRowLastColumn="0" w:lastRowFirstColumn="0" w:lastRowLastColumn="0"/>
            </w:pPr>
            <w:r w:rsidRPr="00A41D43">
              <w:t xml:space="preserve">Jemena Gas Networks (NSW) Ltd, </w:t>
            </w:r>
            <w:r w:rsidRPr="00A41D43">
              <w:rPr>
                <w:rStyle w:val="AERtextitalic"/>
              </w:rPr>
              <w:t>Reference Service Agreement, JGN’s NSW gas distribution networks</w:t>
            </w:r>
            <w:r w:rsidRPr="00A41D43">
              <w:t>, 30 June 2014</w:t>
            </w:r>
          </w:p>
        </w:tc>
      </w:tr>
      <w:tr w:rsidR="00300EBE" w:rsidTr="003F39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300EBE" w:rsidRDefault="00300EBE" w:rsidP="00300EBE">
            <w:pPr>
              <w:pStyle w:val="AERbodytext"/>
            </w:pPr>
            <w:r>
              <w:t>RFM</w:t>
            </w:r>
          </w:p>
        </w:tc>
        <w:tc>
          <w:tcPr>
            <w:tcW w:w="4621" w:type="dxa"/>
          </w:tcPr>
          <w:p w:rsidR="00300EBE" w:rsidRDefault="00300EBE" w:rsidP="00300EBE">
            <w:pPr>
              <w:pStyle w:val="AERbodytext"/>
              <w:cnfStyle w:val="000000010000" w:firstRow="0" w:lastRow="0" w:firstColumn="0" w:lastColumn="0" w:oddVBand="0" w:evenVBand="0" w:oddHBand="0" w:evenHBand="1" w:firstRowFirstColumn="0" w:firstRowLastColumn="0" w:lastRowFirstColumn="0" w:lastRowLastColumn="0"/>
            </w:pPr>
            <w:r>
              <w:t>roll forward model</w:t>
            </w:r>
          </w:p>
        </w:tc>
      </w:tr>
      <w:tr w:rsidR="00300EBE" w:rsidTr="003F3932">
        <w:tc>
          <w:tcPr>
            <w:cnfStyle w:val="001000000000" w:firstRow="0" w:lastRow="0" w:firstColumn="1" w:lastColumn="0" w:oddVBand="0" w:evenVBand="0" w:oddHBand="0" w:evenHBand="0" w:firstRowFirstColumn="0" w:firstRowLastColumn="0" w:lastRowFirstColumn="0" w:lastRowLastColumn="0"/>
            <w:tcW w:w="4621" w:type="dxa"/>
          </w:tcPr>
          <w:p w:rsidR="00300EBE" w:rsidRDefault="00300EBE" w:rsidP="00300EBE">
            <w:pPr>
              <w:pStyle w:val="AERbodytext"/>
            </w:pPr>
            <w:r>
              <w:t>RIN</w:t>
            </w:r>
          </w:p>
        </w:tc>
        <w:tc>
          <w:tcPr>
            <w:tcW w:w="4621" w:type="dxa"/>
          </w:tcPr>
          <w:p w:rsidR="00300EBE" w:rsidRDefault="00300EBE" w:rsidP="00300EBE">
            <w:pPr>
              <w:pStyle w:val="AERbodytext"/>
              <w:cnfStyle w:val="000000000000" w:firstRow="0" w:lastRow="0" w:firstColumn="0" w:lastColumn="0" w:oddVBand="0" w:evenVBand="0" w:oddHBand="0" w:evenHBand="0" w:firstRowFirstColumn="0" w:firstRowLastColumn="0" w:lastRowFirstColumn="0" w:lastRowLastColumn="0"/>
            </w:pPr>
            <w:r>
              <w:t>regulatory information notice</w:t>
            </w:r>
          </w:p>
        </w:tc>
      </w:tr>
      <w:tr w:rsidR="00300EBE" w:rsidTr="003F39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300EBE" w:rsidRDefault="00300EBE" w:rsidP="00300EBE">
            <w:pPr>
              <w:pStyle w:val="AERbodytext"/>
            </w:pPr>
            <w:r>
              <w:t>RPP</w:t>
            </w:r>
          </w:p>
        </w:tc>
        <w:tc>
          <w:tcPr>
            <w:tcW w:w="4621" w:type="dxa"/>
          </w:tcPr>
          <w:p w:rsidR="00300EBE" w:rsidRDefault="00300EBE" w:rsidP="00300EBE">
            <w:pPr>
              <w:pStyle w:val="AERbodytext"/>
              <w:cnfStyle w:val="000000010000" w:firstRow="0" w:lastRow="0" w:firstColumn="0" w:lastColumn="0" w:oddVBand="0" w:evenVBand="0" w:oddHBand="0" w:evenHBand="1" w:firstRowFirstColumn="0" w:firstRowLastColumn="0" w:lastRowFirstColumn="0" w:lastRowLastColumn="0"/>
            </w:pPr>
            <w:r>
              <w:t xml:space="preserve">revenue </w:t>
            </w:r>
            <w:r w:rsidR="00162B38">
              <w:t xml:space="preserve">and </w:t>
            </w:r>
            <w:r>
              <w:t>pricing principles</w:t>
            </w:r>
          </w:p>
        </w:tc>
      </w:tr>
      <w:tr w:rsidR="00300EBE" w:rsidTr="003F3932">
        <w:tc>
          <w:tcPr>
            <w:cnfStyle w:val="001000000000" w:firstRow="0" w:lastRow="0" w:firstColumn="1" w:lastColumn="0" w:oddVBand="0" w:evenVBand="0" w:oddHBand="0" w:evenHBand="0" w:firstRowFirstColumn="0" w:firstRowLastColumn="0" w:lastRowFirstColumn="0" w:lastRowLastColumn="0"/>
            <w:tcW w:w="4621" w:type="dxa"/>
          </w:tcPr>
          <w:p w:rsidR="00300EBE" w:rsidRDefault="00300EBE" w:rsidP="00300EBE">
            <w:pPr>
              <w:pStyle w:val="AERbodytext"/>
            </w:pPr>
            <w:r>
              <w:t>SLCAPM</w:t>
            </w:r>
          </w:p>
        </w:tc>
        <w:tc>
          <w:tcPr>
            <w:tcW w:w="4621" w:type="dxa"/>
          </w:tcPr>
          <w:p w:rsidR="00300EBE" w:rsidRDefault="00300EBE" w:rsidP="00300EBE">
            <w:pPr>
              <w:pStyle w:val="AERbodytext"/>
              <w:cnfStyle w:val="000000000000" w:firstRow="0" w:lastRow="0" w:firstColumn="0" w:lastColumn="0" w:oddVBand="0" w:evenVBand="0" w:oddHBand="0" w:evenHBand="0" w:firstRowFirstColumn="0" w:firstRowLastColumn="0" w:lastRowFirstColumn="0" w:lastRowLastColumn="0"/>
            </w:pPr>
            <w:r>
              <w:t>Sharpe-Lintner capital asset pricing model</w:t>
            </w:r>
          </w:p>
        </w:tc>
      </w:tr>
      <w:tr w:rsidR="00300EBE" w:rsidTr="003F39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300EBE" w:rsidRDefault="00300EBE" w:rsidP="00300EBE">
            <w:pPr>
              <w:pStyle w:val="AERbodytext"/>
            </w:pPr>
            <w:r>
              <w:t>WACC</w:t>
            </w:r>
          </w:p>
        </w:tc>
        <w:tc>
          <w:tcPr>
            <w:tcW w:w="4621" w:type="dxa"/>
          </w:tcPr>
          <w:p w:rsidR="00300EBE" w:rsidRDefault="00300EBE" w:rsidP="00300EBE">
            <w:pPr>
              <w:pStyle w:val="AERbodytext"/>
              <w:cnfStyle w:val="000000010000" w:firstRow="0" w:lastRow="0" w:firstColumn="0" w:lastColumn="0" w:oddVBand="0" w:evenVBand="0" w:oddHBand="0" w:evenHBand="1" w:firstRowFirstColumn="0" w:firstRowLastColumn="0" w:lastRowFirstColumn="0" w:lastRowLastColumn="0"/>
            </w:pPr>
            <w:r>
              <w:t>weighted average cost of capital</w:t>
            </w:r>
          </w:p>
        </w:tc>
      </w:tr>
    </w:tbl>
    <w:p w:rsidR="00300EBE" w:rsidRDefault="00300EBE">
      <w:pPr>
        <w:spacing w:after="0" w:line="240" w:lineRule="auto"/>
        <w:jc w:val="left"/>
      </w:pPr>
    </w:p>
    <w:p w:rsidR="00300EBE" w:rsidRDefault="00300EBE">
      <w:pPr>
        <w:spacing w:after="0" w:line="240" w:lineRule="auto"/>
        <w:jc w:val="left"/>
        <w:rPr>
          <w:rFonts w:eastAsia="Times New Roman"/>
          <w:b/>
          <w:bCs/>
          <w:color w:val="E36C0A"/>
          <w:sz w:val="36"/>
          <w:szCs w:val="28"/>
        </w:rPr>
      </w:pPr>
      <w:r>
        <w:br w:type="page"/>
      </w:r>
    </w:p>
    <w:p w:rsidR="00A3053C" w:rsidRDefault="00A3053C" w:rsidP="00300EBE">
      <w:pPr>
        <w:pStyle w:val="Heading1"/>
      </w:pPr>
      <w:bookmarkStart w:id="8" w:name="_Toc404613558"/>
      <w:r w:rsidRPr="00A3053C">
        <w:lastRenderedPageBreak/>
        <w:t>Demand forecasts</w:t>
      </w:r>
      <w:bookmarkEnd w:id="0"/>
      <w:bookmarkEnd w:id="8"/>
    </w:p>
    <w:p w:rsidR="00804443" w:rsidRPr="00804443" w:rsidRDefault="00804443" w:rsidP="00804443">
      <w:pPr>
        <w:pStyle w:val="AERbodytext"/>
      </w:pPr>
      <w:r w:rsidRPr="00804443">
        <w:t xml:space="preserve">This attachment sets out the AER's assessment of the demand forecasts proposed by </w:t>
      </w:r>
      <w:r>
        <w:t>JGN</w:t>
      </w:r>
      <w:r w:rsidRPr="00804443">
        <w:t xml:space="preserve"> for its </w:t>
      </w:r>
      <w:r>
        <w:t>NSW</w:t>
      </w:r>
      <w:r w:rsidRPr="00804443">
        <w:t xml:space="preserve"> gas distribution network for the 201</w:t>
      </w:r>
      <w:r w:rsidR="00771721">
        <w:t>5</w:t>
      </w:r>
      <w:r w:rsidRPr="00804443">
        <w:t>–</w:t>
      </w:r>
      <w:r w:rsidR="00771721">
        <w:t>20</w:t>
      </w:r>
      <w:r w:rsidRPr="00804443">
        <w:t xml:space="preserve"> access arrangement period. Demand is an important input into the derivation of </w:t>
      </w:r>
      <w:r w:rsidR="00771721">
        <w:t>JGN</w:t>
      </w:r>
      <w:r w:rsidRPr="00804443">
        <w:t>'s reference tariffs. It also affects opex and capex linked to network growth.</w:t>
      </w:r>
    </w:p>
    <w:p w:rsidR="00A3053C" w:rsidRDefault="00A3053C" w:rsidP="00A3053C">
      <w:pPr>
        <w:pStyle w:val="Heading2"/>
      </w:pPr>
      <w:bookmarkStart w:id="9" w:name="_Toc396744616"/>
      <w:bookmarkStart w:id="10" w:name="_Toc404613559"/>
      <w:r w:rsidRPr="00A3053C">
        <w:t>Draft decision</w:t>
      </w:r>
      <w:bookmarkEnd w:id="9"/>
      <w:bookmarkEnd w:id="10"/>
    </w:p>
    <w:p w:rsidR="004954B7" w:rsidRDefault="00771721" w:rsidP="00936389">
      <w:pPr>
        <w:pStyle w:val="AERbodytext"/>
      </w:pPr>
      <w:r>
        <w:t xml:space="preserve">The AER does not approve the proposed demand forecasts as </w:t>
      </w:r>
      <w:r w:rsidR="005224BC">
        <w:t xml:space="preserve">we are not satisfied that </w:t>
      </w:r>
      <w:r>
        <w:t xml:space="preserve">they comply with r. 74(2) of the NGR. </w:t>
      </w:r>
      <w:r w:rsidR="004954B7">
        <w:t>JGN relied upon forecasts prepared by Core Energy. We consider that some aspects of Core Energy's forecast</w:t>
      </w:r>
      <w:r>
        <w:t xml:space="preserve"> method</w:t>
      </w:r>
      <w:r w:rsidR="004954B7">
        <w:t xml:space="preserve"> and</w:t>
      </w:r>
      <w:r>
        <w:t xml:space="preserve"> </w:t>
      </w:r>
      <w:r w:rsidRPr="00936389">
        <w:t xml:space="preserve">some assumptions </w:t>
      </w:r>
      <w:r w:rsidR="004954B7">
        <w:t>applied produces forecasts of connections and consumption which are not the best estimates possible in the circumstances</w:t>
      </w:r>
      <w:r w:rsidRPr="00936389">
        <w:t>.</w:t>
      </w:r>
    </w:p>
    <w:p w:rsidR="00394C88" w:rsidRDefault="00394C88" w:rsidP="00394C88">
      <w:pPr>
        <w:pStyle w:val="AERbodytext"/>
      </w:pPr>
      <w:r>
        <w:t xml:space="preserve">For forecast consumption, addressing the issues that we have found with the forecasting  approach used by Core Energy </w:t>
      </w:r>
      <w:r w:rsidR="00F7244F" w:rsidRPr="003E1029">
        <w:t>result</w:t>
      </w:r>
      <w:r w:rsidR="00F7244F">
        <w:t>s</w:t>
      </w:r>
      <w:r w:rsidR="00F7244F" w:rsidRPr="003E1029">
        <w:t xml:space="preserve"> in</w:t>
      </w:r>
      <w:r>
        <w:t xml:space="preserve"> increases to</w:t>
      </w:r>
      <w:r w:rsidR="00D11EA3" w:rsidRPr="00D11EA3">
        <w:t xml:space="preserve"> </w:t>
      </w:r>
      <w:r w:rsidR="00D11EA3" w:rsidRPr="003E1029">
        <w:t xml:space="preserve">annual per customer consumption </w:t>
      </w:r>
      <w:r w:rsidR="00D11EA3">
        <w:t>of</w:t>
      </w:r>
      <w:r>
        <w:t>:</w:t>
      </w:r>
    </w:p>
    <w:p w:rsidR="00394C88" w:rsidRDefault="00D11EA3" w:rsidP="00D11EA3">
      <w:pPr>
        <w:pStyle w:val="AERbulletlistfirststyle"/>
      </w:pPr>
      <w:r w:rsidRPr="003E1029">
        <w:t xml:space="preserve">up to 8 per cent </w:t>
      </w:r>
      <w:r>
        <w:t xml:space="preserve">for </w:t>
      </w:r>
      <w:r w:rsidR="00F7244F" w:rsidRPr="003E1029">
        <w:t>residential</w:t>
      </w:r>
      <w:r w:rsidR="00F7244F">
        <w:t xml:space="preserve"> </w:t>
      </w:r>
      <w:r w:rsidR="00F7244F" w:rsidRPr="003E1029">
        <w:t>customers</w:t>
      </w:r>
    </w:p>
    <w:p w:rsidR="00394C88" w:rsidRDefault="00D11EA3" w:rsidP="00D11EA3">
      <w:pPr>
        <w:pStyle w:val="AERbulletlistfirststyle"/>
      </w:pPr>
      <w:r w:rsidRPr="003E1029">
        <w:t xml:space="preserve">up to 6 per cent </w:t>
      </w:r>
      <w:r w:rsidR="00F7244F" w:rsidRPr="003E1029">
        <w:t>for small business customers</w:t>
      </w:r>
    </w:p>
    <w:p w:rsidR="00394C88" w:rsidRDefault="00D11EA3" w:rsidP="00D11EA3">
      <w:pPr>
        <w:pStyle w:val="AERbulletlistfirststyle"/>
      </w:pPr>
      <w:r w:rsidRPr="003E1029">
        <w:t xml:space="preserve">up to 17 per cent </w:t>
      </w:r>
      <w:r>
        <w:t xml:space="preserve">for </w:t>
      </w:r>
      <w:r w:rsidR="00F7244F" w:rsidRPr="003E1029">
        <w:t>tariff V</w:t>
      </w:r>
      <w:r w:rsidR="00F7244F">
        <w:t xml:space="preserve"> </w:t>
      </w:r>
      <w:r w:rsidR="00F7244F" w:rsidRPr="003E1029">
        <w:t xml:space="preserve">industrial and commercial customers. </w:t>
      </w:r>
    </w:p>
    <w:p w:rsidR="00F7244F" w:rsidRDefault="00F7244F" w:rsidP="00394C88">
      <w:pPr>
        <w:pStyle w:val="AERbodytext"/>
      </w:pPr>
      <w:r w:rsidRPr="003E1029">
        <w:t>There is no change for tariff D</w:t>
      </w:r>
      <w:r>
        <w:t xml:space="preserve"> </w:t>
      </w:r>
      <w:r w:rsidRPr="003E1029">
        <w:t>industrial and commercial customers.</w:t>
      </w:r>
    </w:p>
    <w:p w:rsidR="00394C88" w:rsidRDefault="00394C88" w:rsidP="00E2192A">
      <w:pPr>
        <w:pStyle w:val="AERbodytext"/>
      </w:pPr>
      <w:r>
        <w:t xml:space="preserve">In relation to forecast connection volumes, </w:t>
      </w:r>
      <w:r w:rsidR="00D11EA3">
        <w:t>our</w:t>
      </w:r>
      <w:r w:rsidR="00E2192A" w:rsidRPr="00E2192A">
        <w:t xml:space="preserve"> changes</w:t>
      </w:r>
      <w:r w:rsidR="00D11EA3">
        <w:t xml:space="preserve"> </w:t>
      </w:r>
      <w:r w:rsidR="00E2192A" w:rsidRPr="00E2192A">
        <w:t>result in 5,841 connections being reallocated from new estates to medium/high</w:t>
      </w:r>
      <w:r w:rsidR="00E2192A">
        <w:t xml:space="preserve"> </w:t>
      </w:r>
      <w:r w:rsidR="00E2192A" w:rsidRPr="00E2192A">
        <w:t>density and a 1,207 reduction in small business connections.</w:t>
      </w:r>
      <w:r w:rsidRPr="00394C88">
        <w:t xml:space="preserve"> </w:t>
      </w:r>
    </w:p>
    <w:p w:rsidR="003E1029" w:rsidRDefault="00394C88" w:rsidP="00E2192A">
      <w:pPr>
        <w:pStyle w:val="AERbodytext"/>
      </w:pPr>
      <w:r>
        <w:t>The reasons for our decision are discussed below.</w:t>
      </w:r>
    </w:p>
    <w:p w:rsidR="00A3053C" w:rsidRDefault="002B5813" w:rsidP="00A3053C">
      <w:pPr>
        <w:pStyle w:val="Heading2"/>
      </w:pPr>
      <w:bookmarkStart w:id="11" w:name="_Ref400556628"/>
      <w:bookmarkStart w:id="12" w:name="_Toc404613560"/>
      <w:r>
        <w:t>Jemena Gas Network's proposal</w:t>
      </w:r>
      <w:bookmarkEnd w:id="11"/>
      <w:bookmarkEnd w:id="12"/>
    </w:p>
    <w:p w:rsidR="00871AC3" w:rsidRDefault="00771721" w:rsidP="00771721">
      <w:pPr>
        <w:pStyle w:val="AERbodytext"/>
      </w:pPr>
      <w:r>
        <w:t xml:space="preserve">JGN engaged Core Energy Group Pty Ltd (Core) to prepare its demand forecasts. </w:t>
      </w:r>
    </w:p>
    <w:p w:rsidR="00771721" w:rsidRDefault="00771721" w:rsidP="00771721">
      <w:pPr>
        <w:pStyle w:val="AERbodytext"/>
      </w:pPr>
      <w:r>
        <w:t xml:space="preserve">Core applied </w:t>
      </w:r>
      <w:r w:rsidR="00CD0858">
        <w:t>the following</w:t>
      </w:r>
      <w:r>
        <w:t xml:space="preserve"> approach to produce </w:t>
      </w:r>
      <w:r w:rsidR="00B4729E">
        <w:t>JGN</w:t>
      </w:r>
      <w:r>
        <w:t xml:space="preserve">'s proposed </w:t>
      </w:r>
      <w:r w:rsidR="000C39BC">
        <w:t xml:space="preserve">Tariff V </w:t>
      </w:r>
      <w:r>
        <w:t>demand forecasts</w:t>
      </w:r>
      <w:r w:rsidR="004B6C23">
        <w:t>. It</w:t>
      </w:r>
      <w:r>
        <w:t>:</w:t>
      </w:r>
      <w:r>
        <w:rPr>
          <w:rStyle w:val="FootnoteReference"/>
        </w:rPr>
        <w:footnoteReference w:id="1"/>
      </w:r>
    </w:p>
    <w:p w:rsidR="00771721" w:rsidRDefault="00874AF5" w:rsidP="00771721">
      <w:pPr>
        <w:pStyle w:val="AERbulletlistfirststyle"/>
      </w:pPr>
      <w:r>
        <w:t>N</w:t>
      </w:r>
      <w:r w:rsidR="00771721">
        <w:t>ormalise</w:t>
      </w:r>
      <w:r w:rsidR="004B6C23">
        <w:t>d</w:t>
      </w:r>
      <w:r w:rsidR="00771721">
        <w:t xml:space="preserve"> historic </w:t>
      </w:r>
      <w:r w:rsidR="00AA1ECA">
        <w:t>consumption</w:t>
      </w:r>
      <w:r w:rsidR="00771721">
        <w:t xml:space="preserve"> data for </w:t>
      </w:r>
      <w:r w:rsidR="000545B2">
        <w:t>the effects of weather</w:t>
      </w:r>
    </w:p>
    <w:p w:rsidR="00771721" w:rsidRDefault="00874AF5" w:rsidP="00771721">
      <w:pPr>
        <w:pStyle w:val="AERbulletlistfirststyle"/>
      </w:pPr>
      <w:r>
        <w:t>I</w:t>
      </w:r>
      <w:r w:rsidR="00771721">
        <w:t>dentif</w:t>
      </w:r>
      <w:r w:rsidR="004B6C23">
        <w:t>ied</w:t>
      </w:r>
      <w:r w:rsidR="00771721">
        <w:t xml:space="preserve"> </w:t>
      </w:r>
      <w:r w:rsidR="000C39BC">
        <w:t xml:space="preserve">material </w:t>
      </w:r>
      <w:r w:rsidR="00771721">
        <w:t xml:space="preserve">drivers of </w:t>
      </w:r>
      <w:r w:rsidR="00AA1ECA">
        <w:t>consumption</w:t>
      </w:r>
      <w:r w:rsidR="00B940A4">
        <w:t xml:space="preserve"> volumes (referred to in Core's report as demand)</w:t>
      </w:r>
      <w:r w:rsidR="00771721">
        <w:t xml:space="preserve"> for each tariff category</w:t>
      </w:r>
      <w:r w:rsidR="00C57360">
        <w:t xml:space="preserve"> that are not captured in the historical trend but will impact future gas usage. This includes</w:t>
      </w:r>
      <w:r w:rsidR="00771721">
        <w:t xml:space="preserve"> </w:t>
      </w:r>
      <w:r w:rsidR="000C39BC">
        <w:t>residential</w:t>
      </w:r>
      <w:r w:rsidR="00864802">
        <w:t xml:space="preserve"> (sub-category residential forecasts were also produced for existing, new estates, medium density/high rise and electricity to gas customer groups)</w:t>
      </w:r>
      <w:r w:rsidR="000C39BC">
        <w:t>, small business, industrial</w:t>
      </w:r>
      <w:r w:rsidR="00C57360">
        <w:t xml:space="preserve"> and commercial.</w:t>
      </w:r>
    </w:p>
    <w:p w:rsidR="000C39BC" w:rsidRDefault="00874AF5" w:rsidP="000C39BC">
      <w:pPr>
        <w:pStyle w:val="AERbulletlistfirststyle"/>
      </w:pPr>
      <w:r>
        <w:t>I</w:t>
      </w:r>
      <w:r w:rsidR="000C39BC">
        <w:t>dentif</w:t>
      </w:r>
      <w:r w:rsidR="004B6C23">
        <w:t>ied</w:t>
      </w:r>
      <w:r w:rsidR="000C39BC">
        <w:t xml:space="preserve"> </w:t>
      </w:r>
      <w:r w:rsidR="00CD0858">
        <w:t xml:space="preserve">material </w:t>
      </w:r>
      <w:r w:rsidR="000C39BC">
        <w:t>drivers of net connections for each tariff category (</w:t>
      </w:r>
      <w:r w:rsidR="00864802">
        <w:t>as described above)</w:t>
      </w:r>
      <w:r w:rsidR="000C39BC">
        <w:t xml:space="preserve"> </w:t>
      </w:r>
      <w:r w:rsidR="00CD0858">
        <w:t xml:space="preserve">that are not captured in the historical trend but will impact future gas </w:t>
      </w:r>
      <w:r w:rsidR="00AA1ECA">
        <w:t>consumption</w:t>
      </w:r>
    </w:p>
    <w:p w:rsidR="00771721" w:rsidRDefault="00874AF5" w:rsidP="00771721">
      <w:pPr>
        <w:pStyle w:val="AERbulletlistfirststyle"/>
      </w:pPr>
      <w:r>
        <w:t>S</w:t>
      </w:r>
      <w:r w:rsidR="00771721">
        <w:t>elect</w:t>
      </w:r>
      <w:r w:rsidR="004B6C23">
        <w:t>ed</w:t>
      </w:r>
      <w:r w:rsidR="00771721">
        <w:t xml:space="preserve"> a preferred methodology for </w:t>
      </w:r>
      <w:r w:rsidR="000C39BC">
        <w:t xml:space="preserve">quantifying the material drivers of </w:t>
      </w:r>
      <w:r w:rsidR="00AA1ECA">
        <w:t>consumption</w:t>
      </w:r>
      <w:r w:rsidR="00B940A4">
        <w:t xml:space="preserve"> volumes </w:t>
      </w:r>
      <w:r w:rsidR="000C39BC">
        <w:t>and net connections</w:t>
      </w:r>
      <w:r w:rsidR="00771721">
        <w:t xml:space="preserve"> based on statistical significance and supportability</w:t>
      </w:r>
    </w:p>
    <w:p w:rsidR="00771721" w:rsidRDefault="00874AF5" w:rsidP="00771721">
      <w:pPr>
        <w:pStyle w:val="AERbulletlistfirststyle"/>
      </w:pPr>
      <w:r>
        <w:lastRenderedPageBreak/>
        <w:t>D</w:t>
      </w:r>
      <w:r w:rsidR="00771721">
        <w:t>erive</w:t>
      </w:r>
      <w:r w:rsidR="004B6C23">
        <w:t>d</w:t>
      </w:r>
      <w:r w:rsidR="00771721">
        <w:t xml:space="preserve"> forecasts for </w:t>
      </w:r>
      <w:r w:rsidR="00016E7E">
        <w:t>consumption</w:t>
      </w:r>
      <w:r w:rsidR="00871AC3">
        <w:t xml:space="preserve"> volumes</w:t>
      </w:r>
      <w:r w:rsidR="000C39BC">
        <w:t xml:space="preserve"> and net connections for each tariff category and provide</w:t>
      </w:r>
      <w:r w:rsidR="004B6C23">
        <w:t>d</w:t>
      </w:r>
      <w:r w:rsidR="000C39BC">
        <w:t xml:space="preserve"> an explanation of any variance from the normalised historical trend</w:t>
      </w:r>
    </w:p>
    <w:p w:rsidR="00771721" w:rsidRDefault="00874AF5" w:rsidP="00771721">
      <w:pPr>
        <w:pStyle w:val="AERbulletlistfirststyle"/>
      </w:pPr>
      <w:r>
        <w:t>R</w:t>
      </w:r>
      <w:r w:rsidR="000C39BC">
        <w:t>eview</w:t>
      </w:r>
      <w:r w:rsidR="004B6C23">
        <w:t>ed</w:t>
      </w:r>
      <w:r w:rsidR="000C39BC">
        <w:t xml:space="preserve"> and validate</w:t>
      </w:r>
      <w:r w:rsidR="004B6C23">
        <w:t>d</w:t>
      </w:r>
      <w:r w:rsidR="000C39BC">
        <w:t xml:space="preserve"> results through discussions with JGN and independent analysis</w:t>
      </w:r>
      <w:r w:rsidR="00771721">
        <w:t>.</w:t>
      </w:r>
    </w:p>
    <w:p w:rsidR="00871AC3" w:rsidRDefault="00871AC3" w:rsidP="00771721">
      <w:pPr>
        <w:pStyle w:val="AERbodytext"/>
      </w:pPr>
      <w:r>
        <w:t>To forecast Tariff D demand</w:t>
      </w:r>
      <w:r w:rsidR="005224BC">
        <w:t>,</w:t>
      </w:r>
      <w:r>
        <w:t xml:space="preserve"> Core:</w:t>
      </w:r>
      <w:r>
        <w:rPr>
          <w:rStyle w:val="FootnoteReference"/>
        </w:rPr>
        <w:footnoteReference w:id="2"/>
      </w:r>
    </w:p>
    <w:p w:rsidR="00871AC3" w:rsidRDefault="00C23B7E" w:rsidP="00871AC3">
      <w:pPr>
        <w:pStyle w:val="AERbulletlistfirststyle"/>
      </w:pPr>
      <w:r>
        <w:t>Compile</w:t>
      </w:r>
      <w:r w:rsidR="004B6C23">
        <w:t>d</w:t>
      </w:r>
      <w:r>
        <w:t xml:space="preserve"> individual customer historical </w:t>
      </w:r>
      <w:r w:rsidR="00016E7E">
        <w:t>consumption</w:t>
      </w:r>
      <w:r>
        <w:t xml:space="preserve"> volume and net connections</w:t>
      </w:r>
    </w:p>
    <w:p w:rsidR="00C23B7E" w:rsidRDefault="00C23B7E" w:rsidP="00871AC3">
      <w:pPr>
        <w:pStyle w:val="AERbulletlistfirststyle"/>
      </w:pPr>
      <w:r>
        <w:t>Identif</w:t>
      </w:r>
      <w:r w:rsidR="004B6C23">
        <w:t>ied</w:t>
      </w:r>
      <w:r>
        <w:t xml:space="preserve"> material drivers of </w:t>
      </w:r>
      <w:r w:rsidR="00016E7E">
        <w:t>consumption</w:t>
      </w:r>
      <w:r>
        <w:t xml:space="preserve"> volume for the top </w:t>
      </w:r>
      <w:r w:rsidR="00016E7E">
        <w:t>5</w:t>
      </w:r>
      <w:r>
        <w:t>0 customers (collected by survey) and by industry sector for the re</w:t>
      </w:r>
      <w:r w:rsidR="00016E7E">
        <w:t>maining</w:t>
      </w:r>
      <w:r>
        <w:t xml:space="preserve"> customers</w:t>
      </w:r>
      <w:r w:rsidR="00277388" w:rsidRPr="00277388">
        <w:t xml:space="preserve"> </w:t>
      </w:r>
      <w:r w:rsidR="00277388">
        <w:t xml:space="preserve">that are not captured in the historical trend but will impact future gas </w:t>
      </w:r>
      <w:r w:rsidR="00016E7E">
        <w:t>consumption</w:t>
      </w:r>
    </w:p>
    <w:p w:rsidR="00277388" w:rsidRDefault="00277388" w:rsidP="00871AC3">
      <w:pPr>
        <w:pStyle w:val="AERbulletlistfirststyle"/>
      </w:pPr>
      <w:r>
        <w:t>Ma</w:t>
      </w:r>
      <w:r w:rsidR="004B6C23">
        <w:t>d</w:t>
      </w:r>
      <w:r>
        <w:t xml:space="preserve">e adjustments for reallocation of </w:t>
      </w:r>
      <w:r w:rsidR="00016E7E">
        <w:t>consumption</w:t>
      </w:r>
      <w:r>
        <w:t xml:space="preserve"> between Tariff D and Tariff V, based on advice from JGN</w:t>
      </w:r>
    </w:p>
    <w:p w:rsidR="00277388" w:rsidRDefault="00277388" w:rsidP="00277388">
      <w:pPr>
        <w:pStyle w:val="AERbulletlistfirststyle"/>
      </w:pPr>
      <w:r>
        <w:t>Select</w:t>
      </w:r>
      <w:r w:rsidR="004B6C23">
        <w:t>ed</w:t>
      </w:r>
      <w:r>
        <w:t xml:space="preserve"> a preferred methodology for quantifying the material drivers of changes in chargeable demand (CD)</w:t>
      </w:r>
      <w:r>
        <w:rPr>
          <w:rStyle w:val="FootnoteReference"/>
        </w:rPr>
        <w:footnoteReference w:id="3"/>
      </w:r>
      <w:r>
        <w:t xml:space="preserve"> based on statistical significance and supportability</w:t>
      </w:r>
    </w:p>
    <w:p w:rsidR="00277388" w:rsidRDefault="00277388" w:rsidP="00277388">
      <w:pPr>
        <w:pStyle w:val="AERbulletlistfirststyle"/>
      </w:pPr>
      <w:r>
        <w:t>Derive</w:t>
      </w:r>
      <w:r w:rsidR="004B6C23">
        <w:t>d</w:t>
      </w:r>
      <w:r>
        <w:t xml:space="preserve"> forecasts of chargeable demand.</w:t>
      </w:r>
    </w:p>
    <w:p w:rsidR="00277388" w:rsidRDefault="00874AF5" w:rsidP="00277388">
      <w:pPr>
        <w:pStyle w:val="AERbulletlistfirststyle"/>
      </w:pPr>
      <w:r>
        <w:t>R</w:t>
      </w:r>
      <w:r w:rsidR="00277388">
        <w:t>eview</w:t>
      </w:r>
      <w:r w:rsidR="004B6C23">
        <w:t>ed</w:t>
      </w:r>
      <w:r w:rsidR="00277388">
        <w:t xml:space="preserve"> and validate</w:t>
      </w:r>
      <w:r w:rsidR="004B6C23">
        <w:t>d</w:t>
      </w:r>
      <w:r w:rsidR="00277388">
        <w:t xml:space="preserve"> results through discussions with JGN and independent analysis.</w:t>
      </w:r>
    </w:p>
    <w:p w:rsidR="002B5813" w:rsidRDefault="002B5813" w:rsidP="002B5813">
      <w:pPr>
        <w:pStyle w:val="Heading2"/>
      </w:pPr>
      <w:bookmarkStart w:id="13" w:name="_Toc404613561"/>
      <w:r>
        <w:t>Assessment approach</w:t>
      </w:r>
      <w:bookmarkEnd w:id="13"/>
    </w:p>
    <w:p w:rsidR="00754AEF" w:rsidRPr="00FC75E9" w:rsidRDefault="00754AEF" w:rsidP="00754AEF">
      <w:pPr>
        <w:pStyle w:val="AERbodytext"/>
      </w:pPr>
      <w:r w:rsidRPr="00FC75E9">
        <w:t xml:space="preserve">The NGR require a full access arrangement proposal for a distribution pipeline to include usage of the pipeline over the earlier access arrangement period showing: </w:t>
      </w:r>
    </w:p>
    <w:p w:rsidR="00754AEF" w:rsidRPr="00754AEF" w:rsidRDefault="00754AEF" w:rsidP="00754AEF">
      <w:pPr>
        <w:pStyle w:val="AERbulletlistfirststyle"/>
      </w:pPr>
      <w:r w:rsidRPr="00FC75E9">
        <w:t>minimum, maximum and average demand; and customer numbers in total and by tariff class</w:t>
      </w:r>
      <w:r w:rsidRPr="00754AEF">
        <w:rPr>
          <w:rStyle w:val="FootnoteReference"/>
        </w:rPr>
        <w:footnoteReference w:id="4"/>
      </w:r>
    </w:p>
    <w:p w:rsidR="00754AEF" w:rsidRPr="00754AEF" w:rsidRDefault="00754AEF" w:rsidP="00754AEF">
      <w:pPr>
        <w:pStyle w:val="AERbulletlistfirststyle"/>
      </w:pPr>
      <w:r w:rsidRPr="00FC75E9">
        <w:t>to the extent that it is practicable to forecast pipeline capacity and utilisation of pipeline capacity over the access arrangement period, a forecast of pipeline capacity and utilisation of pipeline capacity over that period and the basis on which the forecast has been derived.</w:t>
      </w:r>
      <w:r w:rsidRPr="00754AEF">
        <w:rPr>
          <w:rStyle w:val="FootnoteReference"/>
        </w:rPr>
        <w:footnoteReference w:id="5"/>
      </w:r>
      <w:r w:rsidRPr="00754AEF">
        <w:t xml:space="preserve"> </w:t>
      </w:r>
    </w:p>
    <w:p w:rsidR="00754AEF" w:rsidRPr="00FC75E9" w:rsidRDefault="005224BC" w:rsidP="00754AEF">
      <w:pPr>
        <w:pStyle w:val="AERbodytext"/>
      </w:pPr>
      <w:r>
        <w:t>The NGR also require that forecasts and estimates</w:t>
      </w:r>
      <w:r w:rsidR="00754AEF" w:rsidRPr="00FC75E9">
        <w:t>:</w:t>
      </w:r>
      <w:r w:rsidR="00754AEF" w:rsidRPr="00FC75E9">
        <w:rPr>
          <w:rStyle w:val="FootnoteReference"/>
        </w:rPr>
        <w:footnoteReference w:id="6"/>
      </w:r>
    </w:p>
    <w:p w:rsidR="00754AEF" w:rsidRPr="00754AEF" w:rsidRDefault="00754AEF" w:rsidP="00754AEF">
      <w:pPr>
        <w:pStyle w:val="AERbulletlistfirststyle"/>
      </w:pPr>
      <w:r>
        <w:t>are</w:t>
      </w:r>
      <w:r w:rsidRPr="00754AEF">
        <w:t xml:space="preserve"> arrived at on a reasonable basis </w:t>
      </w:r>
    </w:p>
    <w:p w:rsidR="00754AEF" w:rsidRPr="00FC75E9" w:rsidRDefault="00754AEF" w:rsidP="00754AEF">
      <w:pPr>
        <w:pStyle w:val="AERbulletlistfirststyle"/>
      </w:pPr>
      <w:r w:rsidRPr="00FC75E9">
        <w:t xml:space="preserve">represent the best forecast or estimate possible in the circumstances. </w:t>
      </w:r>
    </w:p>
    <w:p w:rsidR="00754AEF" w:rsidRPr="00FC75E9" w:rsidRDefault="000B4A43" w:rsidP="00754AEF">
      <w:pPr>
        <w:pStyle w:val="AERbodytext"/>
      </w:pPr>
      <w:r>
        <w:t>We</w:t>
      </w:r>
      <w:r w:rsidR="00754AEF" w:rsidRPr="00FC75E9">
        <w:t xml:space="preserve"> consider that there are two important considerations in assessing whether demand forecasts are arrived at on a reasonable basis and whether they represent the best forecasts possible </w:t>
      </w:r>
      <w:r w:rsidR="00754AEF">
        <w:t>in</w:t>
      </w:r>
      <w:r w:rsidR="00754AEF" w:rsidRPr="00FC75E9">
        <w:t xml:space="preserve"> the circumstances.</w:t>
      </w:r>
      <w:r w:rsidR="00754AEF" w:rsidRPr="00FC75E9">
        <w:rPr>
          <w:rStyle w:val="FootnoteReference"/>
        </w:rPr>
        <w:footnoteReference w:id="7"/>
      </w:r>
      <w:r w:rsidR="00754AEF" w:rsidRPr="00FC75E9">
        <w:t xml:space="preserve"> These </w:t>
      </w:r>
      <w:r w:rsidR="00754AEF">
        <w:t>are</w:t>
      </w:r>
      <w:r w:rsidR="00754AEF" w:rsidRPr="00FC75E9">
        <w:t>:</w:t>
      </w:r>
    </w:p>
    <w:p w:rsidR="00754AEF" w:rsidRPr="00FC75E9" w:rsidRDefault="00754AEF" w:rsidP="00754AEF">
      <w:pPr>
        <w:pStyle w:val="AERbulletlistfirststyle"/>
      </w:pPr>
      <w:r w:rsidRPr="00FC75E9">
        <w:t xml:space="preserve">the appropriateness of the forecast methodology – this involves consideration of how the demand forecast has been developed and whether or not relevant factors have been taken into account. </w:t>
      </w:r>
    </w:p>
    <w:p w:rsidR="00754AEF" w:rsidRPr="00754AEF" w:rsidRDefault="00754AEF" w:rsidP="00754AEF">
      <w:pPr>
        <w:pStyle w:val="AERbulletlistfirststyle"/>
      </w:pPr>
      <w:r w:rsidRPr="00FC75E9">
        <w:lastRenderedPageBreak/>
        <w:t>the application of the forecast</w:t>
      </w:r>
      <w:r w:rsidRPr="00754AEF">
        <w:t>ing methodology – this involves consideration of the accuracy of data and assumptions on each of the input parameters.</w:t>
      </w:r>
    </w:p>
    <w:p w:rsidR="00754AEF" w:rsidRPr="00FC75E9" w:rsidRDefault="00754AEF" w:rsidP="00754AEF">
      <w:pPr>
        <w:pStyle w:val="AERbodytext"/>
      </w:pPr>
      <w:r w:rsidRPr="00FC75E9">
        <w:t xml:space="preserve">To determine whether </w:t>
      </w:r>
      <w:r>
        <w:t>JGN</w:t>
      </w:r>
      <w:r w:rsidRPr="00FC75E9">
        <w:t xml:space="preserve">'s proposed demand forecasts </w:t>
      </w:r>
      <w:r>
        <w:t xml:space="preserve">are arrived at on a reasonable basis and </w:t>
      </w:r>
      <w:r w:rsidRPr="00FC75E9">
        <w:t xml:space="preserve">are the best possible forecasts </w:t>
      </w:r>
      <w:r>
        <w:t>in</w:t>
      </w:r>
      <w:r w:rsidRPr="00FC75E9">
        <w:t xml:space="preserve"> the circumstances, </w:t>
      </w:r>
      <w:r w:rsidR="000B4A43">
        <w:t>we</w:t>
      </w:r>
      <w:r w:rsidRPr="00FC75E9">
        <w:t xml:space="preserve"> reviewed the data used to impleme</w:t>
      </w:r>
      <w:r w:rsidR="004954B7">
        <w:t>nt the forecasting methodology.</w:t>
      </w:r>
    </w:p>
    <w:p w:rsidR="00754AEF" w:rsidRPr="00FC75E9" w:rsidRDefault="000B4A43" w:rsidP="004954B7">
      <w:pPr>
        <w:pStyle w:val="AERbodytext"/>
      </w:pPr>
      <w:r>
        <w:t>We</w:t>
      </w:r>
      <w:r w:rsidR="00754AEF" w:rsidRPr="00FC75E9">
        <w:t xml:space="preserve"> engaged </w:t>
      </w:r>
      <w:r w:rsidR="00754AEF">
        <w:t>Deloitte Access Economics</w:t>
      </w:r>
      <w:r w:rsidR="00754AEF" w:rsidRPr="00FC75E9">
        <w:t xml:space="preserve"> to advise on </w:t>
      </w:r>
      <w:r w:rsidR="00754AEF">
        <w:t>JGN</w:t>
      </w:r>
      <w:r w:rsidR="00754AEF" w:rsidRPr="00FC75E9">
        <w:t xml:space="preserve">'s demand forecasts </w:t>
      </w:r>
      <w:r w:rsidR="00754AEF" w:rsidRPr="004954B7">
        <w:t xml:space="preserve">and to assist </w:t>
      </w:r>
      <w:r>
        <w:t>us</w:t>
      </w:r>
      <w:r w:rsidR="00754AEF" w:rsidRPr="004954B7">
        <w:t xml:space="preserve"> develop alternative demand forecasts w</w:t>
      </w:r>
      <w:r w:rsidR="00754AEF" w:rsidRPr="00FC75E9">
        <w:t xml:space="preserve">here </w:t>
      </w:r>
      <w:r>
        <w:t>we were</w:t>
      </w:r>
      <w:r w:rsidR="00754AEF">
        <w:t xml:space="preserve"> </w:t>
      </w:r>
      <w:r w:rsidR="00754AEF" w:rsidRPr="00FC75E9">
        <w:t>not satisfied that forecasts comply with the requirements of the NGR.</w:t>
      </w:r>
    </w:p>
    <w:p w:rsidR="00754AEF" w:rsidRDefault="00754AEF" w:rsidP="00754AEF">
      <w:pPr>
        <w:pStyle w:val="AERbodytext"/>
      </w:pPr>
      <w:r>
        <w:t xml:space="preserve">In making its draft decision, </w:t>
      </w:r>
      <w:r w:rsidR="000B4A43">
        <w:t>we</w:t>
      </w:r>
      <w:r>
        <w:t xml:space="preserve"> relied on:</w:t>
      </w:r>
    </w:p>
    <w:p w:rsidR="00754AEF" w:rsidRDefault="00754AEF" w:rsidP="00754AEF">
      <w:pPr>
        <w:pStyle w:val="AERbulletlistfirststyle"/>
      </w:pPr>
      <w:r>
        <w:t>information provided by JGN as part of its proposed access arrangement; specifically, JGN's consultant report on demand forecast</w:t>
      </w:r>
      <w:r w:rsidR="004266B8">
        <w:t>s</w:t>
      </w:r>
      <w:r>
        <w:t>, demand forecast spreadsheets, access arrangement information</w:t>
      </w:r>
      <w:r w:rsidR="004266B8">
        <w:t xml:space="preserve"> and responses to </w:t>
      </w:r>
      <w:r>
        <w:t>the regulatory information notice (RIN)</w:t>
      </w:r>
    </w:p>
    <w:p w:rsidR="00754AEF" w:rsidRDefault="00754AEF" w:rsidP="00754AEF">
      <w:pPr>
        <w:pStyle w:val="AERbulletlistfirststyle"/>
      </w:pPr>
      <w:r>
        <w:t xml:space="preserve">additional information provided by JGN in response to </w:t>
      </w:r>
      <w:r w:rsidR="000B4A43">
        <w:t>our</w:t>
      </w:r>
      <w:r>
        <w:t xml:space="preserve"> information requests</w:t>
      </w:r>
    </w:p>
    <w:p w:rsidR="00754AEF" w:rsidRPr="00754AEF" w:rsidRDefault="00016E7E" w:rsidP="00754AEF">
      <w:pPr>
        <w:pStyle w:val="AERbulletlistfirststyle"/>
      </w:pPr>
      <w:r>
        <w:t>two</w:t>
      </w:r>
      <w:r w:rsidR="00754AEF">
        <w:t xml:space="preserve"> report</w:t>
      </w:r>
      <w:r>
        <w:t>s</w:t>
      </w:r>
      <w:r w:rsidR="00754AEF">
        <w:t xml:space="preserve"> provided by Deloitte Access Economics</w:t>
      </w:r>
      <w:r w:rsidR="00754AEF" w:rsidRPr="00754AEF">
        <w:rPr>
          <w:rStyle w:val="FootnoteReference"/>
        </w:rPr>
        <w:footnoteReference w:id="8"/>
      </w:r>
    </w:p>
    <w:p w:rsidR="00754AEF" w:rsidRPr="00754AEF" w:rsidRDefault="00DC1A91" w:rsidP="00EA4156">
      <w:pPr>
        <w:pStyle w:val="AERbulletlistfirststyle"/>
      </w:pPr>
      <w:r>
        <w:t>Core Energy's response to the Deloitte Access Economics report</w:t>
      </w:r>
      <w:r>
        <w:rPr>
          <w:rStyle w:val="FootnoteReference"/>
        </w:rPr>
        <w:footnoteReference w:id="9"/>
      </w:r>
      <w:r w:rsidR="00EA4156">
        <w:t>.</w:t>
      </w:r>
    </w:p>
    <w:p w:rsidR="00A3053C" w:rsidRDefault="00A3053C" w:rsidP="00A3053C">
      <w:pPr>
        <w:pStyle w:val="Heading3"/>
      </w:pPr>
      <w:bookmarkStart w:id="14" w:name="_Toc396744618"/>
      <w:bookmarkStart w:id="15" w:name="_Toc404613562"/>
      <w:r w:rsidRPr="00A3053C">
        <w:t>Interrelationships</w:t>
      </w:r>
      <w:bookmarkEnd w:id="14"/>
      <w:bookmarkEnd w:id="15"/>
      <w:r w:rsidRPr="00A3053C">
        <w:t xml:space="preserve"> </w:t>
      </w:r>
    </w:p>
    <w:p w:rsidR="003C2D3D" w:rsidRDefault="003C2D3D" w:rsidP="003C2D3D">
      <w:pPr>
        <w:pStyle w:val="AERbodytext"/>
      </w:pPr>
      <w:r>
        <w:t xml:space="preserve">In order to estimate the connections capex, the gross connections forecast developed in the demand forecasts is set equal to the volume of new connections. </w:t>
      </w:r>
      <w:r w:rsidR="000B4A43">
        <w:t>We have</w:t>
      </w:r>
      <w:r>
        <w:t xml:space="preserve"> a different view to JGN on gross connections</w:t>
      </w:r>
      <w:r w:rsidR="004266B8">
        <w:t>. This</w:t>
      </w:r>
      <w:r>
        <w:t xml:space="preserve"> result</w:t>
      </w:r>
      <w:r w:rsidR="004266B8">
        <w:t>s</w:t>
      </w:r>
      <w:r>
        <w:t xml:space="preserve"> </w:t>
      </w:r>
      <w:r w:rsidR="004266B8">
        <w:t xml:space="preserve">from </w:t>
      </w:r>
      <w:r>
        <w:t xml:space="preserve">differences </w:t>
      </w:r>
      <w:r w:rsidR="004266B8">
        <w:t xml:space="preserve">regarding </w:t>
      </w:r>
      <w:r>
        <w:t xml:space="preserve">the </w:t>
      </w:r>
      <w:r w:rsidR="00D74A64">
        <w:t xml:space="preserve">method and assumptions used in arriving at forecast gross connections. Consequently, </w:t>
      </w:r>
      <w:r w:rsidR="003337C7">
        <w:t>we</w:t>
      </w:r>
      <w:r w:rsidR="00D74A64">
        <w:t xml:space="preserve"> ha</w:t>
      </w:r>
      <w:r w:rsidR="003337C7">
        <w:t>ve</w:t>
      </w:r>
      <w:r w:rsidR="00D74A64">
        <w:t xml:space="preserve"> </w:t>
      </w:r>
      <w:r w:rsidR="00937169">
        <w:t xml:space="preserve">used </w:t>
      </w:r>
      <w:r w:rsidR="003337C7">
        <w:t>our</w:t>
      </w:r>
      <w:r w:rsidR="00937169">
        <w:t xml:space="preserve"> </w:t>
      </w:r>
      <w:r w:rsidR="00D74A64">
        <w:t xml:space="preserve">estimate of </w:t>
      </w:r>
      <w:r w:rsidR="00937169">
        <w:t xml:space="preserve">gross connections for arriving at </w:t>
      </w:r>
      <w:r w:rsidR="003337C7">
        <w:t>our</w:t>
      </w:r>
      <w:r w:rsidR="00937169">
        <w:t xml:space="preserve"> alternative capex allowance for connections</w:t>
      </w:r>
      <w:r w:rsidR="00C86B93">
        <w:t xml:space="preserve"> (see </w:t>
      </w:r>
      <w:r w:rsidR="008432CF">
        <w:t>attachment 6, section 6.4.2</w:t>
      </w:r>
      <w:r w:rsidR="00C86B93">
        <w:t>)</w:t>
      </w:r>
      <w:r w:rsidR="00937169">
        <w:t xml:space="preserve">. </w:t>
      </w:r>
      <w:r w:rsidR="00D74A64">
        <w:t xml:space="preserve"> </w:t>
      </w:r>
      <w:r>
        <w:t xml:space="preserve"> </w:t>
      </w:r>
    </w:p>
    <w:p w:rsidR="00911307" w:rsidRDefault="005B4D2B" w:rsidP="005B4D2B">
      <w:pPr>
        <w:pStyle w:val="AERbodytext"/>
      </w:pPr>
      <w:r>
        <w:t>The estimate of unaccounted for gas (UAG) expenditure, included in opex, is calculated as consumption multiplied by the UAG rate multiplied by the gas price. As UAG</w:t>
      </w:r>
      <w:r w:rsidR="00C54790">
        <w:t xml:space="preserve"> expenditure</w:t>
      </w:r>
      <w:r>
        <w:t xml:space="preserve"> is dependent on the consumption forecasts</w:t>
      </w:r>
      <w:r w:rsidR="00C54790">
        <w:t>, it will scale in accordance with adjustments to consumption.</w:t>
      </w:r>
    </w:p>
    <w:p w:rsidR="00911307" w:rsidRDefault="00034049" w:rsidP="003C2D3D">
      <w:pPr>
        <w:pStyle w:val="AERbodytext"/>
      </w:pPr>
      <w:r>
        <w:t>The number of connections and the gas demand (throughput) are variables used to determine the change in outputs. This is an element of the r</w:t>
      </w:r>
      <w:r w:rsidR="00911307">
        <w:t>ate of change</w:t>
      </w:r>
      <w:r>
        <w:t xml:space="preserve"> which is applied to the base opex.</w:t>
      </w:r>
    </w:p>
    <w:p w:rsidR="002E2C9E" w:rsidRPr="003C2D3D" w:rsidRDefault="002E2C9E" w:rsidP="003C2D3D">
      <w:pPr>
        <w:pStyle w:val="AERbodytext"/>
      </w:pPr>
      <w:r>
        <w:t>Tariff prices</w:t>
      </w:r>
      <w:r w:rsidR="00C54790">
        <w:t xml:space="preserve"> depend on estimates of per customer </w:t>
      </w:r>
      <w:r w:rsidR="00D639CD">
        <w:t>consumption and the number of connections. Changes in these forecasts will translate into changed tariff prices.</w:t>
      </w:r>
      <w:r w:rsidR="00C16210">
        <w:t xml:space="preserve"> In simple terms, tariff prices are determined by cost divided by quantity, such that an increase in forecast quantity has the effect of reducing the tariff price.</w:t>
      </w:r>
    </w:p>
    <w:p w:rsidR="002B5813" w:rsidRPr="002B5813" w:rsidRDefault="002B5813" w:rsidP="002B5813">
      <w:pPr>
        <w:pStyle w:val="Heading2"/>
      </w:pPr>
      <w:bookmarkStart w:id="16" w:name="_Toc404613563"/>
      <w:r>
        <w:t xml:space="preserve">Reasons for </w:t>
      </w:r>
      <w:r w:rsidR="009822D1">
        <w:t>d</w:t>
      </w:r>
      <w:r>
        <w:t>raft decision</w:t>
      </w:r>
      <w:bookmarkEnd w:id="16"/>
    </w:p>
    <w:p w:rsidR="006E42B9" w:rsidRPr="006E42B9" w:rsidRDefault="000B4A43" w:rsidP="006E42B9">
      <w:pPr>
        <w:pStyle w:val="AERbodytext"/>
        <w:rPr>
          <w:shd w:val="clear" w:color="auto" w:fill="FFFF00"/>
        </w:rPr>
      </w:pPr>
      <w:r>
        <w:t>We</w:t>
      </w:r>
      <w:r w:rsidR="005D1D58">
        <w:t xml:space="preserve"> do not approve the proposed demand forecasts. </w:t>
      </w:r>
      <w:r>
        <w:t>We are</w:t>
      </w:r>
      <w:r w:rsidR="004266B8">
        <w:t xml:space="preserve"> not </w:t>
      </w:r>
      <w:r w:rsidR="008D2965">
        <w:t>satisfied</w:t>
      </w:r>
      <w:r w:rsidR="004266B8">
        <w:t xml:space="preserve"> </w:t>
      </w:r>
      <w:r w:rsidR="005D1D58">
        <w:t xml:space="preserve">that elements of </w:t>
      </w:r>
      <w:r w:rsidR="00D00E71" w:rsidRPr="008246B3">
        <w:t>JGN</w:t>
      </w:r>
      <w:r w:rsidR="009F16ED" w:rsidRPr="008246B3">
        <w:t>'s forecasting methodology</w:t>
      </w:r>
      <w:r w:rsidR="005D1D58" w:rsidRPr="008246B3">
        <w:t xml:space="preserve">, some of the assumptions applied, and some of the data used, </w:t>
      </w:r>
      <w:r w:rsidR="006E42B9">
        <w:t>are</w:t>
      </w:r>
      <w:r w:rsidR="005D1D58" w:rsidRPr="008246B3">
        <w:t xml:space="preserve"> arrived at </w:t>
      </w:r>
      <w:r w:rsidR="005D1D58" w:rsidRPr="008246B3">
        <w:lastRenderedPageBreak/>
        <w:t>on a reasonable basis and represent the best estimate possible in the circumstances.</w:t>
      </w:r>
      <w:r w:rsidR="005D1D58" w:rsidRPr="008246B3">
        <w:rPr>
          <w:rStyle w:val="AERsuperscript"/>
        </w:rPr>
        <w:footnoteReference w:id="10"/>
      </w:r>
      <w:r w:rsidR="005D1D58" w:rsidRPr="008246B3">
        <w:t xml:space="preserve"> </w:t>
      </w:r>
      <w:r>
        <w:t xml:space="preserve">We </w:t>
      </w:r>
      <w:r w:rsidR="00FA4E72">
        <w:t>consider that</w:t>
      </w:r>
      <w:r w:rsidR="009F16ED" w:rsidRPr="00D12FF7">
        <w:t xml:space="preserve"> that </w:t>
      </w:r>
      <w:r w:rsidR="00FA4E72" w:rsidRPr="00D12FF7">
        <w:t>the modelling results</w:t>
      </w:r>
      <w:r w:rsidR="00FA4E72">
        <w:t xml:space="preserve"> are consequently</w:t>
      </w:r>
      <w:r w:rsidR="009F16ED">
        <w:t xml:space="preserve"> </w:t>
      </w:r>
      <w:r w:rsidR="008D2965">
        <w:t>not the best estimates in the circumstances</w:t>
      </w:r>
      <w:r w:rsidR="009F16ED" w:rsidRPr="00D12FF7">
        <w:t xml:space="preserve">.  </w:t>
      </w:r>
      <w:r w:rsidR="004118AC">
        <w:t>A summary of our reasons is below.</w:t>
      </w:r>
    </w:p>
    <w:p w:rsidR="006E42B9" w:rsidRDefault="009F16ED" w:rsidP="00394C88">
      <w:pPr>
        <w:pStyle w:val="AERbodytext"/>
        <w:numPr>
          <w:ilvl w:val="0"/>
          <w:numId w:val="0"/>
        </w:numPr>
      </w:pPr>
      <w:r w:rsidRPr="00D12FF7">
        <w:t xml:space="preserve">In particular, </w:t>
      </w:r>
      <w:r w:rsidR="00DF53F5">
        <w:t xml:space="preserve">in </w:t>
      </w:r>
      <w:r w:rsidR="006E42B9">
        <w:t>forecasting demand Core Energy:</w:t>
      </w:r>
    </w:p>
    <w:p w:rsidR="006A1E8D" w:rsidRDefault="006E42B9" w:rsidP="006E42B9">
      <w:pPr>
        <w:pStyle w:val="AERbulletlistfirststyle"/>
      </w:pPr>
      <w:r>
        <w:t>Did not include a variable to capture future economic activity</w:t>
      </w:r>
      <w:r w:rsidR="00F1506D">
        <w:t>, for example, GSP or SFD</w:t>
      </w:r>
      <w:r w:rsidR="006A1E8D">
        <w:t xml:space="preserve"> in its forecasts. </w:t>
      </w:r>
      <w:r w:rsidR="008D2965">
        <w:t>As discussed below, e</w:t>
      </w:r>
      <w:r w:rsidR="006A1E8D">
        <w:t xml:space="preserve">conomic activity </w:t>
      </w:r>
      <w:r w:rsidR="004118AC">
        <w:t xml:space="preserve">is expected to increase </w:t>
      </w:r>
      <w:r w:rsidR="006A1E8D">
        <w:t>over the next access arrangement compared with</w:t>
      </w:r>
      <w:r w:rsidR="008D2965">
        <w:t xml:space="preserve"> the current access arrangement.</w:t>
      </w:r>
      <w:r w:rsidR="006A1E8D">
        <w:t xml:space="preserve"> </w:t>
      </w:r>
      <w:r w:rsidR="004118AC">
        <w:t xml:space="preserve">As a result, the absence of such a variable in </w:t>
      </w:r>
      <w:r w:rsidR="006A1E8D">
        <w:t xml:space="preserve">Core Energy's forecasts </w:t>
      </w:r>
      <w:r w:rsidR="004118AC">
        <w:t xml:space="preserve">means they </w:t>
      </w:r>
      <w:r w:rsidR="006A1E8D">
        <w:t>are likely to under estimate per customer consumption. On the basis of Deloitte's advice, we have included GSP or SFD in our per customer consumption forecasts for tariff V residential and I&amp;C customers.</w:t>
      </w:r>
      <w:r w:rsidR="00DC2848">
        <w:t xml:space="preserve"> Deloitte estimated </w:t>
      </w:r>
      <w:r w:rsidR="004118AC">
        <w:t>"</w:t>
      </w:r>
      <w:r w:rsidR="00DC2848">
        <w:t>own price elasticity</w:t>
      </w:r>
      <w:r w:rsidR="004118AC">
        <w:t>"</w:t>
      </w:r>
      <w:r w:rsidR="00DC2848">
        <w:t xml:space="preserve"> within the model.</w:t>
      </w:r>
      <w:r w:rsidR="00795AAA">
        <w:rPr>
          <w:rStyle w:val="FootnoteReference"/>
        </w:rPr>
        <w:footnoteReference w:id="11"/>
      </w:r>
      <w:r w:rsidR="00DC2848">
        <w:t xml:space="preserve"> This resulted in different own price elasticities (the sensitivity of gas consumption per customer to changes in the gas price) being applied to tariff V residential and I&amp;C per customer consumption forecasts compared to those applied by Core Energy.</w:t>
      </w:r>
    </w:p>
    <w:p w:rsidR="006E42B9" w:rsidRDefault="006A1E8D" w:rsidP="006E42B9">
      <w:pPr>
        <w:pStyle w:val="AERbulletlistfirststyle"/>
      </w:pPr>
      <w:r>
        <w:t xml:space="preserve">Calculated a trend in per customer consumption over 2002 to 2013, which was then applied to forecast tariff V small business per customer consumption. As we consider there has been a structural change since 2008 in small business per customer consumption use, we have estimated the trend using 2008 to 2013 data.  </w:t>
      </w:r>
    </w:p>
    <w:p w:rsidR="006E42B9" w:rsidRDefault="00DC2848" w:rsidP="006E42B9">
      <w:pPr>
        <w:pStyle w:val="AERbulletlistfirststyle"/>
      </w:pPr>
      <w:r>
        <w:t xml:space="preserve">Applied a cross price elasticity </w:t>
      </w:r>
      <w:r w:rsidR="0045445D">
        <w:t>(t</w:t>
      </w:r>
      <w:r w:rsidR="0045445D" w:rsidRPr="002763A0">
        <w:t>he sensitivity of gas consumption per customer to changes in electricity prices</w:t>
      </w:r>
      <w:r w:rsidR="0045445D">
        <w:t>) of 0.1. On the basis of advice from Deloitte</w:t>
      </w:r>
      <w:r w:rsidR="005B4D2B">
        <w:t>,</w:t>
      </w:r>
      <w:r w:rsidR="0045445D">
        <w:t xml:space="preserve"> we have reduced this to 0.05.</w:t>
      </w:r>
      <w:r w:rsidR="005F326F">
        <w:rPr>
          <w:rStyle w:val="FootnoteReference"/>
        </w:rPr>
        <w:footnoteReference w:id="12"/>
      </w:r>
    </w:p>
    <w:p w:rsidR="0045445D" w:rsidRDefault="005B4D2B" w:rsidP="006E42B9">
      <w:pPr>
        <w:pStyle w:val="AERbulletlistfirststyle"/>
      </w:pPr>
      <w:r>
        <w:t xml:space="preserve">Included the carbon price in its forecasts. We have removed the carbon price given the </w:t>
      </w:r>
      <w:r w:rsidR="004118AC">
        <w:t xml:space="preserve">repeal </w:t>
      </w:r>
      <w:r>
        <w:t>of the carbon tax.</w:t>
      </w:r>
    </w:p>
    <w:p w:rsidR="00DF53F5" w:rsidRPr="00D00E71" w:rsidRDefault="00DF53F5" w:rsidP="00DF53F5">
      <w:pPr>
        <w:pStyle w:val="AERbodytext"/>
        <w:rPr>
          <w:rStyle w:val="AERtexthighlight"/>
        </w:rPr>
      </w:pPr>
      <w:r>
        <w:t>In forecasting connections</w:t>
      </w:r>
      <w:r w:rsidRPr="006E42B9">
        <w:t>:</w:t>
      </w:r>
    </w:p>
    <w:p w:rsidR="00DF53F5" w:rsidRDefault="00DF53F5" w:rsidP="00DF53F5">
      <w:pPr>
        <w:pStyle w:val="AERbulletlistfirststyle"/>
      </w:pPr>
      <w:r>
        <w:t>we were not satisfied that Core Energy's assumption that 48 per cent of new dwellings are new estate connections and 52 per cent are medium/high density connections was arrived at on a reasonable basis. Based on historical HIA data, we consider that a 44 and 56 per cent allocation respectively for new estate and medium/high density connections produces a better estimate  in the circumstances.</w:t>
      </w:r>
    </w:p>
    <w:p w:rsidR="00DF53F5" w:rsidRDefault="00DF53F5" w:rsidP="00DF53F5">
      <w:pPr>
        <w:pStyle w:val="AERbulletlistfirststyle"/>
      </w:pPr>
      <w:r>
        <w:t>we consider that Core Energy's forecast of business connections results in an overstated number of connections. This is due to the inclusion of data from 2003 to 2007 in estimating the historical trend which is projected forward.  As discussed in greater detail below, we consider that this data should be excluded due to a structural break in the series in 2008, where there was a significant step change in the number of connections. We consider that a trend calculated using 2008 to 2013 data produces the best estimate in the circumstances.</w:t>
      </w:r>
    </w:p>
    <w:p w:rsidR="00DF53F5" w:rsidRDefault="00DF53F5" w:rsidP="00394C88">
      <w:pPr>
        <w:pStyle w:val="AERbulletlistfirststyle"/>
      </w:pPr>
      <w:r>
        <w:t xml:space="preserve">we consider that Core Energy's forecast of the number of residential disconnections are overstated. This is due to the inclusion of 2002 to 2010 data in estimating the historical trend in the disconnection rate. In contrast to the 2002 to 2010 period, for the three years, 2011 to 2013, the number of disconnections has been stable. Therefore, we are not satisfied that using an </w:t>
      </w:r>
      <w:r>
        <w:lastRenderedPageBreak/>
        <w:t xml:space="preserve">increasing trend over this period is appropriate. Rather, we consider that 2011-13 data provides a more reasonable basis for forecasting disconnections than the trend over the 2002-13 period. </w:t>
      </w:r>
    </w:p>
    <w:p w:rsidR="008B4932" w:rsidRDefault="007F5837" w:rsidP="00DF53F5">
      <w:pPr>
        <w:pStyle w:val="AERbodytext"/>
      </w:pPr>
      <w:r>
        <w:t xml:space="preserve">As a result, </w:t>
      </w:r>
      <w:r w:rsidR="000B4A43">
        <w:t>we</w:t>
      </w:r>
      <w:r w:rsidR="009F16ED" w:rsidRPr="00D12FF7">
        <w:t xml:space="preserve"> consider that </w:t>
      </w:r>
      <w:r w:rsidR="00D00E71">
        <w:t>JGN</w:t>
      </w:r>
      <w:r w:rsidR="009F16ED" w:rsidRPr="00D12FF7">
        <w:t>'s proposed demand forecasts are not arrived at on a reasonable basis and do not represent the best forecasts possible in the circumstances.</w:t>
      </w:r>
      <w:r w:rsidR="009F16ED" w:rsidRPr="009F16ED">
        <w:t xml:space="preserve"> The reasons for </w:t>
      </w:r>
      <w:r w:rsidR="000B4A43">
        <w:t>our</w:t>
      </w:r>
      <w:r w:rsidR="009F16ED" w:rsidRPr="009F16ED">
        <w:t xml:space="preserve"> decision are discussed </w:t>
      </w:r>
      <w:r>
        <w:t xml:space="preserve">in greater detail </w:t>
      </w:r>
      <w:r w:rsidR="009F16ED" w:rsidRPr="009F16ED">
        <w:t>below.</w:t>
      </w:r>
    </w:p>
    <w:p w:rsidR="009F16ED" w:rsidRPr="009F16ED" w:rsidRDefault="009F16ED" w:rsidP="009F16ED">
      <w:pPr>
        <w:pStyle w:val="Heading3"/>
      </w:pPr>
      <w:bookmarkStart w:id="17" w:name="_Toc404613564"/>
      <w:r w:rsidRPr="009F16ED">
        <w:t>Minimum, maximum and average demand</w:t>
      </w:r>
      <w:bookmarkEnd w:id="17"/>
    </w:p>
    <w:p w:rsidR="009F16ED" w:rsidRPr="00D61364" w:rsidRDefault="009F16ED" w:rsidP="009F16ED">
      <w:pPr>
        <w:pStyle w:val="AERbodytext"/>
      </w:pPr>
      <w:r w:rsidRPr="009F16ED">
        <w:rPr>
          <w:rFonts w:eastAsia="Calibri"/>
        </w:rPr>
        <w:t xml:space="preserve">Under the NGR, </w:t>
      </w:r>
      <w:r w:rsidR="00D00E71">
        <w:rPr>
          <w:rFonts w:eastAsia="Calibri"/>
        </w:rPr>
        <w:t>JGN</w:t>
      </w:r>
      <w:r w:rsidRPr="009F16ED">
        <w:rPr>
          <w:rFonts w:eastAsia="Calibri"/>
        </w:rPr>
        <w:t>'s access arrangement information must include minimum, maximum and average demand for the earlier access arrangement.</w:t>
      </w:r>
      <w:r w:rsidRPr="009F16ED">
        <w:rPr>
          <w:rStyle w:val="FootnoteReference"/>
          <w:rFonts w:eastAsia="Calibri"/>
        </w:rPr>
        <w:footnoteReference w:id="13"/>
      </w:r>
      <w:r w:rsidRPr="009F16ED">
        <w:rPr>
          <w:rFonts w:eastAsia="Calibri"/>
        </w:rPr>
        <w:t xml:space="preserve"> </w:t>
      </w:r>
      <w:r w:rsidR="000B4A43">
        <w:rPr>
          <w:rFonts w:eastAsia="Calibri"/>
        </w:rPr>
        <w:t>We</w:t>
      </w:r>
      <w:r w:rsidRPr="009F16ED">
        <w:rPr>
          <w:rFonts w:eastAsia="Calibri"/>
        </w:rPr>
        <w:t xml:space="preserve"> consider that the information contained within the AAI satisf</w:t>
      </w:r>
      <w:r w:rsidR="00D00E71">
        <w:rPr>
          <w:rFonts w:eastAsia="Calibri"/>
        </w:rPr>
        <w:t>ies</w:t>
      </w:r>
      <w:r w:rsidRPr="009F16ED">
        <w:rPr>
          <w:rFonts w:eastAsia="Calibri"/>
        </w:rPr>
        <w:t xml:space="preserve"> the requirement of r. 72(1)(a)(iii)(A) of the NGR.</w:t>
      </w:r>
      <w:r w:rsidR="00D00E71">
        <w:rPr>
          <w:rStyle w:val="FootnoteReference"/>
          <w:rFonts w:eastAsia="Calibri"/>
        </w:rPr>
        <w:footnoteReference w:id="14"/>
      </w:r>
      <w:r w:rsidRPr="009F16ED">
        <w:rPr>
          <w:rFonts w:eastAsia="Calibri"/>
        </w:rPr>
        <w:t xml:space="preserve"> </w:t>
      </w:r>
      <w:r w:rsidR="000B4A43">
        <w:rPr>
          <w:rFonts w:eastAsia="Calibri"/>
        </w:rPr>
        <w:t>We</w:t>
      </w:r>
      <w:r w:rsidRPr="009F16ED">
        <w:rPr>
          <w:rFonts w:eastAsia="Calibri"/>
        </w:rPr>
        <w:t xml:space="preserve"> also consider that the total customer numbers as shown in the access arrangement information and the breakdown by tariff class as shown in the RIN pro forma satisfy the requirement of r. 72(1)(a)(iii)(B) of the NGR.</w:t>
      </w:r>
      <w:r w:rsidR="00923933">
        <w:rPr>
          <w:rStyle w:val="FootnoteReference"/>
          <w:rFonts w:eastAsia="Calibri"/>
        </w:rPr>
        <w:footnoteReference w:id="15"/>
      </w:r>
      <w:r w:rsidRPr="009F16ED">
        <w:rPr>
          <w:rFonts w:eastAsia="Calibri"/>
        </w:rPr>
        <w:t xml:space="preserve"> </w:t>
      </w:r>
    </w:p>
    <w:p w:rsidR="009F16ED" w:rsidRDefault="009F16ED" w:rsidP="009F16ED">
      <w:pPr>
        <w:pStyle w:val="Heading3"/>
      </w:pPr>
      <w:bookmarkStart w:id="18" w:name="_Toc404613565"/>
      <w:r>
        <w:t>Forecast pipeline capacity and utilisation</w:t>
      </w:r>
      <w:bookmarkEnd w:id="18"/>
    </w:p>
    <w:p w:rsidR="00390641" w:rsidRPr="00390641" w:rsidRDefault="009F16ED" w:rsidP="00390641">
      <w:pPr>
        <w:pStyle w:val="AERbodytext"/>
      </w:pPr>
      <w:r w:rsidRPr="009F16ED">
        <w:rPr>
          <w:rFonts w:eastAsia="Calibri"/>
        </w:rPr>
        <w:t xml:space="preserve">Rule 72(1)(d) of the NGR requires that, to the extent practicable, the access arrangement information should include forecast pipeline capacity and utilisation of pipeline capacity over the access arrangement period. </w:t>
      </w:r>
      <w:r w:rsidR="00743BFC" w:rsidRPr="00743BFC">
        <w:rPr>
          <w:rFonts w:eastAsia="Calibri"/>
        </w:rPr>
        <w:t xml:space="preserve">JGN did not provide information on pipeline capacity and utilisation. </w:t>
      </w:r>
      <w:r w:rsidR="00390641">
        <w:rPr>
          <w:rFonts w:eastAsia="Calibri"/>
        </w:rPr>
        <w:t>JGN submitted that:</w:t>
      </w:r>
      <w:r w:rsidR="00390641">
        <w:rPr>
          <w:rStyle w:val="FootnoteReference"/>
          <w:rFonts w:eastAsia="Calibri"/>
        </w:rPr>
        <w:footnoteReference w:id="16"/>
      </w:r>
      <w:r w:rsidR="00390641">
        <w:rPr>
          <w:rFonts w:eastAsia="Calibri"/>
        </w:rPr>
        <w:t xml:space="preserve"> </w:t>
      </w:r>
    </w:p>
    <w:p w:rsidR="00390641" w:rsidRDefault="00390641" w:rsidP="00743BFC">
      <w:pPr>
        <w:pStyle w:val="AERquote"/>
      </w:pPr>
      <w:r w:rsidRPr="00390641">
        <w:t>Capacity information for a distribution network is not available or meaningful for</w:t>
      </w:r>
      <w:r>
        <w:t xml:space="preserve"> </w:t>
      </w:r>
      <w:r w:rsidRPr="00390641">
        <w:t>a distribution pipeline. The JGN network is a geographically dispersed network made up of interconnected pipes and there are a</w:t>
      </w:r>
      <w:r>
        <w:t xml:space="preserve"> </w:t>
      </w:r>
      <w:r w:rsidRPr="00390641">
        <w:t>number of practical considerations governing why the calculation of capacity is not practicable.</w:t>
      </w:r>
    </w:p>
    <w:p w:rsidR="009F16ED" w:rsidRPr="00342AB1" w:rsidRDefault="000B4A43" w:rsidP="00390641">
      <w:pPr>
        <w:pStyle w:val="AERbodytext"/>
      </w:pPr>
      <w:r>
        <w:rPr>
          <w:rFonts w:eastAsia="Calibri"/>
        </w:rPr>
        <w:t>We</w:t>
      </w:r>
      <w:r w:rsidR="009F16ED" w:rsidRPr="00390641">
        <w:rPr>
          <w:rFonts w:eastAsia="Calibri"/>
        </w:rPr>
        <w:t xml:space="preserve"> </w:t>
      </w:r>
      <w:r w:rsidR="00743BFC">
        <w:rPr>
          <w:rFonts w:eastAsia="Calibri"/>
        </w:rPr>
        <w:t>accept that</w:t>
      </w:r>
      <w:r w:rsidR="009F16ED" w:rsidRPr="00390641">
        <w:rPr>
          <w:rFonts w:eastAsia="Calibri"/>
        </w:rPr>
        <w:t xml:space="preserve"> there are a number of practical considerations governing why the calculation of utilisation is not straight</w:t>
      </w:r>
      <w:r>
        <w:rPr>
          <w:rFonts w:eastAsia="Calibri"/>
        </w:rPr>
        <w:t xml:space="preserve"> </w:t>
      </w:r>
      <w:r w:rsidR="009F16ED" w:rsidRPr="00390641">
        <w:rPr>
          <w:rFonts w:eastAsia="Calibri"/>
        </w:rPr>
        <w:t>forward.</w:t>
      </w:r>
    </w:p>
    <w:p w:rsidR="009F16ED" w:rsidRDefault="0082691A" w:rsidP="009F16ED">
      <w:pPr>
        <w:pStyle w:val="Heading3"/>
      </w:pPr>
      <w:bookmarkStart w:id="19" w:name="_Toc404613566"/>
      <w:r>
        <w:t>Forecast of consumption per customer</w:t>
      </w:r>
      <w:bookmarkEnd w:id="19"/>
    </w:p>
    <w:p w:rsidR="005B4E7E" w:rsidRPr="005B4E7E" w:rsidRDefault="005B4E7E" w:rsidP="005B4E7E">
      <w:pPr>
        <w:pStyle w:val="AERbodytext"/>
      </w:pPr>
      <w:r>
        <w:t>In producing consumption per customer forecasts Core Energy undertook weather normalisation of historical data, used the historical trend to forecast consumption per customer and then applied post-model adjustments for changes in electricity and gas prices. A discussion of these steps follows below.</w:t>
      </w:r>
    </w:p>
    <w:p w:rsidR="0082691A" w:rsidRDefault="0082691A" w:rsidP="00587021">
      <w:pPr>
        <w:pStyle w:val="HeadingBoldBlue"/>
      </w:pPr>
      <w:r w:rsidRPr="00587021">
        <w:t>Weather normalisation</w:t>
      </w:r>
      <w:r w:rsidR="00727517">
        <w:t xml:space="preserve"> of historical data</w:t>
      </w:r>
    </w:p>
    <w:p w:rsidR="00727517" w:rsidRDefault="00727517" w:rsidP="00727517">
      <w:pPr>
        <w:pStyle w:val="AERbodytext"/>
      </w:pPr>
      <w:r>
        <w:t>There is a strong relationship</w:t>
      </w:r>
      <w:r w:rsidRPr="00363C1E">
        <w:t xml:space="preserve"> between gas demand and climate</w:t>
      </w:r>
      <w:r>
        <w:t xml:space="preserve">. </w:t>
      </w:r>
      <w:r w:rsidRPr="00363C1E">
        <w:t xml:space="preserve">Lower than normal temperatures </w:t>
      </w:r>
      <w:r>
        <w:t>increase gas</w:t>
      </w:r>
      <w:r w:rsidRPr="00363C1E">
        <w:t xml:space="preserve"> demand for residential heating. </w:t>
      </w:r>
      <w:r>
        <w:t xml:space="preserve">Therefore, </w:t>
      </w:r>
      <w:r w:rsidR="001018A4">
        <w:t>we</w:t>
      </w:r>
      <w:r>
        <w:t xml:space="preserve"> </w:t>
      </w:r>
      <w:r w:rsidRPr="00363C1E">
        <w:t>recognise</w:t>
      </w:r>
      <w:r>
        <w:t xml:space="preserve"> the need to adjust actual gas consumption to ensure that one-off events do not unduly bias demand forecasts. </w:t>
      </w:r>
    </w:p>
    <w:p w:rsidR="00727517" w:rsidRDefault="00944C5A" w:rsidP="00727517">
      <w:pPr>
        <w:pStyle w:val="AERbodytext"/>
      </w:pPr>
      <w:r>
        <w:t>Core Energy</w:t>
      </w:r>
      <w:r w:rsidR="00727517">
        <w:t>'s forecasts account for the impact that weather has on gas demand through a process of weather normalisation.</w:t>
      </w:r>
      <w:r>
        <w:t xml:space="preserve"> </w:t>
      </w:r>
      <w:r w:rsidR="00615082">
        <w:t>Core Energy applies the Effective Degree Day method for determining actual and forecast weather. It estimates the linear trend using data from 1979 to 2013.</w:t>
      </w:r>
      <w:r w:rsidR="00615082">
        <w:rPr>
          <w:rStyle w:val="FootnoteReference"/>
        </w:rPr>
        <w:footnoteReference w:id="17"/>
      </w:r>
    </w:p>
    <w:p w:rsidR="00615082" w:rsidRDefault="00615082" w:rsidP="00727517">
      <w:pPr>
        <w:pStyle w:val="AERbodytext"/>
      </w:pPr>
      <w:r>
        <w:lastRenderedPageBreak/>
        <w:t>Deloitte questioned whether the 1979 data point should be included as it appears to be an outlier.</w:t>
      </w:r>
      <w:r>
        <w:rPr>
          <w:rStyle w:val="FootnoteReference"/>
        </w:rPr>
        <w:footnoteReference w:id="18"/>
      </w:r>
      <w:r>
        <w:t xml:space="preserve"> However, on the basis that it did not result in a material impact on total residential demand it did not suggest excluding it.</w:t>
      </w:r>
      <w:r>
        <w:rPr>
          <w:rStyle w:val="FootnoteReference"/>
        </w:rPr>
        <w:footnoteReference w:id="19"/>
      </w:r>
    </w:p>
    <w:p w:rsidR="00615082" w:rsidRPr="00727517" w:rsidRDefault="00615082" w:rsidP="00727517">
      <w:pPr>
        <w:pStyle w:val="AERbodytext"/>
      </w:pPr>
      <w:r>
        <w:t xml:space="preserve">On </w:t>
      </w:r>
      <w:r w:rsidR="00DB096F">
        <w:t xml:space="preserve">this </w:t>
      </w:r>
      <w:r>
        <w:t>basis</w:t>
      </w:r>
      <w:r w:rsidR="00DB096F">
        <w:t>, we accept</w:t>
      </w:r>
      <w:r>
        <w:t xml:space="preserve"> Deloitte's advice </w:t>
      </w:r>
      <w:r w:rsidR="00DB096F">
        <w:t>that</w:t>
      </w:r>
      <w:r>
        <w:t xml:space="preserve"> Core Energy's weather normalisation of the historical data. </w:t>
      </w:r>
    </w:p>
    <w:p w:rsidR="0082691A" w:rsidRDefault="00587021" w:rsidP="00587021">
      <w:pPr>
        <w:pStyle w:val="HeadingBoldBlue"/>
      </w:pPr>
      <w:r>
        <w:t>Structural approach vs</w:t>
      </w:r>
      <w:r w:rsidR="00835254">
        <w:t xml:space="preserve"> time series approach</w:t>
      </w:r>
    </w:p>
    <w:p w:rsidR="00615082" w:rsidRDefault="003F4320" w:rsidP="00615082">
      <w:pPr>
        <w:pStyle w:val="AERbodytext"/>
      </w:pPr>
      <w:r>
        <w:t>Core Energy used a time series approach as the starting point for estimating consumption per person.</w:t>
      </w:r>
    </w:p>
    <w:p w:rsidR="00284DEA" w:rsidRDefault="003F4320" w:rsidP="00006A14">
      <w:pPr>
        <w:pStyle w:val="AERbodytext"/>
      </w:pPr>
      <w:r>
        <w:t xml:space="preserve">We consider that this approach </w:t>
      </w:r>
      <w:r w:rsidR="00DB096F">
        <w:t>includes problems, including a lack of</w:t>
      </w:r>
      <w:r>
        <w:t xml:space="preserve"> information about future economic activity to alter the path from the historical trend. This approach is reasonable where there is no expectation of a change in economic outlook. However</w:t>
      </w:r>
      <w:r w:rsidR="00DB096F">
        <w:t>, as discussed below,</w:t>
      </w:r>
      <w:r>
        <w:t xml:space="preserve"> that is not the case when we compare the outlook for the next access arrangement period compared with the current. </w:t>
      </w:r>
    </w:p>
    <w:p w:rsidR="00284DEA" w:rsidRDefault="003F4320" w:rsidP="00006A14">
      <w:pPr>
        <w:pStyle w:val="AERbodytext"/>
      </w:pPr>
      <w:r>
        <w:t>Economic activity in NSW has been depressed over the current access arrangement period. The NSW Treasury and Deloitte Access Economics are forecasting increased economic activity during the next access arrangement period. In the 2014-15 Budget, the NSW Treasury included projections of 3.25 per cent growth in real state final demand and 3.0 per cent growth in real gross state product over the 2013-14 to 2015-16 period.</w:t>
      </w:r>
      <w:r w:rsidR="00BA67BA">
        <w:rPr>
          <w:rStyle w:val="FootnoteReference"/>
        </w:rPr>
        <w:footnoteReference w:id="20"/>
      </w:r>
      <w:r>
        <w:t xml:space="preserve"> </w:t>
      </w:r>
      <w:r w:rsidR="00006A14">
        <w:t>This is off a base of 1.7 and 1.8 per cent growth respectively in 2012-13. Deloitte Access Economics has forecast average annual GSP growth of 2.5 per cent over the 2014-20 period, compared with 1.9 per cent growth over the 2009-13 period.</w:t>
      </w:r>
      <w:r w:rsidR="00006A14">
        <w:rPr>
          <w:rStyle w:val="FootnoteReference"/>
        </w:rPr>
        <w:footnoteReference w:id="21"/>
      </w:r>
      <w:r w:rsidR="00006A14">
        <w:t xml:space="preserve"> </w:t>
      </w:r>
    </w:p>
    <w:p w:rsidR="00006A14" w:rsidRDefault="00006A14" w:rsidP="00006A14">
      <w:pPr>
        <w:pStyle w:val="AERbodytext"/>
      </w:pPr>
      <w:r>
        <w:t>Core stated that it believes that 'the approximate 2 per cent NSW GSP growth observed in recent history to be within an acceptable range of potential outcomes'.</w:t>
      </w:r>
      <w:r>
        <w:rPr>
          <w:rStyle w:val="FootnoteReference"/>
        </w:rPr>
        <w:footnoteReference w:id="22"/>
      </w:r>
      <w:r>
        <w:t xml:space="preserve"> It states that notwithstanding other's forecasts, 'on balance history would appear to provide a reasonable guide to future demand (adjusted for price impact</w:t>
      </w:r>
      <w:r w:rsidR="00284DEA">
        <w:t>)</w:t>
      </w:r>
      <w:r>
        <w:t>'.</w:t>
      </w:r>
      <w:r>
        <w:rPr>
          <w:rStyle w:val="FootnoteReference"/>
        </w:rPr>
        <w:footnoteReference w:id="23"/>
      </w:r>
      <w:r>
        <w:t xml:space="preserve"> </w:t>
      </w:r>
      <w:r w:rsidR="00DB096F">
        <w:t xml:space="preserve">This seems inconsistent with </w:t>
      </w:r>
      <w:r>
        <w:t>Core Energy</w:t>
      </w:r>
      <w:r w:rsidR="00DB096F">
        <w:t>'s forecasting approach</w:t>
      </w:r>
      <w:r>
        <w:t xml:space="preserve"> </w:t>
      </w:r>
      <w:r w:rsidR="00DB096F">
        <w:t xml:space="preserve">for Envestra's Victorian gas distribution network. In that report, Core Energy </w:t>
      </w:r>
      <w:r>
        <w:t>included GSP in the forecast.</w:t>
      </w:r>
      <w:r w:rsidR="00136150">
        <w:rPr>
          <w:rStyle w:val="FootnoteReference"/>
        </w:rPr>
        <w:footnoteReference w:id="24"/>
      </w:r>
      <w:r>
        <w:t xml:space="preserve"> Deloitte considers that</w:t>
      </w:r>
      <w:r w:rsidR="00DB096F">
        <w:t>,</w:t>
      </w:r>
      <w:r>
        <w:t xml:space="preserve"> by not including an indicator to capture the impact of the expected improvement in economic activity on gas demand, Core Energy is likely to have under-forecast consumption over the 2015-20 access arrangement period.</w:t>
      </w:r>
      <w:r>
        <w:rPr>
          <w:rStyle w:val="FootnoteReference"/>
        </w:rPr>
        <w:footnoteReference w:id="25"/>
      </w:r>
    </w:p>
    <w:p w:rsidR="00284DEA" w:rsidRDefault="00DB096F" w:rsidP="00006A14">
      <w:pPr>
        <w:pStyle w:val="AERbodytext"/>
      </w:pPr>
      <w:r>
        <w:t>Conversely</w:t>
      </w:r>
      <w:r w:rsidR="00006A14">
        <w:t xml:space="preserve">, Deloitte applied a structural approach to estimate per </w:t>
      </w:r>
      <w:r w:rsidR="00284DEA">
        <w:t>customer</w:t>
      </w:r>
      <w:r w:rsidR="00006A14">
        <w:t xml:space="preserve"> consumption. This involve</w:t>
      </w:r>
      <w:r w:rsidR="004F24FA">
        <w:t>d</w:t>
      </w:r>
      <w:r w:rsidR="00006A14">
        <w:t xml:space="preserve"> identifying drivers of gas consumption per </w:t>
      </w:r>
      <w:r w:rsidR="00284DEA">
        <w:t>customer</w:t>
      </w:r>
      <w:r w:rsidR="00006A14">
        <w:t xml:space="preserve"> and forecasting the relative influence of those drivers. Deloitte included indicators of future economic activity (GSP or SFD growth forecasts)</w:t>
      </w:r>
      <w:r w:rsidR="002763A0">
        <w:t xml:space="preserve"> and</w:t>
      </w:r>
      <w:r w:rsidR="00006A14">
        <w:t xml:space="preserve"> </w:t>
      </w:r>
      <w:r w:rsidR="004F24FA">
        <w:t xml:space="preserve">the sensitivity of gas consumption per </w:t>
      </w:r>
      <w:r w:rsidR="00284DEA">
        <w:t>customer</w:t>
      </w:r>
      <w:r w:rsidR="004F24FA">
        <w:t xml:space="preserve"> to changes in the </w:t>
      </w:r>
      <w:r w:rsidR="00006A14">
        <w:t>gas price</w:t>
      </w:r>
      <w:r w:rsidR="003F4320">
        <w:t xml:space="preserve"> </w:t>
      </w:r>
      <w:r w:rsidR="004F24FA">
        <w:t xml:space="preserve">(own price elasticity). </w:t>
      </w:r>
      <w:r>
        <w:t>I</w:t>
      </w:r>
      <w:r w:rsidR="004F24FA">
        <w:t xml:space="preserve">ncluding the own price elasticity within the model </w:t>
      </w:r>
      <w:r>
        <w:t xml:space="preserve">estimates </w:t>
      </w:r>
      <w:r w:rsidR="00EF64E9">
        <w:t>the relationship between the drivers. This is in contrast to Core Energy's approach</w:t>
      </w:r>
      <w:r>
        <w:t>, which uses assumption</w:t>
      </w:r>
      <w:r w:rsidR="00895BCB">
        <w:t>s</w:t>
      </w:r>
      <w:r>
        <w:t xml:space="preserve"> outside the model to </w:t>
      </w:r>
      <w:r w:rsidR="00895BCB">
        <w:t>estimate</w:t>
      </w:r>
      <w:r w:rsidR="00EF64E9">
        <w:t xml:space="preserve"> price elasticity impacts</w:t>
      </w:r>
      <w:r w:rsidR="00D74904">
        <w:t xml:space="preserve">. </w:t>
      </w:r>
      <w:r w:rsidR="00895BCB">
        <w:t>As a result, it does not estimate any</w:t>
      </w:r>
      <w:r w:rsidR="00D74904">
        <w:t xml:space="preserve"> </w:t>
      </w:r>
      <w:r w:rsidR="00EF64E9">
        <w:t xml:space="preserve">relationship </w:t>
      </w:r>
      <w:r w:rsidR="002763A0">
        <w:t xml:space="preserve">or relative weighting </w:t>
      </w:r>
      <w:r w:rsidR="00EF64E9">
        <w:t>between the variables.</w:t>
      </w:r>
    </w:p>
    <w:p w:rsidR="003F4320" w:rsidRDefault="00284DEA" w:rsidP="00006A14">
      <w:pPr>
        <w:pStyle w:val="AERbodytext"/>
      </w:pPr>
      <w:r>
        <w:lastRenderedPageBreak/>
        <w:t xml:space="preserve">For </w:t>
      </w:r>
      <w:r w:rsidR="00F97965">
        <w:t>develop</w:t>
      </w:r>
      <w:r>
        <w:t>ing</w:t>
      </w:r>
      <w:r w:rsidR="00F97965">
        <w:t xml:space="preserve"> the forecast relationship for</w:t>
      </w:r>
      <w:r>
        <w:t xml:space="preserve"> </w:t>
      </w:r>
      <w:r w:rsidR="00F97965">
        <w:t xml:space="preserve">tariff V </w:t>
      </w:r>
      <w:r>
        <w:t>residential per customer consumption</w:t>
      </w:r>
      <w:r w:rsidR="00F97965">
        <w:t>,</w:t>
      </w:r>
      <w:r>
        <w:t xml:space="preserve"> Deloitte included </w:t>
      </w:r>
      <w:r w:rsidR="00D74904">
        <w:t xml:space="preserve">the change in the previous year's SFD, </w:t>
      </w:r>
      <w:r w:rsidR="00F97965">
        <w:t>the gas bills (proxying for gas price) in the current year and the gas bills in the previous year.</w:t>
      </w:r>
      <w:r w:rsidR="00F97965">
        <w:rPr>
          <w:rStyle w:val="FootnoteReference"/>
        </w:rPr>
        <w:footnoteReference w:id="26"/>
      </w:r>
    </w:p>
    <w:p w:rsidR="00F97965" w:rsidRDefault="00F97965" w:rsidP="00006A14">
      <w:pPr>
        <w:pStyle w:val="AERbodytext"/>
      </w:pPr>
      <w:r>
        <w:t>For developing the forecast relationship for tariff V I&amp;C per customer consumption, Deloitte included the change in the previous year's GSP, the gas bills in the previous year.</w:t>
      </w:r>
      <w:r>
        <w:rPr>
          <w:rStyle w:val="FootnoteReference"/>
        </w:rPr>
        <w:footnoteReference w:id="27"/>
      </w:r>
    </w:p>
    <w:p w:rsidR="00730E0D" w:rsidRDefault="00730E0D" w:rsidP="00006A14">
      <w:pPr>
        <w:pStyle w:val="AERbodytext"/>
      </w:pPr>
      <w:r>
        <w:t>For two customer types, tariff V small business and tariff D, Deloitte did not apply a structural approach to estimating per customer consumption.</w:t>
      </w:r>
    </w:p>
    <w:p w:rsidR="002763A0" w:rsidRDefault="00F97965" w:rsidP="00006A14">
      <w:pPr>
        <w:pStyle w:val="AERbodytext"/>
      </w:pPr>
      <w:r>
        <w:t xml:space="preserve">For tariff V small business per customer consumption Deloitte </w:t>
      </w:r>
      <w:r w:rsidR="00D01410">
        <w:t>advised that 'the strength of the downward trend over the historical period was larger than the effect of any potential explanatory variables (including price and economic conditions)'.</w:t>
      </w:r>
      <w:r w:rsidR="00D01410">
        <w:rPr>
          <w:rStyle w:val="FootnoteReference"/>
        </w:rPr>
        <w:footnoteReference w:id="28"/>
      </w:r>
      <w:r w:rsidR="00D01410">
        <w:t xml:space="preserve"> For this reason it did not modify Core Energy's </w:t>
      </w:r>
      <w:r w:rsidR="009A266E">
        <w:t>trend based forecast</w:t>
      </w:r>
      <w:r w:rsidR="00D01410">
        <w:t xml:space="preserve"> </w:t>
      </w:r>
      <w:r w:rsidR="009A266E">
        <w:t xml:space="preserve">method. </w:t>
      </w:r>
      <w:r w:rsidR="00D01410">
        <w:t xml:space="preserve">Core Energy forecast tariff V small business consumption per customer </w:t>
      </w:r>
      <w:r w:rsidR="00B4186D">
        <w:t>on the basis of the historical trend between 200</w:t>
      </w:r>
      <w:r w:rsidR="002763A0">
        <w:t>2</w:t>
      </w:r>
      <w:r w:rsidR="00B4186D">
        <w:t xml:space="preserve"> and 2013. Deloitte advised that this would not result in the best estimate of per customer consumption possible in the circumstances. This is because data before 2008 exhibited a strong decline in per customer consumption, relative to the stable demand post-2008. Deloitte consider that this reflects a moderation and most likely structural change in per customer consumption post-2008. For this reason Deloitte has estimated the historical trend over the 2008 to 2013 period for forecast application.</w:t>
      </w:r>
      <w:r w:rsidR="00B4186D">
        <w:rPr>
          <w:rStyle w:val="FootnoteReference"/>
        </w:rPr>
        <w:footnoteReference w:id="29"/>
      </w:r>
      <w:r w:rsidR="009A61A9">
        <w:t xml:space="preserve"> This results in a change from Core Energy's </w:t>
      </w:r>
      <w:r w:rsidR="002763A0">
        <w:t>forecast</w:t>
      </w:r>
      <w:r w:rsidR="009A61A9">
        <w:t xml:space="preserve"> </w:t>
      </w:r>
      <w:r w:rsidR="002763A0">
        <w:t>annual average decline in per customer consumption</w:t>
      </w:r>
      <w:r w:rsidR="009A61A9">
        <w:t xml:space="preserve"> of </w:t>
      </w:r>
      <w:r w:rsidR="002763A0">
        <w:t xml:space="preserve">3.2 per cent to Deloitte's forecast of 2.5 per cent. </w:t>
      </w:r>
    </w:p>
    <w:p w:rsidR="005A7D29" w:rsidRDefault="005A7D29" w:rsidP="00006A14">
      <w:pPr>
        <w:pStyle w:val="AERbodytext"/>
      </w:pPr>
      <w:r>
        <w:t>For tariff D per customer consumption, Core Energy's forecast was based on 2013 chargeable demand, with adjustments for known changes in load</w:t>
      </w:r>
      <w:r w:rsidR="00A81CB7">
        <w:t xml:space="preserve"> and forecast shifts in loads attributable to customers moving between tariff D and tariff V</w:t>
      </w:r>
      <w:r w:rsidR="008F3F14">
        <w:t>. These were advised by JGN and included survey results from the top 20 customers.</w:t>
      </w:r>
      <w:r w:rsidR="00A81CB7">
        <w:t xml:space="preserve"> Deloitte accepted that this methodology provided a reasonable basis for forecasting the tariff D per customer consumption.</w:t>
      </w:r>
      <w:r w:rsidR="00730E0D">
        <w:rPr>
          <w:rStyle w:val="FootnoteReference"/>
        </w:rPr>
        <w:footnoteReference w:id="30"/>
      </w:r>
    </w:p>
    <w:p w:rsidR="002763A0" w:rsidRDefault="002763A0" w:rsidP="00587021">
      <w:pPr>
        <w:pStyle w:val="HeadingBoldBlue"/>
      </w:pPr>
      <w:r>
        <w:t>Cross p</w:t>
      </w:r>
      <w:r w:rsidR="00587021">
        <w:t>rice elasticities</w:t>
      </w:r>
      <w:r w:rsidRPr="002763A0">
        <w:t xml:space="preserve"> </w:t>
      </w:r>
    </w:p>
    <w:p w:rsidR="006B258B" w:rsidRDefault="002763A0" w:rsidP="002763A0">
      <w:pPr>
        <w:pStyle w:val="AERbodytext"/>
      </w:pPr>
      <w:r>
        <w:t>As discussed above, the own price elasticity (or the sensitivity of gas consumption per customer to changes in the gas price) was incl</w:t>
      </w:r>
      <w:r w:rsidR="001018A4">
        <w:t>uded within the Deloitte model.</w:t>
      </w:r>
    </w:p>
    <w:p w:rsidR="00587021" w:rsidRDefault="006B258B" w:rsidP="002763A0">
      <w:pPr>
        <w:pStyle w:val="AERbodytext"/>
      </w:pPr>
      <w:r>
        <w:t>Core Energy adjusted per customer consumption for t</w:t>
      </w:r>
      <w:r w:rsidR="002763A0" w:rsidRPr="002763A0">
        <w:t>he sensitivity of gas consumption per customer to changes in electricity prices (cross price elasticity)</w:t>
      </w:r>
      <w:r>
        <w:t>. It assumed a value of 0.1, which implies that a one per cent increase in electricity prices leads to a 0.1 per cent decrease in per customer consumption of gas.</w:t>
      </w:r>
      <w:r>
        <w:rPr>
          <w:rStyle w:val="FootnoteReference"/>
        </w:rPr>
        <w:footnoteReference w:id="31"/>
      </w:r>
      <w:r>
        <w:t xml:space="preserve"> It included this on the basis that there is an expected significant widening in the price differential between gas and electricity over the forecast access arrangement period.</w:t>
      </w:r>
      <w:r w:rsidR="005D5647">
        <w:t xml:space="preserve"> Core Energy's 0.1 assumption for cross price elasticity is drawn from US studies.</w:t>
      </w:r>
      <w:r w:rsidR="00976D37">
        <w:rPr>
          <w:rStyle w:val="FootnoteReference"/>
        </w:rPr>
        <w:footnoteReference w:id="32"/>
      </w:r>
    </w:p>
    <w:p w:rsidR="00C66E48" w:rsidRDefault="004A2D18" w:rsidP="002763A0">
      <w:pPr>
        <w:pStyle w:val="AERbodytext"/>
      </w:pPr>
      <w:r>
        <w:lastRenderedPageBreak/>
        <w:t>Deloitte considers that</w:t>
      </w:r>
      <w:r w:rsidR="00895BCB">
        <w:t>,</w:t>
      </w:r>
      <w:r>
        <w:t xml:space="preserve"> on balance, it </w:t>
      </w:r>
      <w:r w:rsidR="00DE5BAB">
        <w:t>may be</w:t>
      </w:r>
      <w:r>
        <w:t xml:space="preserve"> reasonable to include an estimate of cross price elasticity in the per customer consumption forecasts. However, it considered that a value of 0.1 was too high and </w:t>
      </w:r>
      <w:r w:rsidR="00C66E48">
        <w:t>instead applied 0.05.</w:t>
      </w:r>
      <w:r w:rsidR="00C66E48">
        <w:rPr>
          <w:rStyle w:val="FootnoteReference"/>
        </w:rPr>
        <w:footnoteReference w:id="33"/>
      </w:r>
      <w:r w:rsidR="00C66E48">
        <w:t xml:space="preserve"> Deloitte based this decision on the following factors:</w:t>
      </w:r>
      <w:r w:rsidR="008D4761">
        <w:rPr>
          <w:rStyle w:val="FootnoteReference"/>
        </w:rPr>
        <w:footnoteReference w:id="34"/>
      </w:r>
    </w:p>
    <w:p w:rsidR="00C66E48" w:rsidRDefault="00C66E48" w:rsidP="00C66E48">
      <w:pPr>
        <w:pStyle w:val="AERbulletlistfirststyle"/>
      </w:pPr>
      <w:r>
        <w:t>Core Energy's within model estimates of cross price elasticity were not statistically significant</w:t>
      </w:r>
      <w:r w:rsidR="00EC2B8B">
        <w:t>.</w:t>
      </w:r>
    </w:p>
    <w:p w:rsidR="004A2D18" w:rsidRDefault="00EC2B8B" w:rsidP="00C66E48">
      <w:pPr>
        <w:pStyle w:val="AERbulletlistfirststyle"/>
      </w:pPr>
      <w:r>
        <w:t xml:space="preserve">ACIL Allen in its gas forecasting work for AEMO had not found any modelling which produced a statistically significant estimate for cross price elasticity and </w:t>
      </w:r>
      <w:r w:rsidR="00895BCB">
        <w:t xml:space="preserve">did not include </w:t>
      </w:r>
      <w:r>
        <w:t>it as a variable in its current modelling.</w:t>
      </w:r>
    </w:p>
    <w:p w:rsidR="00EC2B8B" w:rsidRDefault="00EC2B8B" w:rsidP="00C66E48">
      <w:pPr>
        <w:pStyle w:val="AERbulletlistfirststyle"/>
      </w:pPr>
      <w:r>
        <w:t>Deloitte's own price elasticity estimates are higher than those applied by Core Energy. To avoid double counting, Deloitte considers it is appropriate to have a lower cross price elasticity.</w:t>
      </w:r>
    </w:p>
    <w:p w:rsidR="00045DC3" w:rsidRPr="002763A0" w:rsidRDefault="00045DC3" w:rsidP="00045DC3">
      <w:pPr>
        <w:pStyle w:val="AERbulletlistfirststyle"/>
      </w:pPr>
      <w:r>
        <w:t xml:space="preserve">There are likely to be mitigating effects offsetting gas price increases relative to </w:t>
      </w:r>
      <w:r w:rsidR="00AA1ECA">
        <w:t>electricity</w:t>
      </w:r>
      <w:r>
        <w:t xml:space="preserve"> prices. These include the likely increase in price of alternative energy products including solar, as subsidies</w:t>
      </w:r>
      <w:r w:rsidR="008D4761">
        <w:t xml:space="preserve"> are removed.</w:t>
      </w:r>
    </w:p>
    <w:p w:rsidR="00587021" w:rsidRDefault="00587021" w:rsidP="00587021">
      <w:pPr>
        <w:pStyle w:val="HeadingBoldBlue"/>
      </w:pPr>
      <w:r>
        <w:t>Carbon price</w:t>
      </w:r>
    </w:p>
    <w:p w:rsidR="006B258B" w:rsidRDefault="00EF354A" w:rsidP="006B258B">
      <w:pPr>
        <w:pStyle w:val="AERbodytext"/>
      </w:pPr>
      <w:r>
        <w:t>At the time of producing Core Energy's forecasts a carbon price was still applied. Hence Core Energy's forecasts include the impact of carbon price. As the carbon price has now been removed, Deloitte has modified the forecasting method to remove the inclusion of the carbon price.</w:t>
      </w:r>
      <w:r>
        <w:rPr>
          <w:rStyle w:val="FootnoteReference"/>
        </w:rPr>
        <w:footnoteReference w:id="35"/>
      </w:r>
    </w:p>
    <w:p w:rsidR="00E539CB" w:rsidRDefault="006B258B" w:rsidP="006B258B">
      <w:pPr>
        <w:pStyle w:val="AERbodytext"/>
      </w:pPr>
      <w:r>
        <w:t xml:space="preserve">We agree </w:t>
      </w:r>
      <w:r w:rsidR="00895BCB">
        <w:t>that this is appropriate</w:t>
      </w:r>
      <w:r>
        <w:t xml:space="preserve"> and have adopted Deloitte's method of forecasting per customer consumption</w:t>
      </w:r>
      <w:r w:rsidR="00E539CB">
        <w:t xml:space="preserve"> for tariff V residential, small business and I&amp;C customers</w:t>
      </w:r>
      <w:r>
        <w:t xml:space="preserve">. </w:t>
      </w:r>
    </w:p>
    <w:p w:rsidR="006B258B" w:rsidRDefault="006B258B" w:rsidP="006B258B">
      <w:pPr>
        <w:pStyle w:val="AERbodytext"/>
      </w:pPr>
      <w:r>
        <w:t xml:space="preserve">This results in our per customer consumption forecast over the </w:t>
      </w:r>
      <w:r w:rsidR="00E539CB">
        <w:t>access arrangement period being</w:t>
      </w:r>
      <w:r w:rsidR="004B5201">
        <w:t>, on average</w:t>
      </w:r>
      <w:r w:rsidR="00E539CB">
        <w:t>:</w:t>
      </w:r>
    </w:p>
    <w:p w:rsidR="00E539CB" w:rsidRDefault="00355A5A" w:rsidP="00E539CB">
      <w:pPr>
        <w:pStyle w:val="AERbulletlistfirststyle"/>
      </w:pPr>
      <w:r>
        <w:t>5.8</w:t>
      </w:r>
      <w:r w:rsidR="004B5201">
        <w:t xml:space="preserve"> per cent higher </w:t>
      </w:r>
      <w:r>
        <w:t>over the access arrangement period</w:t>
      </w:r>
      <w:r w:rsidR="004B5201">
        <w:t xml:space="preserve"> than Core Energy's forecast for tariff V residential customers</w:t>
      </w:r>
    </w:p>
    <w:p w:rsidR="004B5201" w:rsidRDefault="00355A5A" w:rsidP="00E539CB">
      <w:pPr>
        <w:pStyle w:val="AERbulletlistfirststyle"/>
      </w:pPr>
      <w:r>
        <w:t>4.8</w:t>
      </w:r>
      <w:r w:rsidR="004B5201">
        <w:t xml:space="preserve"> per cent higher </w:t>
      </w:r>
      <w:r w:rsidR="005958F2">
        <w:t>over the access arrangement period</w:t>
      </w:r>
      <w:r w:rsidR="004B5201">
        <w:t xml:space="preserve"> for  tariff V small business customers</w:t>
      </w:r>
    </w:p>
    <w:p w:rsidR="004B5201" w:rsidRDefault="00355A5A" w:rsidP="004B5201">
      <w:pPr>
        <w:pStyle w:val="AERbulletlistfirststyle"/>
      </w:pPr>
      <w:r>
        <w:t>12.5</w:t>
      </w:r>
      <w:r w:rsidR="004B5201">
        <w:t xml:space="preserve"> per cent higher </w:t>
      </w:r>
      <w:r w:rsidR="005958F2">
        <w:t>over the access arrangement period</w:t>
      </w:r>
      <w:r w:rsidR="004B5201">
        <w:t xml:space="preserve"> for tariff V I&amp;C customers</w:t>
      </w:r>
    </w:p>
    <w:p w:rsidR="00EB1ED0" w:rsidRPr="00615082" w:rsidRDefault="00EB1ED0" w:rsidP="004B5201">
      <w:pPr>
        <w:pStyle w:val="AERbulletlistfirststyle"/>
      </w:pPr>
      <w:r>
        <w:t>no different for tariff D customers.</w:t>
      </w:r>
    </w:p>
    <w:p w:rsidR="00DF53F5" w:rsidRDefault="009F16ED" w:rsidP="00DF53F5">
      <w:pPr>
        <w:pStyle w:val="Heading3"/>
        <w:numPr>
          <w:ilvl w:val="3"/>
          <w:numId w:val="1"/>
        </w:numPr>
      </w:pPr>
      <w:r>
        <w:br w:type="page"/>
      </w:r>
      <w:bookmarkStart w:id="20" w:name="_Toc404613567"/>
      <w:r w:rsidR="00DF53F5">
        <w:lastRenderedPageBreak/>
        <w:t>Forecast of number of connections</w:t>
      </w:r>
      <w:bookmarkEnd w:id="20"/>
    </w:p>
    <w:p w:rsidR="00DF53F5" w:rsidRDefault="00DF53F5" w:rsidP="00DF53F5">
      <w:pPr>
        <w:pStyle w:val="HeadingBoldBlue"/>
      </w:pPr>
      <w:r>
        <w:t>Tariff V connections</w:t>
      </w:r>
    </w:p>
    <w:p w:rsidR="00DF53F5" w:rsidRDefault="00DF53F5" w:rsidP="00DF53F5">
      <w:pPr>
        <w:pStyle w:val="AERbodytext"/>
      </w:pPr>
      <w:r>
        <w:t>Forecasts of the number of connections are produced for each type of tariff V customer: electricity to gas, new estate, medium/high density, small business and industrial and commercial.</w:t>
      </w:r>
    </w:p>
    <w:p w:rsidR="00DF53F5" w:rsidRDefault="00DF53F5" w:rsidP="00DF53F5">
      <w:pPr>
        <w:pStyle w:val="AERbodytext"/>
      </w:pPr>
      <w:r>
        <w:t xml:space="preserve">Core Energy forecast the number of Tariff V connections by adding to the 2012-13 number of connections (the latest available year of actual data) the forecast number of new connections and subtracting the number of disconnections. </w:t>
      </w:r>
    </w:p>
    <w:p w:rsidR="00DF53F5" w:rsidRDefault="00DF53F5" w:rsidP="00DF53F5">
      <w:pPr>
        <w:pStyle w:val="AERbodytext"/>
      </w:pPr>
      <w:r>
        <w:t>Core Energy has applied different forecast methods to estimate the number of new connections for each type of Tariff V customer. These are set out below.</w:t>
      </w:r>
    </w:p>
    <w:p w:rsidR="00DF53F5" w:rsidRDefault="00DF53F5" w:rsidP="00DF53F5">
      <w:pPr>
        <w:pStyle w:val="HeadingOrange"/>
      </w:pPr>
      <w:r>
        <w:t>Electricity to gas new connections</w:t>
      </w:r>
    </w:p>
    <w:p w:rsidR="00DF53F5" w:rsidRPr="00EB67F1" w:rsidRDefault="00DF53F5" w:rsidP="00DF53F5">
      <w:pPr>
        <w:pStyle w:val="AERbodytext"/>
      </w:pPr>
      <w:r w:rsidRPr="00EB67F1">
        <w:t xml:space="preserve">Core Energy forecasts electricity to gas connections using the 2012-13 number of connections and applies a negative growth factor. The negative growth factor reflects JGN and Core’s view that its existing marketing expenditure will be less effective. JGN and Core attribute the decline in marketing effectiveness to the forecast increase in gas prices relative to the electricity price. Core identifies the gas/electricity price relativity as the most significant driver of electricity to gas connections. The number of connections </w:t>
      </w:r>
      <w:r>
        <w:t>is</w:t>
      </w:r>
      <w:r w:rsidRPr="00EB67F1">
        <w:t xml:space="preserve"> forecast to fall strongly – </w:t>
      </w:r>
      <w:r>
        <w:t>2.0</w:t>
      </w:r>
      <w:r w:rsidRPr="00EB67F1">
        <w:t xml:space="preserve"> per cent per annum on average over the forecast period.</w:t>
      </w:r>
    </w:p>
    <w:p w:rsidR="00DF53F5" w:rsidRPr="00EB67F1" w:rsidRDefault="00DF53F5" w:rsidP="00DF53F5">
      <w:pPr>
        <w:pStyle w:val="AERbodytext"/>
      </w:pPr>
      <w:r w:rsidRPr="00EB67F1">
        <w:t xml:space="preserve">This forecasting method appears to produce results which are at odds with the historical trend. Historical connections have been increasing at an average of </w:t>
      </w:r>
      <w:r>
        <w:t>8.1</w:t>
      </w:r>
      <w:r w:rsidRPr="00EB67F1">
        <w:t xml:space="preserve"> per cent per year between </w:t>
      </w:r>
      <w:r>
        <w:t>2009</w:t>
      </w:r>
      <w:r w:rsidRPr="00EB67F1">
        <w:t xml:space="preserve"> and </w:t>
      </w:r>
      <w:r>
        <w:t>2013</w:t>
      </w:r>
      <w:r w:rsidRPr="00EB67F1">
        <w:t xml:space="preserve">. When questioned regarding this, </w:t>
      </w:r>
      <w:r>
        <w:t xml:space="preserve">Core indicated that </w:t>
      </w:r>
      <w:r w:rsidRPr="00EB67F1">
        <w:t xml:space="preserve">JGN </w:t>
      </w:r>
      <w:r>
        <w:t>data for</w:t>
      </w:r>
      <w:r w:rsidRPr="00EB67F1">
        <w:t xml:space="preserve"> 2013-14 show an 18 per cent decrease in connections compared to 2012-13.</w:t>
      </w:r>
      <w:r>
        <w:rPr>
          <w:rStyle w:val="FootnoteReference"/>
        </w:rPr>
        <w:footnoteReference w:id="36"/>
      </w:r>
      <w:r w:rsidRPr="00EB67F1">
        <w:t xml:space="preserve"> This decline, together with the decline in electricity to gas connections in 2012-13, a </w:t>
      </w:r>
      <w:r>
        <w:t>4.2</w:t>
      </w:r>
      <w:r w:rsidRPr="00EB67F1">
        <w:t xml:space="preserve"> per cent fall, may indicate a change in the long term trend. </w:t>
      </w:r>
    </w:p>
    <w:p w:rsidR="00DF53F5" w:rsidRPr="00EB67F1" w:rsidRDefault="00DF53F5" w:rsidP="00DF53F5">
      <w:pPr>
        <w:pStyle w:val="AERbodytext"/>
      </w:pPr>
      <w:r w:rsidRPr="00EB67F1">
        <w:t>On this basis, Deloitte Access Economics considered that Core Energy’s forecast method was reasonable and did not include any changes in its alternative estimate of electricity to gas connections. Based on Deloitte’s advice</w:t>
      </w:r>
      <w:r>
        <w:t>,</w:t>
      </w:r>
      <w:r w:rsidRPr="00EB67F1">
        <w:t xml:space="preserve"> we have adopted the forecast number of electricity to gas connections.</w:t>
      </w:r>
    </w:p>
    <w:p w:rsidR="00DF53F5" w:rsidRPr="00EB67F1" w:rsidRDefault="00DF53F5" w:rsidP="00DF53F5">
      <w:pPr>
        <w:pStyle w:val="HeadingOrange"/>
      </w:pPr>
      <w:r>
        <w:t>New estate and medium/high density new connections</w:t>
      </w:r>
    </w:p>
    <w:p w:rsidR="00DF53F5" w:rsidRDefault="00DF53F5" w:rsidP="00DF53F5">
      <w:pPr>
        <w:pStyle w:val="AERbodytext"/>
      </w:pPr>
      <w:r w:rsidRPr="00EB67F1">
        <w:t>Core Energy forecast new dwelling connections (that is, both new estate and medi</w:t>
      </w:r>
      <w:r>
        <w:t>um/high density connections) as follows. First, it multiplied JGN's penetration rate by Core Energy's forecast of new dwellings. Second, it adjusted for a catch-up on the dwelling supply shortfall in meeting housing demand. Core Energy applies an 80 per cent penetration rate. That is, of all new dwellings, 80 per cent are assumed to connect to JGN's network. Core Energy determined JGN's penetration rate on the basis of advice from JGN and on historical JGN data. Core Energy developed the new dwellings forecast by:</w:t>
      </w:r>
      <w:r>
        <w:rPr>
          <w:rStyle w:val="FootnoteReference"/>
        </w:rPr>
        <w:footnoteReference w:id="37"/>
      </w:r>
      <w:r>
        <w:t xml:space="preserve"> </w:t>
      </w:r>
    </w:p>
    <w:p w:rsidR="00DF53F5" w:rsidRDefault="00DF53F5" w:rsidP="00DF53F5">
      <w:pPr>
        <w:pStyle w:val="AERbulletlistfirststyle"/>
      </w:pPr>
      <w:r>
        <w:t>identifying the NSW Government projections of population in the local government areas serviced by JGN</w:t>
      </w:r>
    </w:p>
    <w:p w:rsidR="00DF53F5" w:rsidRDefault="00DF53F5" w:rsidP="00DF53F5">
      <w:pPr>
        <w:pStyle w:val="AERbulletlistfirststyle"/>
      </w:pPr>
      <w:r>
        <w:t>multiplying the identified population by the NSW Government projection of the average NSW household density (household/person)</w:t>
      </w:r>
    </w:p>
    <w:p w:rsidR="00DF53F5" w:rsidRPr="00EB67F1" w:rsidRDefault="00DF53F5" w:rsidP="00DF53F5">
      <w:pPr>
        <w:pStyle w:val="AERbulletlistfirststyle"/>
      </w:pPr>
      <w:r>
        <w:lastRenderedPageBreak/>
        <w:t>using the BIS Shrapnel estimate of dwelling stock deficiency as at June 2013</w:t>
      </w:r>
      <w:r>
        <w:rPr>
          <w:rStyle w:val="FootnoteReference"/>
        </w:rPr>
        <w:footnoteReference w:id="38"/>
      </w:r>
      <w:r>
        <w:t>, multiplying this by Core Energy's assumption of how much the shortfall will be reduced (80 per cent), the ratio of JGN household share of total NSW households (80 per cent) and the JGN penetration rate (80 per cent).</w:t>
      </w:r>
    </w:p>
    <w:p w:rsidR="00DF53F5" w:rsidRPr="00EB67F1" w:rsidRDefault="00DF53F5" w:rsidP="00DF53F5">
      <w:pPr>
        <w:pStyle w:val="AERbodytext"/>
      </w:pPr>
      <w:r w:rsidRPr="00EB67F1">
        <w:t>Core Energy allocates total new dwelling connections between new estate and medium/high density connections on the assumption that 52 per cent of new dwellings are medium/high density and 48 per cent are in new estates. It submits that this assumption is based on</w:t>
      </w:r>
      <w:r>
        <w:t xml:space="preserve"> a range of third party analysis</w:t>
      </w:r>
      <w:r w:rsidRPr="00EB67F1">
        <w:t>.</w:t>
      </w:r>
      <w:r>
        <w:t xml:space="preserve"> Core did not provide the details of this third party analysis.</w:t>
      </w:r>
      <w:r>
        <w:rPr>
          <w:rStyle w:val="FootnoteReference"/>
        </w:rPr>
        <w:footnoteReference w:id="39"/>
      </w:r>
    </w:p>
    <w:p w:rsidR="00DF53F5" w:rsidRPr="00EB67F1" w:rsidRDefault="00DF53F5" w:rsidP="00DF53F5">
      <w:pPr>
        <w:pStyle w:val="AERbodytext"/>
      </w:pPr>
      <w:r w:rsidRPr="00EB67F1">
        <w:t>Core Energy forecast</w:t>
      </w:r>
      <w:r>
        <w:t xml:space="preserve"> of</w:t>
      </w:r>
      <w:r w:rsidRPr="00EB67F1">
        <w:t xml:space="preserve"> new estate and medium/high density connections </w:t>
      </w:r>
      <w:r>
        <w:t>follows t</w:t>
      </w:r>
      <w:r w:rsidRPr="00EB67F1">
        <w:t>he</w:t>
      </w:r>
      <w:r>
        <w:t xml:space="preserve"> strongly increasing</w:t>
      </w:r>
      <w:r w:rsidRPr="00EB67F1">
        <w:t xml:space="preserve"> </w:t>
      </w:r>
      <w:r>
        <w:t>historical trend to 2017, after which they decline and then stabilise</w:t>
      </w:r>
      <w:r w:rsidRPr="00EB67F1">
        <w:t xml:space="preserve"> </w:t>
      </w:r>
      <w:r>
        <w:t xml:space="preserve">at 2015-16 levels. However, over the access arrangement period </w:t>
      </w:r>
      <w:r w:rsidRPr="00EB67F1">
        <w:t xml:space="preserve">new estate and medium/high density </w:t>
      </w:r>
      <w:r>
        <w:t>connections are not forecast to grow</w:t>
      </w:r>
      <w:r w:rsidRPr="00EB67F1">
        <w:t xml:space="preserve">, </w:t>
      </w:r>
      <w:r>
        <w:t>in average annual terms</w:t>
      </w:r>
      <w:r w:rsidRPr="00EB67F1">
        <w:t>.</w:t>
      </w:r>
    </w:p>
    <w:p w:rsidR="00DF53F5" w:rsidRPr="00EB67F1" w:rsidRDefault="00DF53F5" w:rsidP="00DF53F5">
      <w:pPr>
        <w:pStyle w:val="AERbodytext"/>
      </w:pPr>
      <w:r w:rsidRPr="00EB67F1">
        <w:t>In reviewing Core Energy’s forecast method</w:t>
      </w:r>
      <w:r>
        <w:t>,</w:t>
      </w:r>
      <w:r w:rsidRPr="00EB67F1">
        <w:t xml:space="preserve"> Deloitte noted that ‘combining both supply side and demand side factors to arrive at estimates of </w:t>
      </w:r>
      <w:r>
        <w:t>new dwellings is somewhat novel</w:t>
      </w:r>
      <w:r w:rsidRPr="00EB67F1">
        <w:t>...’ and that ‘[a] more orthodox approach would simply be to use forecasts of new dwellings to determine the forecast’</w:t>
      </w:r>
      <w:r>
        <w:t>.</w:t>
      </w:r>
      <w:r>
        <w:rPr>
          <w:rStyle w:val="FootnoteReference"/>
        </w:rPr>
        <w:footnoteReference w:id="40"/>
      </w:r>
      <w:r w:rsidRPr="00EB67F1">
        <w:t xml:space="preserve"> Deloitte, however, assessed Core Energy’s forecast against the latest available HIA data to determine the </w:t>
      </w:r>
      <w:r>
        <w:t xml:space="preserve">reasonableness of the </w:t>
      </w:r>
      <w:r w:rsidRPr="00EB67F1">
        <w:t xml:space="preserve">forecast. </w:t>
      </w:r>
    </w:p>
    <w:p w:rsidR="00DF53F5" w:rsidRPr="00EB67F1" w:rsidRDefault="00DF53F5" w:rsidP="00DF53F5">
      <w:pPr>
        <w:pStyle w:val="AERbodytext"/>
      </w:pPr>
      <w:r w:rsidRPr="00EB67F1">
        <w:t>Deloitte noted that the number of new connections appeared to be low in the early part of the access arrangement and high in the later part</w:t>
      </w:r>
      <w:r>
        <w:t>.</w:t>
      </w:r>
      <w:r w:rsidRPr="00EB67F1">
        <w:t xml:space="preserve"> </w:t>
      </w:r>
      <w:r>
        <w:t>B</w:t>
      </w:r>
      <w:r w:rsidRPr="00EB67F1">
        <w:t>ut</w:t>
      </w:r>
      <w:r>
        <w:t>,</w:t>
      </w:r>
      <w:r w:rsidRPr="00EB67F1">
        <w:t xml:space="preserve"> in aggregate</w:t>
      </w:r>
      <w:r>
        <w:t xml:space="preserve"> Deloitte considered they</w:t>
      </w:r>
      <w:r w:rsidRPr="00EB67F1">
        <w:t xml:space="preserve"> appeared reasonable. Deloitte indicated that Core Energy’s new dwelling percentage of all dwelling starts is lower, at 60 per cent, than the HIA forecast of 62 per cent. However Deloitte considered that</w:t>
      </w:r>
      <w:r>
        <w:t>,</w:t>
      </w:r>
      <w:r w:rsidRPr="00EB67F1">
        <w:t xml:space="preserve"> given the forecast decline in competitiveness of gas, the lower percentage assumption is reasonable.</w:t>
      </w:r>
      <w:r>
        <w:rPr>
          <w:rStyle w:val="FootnoteReference"/>
        </w:rPr>
        <w:footnoteReference w:id="41"/>
      </w:r>
      <w:r w:rsidRPr="00EB67F1">
        <w:t xml:space="preserve"> </w:t>
      </w:r>
    </w:p>
    <w:p w:rsidR="00DF53F5" w:rsidRDefault="00DF53F5" w:rsidP="00DF53F5">
      <w:pPr>
        <w:pStyle w:val="AERbodytext"/>
      </w:pPr>
      <w:r w:rsidRPr="00EB67F1">
        <w:t>Deloitte assessed Core Energy’s allocation assumption (that 52 per cent of new dwellings are medium/high density) against</w:t>
      </w:r>
      <w:r>
        <w:t xml:space="preserve"> the historical proportions using HIA data for 2009 to 2013. HIA data indicated an average of 56 per cent of new dwellings are in new estates. The JGN and HIA total new dwellings data is reasonably similar over the access arrangement period. For consistency reasons, Deloitte submitted that the HIA data historical average of 56 per cent should be applied.</w:t>
      </w:r>
      <w:r>
        <w:rPr>
          <w:rStyle w:val="FootnoteReference"/>
        </w:rPr>
        <w:footnoteReference w:id="42"/>
      </w:r>
      <w:r>
        <w:t xml:space="preserve"> Based on Deloitte's advice we have adopted a 56 and 44 per cent allocation respectively for medium/high density and new estate connections.</w:t>
      </w:r>
    </w:p>
    <w:p w:rsidR="00DF53F5" w:rsidRDefault="00DF53F5" w:rsidP="00DF53F5">
      <w:pPr>
        <w:pStyle w:val="AERbodytext"/>
      </w:pPr>
      <w:r>
        <w:t xml:space="preserve">Making this change to Core Energy forecasts results in an 8.2 per cent reduction in new estate connections and a 7.6 per cent increase in medium/high density connections over the access arrangement period. </w:t>
      </w:r>
    </w:p>
    <w:p w:rsidR="00DF53F5" w:rsidRDefault="00DF53F5" w:rsidP="00DF53F5">
      <w:pPr>
        <w:pStyle w:val="HeadingOrange"/>
      </w:pPr>
      <w:r>
        <w:t>Small business</w:t>
      </w:r>
      <w:r w:rsidRPr="00E919D8">
        <w:t xml:space="preserve"> </w:t>
      </w:r>
      <w:r>
        <w:t>and industrial and commercial new connections</w:t>
      </w:r>
    </w:p>
    <w:p w:rsidR="00DF53F5" w:rsidRPr="00DF53F5" w:rsidRDefault="00DF53F5" w:rsidP="00DF53F5">
      <w:pPr>
        <w:pStyle w:val="AERbodytext"/>
      </w:pPr>
      <w:r>
        <w:t xml:space="preserve">Core Energy forecast the number of small business </w:t>
      </w:r>
      <w:r w:rsidRPr="00DF53F5">
        <w:t xml:space="preserve">and industrial and commercial connections by estimating the respective historical growth between 2003 and 2013 and extrapolating that growth </w:t>
      </w:r>
      <w:r w:rsidRPr="00DF53F5">
        <w:lastRenderedPageBreak/>
        <w:t xml:space="preserve">forwards. It also adjusted I&amp;C connections for expected customer movement between Tariff D and Tariff V. This results in an average annual 7.7 per cent increase in small business and I&amp;C connections. </w:t>
      </w:r>
    </w:p>
    <w:p w:rsidR="00DF53F5" w:rsidRPr="00DF53F5" w:rsidRDefault="00DF53F5" w:rsidP="00DF53F5">
      <w:pPr>
        <w:pStyle w:val="AERbodytext"/>
      </w:pPr>
      <w:r>
        <w:t>Deloit</w:t>
      </w:r>
      <w:r w:rsidRPr="00DF53F5">
        <w:t>te Access Economics considers that there is a structural break in 2008.  This is because new connections data before 2008 was relatively stable around 300 new connections per year. In 2008 there was a significant step increase to around 500 new connections. The number of new connections has been relatively stable at this level post-2008. Deloitte considers that by including the data from 2003 to 2007, the average growth rate calculated by Core Energy results in overstated business connections. Core Energy's forecast would see a doubling of business connections in 2019-20 compared with 2012-13.</w:t>
      </w:r>
      <w:r w:rsidRPr="00DF53F5">
        <w:rPr>
          <w:rStyle w:val="FootnoteReference"/>
        </w:rPr>
        <w:footnoteReference w:id="43"/>
      </w:r>
      <w:r w:rsidRPr="00DF53F5">
        <w:t xml:space="preserve"> </w:t>
      </w:r>
    </w:p>
    <w:p w:rsidR="00DF53F5" w:rsidRPr="00DF53F5" w:rsidRDefault="00DF53F5" w:rsidP="00DF53F5">
      <w:pPr>
        <w:pStyle w:val="AERbodytext"/>
      </w:pPr>
      <w:r>
        <w:t>Based on Deloitte's advice we have estimated the historical trend for forecast application using data from 2008 to 13. This results in an average annual 3.0 per cent increase in small business and I&amp;C connections.</w:t>
      </w:r>
    </w:p>
    <w:p w:rsidR="00DF53F5" w:rsidRDefault="00DF53F5" w:rsidP="00DF53F5">
      <w:pPr>
        <w:pStyle w:val="HeadingOrange"/>
      </w:pPr>
      <w:r>
        <w:t>Residential disconnections</w:t>
      </w:r>
    </w:p>
    <w:p w:rsidR="00DF53F5" w:rsidRPr="00DF53F5" w:rsidRDefault="00DF53F5" w:rsidP="00DF53F5">
      <w:pPr>
        <w:pStyle w:val="AERbodytext"/>
      </w:pPr>
      <w:r>
        <w:t>Core Energy forecast residential disconnections using the 2002 to 2013 historical average.</w:t>
      </w:r>
      <w:r w:rsidRPr="00DF53F5">
        <w:rPr>
          <w:rStyle w:val="FootnoteReference"/>
        </w:rPr>
        <w:footnoteReference w:id="44"/>
      </w:r>
      <w:r w:rsidRPr="00DF53F5">
        <w:t xml:space="preserve"> This results in a 50 per cent increase in the disconnections in 2014 over the annual average of the disconnections between 2011 to 2013. </w:t>
      </w:r>
    </w:p>
    <w:p w:rsidR="00DF53F5" w:rsidRPr="00DF53F5" w:rsidRDefault="00DF53F5" w:rsidP="00DF53F5">
      <w:pPr>
        <w:pStyle w:val="AERbodytext"/>
      </w:pPr>
      <w:r>
        <w:t>Deloitte questioned the basis for Core Energy's forecast step up in residential connections. Core Energy submitted that recent disconnections were not a guide to future disconnections as gas prices have remained low while electricity prices have increased.</w:t>
      </w:r>
      <w:r w:rsidRPr="00DF53F5">
        <w:rPr>
          <w:rStyle w:val="FootnoteReference"/>
        </w:rPr>
        <w:footnoteReference w:id="45"/>
      </w:r>
      <w:r w:rsidRPr="00DF53F5">
        <w:t xml:space="preserve"> </w:t>
      </w:r>
    </w:p>
    <w:p w:rsidR="00DF53F5" w:rsidRPr="00DF53F5" w:rsidRDefault="00DF53F5" w:rsidP="00DF53F5">
      <w:pPr>
        <w:pStyle w:val="AERbodytext"/>
      </w:pPr>
      <w:r>
        <w:t xml:space="preserve">Notwithstanding Core's response, </w:t>
      </w:r>
      <w:r w:rsidRPr="00DF53F5">
        <w:t>Deloitte considers that the step up in disconnections is unreasonably high.</w:t>
      </w:r>
      <w:r w:rsidRPr="00DF53F5">
        <w:rPr>
          <w:rStyle w:val="FootnoteReference"/>
        </w:rPr>
        <w:footnoteReference w:id="46"/>
      </w:r>
      <w:r w:rsidRPr="00DF53F5">
        <w:t xml:space="preserve"> On the basis of Deloitte's advice we have forecast residential disconnections using 2011 to 2013 data. This results in annual average disconnection rate of 0.36 per cent compared with Core Energy's forecast of 0.51 per cent.</w:t>
      </w:r>
    </w:p>
    <w:p w:rsidR="00DF53F5" w:rsidRDefault="00DF53F5" w:rsidP="00DF53F5">
      <w:pPr>
        <w:pStyle w:val="HeadingOrange"/>
      </w:pPr>
      <w:r>
        <w:t>Tariff V business disconnections</w:t>
      </w:r>
    </w:p>
    <w:p w:rsidR="00DF53F5" w:rsidRPr="00DF53F5" w:rsidRDefault="00DF53F5" w:rsidP="00DF53F5">
      <w:pPr>
        <w:pStyle w:val="AERbodytext"/>
      </w:pPr>
      <w:r>
        <w:t>Core Energy forecast Tariff V business dis</w:t>
      </w:r>
      <w:r w:rsidRPr="00DF53F5">
        <w:t>connections using the 2010 to 2013 historical average. It submitted that data prior to 2010 was unreliable due to a large number of dormant supply points.</w:t>
      </w:r>
      <w:r w:rsidRPr="00DF53F5">
        <w:rPr>
          <w:rStyle w:val="FootnoteReference"/>
        </w:rPr>
        <w:footnoteReference w:id="47"/>
      </w:r>
    </w:p>
    <w:p w:rsidR="00DF53F5" w:rsidRPr="00DF53F5" w:rsidRDefault="00DF53F5" w:rsidP="00DF53F5">
      <w:pPr>
        <w:pStyle w:val="AERbodytext"/>
      </w:pPr>
      <w:r>
        <w:t xml:space="preserve">Deloitte assessed that </w:t>
      </w:r>
      <w:r w:rsidRPr="00DF53F5">
        <w:t>given the lack of robust data prior to 2010 this approach is reasonable. On this basis we accept the forecast of Tariff V business disconnections.</w:t>
      </w:r>
    </w:p>
    <w:p w:rsidR="00DF53F5" w:rsidRDefault="00DF53F5" w:rsidP="00DF53F5">
      <w:pPr>
        <w:pStyle w:val="HeadingBoldBlue"/>
      </w:pPr>
      <w:r>
        <w:t xml:space="preserve">Tariff D </w:t>
      </w:r>
    </w:p>
    <w:p w:rsidR="00DF53F5" w:rsidRDefault="00DF53F5" w:rsidP="00DF53F5">
      <w:pPr>
        <w:pStyle w:val="AERbodytext"/>
      </w:pPr>
      <w:r>
        <w:t xml:space="preserve">Core Energy forecast Tariff D connections using information provided by JGN. This included information on Tariff D customer business closures and tariff reclassifications, a customer survey of the top 20 customers and net known movements between Tariff D and Tariff V. The Core Energy forecast results in a decrease of 17 connections in 2014 accounting for shut downs and customers </w:t>
      </w:r>
      <w:r>
        <w:lastRenderedPageBreak/>
        <w:t>moving from Tariff D to Tariff V. In 2016, 49 customers are added, representing switches from Tariff V to Tariff D.</w:t>
      </w:r>
      <w:r>
        <w:rPr>
          <w:rStyle w:val="FootnoteReference"/>
        </w:rPr>
        <w:footnoteReference w:id="48"/>
      </w:r>
    </w:p>
    <w:p w:rsidR="00DF53F5" w:rsidRDefault="00DF53F5" w:rsidP="00DF53F5">
      <w:pPr>
        <w:pStyle w:val="AERbodytext"/>
      </w:pPr>
      <w:r>
        <w:t>Deloitte considered the assumptions underpinning the Tariff D forecast were consistent with the evidence presented.</w:t>
      </w:r>
      <w:r>
        <w:rPr>
          <w:rStyle w:val="FootnoteReference"/>
        </w:rPr>
        <w:footnoteReference w:id="49"/>
      </w:r>
      <w:r>
        <w:t xml:space="preserve"> On this basis, we accept the Tariff D connections forecast.</w:t>
      </w:r>
    </w:p>
    <w:p w:rsidR="009F16ED" w:rsidRPr="00CA1EE9" w:rsidRDefault="009F16ED" w:rsidP="009F16ED">
      <w:pPr>
        <w:pStyle w:val="AERbodytext"/>
      </w:pPr>
    </w:p>
    <w:p w:rsidR="009F16ED" w:rsidRPr="009F16ED" w:rsidRDefault="009F16ED" w:rsidP="009F16ED">
      <w:pPr>
        <w:pStyle w:val="Heading2"/>
      </w:pPr>
      <w:bookmarkStart w:id="21" w:name="_Toc404613568"/>
      <w:r w:rsidRPr="009F16ED">
        <w:t>Revisions</w:t>
      </w:r>
      <w:bookmarkEnd w:id="21"/>
    </w:p>
    <w:p w:rsidR="009F16ED" w:rsidRPr="00617D26" w:rsidRDefault="009F16ED" w:rsidP="009F16ED">
      <w:pPr>
        <w:pStyle w:val="AERbodytext"/>
      </w:pPr>
      <w:r w:rsidRPr="00617D26">
        <w:t>The AER requires the following revisions to make the access arrangement proposal acceptable:</w:t>
      </w:r>
    </w:p>
    <w:p w:rsidR="009F16ED" w:rsidRDefault="009D57A0" w:rsidP="009F16ED">
      <w:pPr>
        <w:pStyle w:val="AERrevisionbox"/>
      </w:pPr>
      <w:r>
        <w:rPr>
          <w:rStyle w:val="AERtextbold"/>
        </w:rPr>
        <w:t>Revision 3</w:t>
      </w:r>
      <w:r w:rsidR="009F16ED" w:rsidRPr="00617D26">
        <w:rPr>
          <w:rStyle w:val="AERtextbold"/>
        </w:rPr>
        <w:t>.1</w:t>
      </w:r>
      <w:r w:rsidR="009F16ED" w:rsidRPr="00617D26">
        <w:t xml:space="preserve">: </w:t>
      </w:r>
      <w:r w:rsidR="009F16ED">
        <w:t xml:space="preserve">Amend the </w:t>
      </w:r>
      <w:r>
        <w:t>JGN</w:t>
      </w:r>
      <w:r w:rsidR="009F16ED">
        <w:t xml:space="preserve"> access arrangement information to replace with the</w:t>
      </w:r>
      <w:r w:rsidR="004F3488">
        <w:t xml:space="preserve"> information on c</w:t>
      </w:r>
      <w:r w:rsidR="00DE00D3">
        <w:t>onnection</w:t>
      </w:r>
      <w:r w:rsidR="004F3488">
        <w:t xml:space="preserve"> numbers and consumption included in the </w:t>
      </w:r>
      <w:r w:rsidR="009F16ED">
        <w:t>following</w:t>
      </w:r>
      <w:r w:rsidR="004F3488">
        <w:t xml:space="preserve"> tables</w:t>
      </w:r>
      <w:r w:rsidR="009F16ED">
        <w:t>:</w:t>
      </w:r>
    </w:p>
    <w:p w:rsidR="008F17E1" w:rsidRPr="009F16ED" w:rsidRDefault="008F17E1" w:rsidP="008F17E1">
      <w:pPr>
        <w:pStyle w:val="Caption"/>
      </w:pPr>
      <w:r>
        <w:t xml:space="preserve">Table </w:t>
      </w:r>
      <w:r w:rsidRPr="008F17E1">
        <w:fldChar w:fldCharType="begin"/>
      </w:r>
      <w:r>
        <w:instrText xml:space="preserve"> STYLEREF 1 \s </w:instrText>
      </w:r>
      <w:r w:rsidRPr="008F17E1">
        <w:fldChar w:fldCharType="separate"/>
      </w:r>
      <w:r w:rsidR="00CF5788">
        <w:rPr>
          <w:noProof/>
        </w:rPr>
        <w:t>13</w:t>
      </w:r>
      <w:r w:rsidRPr="008F17E1">
        <w:fldChar w:fldCharType="end"/>
      </w:r>
      <w:r>
        <w:t>.</w:t>
      </w:r>
      <w:r w:rsidRPr="008F17E1">
        <w:fldChar w:fldCharType="begin"/>
      </w:r>
      <w:r>
        <w:instrText xml:space="preserve"> SEQ Table \* ARABIC \s 1 </w:instrText>
      </w:r>
      <w:r w:rsidRPr="008F17E1">
        <w:fldChar w:fldCharType="separate"/>
      </w:r>
      <w:r w:rsidR="00CF5788">
        <w:rPr>
          <w:noProof/>
        </w:rPr>
        <w:t>1</w:t>
      </w:r>
      <w:r w:rsidRPr="008F17E1">
        <w:fldChar w:fldCharType="end"/>
      </w:r>
      <w:r>
        <w:tab/>
        <w:t>AER draft decision on consumption</w:t>
      </w:r>
      <w:r w:rsidRPr="009F16ED">
        <w:t xml:space="preserve">  </w:t>
      </w:r>
    </w:p>
    <w:tbl>
      <w:tblPr>
        <w:tblStyle w:val="AERtable-numbers"/>
        <w:tblW w:w="0" w:type="auto"/>
        <w:tblLayout w:type="fixed"/>
        <w:tblLook w:val="01E0" w:firstRow="1" w:lastRow="1" w:firstColumn="1" w:lastColumn="1" w:noHBand="0" w:noVBand="0"/>
      </w:tblPr>
      <w:tblGrid>
        <w:gridCol w:w="2842"/>
        <w:gridCol w:w="1263"/>
        <w:gridCol w:w="1263"/>
        <w:gridCol w:w="1263"/>
        <w:gridCol w:w="1263"/>
        <w:gridCol w:w="1264"/>
      </w:tblGrid>
      <w:tr w:rsidR="008F17E1" w:rsidRPr="001225DE" w:rsidTr="005224BC">
        <w:trPr>
          <w:cnfStyle w:val="100000000000" w:firstRow="1" w:lastRow="0" w:firstColumn="0" w:lastColumn="0" w:oddVBand="0" w:evenVBand="0" w:oddHBand="0" w:evenHBand="0"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2842" w:type="dxa"/>
          </w:tcPr>
          <w:p w:rsidR="008F17E1" w:rsidRPr="00413233" w:rsidRDefault="008F17E1" w:rsidP="008F17E1"/>
        </w:tc>
        <w:tc>
          <w:tcPr>
            <w:tcW w:w="1263" w:type="dxa"/>
          </w:tcPr>
          <w:p w:rsidR="008F17E1" w:rsidRPr="00413233" w:rsidRDefault="008F17E1" w:rsidP="00C76493">
            <w:pPr>
              <w:cnfStyle w:val="100000000000" w:firstRow="1" w:lastRow="0" w:firstColumn="0" w:lastColumn="0" w:oddVBand="0" w:evenVBand="0" w:oddHBand="0" w:evenHBand="0" w:firstRowFirstColumn="0" w:firstRowLastColumn="0" w:lastRowFirstColumn="0" w:lastRowLastColumn="0"/>
            </w:pPr>
            <w:r w:rsidRPr="00413233">
              <w:t>201</w:t>
            </w:r>
            <w:r w:rsidR="00C76493">
              <w:t>6</w:t>
            </w:r>
          </w:p>
        </w:tc>
        <w:tc>
          <w:tcPr>
            <w:tcW w:w="1263" w:type="dxa"/>
          </w:tcPr>
          <w:p w:rsidR="008F17E1" w:rsidRPr="00413233" w:rsidRDefault="008F17E1" w:rsidP="00C76493">
            <w:pPr>
              <w:cnfStyle w:val="100000000000" w:firstRow="1" w:lastRow="0" w:firstColumn="0" w:lastColumn="0" w:oddVBand="0" w:evenVBand="0" w:oddHBand="0" w:evenHBand="0" w:firstRowFirstColumn="0" w:firstRowLastColumn="0" w:lastRowFirstColumn="0" w:lastRowLastColumn="0"/>
            </w:pPr>
            <w:r w:rsidRPr="00413233">
              <w:t>201</w:t>
            </w:r>
            <w:r w:rsidR="00C76493">
              <w:t>7</w:t>
            </w:r>
          </w:p>
        </w:tc>
        <w:tc>
          <w:tcPr>
            <w:tcW w:w="1263" w:type="dxa"/>
          </w:tcPr>
          <w:p w:rsidR="008F17E1" w:rsidRPr="00413233" w:rsidRDefault="008F17E1" w:rsidP="00C76493">
            <w:pPr>
              <w:cnfStyle w:val="100000000000" w:firstRow="1" w:lastRow="0" w:firstColumn="0" w:lastColumn="0" w:oddVBand="0" w:evenVBand="0" w:oddHBand="0" w:evenHBand="0" w:firstRowFirstColumn="0" w:firstRowLastColumn="0" w:lastRowFirstColumn="0" w:lastRowLastColumn="0"/>
            </w:pPr>
            <w:r w:rsidRPr="00413233">
              <w:t>201</w:t>
            </w:r>
            <w:r w:rsidR="00C76493">
              <w:t>8</w:t>
            </w:r>
          </w:p>
        </w:tc>
        <w:tc>
          <w:tcPr>
            <w:tcW w:w="1263" w:type="dxa"/>
          </w:tcPr>
          <w:p w:rsidR="008F17E1" w:rsidRPr="00413233" w:rsidRDefault="008F17E1" w:rsidP="00C76493">
            <w:pPr>
              <w:cnfStyle w:val="100000000000" w:firstRow="1" w:lastRow="0" w:firstColumn="0" w:lastColumn="0" w:oddVBand="0" w:evenVBand="0" w:oddHBand="0" w:evenHBand="0" w:firstRowFirstColumn="0" w:firstRowLastColumn="0" w:lastRowFirstColumn="0" w:lastRowLastColumn="0"/>
            </w:pPr>
            <w:r w:rsidRPr="00413233">
              <w:t>201</w:t>
            </w:r>
            <w:r w:rsidR="00C76493">
              <w:t>9</w:t>
            </w:r>
          </w:p>
        </w:tc>
        <w:tc>
          <w:tcPr>
            <w:tcW w:w="1264" w:type="dxa"/>
          </w:tcPr>
          <w:p w:rsidR="008F17E1" w:rsidRPr="00413233" w:rsidRDefault="008F17E1" w:rsidP="00C76493">
            <w:pPr>
              <w:cnfStyle w:val="100000000000" w:firstRow="1" w:lastRow="0" w:firstColumn="0" w:lastColumn="0" w:oddVBand="0" w:evenVBand="0" w:oddHBand="0" w:evenHBand="0" w:firstRowFirstColumn="0" w:firstRowLastColumn="0" w:lastRowFirstColumn="0" w:lastRowLastColumn="0"/>
            </w:pPr>
            <w:r w:rsidRPr="00413233">
              <w:t>20</w:t>
            </w:r>
            <w:r w:rsidR="00C76493">
              <w:t>20</w:t>
            </w:r>
          </w:p>
        </w:tc>
      </w:tr>
      <w:tr w:rsidR="00016E0D" w:rsidRPr="00E84783" w:rsidTr="005224BC">
        <w:trPr>
          <w:trHeight w:val="596"/>
        </w:trPr>
        <w:tc>
          <w:tcPr>
            <w:cnfStyle w:val="001000000000" w:firstRow="0" w:lastRow="0" w:firstColumn="1" w:lastColumn="0" w:oddVBand="0" w:evenVBand="0" w:oddHBand="0" w:evenHBand="0" w:firstRowFirstColumn="0" w:firstRowLastColumn="0" w:lastRowFirstColumn="0" w:lastRowLastColumn="0"/>
            <w:tcW w:w="2842" w:type="dxa"/>
            <w:vAlign w:val="top"/>
          </w:tcPr>
          <w:p w:rsidR="00016E0D" w:rsidRPr="00016E0D" w:rsidRDefault="00016E0D" w:rsidP="00016E0D">
            <w:pPr>
              <w:rPr>
                <w:rStyle w:val="AERtextbold"/>
              </w:rPr>
            </w:pPr>
            <w:r w:rsidRPr="00016E0D">
              <w:rPr>
                <w:rStyle w:val="AERtextbold"/>
              </w:rPr>
              <w:t>Tariff V (consumption per connection)</w:t>
            </w:r>
          </w:p>
        </w:tc>
        <w:tc>
          <w:tcPr>
            <w:tcW w:w="1263" w:type="dxa"/>
          </w:tcPr>
          <w:p w:rsidR="00016E0D" w:rsidRPr="00C76493" w:rsidRDefault="00016E0D" w:rsidP="00C76493">
            <w:pPr>
              <w:cnfStyle w:val="000000000000" w:firstRow="0" w:lastRow="0" w:firstColumn="0" w:lastColumn="0" w:oddVBand="0" w:evenVBand="0" w:oddHBand="0" w:evenHBand="0" w:firstRowFirstColumn="0" w:firstRowLastColumn="0" w:lastRowFirstColumn="0" w:lastRowLastColumn="0"/>
            </w:pPr>
          </w:p>
        </w:tc>
        <w:tc>
          <w:tcPr>
            <w:tcW w:w="1263" w:type="dxa"/>
          </w:tcPr>
          <w:p w:rsidR="00016E0D" w:rsidRPr="00C76493" w:rsidRDefault="00016E0D" w:rsidP="00C76493">
            <w:pPr>
              <w:cnfStyle w:val="000000000000" w:firstRow="0" w:lastRow="0" w:firstColumn="0" w:lastColumn="0" w:oddVBand="0" w:evenVBand="0" w:oddHBand="0" w:evenHBand="0" w:firstRowFirstColumn="0" w:firstRowLastColumn="0" w:lastRowFirstColumn="0" w:lastRowLastColumn="0"/>
            </w:pPr>
          </w:p>
        </w:tc>
        <w:tc>
          <w:tcPr>
            <w:tcW w:w="1263" w:type="dxa"/>
          </w:tcPr>
          <w:p w:rsidR="00016E0D" w:rsidRPr="00C76493" w:rsidRDefault="00016E0D" w:rsidP="00C76493">
            <w:pPr>
              <w:cnfStyle w:val="000000000000" w:firstRow="0" w:lastRow="0" w:firstColumn="0" w:lastColumn="0" w:oddVBand="0" w:evenVBand="0" w:oddHBand="0" w:evenHBand="0" w:firstRowFirstColumn="0" w:firstRowLastColumn="0" w:lastRowFirstColumn="0" w:lastRowLastColumn="0"/>
            </w:pPr>
          </w:p>
        </w:tc>
        <w:tc>
          <w:tcPr>
            <w:tcW w:w="1263" w:type="dxa"/>
          </w:tcPr>
          <w:p w:rsidR="00016E0D" w:rsidRPr="00C76493" w:rsidRDefault="00016E0D" w:rsidP="00C76493">
            <w:pPr>
              <w:cnfStyle w:val="000000000000" w:firstRow="0" w:lastRow="0" w:firstColumn="0" w:lastColumn="0" w:oddVBand="0" w:evenVBand="0" w:oddHBand="0" w:evenHBand="0" w:firstRowFirstColumn="0" w:firstRowLastColumn="0" w:lastRowFirstColumn="0" w:lastRowLastColumn="0"/>
            </w:pPr>
          </w:p>
        </w:tc>
        <w:tc>
          <w:tcPr>
            <w:tcW w:w="1264" w:type="dxa"/>
          </w:tcPr>
          <w:p w:rsidR="00016E0D" w:rsidRPr="00C76493" w:rsidRDefault="00016E0D" w:rsidP="00C76493">
            <w:pPr>
              <w:cnfStyle w:val="000000000000" w:firstRow="0" w:lastRow="0" w:firstColumn="0" w:lastColumn="0" w:oddVBand="0" w:evenVBand="0" w:oddHBand="0" w:evenHBand="0" w:firstRowFirstColumn="0" w:firstRowLastColumn="0" w:lastRowFirstColumn="0" w:lastRowLastColumn="0"/>
            </w:pPr>
          </w:p>
        </w:tc>
      </w:tr>
      <w:tr w:rsidR="00016E0D" w:rsidRPr="00E84783" w:rsidTr="005224BC">
        <w:trPr>
          <w:cnfStyle w:val="000000010000" w:firstRow="0" w:lastRow="0" w:firstColumn="0" w:lastColumn="0" w:oddVBand="0" w:evenVBand="0" w:oddHBand="0" w:evenHBand="1"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2842" w:type="dxa"/>
            <w:vAlign w:val="top"/>
          </w:tcPr>
          <w:p w:rsidR="00016E0D" w:rsidRPr="00016E0D" w:rsidRDefault="00016E0D" w:rsidP="00016E0D">
            <w:r w:rsidRPr="00016E0D">
              <w:t>Existing Residential</w:t>
            </w:r>
          </w:p>
        </w:tc>
        <w:tc>
          <w:tcPr>
            <w:tcW w:w="1263" w:type="dxa"/>
            <w:vAlign w:val="top"/>
          </w:tcPr>
          <w:p w:rsidR="00016E0D" w:rsidRPr="00016E0D" w:rsidRDefault="00016E0D" w:rsidP="00016E0D">
            <w:pPr>
              <w:pStyle w:val="AERtabletextright"/>
              <w:cnfStyle w:val="000000010000" w:firstRow="0" w:lastRow="0" w:firstColumn="0" w:lastColumn="0" w:oddVBand="0" w:evenVBand="0" w:oddHBand="0" w:evenHBand="1" w:firstRowFirstColumn="0" w:firstRowLastColumn="0" w:lastRowFirstColumn="0" w:lastRowLastColumn="0"/>
            </w:pPr>
            <w:r w:rsidRPr="00016E0D">
              <w:t>19.66</w:t>
            </w:r>
          </w:p>
        </w:tc>
        <w:tc>
          <w:tcPr>
            <w:tcW w:w="1263" w:type="dxa"/>
            <w:vAlign w:val="top"/>
          </w:tcPr>
          <w:p w:rsidR="00016E0D" w:rsidRPr="00016E0D" w:rsidRDefault="00016E0D" w:rsidP="00016E0D">
            <w:pPr>
              <w:pStyle w:val="AERtabletextright"/>
              <w:cnfStyle w:val="000000010000" w:firstRow="0" w:lastRow="0" w:firstColumn="0" w:lastColumn="0" w:oddVBand="0" w:evenVBand="0" w:oddHBand="0" w:evenHBand="1" w:firstRowFirstColumn="0" w:firstRowLastColumn="0" w:lastRowFirstColumn="0" w:lastRowLastColumn="0"/>
            </w:pPr>
            <w:r w:rsidRPr="00016E0D">
              <w:t>19.44</w:t>
            </w:r>
          </w:p>
        </w:tc>
        <w:tc>
          <w:tcPr>
            <w:tcW w:w="1263" w:type="dxa"/>
            <w:vAlign w:val="top"/>
          </w:tcPr>
          <w:p w:rsidR="00016E0D" w:rsidRPr="00016E0D" w:rsidRDefault="00016E0D" w:rsidP="00016E0D">
            <w:pPr>
              <w:pStyle w:val="AERtabletextright"/>
              <w:cnfStyle w:val="000000010000" w:firstRow="0" w:lastRow="0" w:firstColumn="0" w:lastColumn="0" w:oddVBand="0" w:evenVBand="0" w:oddHBand="0" w:evenHBand="1" w:firstRowFirstColumn="0" w:firstRowLastColumn="0" w:lastRowFirstColumn="0" w:lastRowLastColumn="0"/>
            </w:pPr>
            <w:r w:rsidRPr="00016E0D">
              <w:t>19.29</w:t>
            </w:r>
          </w:p>
        </w:tc>
        <w:tc>
          <w:tcPr>
            <w:tcW w:w="1263" w:type="dxa"/>
            <w:vAlign w:val="top"/>
          </w:tcPr>
          <w:p w:rsidR="00016E0D" w:rsidRPr="00016E0D" w:rsidRDefault="00016E0D" w:rsidP="00016E0D">
            <w:pPr>
              <w:pStyle w:val="AERtabletextright"/>
              <w:cnfStyle w:val="000000010000" w:firstRow="0" w:lastRow="0" w:firstColumn="0" w:lastColumn="0" w:oddVBand="0" w:evenVBand="0" w:oddHBand="0" w:evenHBand="1" w:firstRowFirstColumn="0" w:firstRowLastColumn="0" w:lastRowFirstColumn="0" w:lastRowLastColumn="0"/>
            </w:pPr>
            <w:r w:rsidRPr="00016E0D">
              <w:t>19.19</w:t>
            </w:r>
          </w:p>
        </w:tc>
        <w:tc>
          <w:tcPr>
            <w:tcW w:w="1264" w:type="dxa"/>
            <w:vAlign w:val="top"/>
          </w:tcPr>
          <w:p w:rsidR="00016E0D" w:rsidRPr="00016E0D" w:rsidRDefault="00016E0D" w:rsidP="00016E0D">
            <w:pPr>
              <w:pStyle w:val="AERtabletextright"/>
              <w:cnfStyle w:val="000000010000" w:firstRow="0" w:lastRow="0" w:firstColumn="0" w:lastColumn="0" w:oddVBand="0" w:evenVBand="0" w:oddHBand="0" w:evenHBand="1" w:firstRowFirstColumn="0" w:firstRowLastColumn="0" w:lastRowFirstColumn="0" w:lastRowLastColumn="0"/>
            </w:pPr>
            <w:r w:rsidRPr="00016E0D">
              <w:t>19.29</w:t>
            </w:r>
          </w:p>
        </w:tc>
      </w:tr>
      <w:tr w:rsidR="00016E0D" w:rsidRPr="00E84783" w:rsidTr="005224BC">
        <w:trPr>
          <w:trHeight w:val="596"/>
        </w:trPr>
        <w:tc>
          <w:tcPr>
            <w:cnfStyle w:val="001000000000" w:firstRow="0" w:lastRow="0" w:firstColumn="1" w:lastColumn="0" w:oddVBand="0" w:evenVBand="0" w:oddHBand="0" w:evenHBand="0" w:firstRowFirstColumn="0" w:firstRowLastColumn="0" w:lastRowFirstColumn="0" w:lastRowLastColumn="0"/>
            <w:tcW w:w="2842" w:type="dxa"/>
            <w:vAlign w:val="top"/>
          </w:tcPr>
          <w:p w:rsidR="00016E0D" w:rsidRPr="00016E0D" w:rsidRDefault="00016E0D" w:rsidP="00016E0D">
            <w:r w:rsidRPr="00016E0D">
              <w:t>New E-to-G</w:t>
            </w:r>
          </w:p>
        </w:tc>
        <w:tc>
          <w:tcPr>
            <w:tcW w:w="1263" w:type="dxa"/>
            <w:vAlign w:val="top"/>
          </w:tcPr>
          <w:p w:rsidR="00016E0D" w:rsidRPr="00016E0D" w:rsidRDefault="00016E0D" w:rsidP="00016E0D">
            <w:pPr>
              <w:pStyle w:val="AERtabletextright"/>
              <w:cnfStyle w:val="000000000000" w:firstRow="0" w:lastRow="0" w:firstColumn="0" w:lastColumn="0" w:oddVBand="0" w:evenVBand="0" w:oddHBand="0" w:evenHBand="0" w:firstRowFirstColumn="0" w:firstRowLastColumn="0" w:lastRowFirstColumn="0" w:lastRowLastColumn="0"/>
            </w:pPr>
            <w:r w:rsidRPr="00016E0D">
              <w:t>13.06</w:t>
            </w:r>
          </w:p>
        </w:tc>
        <w:tc>
          <w:tcPr>
            <w:tcW w:w="1263" w:type="dxa"/>
            <w:vAlign w:val="top"/>
          </w:tcPr>
          <w:p w:rsidR="00016E0D" w:rsidRPr="00016E0D" w:rsidRDefault="00016E0D" w:rsidP="00016E0D">
            <w:pPr>
              <w:pStyle w:val="AERtabletextright"/>
              <w:cnfStyle w:val="000000000000" w:firstRow="0" w:lastRow="0" w:firstColumn="0" w:lastColumn="0" w:oddVBand="0" w:evenVBand="0" w:oddHBand="0" w:evenHBand="0" w:firstRowFirstColumn="0" w:firstRowLastColumn="0" w:lastRowFirstColumn="0" w:lastRowLastColumn="0"/>
            </w:pPr>
            <w:r w:rsidRPr="00016E0D">
              <w:t>12.91</w:t>
            </w:r>
          </w:p>
        </w:tc>
        <w:tc>
          <w:tcPr>
            <w:tcW w:w="1263" w:type="dxa"/>
            <w:vAlign w:val="top"/>
          </w:tcPr>
          <w:p w:rsidR="00016E0D" w:rsidRPr="00016E0D" w:rsidRDefault="00016E0D" w:rsidP="00016E0D">
            <w:pPr>
              <w:pStyle w:val="AERtabletextright"/>
              <w:cnfStyle w:val="000000000000" w:firstRow="0" w:lastRow="0" w:firstColumn="0" w:lastColumn="0" w:oddVBand="0" w:evenVBand="0" w:oddHBand="0" w:evenHBand="0" w:firstRowFirstColumn="0" w:firstRowLastColumn="0" w:lastRowFirstColumn="0" w:lastRowLastColumn="0"/>
            </w:pPr>
            <w:r w:rsidRPr="00016E0D">
              <w:t>12.81</w:t>
            </w:r>
          </w:p>
        </w:tc>
        <w:tc>
          <w:tcPr>
            <w:tcW w:w="1263" w:type="dxa"/>
            <w:vAlign w:val="top"/>
          </w:tcPr>
          <w:p w:rsidR="00016E0D" w:rsidRPr="00016E0D" w:rsidRDefault="00016E0D" w:rsidP="00016E0D">
            <w:pPr>
              <w:pStyle w:val="AERtabletextright"/>
              <w:cnfStyle w:val="000000000000" w:firstRow="0" w:lastRow="0" w:firstColumn="0" w:lastColumn="0" w:oddVBand="0" w:evenVBand="0" w:oddHBand="0" w:evenHBand="0" w:firstRowFirstColumn="0" w:firstRowLastColumn="0" w:lastRowFirstColumn="0" w:lastRowLastColumn="0"/>
            </w:pPr>
            <w:r w:rsidRPr="00016E0D">
              <w:t>12.75</w:t>
            </w:r>
          </w:p>
        </w:tc>
        <w:tc>
          <w:tcPr>
            <w:tcW w:w="1264" w:type="dxa"/>
            <w:vAlign w:val="top"/>
          </w:tcPr>
          <w:p w:rsidR="00016E0D" w:rsidRPr="00016E0D" w:rsidRDefault="00016E0D" w:rsidP="00016E0D">
            <w:pPr>
              <w:pStyle w:val="AERtabletextright"/>
              <w:cnfStyle w:val="000000000000" w:firstRow="0" w:lastRow="0" w:firstColumn="0" w:lastColumn="0" w:oddVBand="0" w:evenVBand="0" w:oddHBand="0" w:evenHBand="0" w:firstRowFirstColumn="0" w:firstRowLastColumn="0" w:lastRowFirstColumn="0" w:lastRowLastColumn="0"/>
            </w:pPr>
            <w:r w:rsidRPr="00016E0D">
              <w:t>12.81</w:t>
            </w:r>
          </w:p>
        </w:tc>
      </w:tr>
      <w:tr w:rsidR="00016E0D" w:rsidRPr="00E84783" w:rsidTr="005224BC">
        <w:trPr>
          <w:cnfStyle w:val="000000010000" w:firstRow="0" w:lastRow="0" w:firstColumn="0" w:lastColumn="0" w:oddVBand="0" w:evenVBand="0" w:oddHBand="0" w:evenHBand="1"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2842" w:type="dxa"/>
            <w:vAlign w:val="top"/>
          </w:tcPr>
          <w:p w:rsidR="00016E0D" w:rsidRPr="00016E0D" w:rsidRDefault="00016E0D" w:rsidP="00016E0D">
            <w:r w:rsidRPr="00016E0D">
              <w:t>New Estates</w:t>
            </w:r>
          </w:p>
        </w:tc>
        <w:tc>
          <w:tcPr>
            <w:tcW w:w="1263" w:type="dxa"/>
            <w:vAlign w:val="top"/>
          </w:tcPr>
          <w:p w:rsidR="00016E0D" w:rsidRPr="00016E0D" w:rsidRDefault="00016E0D" w:rsidP="00016E0D">
            <w:pPr>
              <w:pStyle w:val="AERtabletextright"/>
              <w:cnfStyle w:val="000000010000" w:firstRow="0" w:lastRow="0" w:firstColumn="0" w:lastColumn="0" w:oddVBand="0" w:evenVBand="0" w:oddHBand="0" w:evenHBand="1" w:firstRowFirstColumn="0" w:firstRowLastColumn="0" w:lastRowFirstColumn="0" w:lastRowLastColumn="0"/>
            </w:pPr>
            <w:r w:rsidRPr="00016E0D">
              <w:t>17.10</w:t>
            </w:r>
          </w:p>
        </w:tc>
        <w:tc>
          <w:tcPr>
            <w:tcW w:w="1263" w:type="dxa"/>
            <w:vAlign w:val="top"/>
          </w:tcPr>
          <w:p w:rsidR="00016E0D" w:rsidRPr="00016E0D" w:rsidRDefault="00016E0D" w:rsidP="00016E0D">
            <w:pPr>
              <w:pStyle w:val="AERtabletextright"/>
              <w:cnfStyle w:val="000000010000" w:firstRow="0" w:lastRow="0" w:firstColumn="0" w:lastColumn="0" w:oddVBand="0" w:evenVBand="0" w:oddHBand="0" w:evenHBand="1" w:firstRowFirstColumn="0" w:firstRowLastColumn="0" w:lastRowFirstColumn="0" w:lastRowLastColumn="0"/>
            </w:pPr>
            <w:r w:rsidRPr="00016E0D">
              <w:t>16.91</w:t>
            </w:r>
          </w:p>
        </w:tc>
        <w:tc>
          <w:tcPr>
            <w:tcW w:w="1263" w:type="dxa"/>
            <w:vAlign w:val="top"/>
          </w:tcPr>
          <w:p w:rsidR="00016E0D" w:rsidRPr="00016E0D" w:rsidRDefault="00016E0D" w:rsidP="00016E0D">
            <w:pPr>
              <w:pStyle w:val="AERtabletextright"/>
              <w:cnfStyle w:val="000000010000" w:firstRow="0" w:lastRow="0" w:firstColumn="0" w:lastColumn="0" w:oddVBand="0" w:evenVBand="0" w:oddHBand="0" w:evenHBand="1" w:firstRowFirstColumn="0" w:firstRowLastColumn="0" w:lastRowFirstColumn="0" w:lastRowLastColumn="0"/>
            </w:pPr>
            <w:r w:rsidRPr="00016E0D">
              <w:t>16.78</w:t>
            </w:r>
          </w:p>
        </w:tc>
        <w:tc>
          <w:tcPr>
            <w:tcW w:w="1263" w:type="dxa"/>
            <w:vAlign w:val="top"/>
          </w:tcPr>
          <w:p w:rsidR="00016E0D" w:rsidRPr="00016E0D" w:rsidRDefault="00016E0D" w:rsidP="00016E0D">
            <w:pPr>
              <w:pStyle w:val="AERtabletextright"/>
              <w:cnfStyle w:val="000000010000" w:firstRow="0" w:lastRow="0" w:firstColumn="0" w:lastColumn="0" w:oddVBand="0" w:evenVBand="0" w:oddHBand="0" w:evenHBand="1" w:firstRowFirstColumn="0" w:firstRowLastColumn="0" w:lastRowFirstColumn="0" w:lastRowLastColumn="0"/>
            </w:pPr>
            <w:r w:rsidRPr="00016E0D">
              <w:t>16.70</w:t>
            </w:r>
          </w:p>
        </w:tc>
        <w:tc>
          <w:tcPr>
            <w:tcW w:w="1264" w:type="dxa"/>
            <w:vAlign w:val="top"/>
          </w:tcPr>
          <w:p w:rsidR="00016E0D" w:rsidRPr="00016E0D" w:rsidRDefault="00016E0D" w:rsidP="00016E0D">
            <w:pPr>
              <w:pStyle w:val="AERtabletextright"/>
              <w:cnfStyle w:val="000000010000" w:firstRow="0" w:lastRow="0" w:firstColumn="0" w:lastColumn="0" w:oddVBand="0" w:evenVBand="0" w:oddHBand="0" w:evenHBand="1" w:firstRowFirstColumn="0" w:firstRowLastColumn="0" w:lastRowFirstColumn="0" w:lastRowLastColumn="0"/>
            </w:pPr>
            <w:r w:rsidRPr="00016E0D">
              <w:t>16.78</w:t>
            </w:r>
          </w:p>
        </w:tc>
      </w:tr>
      <w:tr w:rsidR="00016E0D" w:rsidRPr="00E84783" w:rsidTr="005224BC">
        <w:trPr>
          <w:trHeight w:val="596"/>
        </w:trPr>
        <w:tc>
          <w:tcPr>
            <w:cnfStyle w:val="001000000000" w:firstRow="0" w:lastRow="0" w:firstColumn="1" w:lastColumn="0" w:oddVBand="0" w:evenVBand="0" w:oddHBand="0" w:evenHBand="0" w:firstRowFirstColumn="0" w:firstRowLastColumn="0" w:lastRowFirstColumn="0" w:lastRowLastColumn="0"/>
            <w:tcW w:w="2842" w:type="dxa"/>
            <w:vAlign w:val="top"/>
          </w:tcPr>
          <w:p w:rsidR="00016E0D" w:rsidRPr="00016E0D" w:rsidRDefault="00016E0D" w:rsidP="00016E0D">
            <w:r w:rsidRPr="00016E0D">
              <w:t>New Med Density</w:t>
            </w:r>
          </w:p>
        </w:tc>
        <w:tc>
          <w:tcPr>
            <w:tcW w:w="1263" w:type="dxa"/>
            <w:vAlign w:val="top"/>
          </w:tcPr>
          <w:p w:rsidR="00016E0D" w:rsidRPr="00016E0D" w:rsidRDefault="00016E0D" w:rsidP="00016E0D">
            <w:pPr>
              <w:pStyle w:val="AERtabletextright"/>
              <w:cnfStyle w:val="000000000000" w:firstRow="0" w:lastRow="0" w:firstColumn="0" w:lastColumn="0" w:oddVBand="0" w:evenVBand="0" w:oddHBand="0" w:evenHBand="0" w:firstRowFirstColumn="0" w:firstRowLastColumn="0" w:lastRowFirstColumn="0" w:lastRowLastColumn="0"/>
            </w:pPr>
            <w:r w:rsidRPr="00016E0D">
              <w:t>15.02</w:t>
            </w:r>
          </w:p>
        </w:tc>
        <w:tc>
          <w:tcPr>
            <w:tcW w:w="1263" w:type="dxa"/>
            <w:vAlign w:val="top"/>
          </w:tcPr>
          <w:p w:rsidR="00016E0D" w:rsidRPr="00016E0D" w:rsidRDefault="00016E0D" w:rsidP="00016E0D">
            <w:pPr>
              <w:pStyle w:val="AERtabletextright"/>
              <w:cnfStyle w:val="000000000000" w:firstRow="0" w:lastRow="0" w:firstColumn="0" w:lastColumn="0" w:oddVBand="0" w:evenVBand="0" w:oddHBand="0" w:evenHBand="0" w:firstRowFirstColumn="0" w:firstRowLastColumn="0" w:lastRowFirstColumn="0" w:lastRowLastColumn="0"/>
            </w:pPr>
            <w:r w:rsidRPr="00016E0D">
              <w:t>14.85</w:t>
            </w:r>
          </w:p>
        </w:tc>
        <w:tc>
          <w:tcPr>
            <w:tcW w:w="1263" w:type="dxa"/>
            <w:vAlign w:val="top"/>
          </w:tcPr>
          <w:p w:rsidR="00016E0D" w:rsidRPr="00016E0D" w:rsidRDefault="00016E0D" w:rsidP="00016E0D">
            <w:pPr>
              <w:pStyle w:val="AERtabletextright"/>
              <w:cnfStyle w:val="000000000000" w:firstRow="0" w:lastRow="0" w:firstColumn="0" w:lastColumn="0" w:oddVBand="0" w:evenVBand="0" w:oddHBand="0" w:evenHBand="0" w:firstRowFirstColumn="0" w:firstRowLastColumn="0" w:lastRowFirstColumn="0" w:lastRowLastColumn="0"/>
            </w:pPr>
            <w:r w:rsidRPr="00016E0D">
              <w:t>14.73</w:t>
            </w:r>
          </w:p>
        </w:tc>
        <w:tc>
          <w:tcPr>
            <w:tcW w:w="1263" w:type="dxa"/>
            <w:vAlign w:val="top"/>
          </w:tcPr>
          <w:p w:rsidR="00016E0D" w:rsidRPr="00016E0D" w:rsidRDefault="00016E0D" w:rsidP="00016E0D">
            <w:pPr>
              <w:pStyle w:val="AERtabletextright"/>
              <w:cnfStyle w:val="000000000000" w:firstRow="0" w:lastRow="0" w:firstColumn="0" w:lastColumn="0" w:oddVBand="0" w:evenVBand="0" w:oddHBand="0" w:evenHBand="0" w:firstRowFirstColumn="0" w:firstRowLastColumn="0" w:lastRowFirstColumn="0" w:lastRowLastColumn="0"/>
            </w:pPr>
            <w:r w:rsidRPr="00016E0D">
              <w:t>14.66</w:t>
            </w:r>
          </w:p>
        </w:tc>
        <w:tc>
          <w:tcPr>
            <w:tcW w:w="1264" w:type="dxa"/>
            <w:vAlign w:val="top"/>
          </w:tcPr>
          <w:p w:rsidR="00016E0D" w:rsidRPr="00016E0D" w:rsidRDefault="00016E0D" w:rsidP="00016E0D">
            <w:pPr>
              <w:pStyle w:val="AERtabletextright"/>
              <w:cnfStyle w:val="000000000000" w:firstRow="0" w:lastRow="0" w:firstColumn="0" w:lastColumn="0" w:oddVBand="0" w:evenVBand="0" w:oddHBand="0" w:evenHBand="0" w:firstRowFirstColumn="0" w:firstRowLastColumn="0" w:lastRowFirstColumn="0" w:lastRowLastColumn="0"/>
            </w:pPr>
            <w:r w:rsidRPr="00016E0D">
              <w:t>14.73</w:t>
            </w:r>
          </w:p>
        </w:tc>
      </w:tr>
      <w:tr w:rsidR="00016E0D" w:rsidRPr="00E84783" w:rsidTr="005224BC">
        <w:trPr>
          <w:cnfStyle w:val="000000010000" w:firstRow="0" w:lastRow="0" w:firstColumn="0" w:lastColumn="0" w:oddVBand="0" w:evenVBand="0" w:oddHBand="0" w:evenHBand="1"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2842" w:type="dxa"/>
            <w:vAlign w:val="top"/>
          </w:tcPr>
          <w:p w:rsidR="00016E0D" w:rsidRPr="00016E0D" w:rsidRDefault="00016E0D" w:rsidP="00016E0D">
            <w:r w:rsidRPr="00016E0D">
              <w:t>Small Business</w:t>
            </w:r>
          </w:p>
        </w:tc>
        <w:tc>
          <w:tcPr>
            <w:tcW w:w="1263" w:type="dxa"/>
            <w:vAlign w:val="top"/>
          </w:tcPr>
          <w:p w:rsidR="00016E0D" w:rsidRPr="00016E0D" w:rsidRDefault="00016E0D" w:rsidP="00016E0D">
            <w:pPr>
              <w:pStyle w:val="AERtabletextright"/>
              <w:cnfStyle w:val="000000010000" w:firstRow="0" w:lastRow="0" w:firstColumn="0" w:lastColumn="0" w:oddVBand="0" w:evenVBand="0" w:oddHBand="0" w:evenHBand="1" w:firstRowFirstColumn="0" w:firstRowLastColumn="0" w:lastRowFirstColumn="0" w:lastRowLastColumn="0"/>
            </w:pPr>
            <w:r w:rsidRPr="00016E0D">
              <w:t>210.04</w:t>
            </w:r>
          </w:p>
        </w:tc>
        <w:tc>
          <w:tcPr>
            <w:tcW w:w="1263" w:type="dxa"/>
            <w:vAlign w:val="top"/>
          </w:tcPr>
          <w:p w:rsidR="00016E0D" w:rsidRPr="00016E0D" w:rsidRDefault="00016E0D" w:rsidP="00016E0D">
            <w:pPr>
              <w:pStyle w:val="AERtabletextright"/>
              <w:cnfStyle w:val="000000010000" w:firstRow="0" w:lastRow="0" w:firstColumn="0" w:lastColumn="0" w:oddVBand="0" w:evenVBand="0" w:oddHBand="0" w:evenHBand="1" w:firstRowFirstColumn="0" w:firstRowLastColumn="0" w:lastRowFirstColumn="0" w:lastRowLastColumn="0"/>
            </w:pPr>
            <w:r w:rsidRPr="00016E0D">
              <w:t>203.93</w:t>
            </w:r>
          </w:p>
        </w:tc>
        <w:tc>
          <w:tcPr>
            <w:tcW w:w="1263" w:type="dxa"/>
            <w:vAlign w:val="top"/>
          </w:tcPr>
          <w:p w:rsidR="00016E0D" w:rsidRPr="00016E0D" w:rsidRDefault="00016E0D" w:rsidP="00016E0D">
            <w:pPr>
              <w:pStyle w:val="AERtabletextright"/>
              <w:cnfStyle w:val="000000010000" w:firstRow="0" w:lastRow="0" w:firstColumn="0" w:lastColumn="0" w:oddVBand="0" w:evenVBand="0" w:oddHBand="0" w:evenHBand="1" w:firstRowFirstColumn="0" w:firstRowLastColumn="0" w:lastRowFirstColumn="0" w:lastRowLastColumn="0"/>
            </w:pPr>
            <w:r w:rsidRPr="00016E0D">
              <w:t>196.52</w:t>
            </w:r>
          </w:p>
        </w:tc>
        <w:tc>
          <w:tcPr>
            <w:tcW w:w="1263" w:type="dxa"/>
            <w:vAlign w:val="top"/>
          </w:tcPr>
          <w:p w:rsidR="00016E0D" w:rsidRPr="00016E0D" w:rsidRDefault="00016E0D" w:rsidP="00016E0D">
            <w:pPr>
              <w:pStyle w:val="AERtabletextright"/>
              <w:cnfStyle w:val="000000010000" w:firstRow="0" w:lastRow="0" w:firstColumn="0" w:lastColumn="0" w:oddVBand="0" w:evenVBand="0" w:oddHBand="0" w:evenHBand="1" w:firstRowFirstColumn="0" w:firstRowLastColumn="0" w:lastRowFirstColumn="0" w:lastRowLastColumn="0"/>
            </w:pPr>
            <w:r w:rsidRPr="00016E0D">
              <w:t>188.46</w:t>
            </w:r>
          </w:p>
        </w:tc>
        <w:tc>
          <w:tcPr>
            <w:tcW w:w="1264" w:type="dxa"/>
            <w:vAlign w:val="top"/>
          </w:tcPr>
          <w:p w:rsidR="00016E0D" w:rsidRPr="00016E0D" w:rsidRDefault="00016E0D" w:rsidP="00016E0D">
            <w:pPr>
              <w:pStyle w:val="AERtabletextright"/>
              <w:cnfStyle w:val="000000010000" w:firstRow="0" w:lastRow="0" w:firstColumn="0" w:lastColumn="0" w:oddVBand="0" w:evenVBand="0" w:oddHBand="0" w:evenHBand="1" w:firstRowFirstColumn="0" w:firstRowLastColumn="0" w:lastRowFirstColumn="0" w:lastRowLastColumn="0"/>
            </w:pPr>
            <w:r w:rsidRPr="00016E0D">
              <w:t>182.43</w:t>
            </w:r>
          </w:p>
        </w:tc>
      </w:tr>
      <w:tr w:rsidR="00016E0D" w:rsidRPr="00E84783" w:rsidTr="005224BC">
        <w:trPr>
          <w:trHeight w:val="580"/>
        </w:trPr>
        <w:tc>
          <w:tcPr>
            <w:cnfStyle w:val="001000000000" w:firstRow="0" w:lastRow="0" w:firstColumn="1" w:lastColumn="0" w:oddVBand="0" w:evenVBand="0" w:oddHBand="0" w:evenHBand="0" w:firstRowFirstColumn="0" w:firstRowLastColumn="0" w:lastRowFirstColumn="0" w:lastRowLastColumn="0"/>
            <w:tcW w:w="2842" w:type="dxa"/>
            <w:vAlign w:val="top"/>
          </w:tcPr>
          <w:p w:rsidR="00016E0D" w:rsidRPr="00016E0D" w:rsidRDefault="00016E0D" w:rsidP="00016E0D">
            <w:r w:rsidRPr="00016E0D">
              <w:t>I&amp;C (Adjusted for Tariff Switching)</w:t>
            </w:r>
          </w:p>
        </w:tc>
        <w:tc>
          <w:tcPr>
            <w:tcW w:w="1263" w:type="dxa"/>
            <w:vAlign w:val="top"/>
          </w:tcPr>
          <w:p w:rsidR="00016E0D" w:rsidRPr="00016E0D" w:rsidRDefault="00016E0D" w:rsidP="00016E0D">
            <w:pPr>
              <w:pStyle w:val="AERtabletextright"/>
              <w:cnfStyle w:val="000000000000" w:firstRow="0" w:lastRow="0" w:firstColumn="0" w:lastColumn="0" w:oddVBand="0" w:evenVBand="0" w:oddHBand="0" w:evenHBand="0" w:firstRowFirstColumn="0" w:firstRowLastColumn="0" w:lastRowFirstColumn="0" w:lastRowLastColumn="0"/>
            </w:pPr>
            <w:r w:rsidRPr="00016E0D">
              <w:t>460.61</w:t>
            </w:r>
          </w:p>
        </w:tc>
        <w:tc>
          <w:tcPr>
            <w:tcW w:w="1263" w:type="dxa"/>
            <w:vAlign w:val="top"/>
          </w:tcPr>
          <w:p w:rsidR="00016E0D" w:rsidRPr="00016E0D" w:rsidRDefault="00016E0D" w:rsidP="00016E0D">
            <w:pPr>
              <w:pStyle w:val="AERtabletextright"/>
              <w:cnfStyle w:val="000000000000" w:firstRow="0" w:lastRow="0" w:firstColumn="0" w:lastColumn="0" w:oddVBand="0" w:evenVBand="0" w:oddHBand="0" w:evenHBand="0" w:firstRowFirstColumn="0" w:firstRowLastColumn="0" w:lastRowFirstColumn="0" w:lastRowLastColumn="0"/>
            </w:pPr>
            <w:r w:rsidRPr="00016E0D">
              <w:t>445.68</w:t>
            </w:r>
          </w:p>
        </w:tc>
        <w:tc>
          <w:tcPr>
            <w:tcW w:w="1263" w:type="dxa"/>
            <w:vAlign w:val="top"/>
          </w:tcPr>
          <w:p w:rsidR="00016E0D" w:rsidRPr="00016E0D" w:rsidRDefault="00016E0D" w:rsidP="00016E0D">
            <w:pPr>
              <w:pStyle w:val="AERtabletextright"/>
              <w:cnfStyle w:val="000000000000" w:firstRow="0" w:lastRow="0" w:firstColumn="0" w:lastColumn="0" w:oddVBand="0" w:evenVBand="0" w:oddHBand="0" w:evenHBand="0" w:firstRowFirstColumn="0" w:firstRowLastColumn="0" w:lastRowFirstColumn="0" w:lastRowLastColumn="0"/>
            </w:pPr>
            <w:r w:rsidRPr="00016E0D">
              <w:t>433.10</w:t>
            </w:r>
          </w:p>
        </w:tc>
        <w:tc>
          <w:tcPr>
            <w:tcW w:w="1263" w:type="dxa"/>
            <w:vAlign w:val="top"/>
          </w:tcPr>
          <w:p w:rsidR="00016E0D" w:rsidRPr="00016E0D" w:rsidRDefault="00016E0D" w:rsidP="00016E0D">
            <w:pPr>
              <w:pStyle w:val="AERtabletextright"/>
              <w:cnfStyle w:val="000000000000" w:firstRow="0" w:lastRow="0" w:firstColumn="0" w:lastColumn="0" w:oddVBand="0" w:evenVBand="0" w:oddHBand="0" w:evenHBand="0" w:firstRowFirstColumn="0" w:firstRowLastColumn="0" w:lastRowFirstColumn="0" w:lastRowLastColumn="0"/>
            </w:pPr>
            <w:r w:rsidRPr="00016E0D">
              <w:t>433.73</w:t>
            </w:r>
          </w:p>
        </w:tc>
        <w:tc>
          <w:tcPr>
            <w:tcW w:w="1264" w:type="dxa"/>
            <w:vAlign w:val="top"/>
          </w:tcPr>
          <w:p w:rsidR="00016E0D" w:rsidRPr="00016E0D" w:rsidRDefault="00016E0D" w:rsidP="00016E0D">
            <w:pPr>
              <w:pStyle w:val="AERtabletextright"/>
              <w:cnfStyle w:val="000000000000" w:firstRow="0" w:lastRow="0" w:firstColumn="0" w:lastColumn="0" w:oddVBand="0" w:evenVBand="0" w:oddHBand="0" w:evenHBand="0" w:firstRowFirstColumn="0" w:firstRowLastColumn="0" w:lastRowFirstColumn="0" w:lastRowLastColumn="0"/>
            </w:pPr>
            <w:r w:rsidRPr="00016E0D">
              <w:t>439.15</w:t>
            </w:r>
          </w:p>
        </w:tc>
      </w:tr>
      <w:tr w:rsidR="00016E0D" w:rsidRPr="00E84783" w:rsidTr="005224BC">
        <w:trPr>
          <w:cnfStyle w:val="000000010000" w:firstRow="0" w:lastRow="0" w:firstColumn="0" w:lastColumn="0" w:oddVBand="0" w:evenVBand="0" w:oddHBand="0" w:evenHBand="1"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2842" w:type="dxa"/>
            <w:vAlign w:val="top"/>
          </w:tcPr>
          <w:p w:rsidR="00016E0D" w:rsidRPr="00016E0D" w:rsidRDefault="00016E0D" w:rsidP="00016E0D">
            <w:pPr>
              <w:rPr>
                <w:rStyle w:val="AERtextbold"/>
              </w:rPr>
            </w:pPr>
            <w:r w:rsidRPr="00016E0D">
              <w:rPr>
                <w:rStyle w:val="AERtextbold"/>
              </w:rPr>
              <w:t xml:space="preserve">Tariff D (total </w:t>
            </w:r>
            <w:r>
              <w:rPr>
                <w:rStyle w:val="AERtextbold"/>
              </w:rPr>
              <w:t>consumption</w:t>
            </w:r>
            <w:r w:rsidRPr="00016E0D">
              <w:rPr>
                <w:rStyle w:val="AERtextbold"/>
              </w:rPr>
              <w:t>)</w:t>
            </w:r>
          </w:p>
        </w:tc>
        <w:tc>
          <w:tcPr>
            <w:tcW w:w="1263" w:type="dxa"/>
          </w:tcPr>
          <w:p w:rsidR="00016E0D" w:rsidRPr="00C76493" w:rsidRDefault="00016E0D" w:rsidP="00C76493">
            <w:pPr>
              <w:cnfStyle w:val="000000010000" w:firstRow="0" w:lastRow="0" w:firstColumn="0" w:lastColumn="0" w:oddVBand="0" w:evenVBand="0" w:oddHBand="0" w:evenHBand="1" w:firstRowFirstColumn="0" w:firstRowLastColumn="0" w:lastRowFirstColumn="0" w:lastRowLastColumn="0"/>
            </w:pPr>
          </w:p>
        </w:tc>
        <w:tc>
          <w:tcPr>
            <w:tcW w:w="1263" w:type="dxa"/>
          </w:tcPr>
          <w:p w:rsidR="00016E0D" w:rsidRPr="00C76493" w:rsidRDefault="00016E0D" w:rsidP="00C76493">
            <w:pPr>
              <w:cnfStyle w:val="000000010000" w:firstRow="0" w:lastRow="0" w:firstColumn="0" w:lastColumn="0" w:oddVBand="0" w:evenVBand="0" w:oddHBand="0" w:evenHBand="1" w:firstRowFirstColumn="0" w:firstRowLastColumn="0" w:lastRowFirstColumn="0" w:lastRowLastColumn="0"/>
            </w:pPr>
          </w:p>
        </w:tc>
        <w:tc>
          <w:tcPr>
            <w:tcW w:w="1263" w:type="dxa"/>
          </w:tcPr>
          <w:p w:rsidR="00016E0D" w:rsidRPr="00C76493" w:rsidRDefault="00016E0D" w:rsidP="00C76493">
            <w:pPr>
              <w:cnfStyle w:val="000000010000" w:firstRow="0" w:lastRow="0" w:firstColumn="0" w:lastColumn="0" w:oddVBand="0" w:evenVBand="0" w:oddHBand="0" w:evenHBand="1" w:firstRowFirstColumn="0" w:firstRowLastColumn="0" w:lastRowFirstColumn="0" w:lastRowLastColumn="0"/>
            </w:pPr>
          </w:p>
        </w:tc>
        <w:tc>
          <w:tcPr>
            <w:tcW w:w="1263" w:type="dxa"/>
          </w:tcPr>
          <w:p w:rsidR="00016E0D" w:rsidRPr="00C76493" w:rsidRDefault="00016E0D" w:rsidP="00C76493">
            <w:pPr>
              <w:cnfStyle w:val="000000010000" w:firstRow="0" w:lastRow="0" w:firstColumn="0" w:lastColumn="0" w:oddVBand="0" w:evenVBand="0" w:oddHBand="0" w:evenHBand="1" w:firstRowFirstColumn="0" w:firstRowLastColumn="0" w:lastRowFirstColumn="0" w:lastRowLastColumn="0"/>
            </w:pPr>
          </w:p>
        </w:tc>
        <w:tc>
          <w:tcPr>
            <w:tcW w:w="1264" w:type="dxa"/>
          </w:tcPr>
          <w:p w:rsidR="00016E0D" w:rsidRPr="00C76493" w:rsidRDefault="00016E0D" w:rsidP="00C76493">
            <w:pPr>
              <w:cnfStyle w:val="000000010000" w:firstRow="0" w:lastRow="0" w:firstColumn="0" w:lastColumn="0" w:oddVBand="0" w:evenVBand="0" w:oddHBand="0" w:evenHBand="1" w:firstRowFirstColumn="0" w:firstRowLastColumn="0" w:lastRowFirstColumn="0" w:lastRowLastColumn="0"/>
            </w:pPr>
          </w:p>
        </w:tc>
      </w:tr>
      <w:tr w:rsidR="00C76493" w:rsidRPr="00E84783" w:rsidTr="005224BC">
        <w:trPr>
          <w:trHeight w:val="596"/>
        </w:trPr>
        <w:tc>
          <w:tcPr>
            <w:cnfStyle w:val="001000000000" w:firstRow="0" w:lastRow="0" w:firstColumn="1" w:lastColumn="0" w:oddVBand="0" w:evenVBand="0" w:oddHBand="0" w:evenHBand="0" w:firstRowFirstColumn="0" w:firstRowLastColumn="0" w:lastRowFirstColumn="0" w:lastRowLastColumn="0"/>
            <w:tcW w:w="2842" w:type="dxa"/>
            <w:vAlign w:val="top"/>
          </w:tcPr>
          <w:p w:rsidR="00C76493" w:rsidRPr="00C76493" w:rsidRDefault="00C76493" w:rsidP="00C76493">
            <w:r w:rsidRPr="00C76493">
              <w:t>ACQ</w:t>
            </w:r>
          </w:p>
        </w:tc>
        <w:tc>
          <w:tcPr>
            <w:tcW w:w="1263" w:type="dxa"/>
            <w:vAlign w:val="top"/>
          </w:tcPr>
          <w:p w:rsidR="00C76493" w:rsidRPr="00C76493" w:rsidRDefault="00C76493" w:rsidP="00016E0D">
            <w:pPr>
              <w:pStyle w:val="AERtabletextright"/>
              <w:cnfStyle w:val="000000000000" w:firstRow="0" w:lastRow="0" w:firstColumn="0" w:lastColumn="0" w:oddVBand="0" w:evenVBand="0" w:oddHBand="0" w:evenHBand="0" w:firstRowFirstColumn="0" w:firstRowLastColumn="0" w:lastRowFirstColumn="0" w:lastRowLastColumn="0"/>
            </w:pPr>
            <w:r w:rsidRPr="00C76493">
              <w:t>45,951,999</w:t>
            </w:r>
          </w:p>
        </w:tc>
        <w:tc>
          <w:tcPr>
            <w:tcW w:w="1263" w:type="dxa"/>
            <w:vAlign w:val="top"/>
          </w:tcPr>
          <w:p w:rsidR="00C76493" w:rsidRPr="00C76493" w:rsidRDefault="00C76493" w:rsidP="00016E0D">
            <w:pPr>
              <w:pStyle w:val="AERtabletextright"/>
              <w:cnfStyle w:val="000000000000" w:firstRow="0" w:lastRow="0" w:firstColumn="0" w:lastColumn="0" w:oddVBand="0" w:evenVBand="0" w:oddHBand="0" w:evenHBand="0" w:firstRowFirstColumn="0" w:firstRowLastColumn="0" w:lastRowFirstColumn="0" w:lastRowLastColumn="0"/>
            </w:pPr>
            <w:r w:rsidRPr="00C76493">
              <w:t>45,290,414</w:t>
            </w:r>
          </w:p>
        </w:tc>
        <w:tc>
          <w:tcPr>
            <w:tcW w:w="1263" w:type="dxa"/>
            <w:vAlign w:val="top"/>
          </w:tcPr>
          <w:p w:rsidR="00C76493" w:rsidRPr="00C76493" w:rsidRDefault="00C76493" w:rsidP="00016E0D">
            <w:pPr>
              <w:pStyle w:val="AERtabletextright"/>
              <w:cnfStyle w:val="000000000000" w:firstRow="0" w:lastRow="0" w:firstColumn="0" w:lastColumn="0" w:oddVBand="0" w:evenVBand="0" w:oddHBand="0" w:evenHBand="0" w:firstRowFirstColumn="0" w:firstRowLastColumn="0" w:lastRowFirstColumn="0" w:lastRowLastColumn="0"/>
            </w:pPr>
            <w:r w:rsidRPr="00C76493">
              <w:t>44,644,746</w:t>
            </w:r>
          </w:p>
        </w:tc>
        <w:tc>
          <w:tcPr>
            <w:tcW w:w="1263" w:type="dxa"/>
            <w:vAlign w:val="top"/>
          </w:tcPr>
          <w:p w:rsidR="00C76493" w:rsidRPr="00C76493" w:rsidRDefault="00C76493" w:rsidP="00016E0D">
            <w:pPr>
              <w:pStyle w:val="AERtabletextright"/>
              <w:cnfStyle w:val="000000000000" w:firstRow="0" w:lastRow="0" w:firstColumn="0" w:lastColumn="0" w:oddVBand="0" w:evenVBand="0" w:oddHBand="0" w:evenHBand="0" w:firstRowFirstColumn="0" w:firstRowLastColumn="0" w:lastRowFirstColumn="0" w:lastRowLastColumn="0"/>
            </w:pPr>
            <w:r w:rsidRPr="00C76493">
              <w:t>44,014,608</w:t>
            </w:r>
          </w:p>
        </w:tc>
        <w:tc>
          <w:tcPr>
            <w:tcW w:w="1264" w:type="dxa"/>
            <w:vAlign w:val="top"/>
          </w:tcPr>
          <w:p w:rsidR="00C76493" w:rsidRPr="00C76493" w:rsidRDefault="00C76493" w:rsidP="00016E0D">
            <w:pPr>
              <w:pStyle w:val="AERtabletextright"/>
              <w:cnfStyle w:val="000000000000" w:firstRow="0" w:lastRow="0" w:firstColumn="0" w:lastColumn="0" w:oddVBand="0" w:evenVBand="0" w:oddHBand="0" w:evenHBand="0" w:firstRowFirstColumn="0" w:firstRowLastColumn="0" w:lastRowFirstColumn="0" w:lastRowLastColumn="0"/>
            </w:pPr>
            <w:r w:rsidRPr="00C76493">
              <w:t>43,399,622</w:t>
            </w:r>
          </w:p>
        </w:tc>
      </w:tr>
      <w:tr w:rsidR="00C76493" w:rsidRPr="00E84783" w:rsidTr="005224BC">
        <w:trPr>
          <w:cnfStyle w:val="000000010000" w:firstRow="0" w:lastRow="0" w:firstColumn="0" w:lastColumn="0" w:oddVBand="0" w:evenVBand="0" w:oddHBand="0" w:evenHBand="1"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2842" w:type="dxa"/>
            <w:vAlign w:val="top"/>
          </w:tcPr>
          <w:p w:rsidR="00C76493" w:rsidRPr="00C76493" w:rsidRDefault="00C76493" w:rsidP="00C76493">
            <w:r w:rsidRPr="00C76493">
              <w:t>MDQ</w:t>
            </w:r>
          </w:p>
        </w:tc>
        <w:tc>
          <w:tcPr>
            <w:tcW w:w="1263" w:type="dxa"/>
            <w:vAlign w:val="top"/>
          </w:tcPr>
          <w:p w:rsidR="00C76493" w:rsidRPr="00C76493" w:rsidRDefault="00C76493" w:rsidP="00016E0D">
            <w:pPr>
              <w:pStyle w:val="AERtabletextright"/>
              <w:cnfStyle w:val="000000010000" w:firstRow="0" w:lastRow="0" w:firstColumn="0" w:lastColumn="0" w:oddVBand="0" w:evenVBand="0" w:oddHBand="0" w:evenHBand="1" w:firstRowFirstColumn="0" w:firstRowLastColumn="0" w:lastRowFirstColumn="0" w:lastRowLastColumn="0"/>
            </w:pPr>
            <w:r w:rsidRPr="00C76493">
              <w:t>262,397</w:t>
            </w:r>
          </w:p>
        </w:tc>
        <w:tc>
          <w:tcPr>
            <w:tcW w:w="1263" w:type="dxa"/>
            <w:vAlign w:val="top"/>
          </w:tcPr>
          <w:p w:rsidR="00C76493" w:rsidRPr="00C76493" w:rsidRDefault="00C76493" w:rsidP="00016E0D">
            <w:pPr>
              <w:pStyle w:val="AERtabletextright"/>
              <w:cnfStyle w:val="000000010000" w:firstRow="0" w:lastRow="0" w:firstColumn="0" w:lastColumn="0" w:oddVBand="0" w:evenVBand="0" w:oddHBand="0" w:evenHBand="1" w:firstRowFirstColumn="0" w:firstRowLastColumn="0" w:lastRowFirstColumn="0" w:lastRowLastColumn="0"/>
            </w:pPr>
            <w:r w:rsidRPr="00C76493">
              <w:t>259,881</w:t>
            </w:r>
          </w:p>
        </w:tc>
        <w:tc>
          <w:tcPr>
            <w:tcW w:w="1263" w:type="dxa"/>
            <w:vAlign w:val="top"/>
          </w:tcPr>
          <w:p w:rsidR="00C76493" w:rsidRPr="00C76493" w:rsidRDefault="00C76493" w:rsidP="00016E0D">
            <w:pPr>
              <w:pStyle w:val="AERtabletextright"/>
              <w:cnfStyle w:val="000000010000" w:firstRow="0" w:lastRow="0" w:firstColumn="0" w:lastColumn="0" w:oddVBand="0" w:evenVBand="0" w:oddHBand="0" w:evenHBand="1" w:firstRowFirstColumn="0" w:firstRowLastColumn="0" w:lastRowFirstColumn="0" w:lastRowLastColumn="0"/>
            </w:pPr>
            <w:r w:rsidRPr="00C76493">
              <w:t>256,632</w:t>
            </w:r>
          </w:p>
        </w:tc>
        <w:tc>
          <w:tcPr>
            <w:tcW w:w="1263" w:type="dxa"/>
            <w:vAlign w:val="top"/>
          </w:tcPr>
          <w:p w:rsidR="00C76493" w:rsidRPr="00C76493" w:rsidRDefault="00C76493" w:rsidP="00016E0D">
            <w:pPr>
              <w:pStyle w:val="AERtabletextright"/>
              <w:cnfStyle w:val="000000010000" w:firstRow="0" w:lastRow="0" w:firstColumn="0" w:lastColumn="0" w:oddVBand="0" w:evenVBand="0" w:oddHBand="0" w:evenHBand="1" w:firstRowFirstColumn="0" w:firstRowLastColumn="0" w:lastRowFirstColumn="0" w:lastRowLastColumn="0"/>
            </w:pPr>
            <w:r w:rsidRPr="00C76493">
              <w:t>254,228</w:t>
            </w:r>
          </w:p>
        </w:tc>
        <w:tc>
          <w:tcPr>
            <w:tcW w:w="1264" w:type="dxa"/>
            <w:vAlign w:val="top"/>
          </w:tcPr>
          <w:p w:rsidR="00C76493" w:rsidRPr="00C76493" w:rsidRDefault="00C76493" w:rsidP="00016E0D">
            <w:pPr>
              <w:pStyle w:val="AERtabletextright"/>
              <w:cnfStyle w:val="000000010000" w:firstRow="0" w:lastRow="0" w:firstColumn="0" w:lastColumn="0" w:oddVBand="0" w:evenVBand="0" w:oddHBand="0" w:evenHBand="1" w:firstRowFirstColumn="0" w:firstRowLastColumn="0" w:lastRowFirstColumn="0" w:lastRowLastColumn="0"/>
            </w:pPr>
            <w:r w:rsidRPr="00C76493">
              <w:t>254,228</w:t>
            </w:r>
          </w:p>
        </w:tc>
      </w:tr>
      <w:tr w:rsidR="00C76493" w:rsidRPr="00E84783" w:rsidTr="005224BC">
        <w:trPr>
          <w:trHeight w:val="596"/>
        </w:trPr>
        <w:tc>
          <w:tcPr>
            <w:cnfStyle w:val="001000000000" w:firstRow="0" w:lastRow="0" w:firstColumn="1" w:lastColumn="0" w:oddVBand="0" w:evenVBand="0" w:oddHBand="0" w:evenHBand="0" w:firstRowFirstColumn="0" w:firstRowLastColumn="0" w:lastRowFirstColumn="0" w:lastRowLastColumn="0"/>
            <w:tcW w:w="2842" w:type="dxa"/>
            <w:vAlign w:val="top"/>
          </w:tcPr>
          <w:p w:rsidR="00C76493" w:rsidRPr="00C76493" w:rsidRDefault="00C76493" w:rsidP="00C76493">
            <w:r w:rsidRPr="00C76493">
              <w:t>CD</w:t>
            </w:r>
          </w:p>
        </w:tc>
        <w:tc>
          <w:tcPr>
            <w:tcW w:w="1263" w:type="dxa"/>
            <w:vAlign w:val="top"/>
          </w:tcPr>
          <w:p w:rsidR="00C76493" w:rsidRPr="00C76493" w:rsidRDefault="00C76493" w:rsidP="00016E0D">
            <w:pPr>
              <w:pStyle w:val="AERtabletextright"/>
              <w:cnfStyle w:val="000000000000" w:firstRow="0" w:lastRow="0" w:firstColumn="0" w:lastColumn="0" w:oddVBand="0" w:evenVBand="0" w:oddHBand="0" w:evenHBand="0" w:firstRowFirstColumn="0" w:firstRowLastColumn="0" w:lastRowFirstColumn="0" w:lastRowLastColumn="0"/>
            </w:pPr>
            <w:r w:rsidRPr="00C76493">
              <w:t>262,397</w:t>
            </w:r>
          </w:p>
        </w:tc>
        <w:tc>
          <w:tcPr>
            <w:tcW w:w="1263" w:type="dxa"/>
            <w:vAlign w:val="top"/>
          </w:tcPr>
          <w:p w:rsidR="00C76493" w:rsidRPr="00C76493" w:rsidRDefault="00C76493" w:rsidP="00016E0D">
            <w:pPr>
              <w:pStyle w:val="AERtabletextright"/>
              <w:cnfStyle w:val="000000000000" w:firstRow="0" w:lastRow="0" w:firstColumn="0" w:lastColumn="0" w:oddVBand="0" w:evenVBand="0" w:oddHBand="0" w:evenHBand="0" w:firstRowFirstColumn="0" w:firstRowLastColumn="0" w:lastRowFirstColumn="0" w:lastRowLastColumn="0"/>
            </w:pPr>
            <w:r w:rsidRPr="00C76493">
              <w:t>259,881</w:t>
            </w:r>
          </w:p>
        </w:tc>
        <w:tc>
          <w:tcPr>
            <w:tcW w:w="1263" w:type="dxa"/>
            <w:vAlign w:val="top"/>
          </w:tcPr>
          <w:p w:rsidR="00C76493" w:rsidRPr="00C76493" w:rsidRDefault="00C76493" w:rsidP="00016E0D">
            <w:pPr>
              <w:pStyle w:val="AERtabletextright"/>
              <w:cnfStyle w:val="000000000000" w:firstRow="0" w:lastRow="0" w:firstColumn="0" w:lastColumn="0" w:oddVBand="0" w:evenVBand="0" w:oddHBand="0" w:evenHBand="0" w:firstRowFirstColumn="0" w:firstRowLastColumn="0" w:lastRowFirstColumn="0" w:lastRowLastColumn="0"/>
            </w:pPr>
            <w:r w:rsidRPr="00C76493">
              <w:t>256,632</w:t>
            </w:r>
          </w:p>
        </w:tc>
        <w:tc>
          <w:tcPr>
            <w:tcW w:w="1263" w:type="dxa"/>
            <w:vAlign w:val="top"/>
          </w:tcPr>
          <w:p w:rsidR="00C76493" w:rsidRPr="00C76493" w:rsidRDefault="00C76493" w:rsidP="00016E0D">
            <w:pPr>
              <w:pStyle w:val="AERtabletextright"/>
              <w:cnfStyle w:val="000000000000" w:firstRow="0" w:lastRow="0" w:firstColumn="0" w:lastColumn="0" w:oddVBand="0" w:evenVBand="0" w:oddHBand="0" w:evenHBand="0" w:firstRowFirstColumn="0" w:firstRowLastColumn="0" w:lastRowFirstColumn="0" w:lastRowLastColumn="0"/>
            </w:pPr>
            <w:r w:rsidRPr="00C76493">
              <w:t>254,228</w:t>
            </w:r>
          </w:p>
        </w:tc>
        <w:tc>
          <w:tcPr>
            <w:tcW w:w="1264" w:type="dxa"/>
            <w:vAlign w:val="top"/>
          </w:tcPr>
          <w:p w:rsidR="00C76493" w:rsidRPr="00C76493" w:rsidRDefault="00C76493" w:rsidP="00016E0D">
            <w:pPr>
              <w:pStyle w:val="AERtabletextright"/>
              <w:cnfStyle w:val="000000000000" w:firstRow="0" w:lastRow="0" w:firstColumn="0" w:lastColumn="0" w:oddVBand="0" w:evenVBand="0" w:oddHBand="0" w:evenHBand="0" w:firstRowFirstColumn="0" w:firstRowLastColumn="0" w:lastRowFirstColumn="0" w:lastRowLastColumn="0"/>
            </w:pPr>
            <w:r w:rsidRPr="00C76493">
              <w:t>254,228</w:t>
            </w:r>
          </w:p>
        </w:tc>
      </w:tr>
    </w:tbl>
    <w:p w:rsidR="008F17E1" w:rsidRDefault="008F17E1" w:rsidP="008F17E1">
      <w:pPr>
        <w:pStyle w:val="AERtablesource"/>
      </w:pPr>
      <w:r>
        <w:t>Source: AER analysis</w:t>
      </w:r>
    </w:p>
    <w:p w:rsidR="00DF53F5" w:rsidRPr="009F16ED" w:rsidRDefault="00DF53F5" w:rsidP="00DF53F5">
      <w:pPr>
        <w:pStyle w:val="Caption"/>
      </w:pPr>
      <w:r>
        <w:lastRenderedPageBreak/>
        <w:t xml:space="preserve">Table </w:t>
      </w:r>
      <w:r w:rsidRPr="00DF53F5">
        <w:fldChar w:fldCharType="begin"/>
      </w:r>
      <w:r>
        <w:instrText xml:space="preserve"> STYLEREF 1 \s </w:instrText>
      </w:r>
      <w:r w:rsidRPr="00DF53F5">
        <w:fldChar w:fldCharType="separate"/>
      </w:r>
      <w:r w:rsidR="00CF5788">
        <w:rPr>
          <w:noProof/>
        </w:rPr>
        <w:t>13</w:t>
      </w:r>
      <w:r w:rsidRPr="00DF53F5">
        <w:fldChar w:fldCharType="end"/>
      </w:r>
      <w:r>
        <w:t>.</w:t>
      </w:r>
      <w:r w:rsidRPr="00DF53F5">
        <w:fldChar w:fldCharType="begin"/>
      </w:r>
      <w:r>
        <w:instrText xml:space="preserve"> SEQ Table \* ARABIC \s 1 </w:instrText>
      </w:r>
      <w:r w:rsidRPr="00DF53F5">
        <w:fldChar w:fldCharType="separate"/>
      </w:r>
      <w:r w:rsidR="00CF5788">
        <w:rPr>
          <w:noProof/>
        </w:rPr>
        <w:t>2</w:t>
      </w:r>
      <w:r w:rsidRPr="00DF53F5">
        <w:fldChar w:fldCharType="end"/>
      </w:r>
      <w:r>
        <w:tab/>
        <w:t>AER draft decision on total connection, new connection and disconnection numbers</w:t>
      </w:r>
      <w:r w:rsidRPr="009F16ED">
        <w:t xml:space="preserve">  </w:t>
      </w:r>
    </w:p>
    <w:tbl>
      <w:tblPr>
        <w:tblStyle w:val="AERtable-numbers"/>
        <w:tblW w:w="0" w:type="auto"/>
        <w:tblLayout w:type="fixed"/>
        <w:tblLook w:val="01E0" w:firstRow="1" w:lastRow="1" w:firstColumn="1" w:lastColumn="1" w:noHBand="0" w:noVBand="0"/>
      </w:tblPr>
      <w:tblGrid>
        <w:gridCol w:w="2842"/>
        <w:gridCol w:w="1263"/>
        <w:gridCol w:w="1263"/>
        <w:gridCol w:w="1263"/>
        <w:gridCol w:w="1263"/>
        <w:gridCol w:w="1264"/>
      </w:tblGrid>
      <w:tr w:rsidR="00DF53F5" w:rsidRPr="001225DE" w:rsidTr="00AB0AD0">
        <w:trPr>
          <w:cnfStyle w:val="100000000000" w:firstRow="1" w:lastRow="0" w:firstColumn="0" w:lastColumn="0" w:oddVBand="0" w:evenVBand="0" w:oddHBand="0" w:evenHBand="0"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2842" w:type="dxa"/>
          </w:tcPr>
          <w:p w:rsidR="00DF53F5" w:rsidRPr="00413233" w:rsidRDefault="00DF53F5" w:rsidP="00DF53F5"/>
        </w:tc>
        <w:tc>
          <w:tcPr>
            <w:tcW w:w="1263" w:type="dxa"/>
          </w:tcPr>
          <w:p w:rsidR="00DF53F5" w:rsidRPr="00DF53F5" w:rsidRDefault="00DF53F5" w:rsidP="00DF53F5">
            <w:pPr>
              <w:cnfStyle w:val="100000000000" w:firstRow="1" w:lastRow="0" w:firstColumn="0" w:lastColumn="0" w:oddVBand="0" w:evenVBand="0" w:oddHBand="0" w:evenHBand="0" w:firstRowFirstColumn="0" w:firstRowLastColumn="0" w:lastRowFirstColumn="0" w:lastRowLastColumn="0"/>
            </w:pPr>
            <w:r w:rsidRPr="00413233">
              <w:t>201</w:t>
            </w:r>
            <w:r w:rsidRPr="00DF53F5">
              <w:t>6</w:t>
            </w:r>
          </w:p>
        </w:tc>
        <w:tc>
          <w:tcPr>
            <w:tcW w:w="1263" w:type="dxa"/>
          </w:tcPr>
          <w:p w:rsidR="00DF53F5" w:rsidRPr="00DF53F5" w:rsidRDefault="00DF53F5" w:rsidP="00DF53F5">
            <w:pPr>
              <w:cnfStyle w:val="100000000000" w:firstRow="1" w:lastRow="0" w:firstColumn="0" w:lastColumn="0" w:oddVBand="0" w:evenVBand="0" w:oddHBand="0" w:evenHBand="0" w:firstRowFirstColumn="0" w:firstRowLastColumn="0" w:lastRowFirstColumn="0" w:lastRowLastColumn="0"/>
            </w:pPr>
            <w:r w:rsidRPr="00413233">
              <w:t>201</w:t>
            </w:r>
            <w:r w:rsidRPr="00DF53F5">
              <w:t>7</w:t>
            </w:r>
          </w:p>
        </w:tc>
        <w:tc>
          <w:tcPr>
            <w:tcW w:w="1263" w:type="dxa"/>
          </w:tcPr>
          <w:p w:rsidR="00DF53F5" w:rsidRPr="00DF53F5" w:rsidRDefault="00DF53F5" w:rsidP="00DF53F5">
            <w:pPr>
              <w:cnfStyle w:val="100000000000" w:firstRow="1" w:lastRow="0" w:firstColumn="0" w:lastColumn="0" w:oddVBand="0" w:evenVBand="0" w:oddHBand="0" w:evenHBand="0" w:firstRowFirstColumn="0" w:firstRowLastColumn="0" w:lastRowFirstColumn="0" w:lastRowLastColumn="0"/>
            </w:pPr>
            <w:r w:rsidRPr="00413233">
              <w:t>201</w:t>
            </w:r>
            <w:r w:rsidRPr="00DF53F5">
              <w:t>8</w:t>
            </w:r>
          </w:p>
        </w:tc>
        <w:tc>
          <w:tcPr>
            <w:tcW w:w="1263" w:type="dxa"/>
          </w:tcPr>
          <w:p w:rsidR="00DF53F5" w:rsidRPr="00DF53F5" w:rsidRDefault="00DF53F5" w:rsidP="00DF53F5">
            <w:pPr>
              <w:cnfStyle w:val="100000000000" w:firstRow="1" w:lastRow="0" w:firstColumn="0" w:lastColumn="0" w:oddVBand="0" w:evenVBand="0" w:oddHBand="0" w:evenHBand="0" w:firstRowFirstColumn="0" w:firstRowLastColumn="0" w:lastRowFirstColumn="0" w:lastRowLastColumn="0"/>
            </w:pPr>
            <w:r w:rsidRPr="00413233">
              <w:t>201</w:t>
            </w:r>
            <w:r w:rsidRPr="00DF53F5">
              <w:t>9</w:t>
            </w:r>
          </w:p>
        </w:tc>
        <w:tc>
          <w:tcPr>
            <w:tcW w:w="1264" w:type="dxa"/>
          </w:tcPr>
          <w:p w:rsidR="00DF53F5" w:rsidRPr="00DF53F5" w:rsidRDefault="00DF53F5" w:rsidP="00DF53F5">
            <w:pPr>
              <w:cnfStyle w:val="100000000000" w:firstRow="1" w:lastRow="0" w:firstColumn="0" w:lastColumn="0" w:oddVBand="0" w:evenVBand="0" w:oddHBand="0" w:evenHBand="0" w:firstRowFirstColumn="0" w:firstRowLastColumn="0" w:lastRowFirstColumn="0" w:lastRowLastColumn="0"/>
            </w:pPr>
            <w:r w:rsidRPr="00413233">
              <w:t>20</w:t>
            </w:r>
            <w:r w:rsidRPr="00DF53F5">
              <w:t>20</w:t>
            </w:r>
          </w:p>
        </w:tc>
      </w:tr>
      <w:tr w:rsidR="00DF53F5" w:rsidRPr="00E84783" w:rsidTr="00AB0AD0">
        <w:trPr>
          <w:trHeight w:val="596"/>
        </w:trPr>
        <w:tc>
          <w:tcPr>
            <w:cnfStyle w:val="001000000000" w:firstRow="0" w:lastRow="0" w:firstColumn="1" w:lastColumn="0" w:oddVBand="0" w:evenVBand="0" w:oddHBand="0" w:evenHBand="0" w:firstRowFirstColumn="0" w:firstRowLastColumn="0" w:lastRowFirstColumn="0" w:lastRowLastColumn="0"/>
            <w:tcW w:w="2842" w:type="dxa"/>
          </w:tcPr>
          <w:p w:rsidR="00DF53F5" w:rsidRPr="00DF53F5" w:rsidRDefault="00DF53F5" w:rsidP="00DF53F5">
            <w:pPr>
              <w:rPr>
                <w:rStyle w:val="AERtextbold"/>
              </w:rPr>
            </w:pPr>
            <w:r>
              <w:rPr>
                <w:rStyle w:val="AERtextbold"/>
              </w:rPr>
              <w:t>Total connections</w:t>
            </w:r>
          </w:p>
        </w:tc>
        <w:tc>
          <w:tcPr>
            <w:tcW w:w="1263" w:type="dxa"/>
          </w:tcPr>
          <w:p w:rsidR="00DF53F5" w:rsidRPr="00CA1EE9" w:rsidRDefault="00DF53F5" w:rsidP="00DF53F5">
            <w:pPr>
              <w:cnfStyle w:val="000000000000" w:firstRow="0" w:lastRow="0" w:firstColumn="0" w:lastColumn="0" w:oddVBand="0" w:evenVBand="0" w:oddHBand="0" w:evenHBand="0" w:firstRowFirstColumn="0" w:firstRowLastColumn="0" w:lastRowFirstColumn="0" w:lastRowLastColumn="0"/>
            </w:pPr>
          </w:p>
        </w:tc>
        <w:tc>
          <w:tcPr>
            <w:tcW w:w="1263" w:type="dxa"/>
          </w:tcPr>
          <w:p w:rsidR="00DF53F5" w:rsidRPr="00CA1EE9" w:rsidRDefault="00DF53F5" w:rsidP="00DF53F5">
            <w:pPr>
              <w:cnfStyle w:val="000000000000" w:firstRow="0" w:lastRow="0" w:firstColumn="0" w:lastColumn="0" w:oddVBand="0" w:evenVBand="0" w:oddHBand="0" w:evenHBand="0" w:firstRowFirstColumn="0" w:firstRowLastColumn="0" w:lastRowFirstColumn="0" w:lastRowLastColumn="0"/>
            </w:pPr>
          </w:p>
        </w:tc>
        <w:tc>
          <w:tcPr>
            <w:tcW w:w="1263" w:type="dxa"/>
          </w:tcPr>
          <w:p w:rsidR="00DF53F5" w:rsidRPr="00CA1EE9" w:rsidRDefault="00DF53F5" w:rsidP="00DF53F5">
            <w:pPr>
              <w:cnfStyle w:val="000000000000" w:firstRow="0" w:lastRow="0" w:firstColumn="0" w:lastColumn="0" w:oddVBand="0" w:evenVBand="0" w:oddHBand="0" w:evenHBand="0" w:firstRowFirstColumn="0" w:firstRowLastColumn="0" w:lastRowFirstColumn="0" w:lastRowLastColumn="0"/>
            </w:pPr>
          </w:p>
        </w:tc>
        <w:tc>
          <w:tcPr>
            <w:tcW w:w="1263" w:type="dxa"/>
          </w:tcPr>
          <w:p w:rsidR="00DF53F5" w:rsidRPr="00CA1EE9" w:rsidRDefault="00DF53F5" w:rsidP="00DF53F5">
            <w:pPr>
              <w:cnfStyle w:val="000000000000" w:firstRow="0" w:lastRow="0" w:firstColumn="0" w:lastColumn="0" w:oddVBand="0" w:evenVBand="0" w:oddHBand="0" w:evenHBand="0" w:firstRowFirstColumn="0" w:firstRowLastColumn="0" w:lastRowFirstColumn="0" w:lastRowLastColumn="0"/>
            </w:pPr>
          </w:p>
        </w:tc>
        <w:tc>
          <w:tcPr>
            <w:tcW w:w="1264" w:type="dxa"/>
          </w:tcPr>
          <w:p w:rsidR="00DF53F5" w:rsidRPr="00CA1EE9" w:rsidRDefault="00DF53F5" w:rsidP="00DF53F5">
            <w:pPr>
              <w:cnfStyle w:val="000000000000" w:firstRow="0" w:lastRow="0" w:firstColumn="0" w:lastColumn="0" w:oddVBand="0" w:evenVBand="0" w:oddHBand="0" w:evenHBand="0" w:firstRowFirstColumn="0" w:firstRowLastColumn="0" w:lastRowFirstColumn="0" w:lastRowLastColumn="0"/>
            </w:pPr>
          </w:p>
        </w:tc>
      </w:tr>
      <w:tr w:rsidR="00DF53F5" w:rsidRPr="00E84783" w:rsidTr="00AB0AD0">
        <w:trPr>
          <w:cnfStyle w:val="000000010000" w:firstRow="0" w:lastRow="0" w:firstColumn="0" w:lastColumn="0" w:oddVBand="0" w:evenVBand="0" w:oddHBand="0" w:evenHBand="1"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2842" w:type="dxa"/>
          </w:tcPr>
          <w:p w:rsidR="00DF53F5" w:rsidRPr="00DF53F5" w:rsidRDefault="00DF53F5" w:rsidP="00DF53F5">
            <w:pPr>
              <w:rPr>
                <w:rStyle w:val="AERtextbold"/>
              </w:rPr>
            </w:pPr>
            <w:r w:rsidRPr="00757DE4">
              <w:t>Residential</w:t>
            </w:r>
          </w:p>
        </w:tc>
        <w:tc>
          <w:tcPr>
            <w:tcW w:w="1263" w:type="dxa"/>
            <w:vAlign w:val="top"/>
          </w:tcPr>
          <w:p w:rsidR="00DF53F5" w:rsidRPr="00DF53F5" w:rsidRDefault="00DF53F5" w:rsidP="00DF53F5">
            <w:pPr>
              <w:pStyle w:val="AERtabletextright"/>
              <w:cnfStyle w:val="000000010000" w:firstRow="0" w:lastRow="0" w:firstColumn="0" w:lastColumn="0" w:oddVBand="0" w:evenVBand="0" w:oddHBand="0" w:evenHBand="1" w:firstRowFirstColumn="0" w:firstRowLastColumn="0" w:lastRowFirstColumn="0" w:lastRowLastColumn="0"/>
            </w:pPr>
            <w:r w:rsidRPr="00757DE4">
              <w:t>1,227,109</w:t>
            </w:r>
          </w:p>
        </w:tc>
        <w:tc>
          <w:tcPr>
            <w:tcW w:w="1263" w:type="dxa"/>
            <w:vAlign w:val="top"/>
          </w:tcPr>
          <w:p w:rsidR="00DF53F5" w:rsidRPr="00DF53F5" w:rsidRDefault="00DF53F5" w:rsidP="00DF53F5">
            <w:pPr>
              <w:pStyle w:val="AERtabletextright"/>
              <w:cnfStyle w:val="000000010000" w:firstRow="0" w:lastRow="0" w:firstColumn="0" w:lastColumn="0" w:oddVBand="0" w:evenVBand="0" w:oddHBand="0" w:evenHBand="1" w:firstRowFirstColumn="0" w:firstRowLastColumn="0" w:lastRowFirstColumn="0" w:lastRowLastColumn="0"/>
            </w:pPr>
            <w:r w:rsidRPr="00757DE4">
              <w:t>1,260,368</w:t>
            </w:r>
          </w:p>
        </w:tc>
        <w:tc>
          <w:tcPr>
            <w:tcW w:w="1263" w:type="dxa"/>
            <w:vAlign w:val="top"/>
          </w:tcPr>
          <w:p w:rsidR="00DF53F5" w:rsidRPr="00DF53F5" w:rsidRDefault="00DF53F5" w:rsidP="00DF53F5">
            <w:pPr>
              <w:pStyle w:val="AERtabletextright"/>
              <w:cnfStyle w:val="000000010000" w:firstRow="0" w:lastRow="0" w:firstColumn="0" w:lastColumn="0" w:oddVBand="0" w:evenVBand="0" w:oddHBand="0" w:evenHBand="1" w:firstRowFirstColumn="0" w:firstRowLastColumn="0" w:lastRowFirstColumn="0" w:lastRowLastColumn="0"/>
            </w:pPr>
            <w:r w:rsidRPr="00757DE4">
              <w:t>1,292,376</w:t>
            </w:r>
          </w:p>
        </w:tc>
        <w:tc>
          <w:tcPr>
            <w:tcW w:w="1263" w:type="dxa"/>
            <w:vAlign w:val="top"/>
          </w:tcPr>
          <w:p w:rsidR="00DF53F5" w:rsidRPr="00DF53F5" w:rsidRDefault="00DF53F5" w:rsidP="00DF53F5">
            <w:pPr>
              <w:pStyle w:val="AERtabletextright"/>
              <w:cnfStyle w:val="000000010000" w:firstRow="0" w:lastRow="0" w:firstColumn="0" w:lastColumn="0" w:oddVBand="0" w:evenVBand="0" w:oddHBand="0" w:evenHBand="1" w:firstRowFirstColumn="0" w:firstRowLastColumn="0" w:lastRowFirstColumn="0" w:lastRowLastColumn="0"/>
            </w:pPr>
            <w:r w:rsidRPr="00757DE4">
              <w:t>1,323,141</w:t>
            </w:r>
          </w:p>
        </w:tc>
        <w:tc>
          <w:tcPr>
            <w:tcW w:w="1264" w:type="dxa"/>
            <w:vAlign w:val="top"/>
          </w:tcPr>
          <w:p w:rsidR="00DF53F5" w:rsidRPr="00DF53F5" w:rsidRDefault="00DF53F5" w:rsidP="00DF53F5">
            <w:pPr>
              <w:pStyle w:val="AERtabletextright"/>
              <w:cnfStyle w:val="000000010000" w:firstRow="0" w:lastRow="0" w:firstColumn="0" w:lastColumn="0" w:oddVBand="0" w:evenVBand="0" w:oddHBand="0" w:evenHBand="1" w:firstRowFirstColumn="0" w:firstRowLastColumn="0" w:lastRowFirstColumn="0" w:lastRowLastColumn="0"/>
            </w:pPr>
            <w:r w:rsidRPr="00757DE4">
              <w:t>1,353,663</w:t>
            </w:r>
          </w:p>
        </w:tc>
      </w:tr>
      <w:tr w:rsidR="00DF53F5" w:rsidRPr="00E84783" w:rsidTr="00AB0AD0">
        <w:trPr>
          <w:trHeight w:val="596"/>
        </w:trPr>
        <w:tc>
          <w:tcPr>
            <w:cnfStyle w:val="001000000000" w:firstRow="0" w:lastRow="0" w:firstColumn="1" w:lastColumn="0" w:oddVBand="0" w:evenVBand="0" w:oddHBand="0" w:evenHBand="0" w:firstRowFirstColumn="0" w:firstRowLastColumn="0" w:lastRowFirstColumn="0" w:lastRowLastColumn="0"/>
            <w:tcW w:w="2842" w:type="dxa"/>
          </w:tcPr>
          <w:p w:rsidR="00DF53F5" w:rsidRPr="00DF53F5" w:rsidRDefault="00DF53F5" w:rsidP="00DF53F5">
            <w:r w:rsidRPr="00757DE4">
              <w:t>Small business</w:t>
            </w:r>
          </w:p>
        </w:tc>
        <w:tc>
          <w:tcPr>
            <w:tcW w:w="1263" w:type="dxa"/>
            <w:vAlign w:val="top"/>
          </w:tcPr>
          <w:p w:rsidR="00DF53F5" w:rsidRPr="00DF53F5" w:rsidRDefault="00DF53F5" w:rsidP="00DF53F5">
            <w:pPr>
              <w:pStyle w:val="AERtabletextright"/>
              <w:cnfStyle w:val="000000000000" w:firstRow="0" w:lastRow="0" w:firstColumn="0" w:lastColumn="0" w:oddVBand="0" w:evenVBand="0" w:oddHBand="0" w:evenHBand="0" w:firstRowFirstColumn="0" w:firstRowLastColumn="0" w:lastRowFirstColumn="0" w:lastRowLastColumn="0"/>
            </w:pPr>
            <w:r w:rsidRPr="00757DE4">
              <w:t>22,944</w:t>
            </w:r>
          </w:p>
        </w:tc>
        <w:tc>
          <w:tcPr>
            <w:tcW w:w="1263" w:type="dxa"/>
            <w:vAlign w:val="top"/>
          </w:tcPr>
          <w:p w:rsidR="00DF53F5" w:rsidRPr="00DF53F5" w:rsidRDefault="00DF53F5" w:rsidP="00DF53F5">
            <w:pPr>
              <w:pStyle w:val="AERtabletextright"/>
              <w:cnfStyle w:val="000000000000" w:firstRow="0" w:lastRow="0" w:firstColumn="0" w:lastColumn="0" w:oddVBand="0" w:evenVBand="0" w:oddHBand="0" w:evenHBand="0" w:firstRowFirstColumn="0" w:firstRowLastColumn="0" w:lastRowFirstColumn="0" w:lastRowLastColumn="0"/>
            </w:pPr>
            <w:r w:rsidRPr="00757DE4">
              <w:t>23,396</w:t>
            </w:r>
          </w:p>
        </w:tc>
        <w:tc>
          <w:tcPr>
            <w:tcW w:w="1263" w:type="dxa"/>
            <w:vAlign w:val="top"/>
          </w:tcPr>
          <w:p w:rsidR="00DF53F5" w:rsidRPr="00DF53F5" w:rsidRDefault="00DF53F5" w:rsidP="00DF53F5">
            <w:pPr>
              <w:pStyle w:val="AERtabletextright"/>
              <w:cnfStyle w:val="000000000000" w:firstRow="0" w:lastRow="0" w:firstColumn="0" w:lastColumn="0" w:oddVBand="0" w:evenVBand="0" w:oddHBand="0" w:evenHBand="0" w:firstRowFirstColumn="0" w:firstRowLastColumn="0" w:lastRowFirstColumn="0" w:lastRowLastColumn="0"/>
            </w:pPr>
            <w:r w:rsidRPr="00757DE4">
              <w:t>23,847</w:t>
            </w:r>
          </w:p>
        </w:tc>
        <w:tc>
          <w:tcPr>
            <w:tcW w:w="1263" w:type="dxa"/>
            <w:vAlign w:val="top"/>
          </w:tcPr>
          <w:p w:rsidR="00DF53F5" w:rsidRPr="00DF53F5" w:rsidRDefault="00DF53F5" w:rsidP="00DF53F5">
            <w:pPr>
              <w:pStyle w:val="AERtabletextright"/>
              <w:cnfStyle w:val="000000000000" w:firstRow="0" w:lastRow="0" w:firstColumn="0" w:lastColumn="0" w:oddVBand="0" w:evenVBand="0" w:oddHBand="0" w:evenHBand="0" w:firstRowFirstColumn="0" w:firstRowLastColumn="0" w:lastRowFirstColumn="0" w:lastRowLastColumn="0"/>
            </w:pPr>
            <w:r w:rsidRPr="00757DE4">
              <w:t>24,298</w:t>
            </w:r>
          </w:p>
        </w:tc>
        <w:tc>
          <w:tcPr>
            <w:tcW w:w="1264" w:type="dxa"/>
            <w:vAlign w:val="top"/>
          </w:tcPr>
          <w:p w:rsidR="00DF53F5" w:rsidRPr="00DF53F5" w:rsidRDefault="00DF53F5" w:rsidP="00DF53F5">
            <w:pPr>
              <w:pStyle w:val="AERtabletextright"/>
              <w:cnfStyle w:val="000000000000" w:firstRow="0" w:lastRow="0" w:firstColumn="0" w:lastColumn="0" w:oddVBand="0" w:evenVBand="0" w:oddHBand="0" w:evenHBand="0" w:firstRowFirstColumn="0" w:firstRowLastColumn="0" w:lastRowFirstColumn="0" w:lastRowLastColumn="0"/>
            </w:pPr>
            <w:r w:rsidRPr="00757DE4">
              <w:t>24,748</w:t>
            </w:r>
          </w:p>
        </w:tc>
      </w:tr>
      <w:tr w:rsidR="00DF53F5" w:rsidRPr="00E84783" w:rsidTr="00AB0AD0">
        <w:trPr>
          <w:cnfStyle w:val="000000010000" w:firstRow="0" w:lastRow="0" w:firstColumn="0" w:lastColumn="0" w:oddVBand="0" w:evenVBand="0" w:oddHBand="0" w:evenHBand="1"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2842" w:type="dxa"/>
          </w:tcPr>
          <w:p w:rsidR="00DF53F5" w:rsidRPr="00DF53F5" w:rsidRDefault="00DF53F5" w:rsidP="00DF53F5">
            <w:r w:rsidRPr="00757DE4">
              <w:t>Tariff V I&amp;C</w:t>
            </w:r>
          </w:p>
        </w:tc>
        <w:tc>
          <w:tcPr>
            <w:tcW w:w="1263" w:type="dxa"/>
            <w:vAlign w:val="top"/>
          </w:tcPr>
          <w:p w:rsidR="00DF53F5" w:rsidRPr="00DF53F5" w:rsidRDefault="00DF53F5" w:rsidP="00DF53F5">
            <w:pPr>
              <w:pStyle w:val="AERtabletextright"/>
              <w:cnfStyle w:val="000000010000" w:firstRow="0" w:lastRow="0" w:firstColumn="0" w:lastColumn="0" w:oddVBand="0" w:evenVBand="0" w:oddHBand="0" w:evenHBand="1" w:firstRowFirstColumn="0" w:firstRowLastColumn="0" w:lastRowFirstColumn="0" w:lastRowLastColumn="0"/>
            </w:pPr>
            <w:r w:rsidRPr="00757DE4">
              <w:t>16,820</w:t>
            </w:r>
          </w:p>
        </w:tc>
        <w:tc>
          <w:tcPr>
            <w:tcW w:w="1263" w:type="dxa"/>
            <w:vAlign w:val="top"/>
          </w:tcPr>
          <w:p w:rsidR="00DF53F5" w:rsidRPr="00DF53F5" w:rsidRDefault="00DF53F5" w:rsidP="00DF53F5">
            <w:pPr>
              <w:pStyle w:val="AERtabletextright"/>
              <w:cnfStyle w:val="000000010000" w:firstRow="0" w:lastRow="0" w:firstColumn="0" w:lastColumn="0" w:oddVBand="0" w:evenVBand="0" w:oddHBand="0" w:evenHBand="1" w:firstRowFirstColumn="0" w:firstRowLastColumn="0" w:lastRowFirstColumn="0" w:lastRowLastColumn="0"/>
            </w:pPr>
            <w:r w:rsidRPr="00757DE4">
              <w:t>17,151</w:t>
            </w:r>
          </w:p>
        </w:tc>
        <w:tc>
          <w:tcPr>
            <w:tcW w:w="1263" w:type="dxa"/>
            <w:vAlign w:val="top"/>
          </w:tcPr>
          <w:p w:rsidR="00DF53F5" w:rsidRPr="00DF53F5" w:rsidRDefault="00DF53F5" w:rsidP="00DF53F5">
            <w:pPr>
              <w:pStyle w:val="AERtabletextright"/>
              <w:cnfStyle w:val="000000010000" w:firstRow="0" w:lastRow="0" w:firstColumn="0" w:lastColumn="0" w:oddVBand="0" w:evenVBand="0" w:oddHBand="0" w:evenHBand="1" w:firstRowFirstColumn="0" w:firstRowLastColumn="0" w:lastRowFirstColumn="0" w:lastRowLastColumn="0"/>
            </w:pPr>
            <w:r w:rsidRPr="00757DE4">
              <w:t>17,494</w:t>
            </w:r>
          </w:p>
        </w:tc>
        <w:tc>
          <w:tcPr>
            <w:tcW w:w="1263" w:type="dxa"/>
            <w:vAlign w:val="top"/>
          </w:tcPr>
          <w:p w:rsidR="00DF53F5" w:rsidRPr="00DF53F5" w:rsidRDefault="00DF53F5" w:rsidP="00DF53F5">
            <w:pPr>
              <w:pStyle w:val="AERtabletextright"/>
              <w:cnfStyle w:val="000000010000" w:firstRow="0" w:lastRow="0" w:firstColumn="0" w:lastColumn="0" w:oddVBand="0" w:evenVBand="0" w:oddHBand="0" w:evenHBand="1" w:firstRowFirstColumn="0" w:firstRowLastColumn="0" w:lastRowFirstColumn="0" w:lastRowLastColumn="0"/>
            </w:pPr>
            <w:r w:rsidRPr="00757DE4">
              <w:t>17,851</w:t>
            </w:r>
          </w:p>
        </w:tc>
        <w:tc>
          <w:tcPr>
            <w:tcW w:w="1264" w:type="dxa"/>
            <w:vAlign w:val="top"/>
          </w:tcPr>
          <w:p w:rsidR="00DF53F5" w:rsidRPr="00DF53F5" w:rsidRDefault="00DF53F5" w:rsidP="00DF53F5">
            <w:pPr>
              <w:pStyle w:val="AERtabletextright"/>
              <w:cnfStyle w:val="000000010000" w:firstRow="0" w:lastRow="0" w:firstColumn="0" w:lastColumn="0" w:oddVBand="0" w:evenVBand="0" w:oddHBand="0" w:evenHBand="1" w:firstRowFirstColumn="0" w:firstRowLastColumn="0" w:lastRowFirstColumn="0" w:lastRowLastColumn="0"/>
            </w:pPr>
            <w:r w:rsidRPr="00757DE4">
              <w:t>18,222</w:t>
            </w:r>
          </w:p>
        </w:tc>
      </w:tr>
      <w:tr w:rsidR="00DF53F5" w:rsidRPr="00E84783" w:rsidTr="00AB0AD0">
        <w:trPr>
          <w:trHeight w:val="596"/>
        </w:trPr>
        <w:tc>
          <w:tcPr>
            <w:cnfStyle w:val="001000000000" w:firstRow="0" w:lastRow="0" w:firstColumn="1" w:lastColumn="0" w:oddVBand="0" w:evenVBand="0" w:oddHBand="0" w:evenHBand="0" w:firstRowFirstColumn="0" w:firstRowLastColumn="0" w:lastRowFirstColumn="0" w:lastRowLastColumn="0"/>
            <w:tcW w:w="2842" w:type="dxa"/>
          </w:tcPr>
          <w:p w:rsidR="00DF53F5" w:rsidRPr="00DF53F5" w:rsidRDefault="00DF53F5" w:rsidP="00DF53F5">
            <w:r w:rsidRPr="00757DE4">
              <w:t>Tariff D I&amp;C</w:t>
            </w:r>
          </w:p>
        </w:tc>
        <w:tc>
          <w:tcPr>
            <w:tcW w:w="1263" w:type="dxa"/>
            <w:vAlign w:val="top"/>
          </w:tcPr>
          <w:p w:rsidR="00DF53F5" w:rsidRPr="00DF53F5" w:rsidRDefault="00DF53F5" w:rsidP="00DF53F5">
            <w:pPr>
              <w:pStyle w:val="AERtabletextright"/>
              <w:cnfStyle w:val="000000000000" w:firstRow="0" w:lastRow="0" w:firstColumn="0" w:lastColumn="0" w:oddVBand="0" w:evenVBand="0" w:oddHBand="0" w:evenHBand="0" w:firstRowFirstColumn="0" w:firstRowLastColumn="0" w:lastRowFirstColumn="0" w:lastRowLastColumn="0"/>
            </w:pPr>
            <w:r w:rsidRPr="00757DE4">
              <w:t>4</w:t>
            </w:r>
            <w:r w:rsidRPr="00DF53F5">
              <w:t>27</w:t>
            </w:r>
          </w:p>
        </w:tc>
        <w:tc>
          <w:tcPr>
            <w:tcW w:w="1263" w:type="dxa"/>
            <w:vAlign w:val="top"/>
          </w:tcPr>
          <w:p w:rsidR="00DF53F5" w:rsidRPr="00DF53F5" w:rsidRDefault="00DF53F5" w:rsidP="00DF53F5">
            <w:pPr>
              <w:pStyle w:val="AERtabletextright"/>
              <w:cnfStyle w:val="000000000000" w:firstRow="0" w:lastRow="0" w:firstColumn="0" w:lastColumn="0" w:oddVBand="0" w:evenVBand="0" w:oddHBand="0" w:evenHBand="0" w:firstRowFirstColumn="0" w:firstRowLastColumn="0" w:lastRowFirstColumn="0" w:lastRowLastColumn="0"/>
            </w:pPr>
            <w:r w:rsidRPr="00757DE4">
              <w:t>427</w:t>
            </w:r>
          </w:p>
        </w:tc>
        <w:tc>
          <w:tcPr>
            <w:tcW w:w="1263" w:type="dxa"/>
            <w:vAlign w:val="top"/>
          </w:tcPr>
          <w:p w:rsidR="00DF53F5" w:rsidRPr="00DF53F5" w:rsidRDefault="00DF53F5" w:rsidP="00DF53F5">
            <w:pPr>
              <w:pStyle w:val="AERtabletextright"/>
              <w:cnfStyle w:val="000000000000" w:firstRow="0" w:lastRow="0" w:firstColumn="0" w:lastColumn="0" w:oddVBand="0" w:evenVBand="0" w:oddHBand="0" w:evenHBand="0" w:firstRowFirstColumn="0" w:firstRowLastColumn="0" w:lastRowFirstColumn="0" w:lastRowLastColumn="0"/>
            </w:pPr>
            <w:r>
              <w:t>427</w:t>
            </w:r>
          </w:p>
        </w:tc>
        <w:tc>
          <w:tcPr>
            <w:tcW w:w="1263" w:type="dxa"/>
            <w:vAlign w:val="top"/>
          </w:tcPr>
          <w:p w:rsidR="00DF53F5" w:rsidRPr="00DF53F5" w:rsidRDefault="00DF53F5" w:rsidP="00DF53F5">
            <w:pPr>
              <w:pStyle w:val="AERtabletextright"/>
              <w:cnfStyle w:val="000000000000" w:firstRow="0" w:lastRow="0" w:firstColumn="0" w:lastColumn="0" w:oddVBand="0" w:evenVBand="0" w:oddHBand="0" w:evenHBand="0" w:firstRowFirstColumn="0" w:firstRowLastColumn="0" w:lastRowFirstColumn="0" w:lastRowLastColumn="0"/>
            </w:pPr>
            <w:r w:rsidRPr="00757DE4">
              <w:t>427</w:t>
            </w:r>
          </w:p>
        </w:tc>
        <w:tc>
          <w:tcPr>
            <w:tcW w:w="1264" w:type="dxa"/>
            <w:vAlign w:val="top"/>
          </w:tcPr>
          <w:p w:rsidR="00DF53F5" w:rsidRPr="00DF53F5" w:rsidRDefault="00DF53F5" w:rsidP="00DF53F5">
            <w:pPr>
              <w:pStyle w:val="AERtabletextright"/>
              <w:cnfStyle w:val="000000000000" w:firstRow="0" w:lastRow="0" w:firstColumn="0" w:lastColumn="0" w:oddVBand="0" w:evenVBand="0" w:oddHBand="0" w:evenHBand="0" w:firstRowFirstColumn="0" w:firstRowLastColumn="0" w:lastRowFirstColumn="0" w:lastRowLastColumn="0"/>
            </w:pPr>
            <w:r w:rsidRPr="00757DE4">
              <w:t>427</w:t>
            </w:r>
          </w:p>
        </w:tc>
      </w:tr>
      <w:tr w:rsidR="00DF53F5" w:rsidRPr="00E84783" w:rsidTr="00AB0AD0">
        <w:trPr>
          <w:cnfStyle w:val="000000010000" w:firstRow="0" w:lastRow="0" w:firstColumn="0" w:lastColumn="0" w:oddVBand="0" w:evenVBand="0" w:oddHBand="0" w:evenHBand="1"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2842" w:type="dxa"/>
          </w:tcPr>
          <w:p w:rsidR="00DF53F5" w:rsidRPr="00DF53F5" w:rsidRDefault="00DF53F5" w:rsidP="00DF53F5">
            <w:r>
              <w:rPr>
                <w:rStyle w:val="AERtextbold"/>
              </w:rPr>
              <w:t>N</w:t>
            </w:r>
            <w:r w:rsidRPr="00DF53F5">
              <w:rPr>
                <w:rStyle w:val="AERtextbold"/>
              </w:rPr>
              <w:t>ew connections</w:t>
            </w:r>
          </w:p>
        </w:tc>
        <w:tc>
          <w:tcPr>
            <w:tcW w:w="1263" w:type="dxa"/>
          </w:tcPr>
          <w:p w:rsidR="00DF53F5" w:rsidRPr="00CA1EE9" w:rsidRDefault="00DF53F5" w:rsidP="00DF53F5">
            <w:pPr>
              <w:cnfStyle w:val="000000010000" w:firstRow="0" w:lastRow="0" w:firstColumn="0" w:lastColumn="0" w:oddVBand="0" w:evenVBand="0" w:oddHBand="0" w:evenHBand="1" w:firstRowFirstColumn="0" w:firstRowLastColumn="0" w:lastRowFirstColumn="0" w:lastRowLastColumn="0"/>
            </w:pPr>
          </w:p>
        </w:tc>
        <w:tc>
          <w:tcPr>
            <w:tcW w:w="1263" w:type="dxa"/>
          </w:tcPr>
          <w:p w:rsidR="00DF53F5" w:rsidRPr="00CA1EE9" w:rsidRDefault="00DF53F5" w:rsidP="00DF53F5">
            <w:pPr>
              <w:cnfStyle w:val="000000010000" w:firstRow="0" w:lastRow="0" w:firstColumn="0" w:lastColumn="0" w:oddVBand="0" w:evenVBand="0" w:oddHBand="0" w:evenHBand="1" w:firstRowFirstColumn="0" w:firstRowLastColumn="0" w:lastRowFirstColumn="0" w:lastRowLastColumn="0"/>
            </w:pPr>
          </w:p>
        </w:tc>
        <w:tc>
          <w:tcPr>
            <w:tcW w:w="1263" w:type="dxa"/>
          </w:tcPr>
          <w:p w:rsidR="00DF53F5" w:rsidRPr="00CA1EE9" w:rsidRDefault="00DF53F5" w:rsidP="00DF53F5">
            <w:pPr>
              <w:cnfStyle w:val="000000010000" w:firstRow="0" w:lastRow="0" w:firstColumn="0" w:lastColumn="0" w:oddVBand="0" w:evenVBand="0" w:oddHBand="0" w:evenHBand="1" w:firstRowFirstColumn="0" w:firstRowLastColumn="0" w:lastRowFirstColumn="0" w:lastRowLastColumn="0"/>
            </w:pPr>
          </w:p>
        </w:tc>
        <w:tc>
          <w:tcPr>
            <w:tcW w:w="1263" w:type="dxa"/>
          </w:tcPr>
          <w:p w:rsidR="00DF53F5" w:rsidRPr="00CA1EE9" w:rsidRDefault="00DF53F5" w:rsidP="00DF53F5">
            <w:pPr>
              <w:cnfStyle w:val="000000010000" w:firstRow="0" w:lastRow="0" w:firstColumn="0" w:lastColumn="0" w:oddVBand="0" w:evenVBand="0" w:oddHBand="0" w:evenHBand="1" w:firstRowFirstColumn="0" w:firstRowLastColumn="0" w:lastRowFirstColumn="0" w:lastRowLastColumn="0"/>
            </w:pPr>
          </w:p>
        </w:tc>
        <w:tc>
          <w:tcPr>
            <w:tcW w:w="1264" w:type="dxa"/>
          </w:tcPr>
          <w:p w:rsidR="00DF53F5" w:rsidRPr="00CA1EE9" w:rsidRDefault="00DF53F5" w:rsidP="00DF53F5">
            <w:pPr>
              <w:cnfStyle w:val="000000010000" w:firstRow="0" w:lastRow="0" w:firstColumn="0" w:lastColumn="0" w:oddVBand="0" w:evenVBand="0" w:oddHBand="0" w:evenHBand="1" w:firstRowFirstColumn="0" w:firstRowLastColumn="0" w:lastRowFirstColumn="0" w:lastRowLastColumn="0"/>
            </w:pPr>
          </w:p>
        </w:tc>
      </w:tr>
      <w:tr w:rsidR="00DF53F5" w:rsidRPr="00E84783" w:rsidTr="00AB0AD0">
        <w:trPr>
          <w:trHeight w:val="596"/>
        </w:trPr>
        <w:tc>
          <w:tcPr>
            <w:cnfStyle w:val="001000000000" w:firstRow="0" w:lastRow="0" w:firstColumn="1" w:lastColumn="0" w:oddVBand="0" w:evenVBand="0" w:oddHBand="0" w:evenHBand="0" w:firstRowFirstColumn="0" w:firstRowLastColumn="0" w:lastRowFirstColumn="0" w:lastRowLastColumn="0"/>
            <w:tcW w:w="2842" w:type="dxa"/>
          </w:tcPr>
          <w:p w:rsidR="00DF53F5" w:rsidRPr="00DF53F5" w:rsidRDefault="00DF53F5" w:rsidP="00DF53F5">
            <w:r w:rsidRPr="00757DE4">
              <w:t>Electricity to gas</w:t>
            </w:r>
          </w:p>
        </w:tc>
        <w:tc>
          <w:tcPr>
            <w:tcW w:w="1263" w:type="dxa"/>
            <w:vAlign w:val="top"/>
          </w:tcPr>
          <w:p w:rsidR="00DF53F5" w:rsidRPr="00DF53F5" w:rsidRDefault="00DF53F5" w:rsidP="00DF53F5">
            <w:pPr>
              <w:pStyle w:val="AERtabletextright"/>
              <w:cnfStyle w:val="000000000000" w:firstRow="0" w:lastRow="0" w:firstColumn="0" w:lastColumn="0" w:oddVBand="0" w:evenVBand="0" w:oddHBand="0" w:evenHBand="0" w:firstRowFirstColumn="0" w:firstRowLastColumn="0" w:lastRowFirstColumn="0" w:lastRowLastColumn="0"/>
            </w:pPr>
            <w:r w:rsidRPr="00757DE4">
              <w:t>7,025</w:t>
            </w:r>
          </w:p>
        </w:tc>
        <w:tc>
          <w:tcPr>
            <w:tcW w:w="1263" w:type="dxa"/>
            <w:vAlign w:val="top"/>
          </w:tcPr>
          <w:p w:rsidR="00DF53F5" w:rsidRPr="00DF53F5" w:rsidRDefault="00DF53F5" w:rsidP="00DF53F5">
            <w:pPr>
              <w:pStyle w:val="AERtabletextright"/>
              <w:cnfStyle w:val="000000000000" w:firstRow="0" w:lastRow="0" w:firstColumn="0" w:lastColumn="0" w:oddVBand="0" w:evenVBand="0" w:oddHBand="0" w:evenHBand="0" w:firstRowFirstColumn="0" w:firstRowLastColumn="0" w:lastRowFirstColumn="0" w:lastRowLastColumn="0"/>
            </w:pPr>
            <w:r w:rsidRPr="00757DE4">
              <w:t>6,885</w:t>
            </w:r>
          </w:p>
        </w:tc>
        <w:tc>
          <w:tcPr>
            <w:tcW w:w="1263" w:type="dxa"/>
            <w:vAlign w:val="top"/>
          </w:tcPr>
          <w:p w:rsidR="00DF53F5" w:rsidRPr="00DF53F5" w:rsidRDefault="00DF53F5" w:rsidP="00DF53F5">
            <w:pPr>
              <w:pStyle w:val="AERtabletextright"/>
              <w:cnfStyle w:val="000000000000" w:firstRow="0" w:lastRow="0" w:firstColumn="0" w:lastColumn="0" w:oddVBand="0" w:evenVBand="0" w:oddHBand="0" w:evenHBand="0" w:firstRowFirstColumn="0" w:firstRowLastColumn="0" w:lastRowFirstColumn="0" w:lastRowLastColumn="0"/>
            </w:pPr>
            <w:r w:rsidRPr="00757DE4">
              <w:t>6,747</w:t>
            </w:r>
          </w:p>
        </w:tc>
        <w:tc>
          <w:tcPr>
            <w:tcW w:w="1263" w:type="dxa"/>
            <w:vAlign w:val="top"/>
          </w:tcPr>
          <w:p w:rsidR="00DF53F5" w:rsidRPr="00DF53F5" w:rsidRDefault="00DF53F5" w:rsidP="00DF53F5">
            <w:pPr>
              <w:pStyle w:val="AERtabletextright"/>
              <w:cnfStyle w:val="000000000000" w:firstRow="0" w:lastRow="0" w:firstColumn="0" w:lastColumn="0" w:oddVBand="0" w:evenVBand="0" w:oddHBand="0" w:evenHBand="0" w:firstRowFirstColumn="0" w:firstRowLastColumn="0" w:lastRowFirstColumn="0" w:lastRowLastColumn="0"/>
            </w:pPr>
            <w:r w:rsidRPr="00757DE4">
              <w:t>6,612</w:t>
            </w:r>
          </w:p>
        </w:tc>
        <w:tc>
          <w:tcPr>
            <w:tcW w:w="1264" w:type="dxa"/>
            <w:vAlign w:val="top"/>
          </w:tcPr>
          <w:p w:rsidR="00DF53F5" w:rsidRPr="00DF53F5" w:rsidRDefault="00DF53F5" w:rsidP="00DF53F5">
            <w:pPr>
              <w:pStyle w:val="AERtabletextright"/>
              <w:cnfStyle w:val="000000000000" w:firstRow="0" w:lastRow="0" w:firstColumn="0" w:lastColumn="0" w:oddVBand="0" w:evenVBand="0" w:oddHBand="0" w:evenHBand="0" w:firstRowFirstColumn="0" w:firstRowLastColumn="0" w:lastRowFirstColumn="0" w:lastRowLastColumn="0"/>
            </w:pPr>
            <w:r w:rsidRPr="00757DE4">
              <w:t>6,480</w:t>
            </w:r>
          </w:p>
        </w:tc>
      </w:tr>
      <w:tr w:rsidR="00DF53F5" w:rsidRPr="00E84783" w:rsidTr="00AB0AD0">
        <w:trPr>
          <w:cnfStyle w:val="000000010000" w:firstRow="0" w:lastRow="0" w:firstColumn="0" w:lastColumn="0" w:oddVBand="0" w:evenVBand="0" w:oddHBand="0" w:evenHBand="1"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2842" w:type="dxa"/>
          </w:tcPr>
          <w:p w:rsidR="00DF53F5" w:rsidRPr="00DF53F5" w:rsidRDefault="00DF53F5" w:rsidP="00DF53F5">
            <w:r>
              <w:t>New estates</w:t>
            </w:r>
          </w:p>
        </w:tc>
        <w:tc>
          <w:tcPr>
            <w:tcW w:w="1263" w:type="dxa"/>
            <w:vAlign w:val="top"/>
          </w:tcPr>
          <w:p w:rsidR="00DF53F5" w:rsidRPr="00DF53F5" w:rsidRDefault="00DF53F5" w:rsidP="00DF53F5">
            <w:pPr>
              <w:pStyle w:val="AERtabletextright"/>
              <w:cnfStyle w:val="000000010000" w:firstRow="0" w:lastRow="0" w:firstColumn="0" w:lastColumn="0" w:oddVBand="0" w:evenVBand="0" w:oddHBand="0" w:evenHBand="1" w:firstRowFirstColumn="0" w:firstRowLastColumn="0" w:lastRowFirstColumn="0" w:lastRowLastColumn="0"/>
            </w:pPr>
            <w:r w:rsidRPr="00757DE4">
              <w:t>12,674</w:t>
            </w:r>
          </w:p>
        </w:tc>
        <w:tc>
          <w:tcPr>
            <w:tcW w:w="1263" w:type="dxa"/>
            <w:vAlign w:val="top"/>
          </w:tcPr>
          <w:p w:rsidR="00DF53F5" w:rsidRPr="00DF53F5" w:rsidRDefault="00DF53F5" w:rsidP="00DF53F5">
            <w:pPr>
              <w:pStyle w:val="AERtabletextright"/>
              <w:cnfStyle w:val="000000010000" w:firstRow="0" w:lastRow="0" w:firstColumn="0" w:lastColumn="0" w:oddVBand="0" w:evenVBand="0" w:oddHBand="0" w:evenHBand="1" w:firstRowFirstColumn="0" w:firstRowLastColumn="0" w:lastRowFirstColumn="0" w:lastRowLastColumn="0"/>
            </w:pPr>
            <w:r w:rsidRPr="00757DE4">
              <w:t>13,549</w:t>
            </w:r>
          </w:p>
        </w:tc>
        <w:tc>
          <w:tcPr>
            <w:tcW w:w="1263" w:type="dxa"/>
            <w:vAlign w:val="top"/>
          </w:tcPr>
          <w:p w:rsidR="00DF53F5" w:rsidRPr="00DF53F5" w:rsidRDefault="00DF53F5" w:rsidP="00DF53F5">
            <w:pPr>
              <w:pStyle w:val="AERtabletextright"/>
              <w:cnfStyle w:val="000000010000" w:firstRow="0" w:lastRow="0" w:firstColumn="0" w:lastColumn="0" w:oddVBand="0" w:evenVBand="0" w:oddHBand="0" w:evenHBand="1" w:firstRowFirstColumn="0" w:firstRowLastColumn="0" w:lastRowFirstColumn="0" w:lastRowLastColumn="0"/>
            </w:pPr>
            <w:r w:rsidRPr="00757DE4">
              <w:t>13,111</w:t>
            </w:r>
          </w:p>
        </w:tc>
        <w:tc>
          <w:tcPr>
            <w:tcW w:w="1263" w:type="dxa"/>
            <w:vAlign w:val="top"/>
          </w:tcPr>
          <w:p w:rsidR="00DF53F5" w:rsidRPr="00DF53F5" w:rsidRDefault="00DF53F5" w:rsidP="00DF53F5">
            <w:pPr>
              <w:pStyle w:val="AERtabletextright"/>
              <w:cnfStyle w:val="000000010000" w:firstRow="0" w:lastRow="0" w:firstColumn="0" w:lastColumn="0" w:oddVBand="0" w:evenVBand="0" w:oddHBand="0" w:evenHBand="1" w:firstRowFirstColumn="0" w:firstRowLastColumn="0" w:lastRowFirstColumn="0" w:lastRowLastColumn="0"/>
            </w:pPr>
            <w:r w:rsidRPr="00757DE4">
              <w:t>12,674</w:t>
            </w:r>
          </w:p>
        </w:tc>
        <w:tc>
          <w:tcPr>
            <w:tcW w:w="1264" w:type="dxa"/>
            <w:vAlign w:val="top"/>
          </w:tcPr>
          <w:p w:rsidR="00DF53F5" w:rsidRPr="00DF53F5" w:rsidRDefault="00DF53F5" w:rsidP="00DF53F5">
            <w:pPr>
              <w:pStyle w:val="AERtabletextright"/>
              <w:cnfStyle w:val="000000010000" w:firstRow="0" w:lastRow="0" w:firstColumn="0" w:lastColumn="0" w:oddVBand="0" w:evenVBand="0" w:oddHBand="0" w:evenHBand="1" w:firstRowFirstColumn="0" w:firstRowLastColumn="0" w:lastRowFirstColumn="0" w:lastRowLastColumn="0"/>
            </w:pPr>
            <w:r w:rsidRPr="00757DE4">
              <w:t>12,674</w:t>
            </w:r>
          </w:p>
        </w:tc>
      </w:tr>
      <w:tr w:rsidR="00DF53F5" w:rsidRPr="00E84783" w:rsidTr="00AB0AD0">
        <w:trPr>
          <w:trHeight w:val="596"/>
        </w:trPr>
        <w:tc>
          <w:tcPr>
            <w:cnfStyle w:val="001000000000" w:firstRow="0" w:lastRow="0" w:firstColumn="1" w:lastColumn="0" w:oddVBand="0" w:evenVBand="0" w:oddHBand="0" w:evenHBand="0" w:firstRowFirstColumn="0" w:firstRowLastColumn="0" w:lastRowFirstColumn="0" w:lastRowLastColumn="0"/>
            <w:tcW w:w="2842" w:type="dxa"/>
          </w:tcPr>
          <w:p w:rsidR="00DF53F5" w:rsidRPr="00DF53F5" w:rsidRDefault="00DF53F5" w:rsidP="00DF53F5">
            <w:r w:rsidRPr="00757DE4">
              <w:t>Medium/high density</w:t>
            </w:r>
          </w:p>
        </w:tc>
        <w:tc>
          <w:tcPr>
            <w:tcW w:w="1263" w:type="dxa"/>
            <w:vAlign w:val="top"/>
          </w:tcPr>
          <w:p w:rsidR="00DF53F5" w:rsidRPr="00DF53F5" w:rsidRDefault="00DF53F5" w:rsidP="00DF53F5">
            <w:pPr>
              <w:pStyle w:val="AERtabletextright"/>
              <w:cnfStyle w:val="000000000000" w:firstRow="0" w:lastRow="0" w:firstColumn="0" w:lastColumn="0" w:oddVBand="0" w:evenVBand="0" w:oddHBand="0" w:evenHBand="0" w:firstRowFirstColumn="0" w:firstRowLastColumn="0" w:lastRowFirstColumn="0" w:lastRowLastColumn="0"/>
            </w:pPr>
            <w:r w:rsidRPr="00757DE4">
              <w:t>16,131</w:t>
            </w:r>
          </w:p>
        </w:tc>
        <w:tc>
          <w:tcPr>
            <w:tcW w:w="1263" w:type="dxa"/>
            <w:vAlign w:val="top"/>
          </w:tcPr>
          <w:p w:rsidR="00DF53F5" w:rsidRPr="00DF53F5" w:rsidRDefault="00DF53F5" w:rsidP="00DF53F5">
            <w:pPr>
              <w:pStyle w:val="AERtabletextright"/>
              <w:cnfStyle w:val="000000000000" w:firstRow="0" w:lastRow="0" w:firstColumn="0" w:lastColumn="0" w:oddVBand="0" w:evenVBand="0" w:oddHBand="0" w:evenHBand="0" w:firstRowFirstColumn="0" w:firstRowLastColumn="0" w:lastRowFirstColumn="0" w:lastRowLastColumn="0"/>
            </w:pPr>
            <w:r w:rsidRPr="00757DE4">
              <w:t>17,244</w:t>
            </w:r>
          </w:p>
        </w:tc>
        <w:tc>
          <w:tcPr>
            <w:tcW w:w="1263" w:type="dxa"/>
            <w:vAlign w:val="top"/>
          </w:tcPr>
          <w:p w:rsidR="00DF53F5" w:rsidRPr="00DF53F5" w:rsidRDefault="00DF53F5" w:rsidP="00DF53F5">
            <w:pPr>
              <w:pStyle w:val="AERtabletextright"/>
              <w:cnfStyle w:val="000000000000" w:firstRow="0" w:lastRow="0" w:firstColumn="0" w:lastColumn="0" w:oddVBand="0" w:evenVBand="0" w:oddHBand="0" w:evenHBand="0" w:firstRowFirstColumn="0" w:firstRowLastColumn="0" w:lastRowFirstColumn="0" w:lastRowLastColumn="0"/>
            </w:pPr>
            <w:r w:rsidRPr="00757DE4">
              <w:t>16,687</w:t>
            </w:r>
          </w:p>
        </w:tc>
        <w:tc>
          <w:tcPr>
            <w:tcW w:w="1263" w:type="dxa"/>
            <w:vAlign w:val="top"/>
          </w:tcPr>
          <w:p w:rsidR="00DF53F5" w:rsidRPr="00DF53F5" w:rsidRDefault="00DF53F5" w:rsidP="00DF53F5">
            <w:pPr>
              <w:pStyle w:val="AERtabletextright"/>
              <w:cnfStyle w:val="000000000000" w:firstRow="0" w:lastRow="0" w:firstColumn="0" w:lastColumn="0" w:oddVBand="0" w:evenVBand="0" w:oddHBand="0" w:evenHBand="0" w:firstRowFirstColumn="0" w:firstRowLastColumn="0" w:lastRowFirstColumn="0" w:lastRowLastColumn="0"/>
            </w:pPr>
            <w:r w:rsidRPr="00757DE4">
              <w:t>16,131</w:t>
            </w:r>
          </w:p>
        </w:tc>
        <w:tc>
          <w:tcPr>
            <w:tcW w:w="1264" w:type="dxa"/>
            <w:vAlign w:val="top"/>
          </w:tcPr>
          <w:p w:rsidR="00DF53F5" w:rsidRPr="00DF53F5" w:rsidRDefault="00DF53F5" w:rsidP="00DF53F5">
            <w:pPr>
              <w:pStyle w:val="AERtabletextright"/>
              <w:cnfStyle w:val="000000000000" w:firstRow="0" w:lastRow="0" w:firstColumn="0" w:lastColumn="0" w:oddVBand="0" w:evenVBand="0" w:oddHBand="0" w:evenHBand="0" w:firstRowFirstColumn="0" w:firstRowLastColumn="0" w:lastRowFirstColumn="0" w:lastRowLastColumn="0"/>
            </w:pPr>
            <w:r w:rsidRPr="00757DE4">
              <w:t>16,131</w:t>
            </w:r>
          </w:p>
        </w:tc>
      </w:tr>
      <w:tr w:rsidR="00DF53F5" w:rsidRPr="00E84783" w:rsidTr="00AB0AD0">
        <w:trPr>
          <w:cnfStyle w:val="000000010000" w:firstRow="0" w:lastRow="0" w:firstColumn="0" w:lastColumn="0" w:oddVBand="0" w:evenVBand="0" w:oddHBand="0" w:evenHBand="1"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2842" w:type="dxa"/>
          </w:tcPr>
          <w:p w:rsidR="00DF53F5" w:rsidRPr="00DF53F5" w:rsidRDefault="00DF53F5" w:rsidP="00DF53F5">
            <w:r>
              <w:t>Small business</w:t>
            </w:r>
          </w:p>
        </w:tc>
        <w:tc>
          <w:tcPr>
            <w:tcW w:w="1263" w:type="dxa"/>
            <w:vAlign w:val="top"/>
          </w:tcPr>
          <w:p w:rsidR="00DF53F5" w:rsidRPr="00DF53F5" w:rsidRDefault="00DF53F5" w:rsidP="00DF53F5">
            <w:pPr>
              <w:pStyle w:val="AERtabletextright"/>
              <w:cnfStyle w:val="000000010000" w:firstRow="0" w:lastRow="0" w:firstColumn="0" w:lastColumn="0" w:oddVBand="0" w:evenVBand="0" w:oddHBand="0" w:evenHBand="1" w:firstRowFirstColumn="0" w:firstRowLastColumn="0" w:lastRowFirstColumn="0" w:lastRowLastColumn="0"/>
            </w:pPr>
            <w:r w:rsidRPr="00757DE4">
              <w:t>502</w:t>
            </w:r>
          </w:p>
        </w:tc>
        <w:tc>
          <w:tcPr>
            <w:tcW w:w="1263" w:type="dxa"/>
            <w:vAlign w:val="top"/>
          </w:tcPr>
          <w:p w:rsidR="00DF53F5" w:rsidRPr="00DF53F5" w:rsidRDefault="00DF53F5" w:rsidP="00DF53F5">
            <w:pPr>
              <w:pStyle w:val="AERtabletextright"/>
              <w:cnfStyle w:val="000000010000" w:firstRow="0" w:lastRow="0" w:firstColumn="0" w:lastColumn="0" w:oddVBand="0" w:evenVBand="0" w:oddHBand="0" w:evenHBand="1" w:firstRowFirstColumn="0" w:firstRowLastColumn="0" w:lastRowFirstColumn="0" w:lastRowLastColumn="0"/>
            </w:pPr>
            <w:r w:rsidRPr="00757DE4">
              <w:t>500</w:t>
            </w:r>
          </w:p>
        </w:tc>
        <w:tc>
          <w:tcPr>
            <w:tcW w:w="1263" w:type="dxa"/>
            <w:vAlign w:val="top"/>
          </w:tcPr>
          <w:p w:rsidR="00DF53F5" w:rsidRPr="00DF53F5" w:rsidRDefault="00DF53F5" w:rsidP="00DF53F5">
            <w:pPr>
              <w:pStyle w:val="AERtabletextright"/>
              <w:cnfStyle w:val="000000010000" w:firstRow="0" w:lastRow="0" w:firstColumn="0" w:lastColumn="0" w:oddVBand="0" w:evenVBand="0" w:oddHBand="0" w:evenHBand="1" w:firstRowFirstColumn="0" w:firstRowLastColumn="0" w:lastRowFirstColumn="0" w:lastRowLastColumn="0"/>
            </w:pPr>
            <w:r w:rsidRPr="00757DE4">
              <w:t>499</w:t>
            </w:r>
          </w:p>
        </w:tc>
        <w:tc>
          <w:tcPr>
            <w:tcW w:w="1263" w:type="dxa"/>
            <w:vAlign w:val="top"/>
          </w:tcPr>
          <w:p w:rsidR="00DF53F5" w:rsidRPr="00DF53F5" w:rsidRDefault="00DF53F5" w:rsidP="00DF53F5">
            <w:pPr>
              <w:pStyle w:val="AERtabletextright"/>
              <w:cnfStyle w:val="000000010000" w:firstRow="0" w:lastRow="0" w:firstColumn="0" w:lastColumn="0" w:oddVBand="0" w:evenVBand="0" w:oddHBand="0" w:evenHBand="1" w:firstRowFirstColumn="0" w:firstRowLastColumn="0" w:lastRowFirstColumn="0" w:lastRowLastColumn="0"/>
            </w:pPr>
            <w:r w:rsidRPr="00757DE4">
              <w:t>500</w:t>
            </w:r>
          </w:p>
        </w:tc>
        <w:tc>
          <w:tcPr>
            <w:tcW w:w="1264" w:type="dxa"/>
            <w:vAlign w:val="top"/>
          </w:tcPr>
          <w:p w:rsidR="00DF53F5" w:rsidRPr="00DF53F5" w:rsidRDefault="00DF53F5" w:rsidP="00DF53F5">
            <w:pPr>
              <w:pStyle w:val="AERtabletextright"/>
              <w:cnfStyle w:val="000000010000" w:firstRow="0" w:lastRow="0" w:firstColumn="0" w:lastColumn="0" w:oddVBand="0" w:evenVBand="0" w:oddHBand="0" w:evenHBand="1" w:firstRowFirstColumn="0" w:firstRowLastColumn="0" w:lastRowFirstColumn="0" w:lastRowLastColumn="0"/>
            </w:pPr>
            <w:r w:rsidRPr="00757DE4">
              <w:t>500</w:t>
            </w:r>
          </w:p>
        </w:tc>
      </w:tr>
      <w:tr w:rsidR="00DF53F5" w:rsidRPr="00E84783" w:rsidTr="00AB0AD0">
        <w:trPr>
          <w:trHeight w:val="580"/>
        </w:trPr>
        <w:tc>
          <w:tcPr>
            <w:cnfStyle w:val="001000000000" w:firstRow="0" w:lastRow="0" w:firstColumn="1" w:lastColumn="0" w:oddVBand="0" w:evenVBand="0" w:oddHBand="0" w:evenHBand="0" w:firstRowFirstColumn="0" w:firstRowLastColumn="0" w:lastRowFirstColumn="0" w:lastRowLastColumn="0"/>
            <w:tcW w:w="2842" w:type="dxa"/>
          </w:tcPr>
          <w:p w:rsidR="00DF53F5" w:rsidRPr="00DF53F5" w:rsidRDefault="00DF53F5" w:rsidP="00DF53F5">
            <w:r>
              <w:t>T</w:t>
            </w:r>
            <w:r w:rsidRPr="00DF53F5">
              <w:t>ariff V I&amp;C</w:t>
            </w:r>
          </w:p>
        </w:tc>
        <w:tc>
          <w:tcPr>
            <w:tcW w:w="1263" w:type="dxa"/>
          </w:tcPr>
          <w:p w:rsidR="00DF53F5" w:rsidRPr="00DF53F5" w:rsidRDefault="00DF53F5" w:rsidP="00DF53F5">
            <w:pPr>
              <w:pStyle w:val="AERtabletextright"/>
              <w:cnfStyle w:val="000000000000" w:firstRow="0" w:lastRow="0" w:firstColumn="0" w:lastColumn="0" w:oddVBand="0" w:evenVBand="0" w:oddHBand="0" w:evenHBand="0" w:firstRowFirstColumn="0" w:firstRowLastColumn="0" w:lastRowFirstColumn="0" w:lastRowLastColumn="0"/>
            </w:pPr>
            <w:r w:rsidRPr="00757DE4">
              <w:t>303</w:t>
            </w:r>
          </w:p>
        </w:tc>
        <w:tc>
          <w:tcPr>
            <w:tcW w:w="1263" w:type="dxa"/>
          </w:tcPr>
          <w:p w:rsidR="00DF53F5" w:rsidRPr="00DF53F5" w:rsidRDefault="00DF53F5" w:rsidP="00DF53F5">
            <w:pPr>
              <w:pStyle w:val="AERtabletextright"/>
              <w:cnfStyle w:val="000000000000" w:firstRow="0" w:lastRow="0" w:firstColumn="0" w:lastColumn="0" w:oddVBand="0" w:evenVBand="0" w:oddHBand="0" w:evenHBand="0" w:firstRowFirstColumn="0" w:firstRowLastColumn="0" w:lastRowFirstColumn="0" w:lastRowLastColumn="0"/>
            </w:pPr>
            <w:r w:rsidRPr="00757DE4">
              <w:t>365</w:t>
            </w:r>
          </w:p>
        </w:tc>
        <w:tc>
          <w:tcPr>
            <w:tcW w:w="1263" w:type="dxa"/>
          </w:tcPr>
          <w:p w:rsidR="00DF53F5" w:rsidRPr="00DF53F5" w:rsidRDefault="00DF53F5" w:rsidP="00DF53F5">
            <w:pPr>
              <w:pStyle w:val="AERtabletextright"/>
              <w:cnfStyle w:val="000000000000" w:firstRow="0" w:lastRow="0" w:firstColumn="0" w:lastColumn="0" w:oddVBand="0" w:evenVBand="0" w:oddHBand="0" w:evenHBand="0" w:firstRowFirstColumn="0" w:firstRowLastColumn="0" w:lastRowFirstColumn="0" w:lastRowLastColumn="0"/>
            </w:pPr>
            <w:r w:rsidRPr="00757DE4">
              <w:t>378</w:t>
            </w:r>
          </w:p>
        </w:tc>
        <w:tc>
          <w:tcPr>
            <w:tcW w:w="1263" w:type="dxa"/>
          </w:tcPr>
          <w:p w:rsidR="00DF53F5" w:rsidRPr="00DF53F5" w:rsidRDefault="00DF53F5" w:rsidP="00DF53F5">
            <w:pPr>
              <w:pStyle w:val="AERtabletextright"/>
              <w:cnfStyle w:val="000000000000" w:firstRow="0" w:lastRow="0" w:firstColumn="0" w:lastColumn="0" w:oddVBand="0" w:evenVBand="0" w:oddHBand="0" w:evenHBand="0" w:firstRowFirstColumn="0" w:firstRowLastColumn="0" w:lastRowFirstColumn="0" w:lastRowLastColumn="0"/>
            </w:pPr>
            <w:r>
              <w:t>393</w:t>
            </w:r>
          </w:p>
        </w:tc>
        <w:tc>
          <w:tcPr>
            <w:tcW w:w="1264" w:type="dxa"/>
          </w:tcPr>
          <w:p w:rsidR="00DF53F5" w:rsidRPr="00DF53F5" w:rsidRDefault="00DF53F5" w:rsidP="00DF53F5">
            <w:pPr>
              <w:pStyle w:val="AERtabletextright"/>
              <w:cnfStyle w:val="000000000000" w:firstRow="0" w:lastRow="0" w:firstColumn="0" w:lastColumn="0" w:oddVBand="0" w:evenVBand="0" w:oddHBand="0" w:evenHBand="0" w:firstRowFirstColumn="0" w:firstRowLastColumn="0" w:lastRowFirstColumn="0" w:lastRowLastColumn="0"/>
            </w:pPr>
            <w:r w:rsidRPr="00757DE4">
              <w:t>407</w:t>
            </w:r>
          </w:p>
        </w:tc>
      </w:tr>
      <w:tr w:rsidR="00DF53F5" w:rsidRPr="00E84783" w:rsidTr="00AB0AD0">
        <w:trPr>
          <w:cnfStyle w:val="000000010000" w:firstRow="0" w:lastRow="0" w:firstColumn="0" w:lastColumn="0" w:oddVBand="0" w:evenVBand="0" w:oddHBand="0" w:evenHBand="1"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2842" w:type="dxa"/>
          </w:tcPr>
          <w:p w:rsidR="00DF53F5" w:rsidRPr="00DF53F5" w:rsidRDefault="00DF53F5" w:rsidP="00DF53F5">
            <w:r w:rsidRPr="00757DE4">
              <w:rPr>
                <w:rStyle w:val="AERtextbold"/>
              </w:rPr>
              <w:t>Disconnections</w:t>
            </w:r>
          </w:p>
        </w:tc>
        <w:tc>
          <w:tcPr>
            <w:tcW w:w="1263" w:type="dxa"/>
          </w:tcPr>
          <w:p w:rsidR="00DF53F5" w:rsidRDefault="00DF53F5" w:rsidP="00DF53F5">
            <w:pPr>
              <w:pStyle w:val="AERtabletextright"/>
              <w:cnfStyle w:val="000000010000" w:firstRow="0" w:lastRow="0" w:firstColumn="0" w:lastColumn="0" w:oddVBand="0" w:evenVBand="0" w:oddHBand="0" w:evenHBand="1" w:firstRowFirstColumn="0" w:firstRowLastColumn="0" w:lastRowFirstColumn="0" w:lastRowLastColumn="0"/>
            </w:pPr>
          </w:p>
        </w:tc>
        <w:tc>
          <w:tcPr>
            <w:tcW w:w="1263" w:type="dxa"/>
          </w:tcPr>
          <w:p w:rsidR="00DF53F5" w:rsidRDefault="00DF53F5" w:rsidP="00DF53F5">
            <w:pPr>
              <w:pStyle w:val="AERtabletextright"/>
              <w:cnfStyle w:val="000000010000" w:firstRow="0" w:lastRow="0" w:firstColumn="0" w:lastColumn="0" w:oddVBand="0" w:evenVBand="0" w:oddHBand="0" w:evenHBand="1" w:firstRowFirstColumn="0" w:firstRowLastColumn="0" w:lastRowFirstColumn="0" w:lastRowLastColumn="0"/>
            </w:pPr>
          </w:p>
        </w:tc>
        <w:tc>
          <w:tcPr>
            <w:tcW w:w="1263" w:type="dxa"/>
          </w:tcPr>
          <w:p w:rsidR="00DF53F5" w:rsidRDefault="00DF53F5" w:rsidP="00DF53F5">
            <w:pPr>
              <w:pStyle w:val="AERtabletextright"/>
              <w:cnfStyle w:val="000000010000" w:firstRow="0" w:lastRow="0" w:firstColumn="0" w:lastColumn="0" w:oddVBand="0" w:evenVBand="0" w:oddHBand="0" w:evenHBand="1" w:firstRowFirstColumn="0" w:firstRowLastColumn="0" w:lastRowFirstColumn="0" w:lastRowLastColumn="0"/>
            </w:pPr>
          </w:p>
        </w:tc>
        <w:tc>
          <w:tcPr>
            <w:tcW w:w="1263" w:type="dxa"/>
          </w:tcPr>
          <w:p w:rsidR="00DF53F5" w:rsidRDefault="00DF53F5" w:rsidP="00DF53F5">
            <w:pPr>
              <w:pStyle w:val="AERtabletextright"/>
              <w:cnfStyle w:val="000000010000" w:firstRow="0" w:lastRow="0" w:firstColumn="0" w:lastColumn="0" w:oddVBand="0" w:evenVBand="0" w:oddHBand="0" w:evenHBand="1" w:firstRowFirstColumn="0" w:firstRowLastColumn="0" w:lastRowFirstColumn="0" w:lastRowLastColumn="0"/>
            </w:pPr>
          </w:p>
        </w:tc>
        <w:tc>
          <w:tcPr>
            <w:tcW w:w="1264" w:type="dxa"/>
          </w:tcPr>
          <w:p w:rsidR="00DF53F5" w:rsidRDefault="00DF53F5" w:rsidP="00DF53F5">
            <w:pPr>
              <w:pStyle w:val="AERtabletextright"/>
              <w:cnfStyle w:val="000000010000" w:firstRow="0" w:lastRow="0" w:firstColumn="0" w:lastColumn="0" w:oddVBand="0" w:evenVBand="0" w:oddHBand="0" w:evenHBand="1" w:firstRowFirstColumn="0" w:firstRowLastColumn="0" w:lastRowFirstColumn="0" w:lastRowLastColumn="0"/>
            </w:pPr>
          </w:p>
        </w:tc>
      </w:tr>
      <w:tr w:rsidR="00DF53F5" w:rsidRPr="00E84783" w:rsidTr="00AB0AD0">
        <w:trPr>
          <w:trHeight w:val="596"/>
        </w:trPr>
        <w:tc>
          <w:tcPr>
            <w:cnfStyle w:val="001000000000" w:firstRow="0" w:lastRow="0" w:firstColumn="1" w:lastColumn="0" w:oddVBand="0" w:evenVBand="0" w:oddHBand="0" w:evenHBand="0" w:firstRowFirstColumn="0" w:firstRowLastColumn="0" w:lastRowFirstColumn="0" w:lastRowLastColumn="0"/>
            <w:tcW w:w="2842" w:type="dxa"/>
          </w:tcPr>
          <w:p w:rsidR="00DF53F5" w:rsidRPr="00DF53F5" w:rsidRDefault="00DF53F5" w:rsidP="00DF53F5">
            <w:r w:rsidRPr="00596965">
              <w:t>Residential</w:t>
            </w:r>
          </w:p>
        </w:tc>
        <w:tc>
          <w:tcPr>
            <w:tcW w:w="1263" w:type="dxa"/>
            <w:vAlign w:val="top"/>
          </w:tcPr>
          <w:p w:rsidR="00DF53F5" w:rsidRPr="00DF53F5" w:rsidRDefault="00DF53F5" w:rsidP="00DF53F5">
            <w:pPr>
              <w:pStyle w:val="AERtabletextright"/>
              <w:cnfStyle w:val="000000000000" w:firstRow="0" w:lastRow="0" w:firstColumn="0" w:lastColumn="0" w:oddVBand="0" w:evenVBand="0" w:oddHBand="0" w:evenHBand="0" w:firstRowFirstColumn="0" w:firstRowLastColumn="0" w:lastRowFirstColumn="0" w:lastRowLastColumn="0"/>
            </w:pPr>
            <w:r w:rsidRPr="00596965">
              <w:t>-4,304</w:t>
            </w:r>
          </w:p>
        </w:tc>
        <w:tc>
          <w:tcPr>
            <w:tcW w:w="1263" w:type="dxa"/>
            <w:vAlign w:val="top"/>
          </w:tcPr>
          <w:p w:rsidR="00DF53F5" w:rsidRPr="00DF53F5" w:rsidRDefault="00DF53F5" w:rsidP="00DF53F5">
            <w:pPr>
              <w:pStyle w:val="AERtabletextright"/>
              <w:cnfStyle w:val="000000000000" w:firstRow="0" w:lastRow="0" w:firstColumn="0" w:lastColumn="0" w:oddVBand="0" w:evenVBand="0" w:oddHBand="0" w:evenHBand="0" w:firstRowFirstColumn="0" w:firstRowLastColumn="0" w:lastRowFirstColumn="0" w:lastRowLastColumn="0"/>
            </w:pPr>
            <w:r w:rsidRPr="00596965">
              <w:t>-4,418</w:t>
            </w:r>
          </w:p>
        </w:tc>
        <w:tc>
          <w:tcPr>
            <w:tcW w:w="1263" w:type="dxa"/>
            <w:vAlign w:val="top"/>
          </w:tcPr>
          <w:p w:rsidR="00DF53F5" w:rsidRPr="00DF53F5" w:rsidRDefault="00DF53F5" w:rsidP="00DF53F5">
            <w:pPr>
              <w:pStyle w:val="AERtabletextright"/>
              <w:cnfStyle w:val="000000000000" w:firstRow="0" w:lastRow="0" w:firstColumn="0" w:lastColumn="0" w:oddVBand="0" w:evenVBand="0" w:oddHBand="0" w:evenHBand="0" w:firstRowFirstColumn="0" w:firstRowLastColumn="0" w:lastRowFirstColumn="0" w:lastRowLastColumn="0"/>
            </w:pPr>
            <w:r w:rsidRPr="00596965">
              <w:t>-4,537</w:t>
            </w:r>
          </w:p>
        </w:tc>
        <w:tc>
          <w:tcPr>
            <w:tcW w:w="1263" w:type="dxa"/>
            <w:vAlign w:val="top"/>
          </w:tcPr>
          <w:p w:rsidR="00DF53F5" w:rsidRPr="00DF53F5" w:rsidRDefault="00DF53F5" w:rsidP="00DF53F5">
            <w:pPr>
              <w:pStyle w:val="AERtabletextright"/>
              <w:cnfStyle w:val="000000000000" w:firstRow="0" w:lastRow="0" w:firstColumn="0" w:lastColumn="0" w:oddVBand="0" w:evenVBand="0" w:oddHBand="0" w:evenHBand="0" w:firstRowFirstColumn="0" w:firstRowLastColumn="0" w:lastRowFirstColumn="0" w:lastRowLastColumn="0"/>
            </w:pPr>
            <w:r w:rsidRPr="00596965">
              <w:t>-4,653</w:t>
            </w:r>
          </w:p>
        </w:tc>
        <w:tc>
          <w:tcPr>
            <w:tcW w:w="1264" w:type="dxa"/>
            <w:vAlign w:val="top"/>
          </w:tcPr>
          <w:p w:rsidR="00DF53F5" w:rsidRPr="00DF53F5" w:rsidRDefault="00DF53F5" w:rsidP="00DF53F5">
            <w:pPr>
              <w:pStyle w:val="AERtabletextright"/>
              <w:cnfStyle w:val="000000000000" w:firstRow="0" w:lastRow="0" w:firstColumn="0" w:lastColumn="0" w:oddVBand="0" w:evenVBand="0" w:oddHBand="0" w:evenHBand="0" w:firstRowFirstColumn="0" w:firstRowLastColumn="0" w:lastRowFirstColumn="0" w:lastRowLastColumn="0"/>
            </w:pPr>
            <w:r w:rsidRPr="00596965">
              <w:t>-4,763</w:t>
            </w:r>
          </w:p>
        </w:tc>
      </w:tr>
      <w:tr w:rsidR="00DF53F5" w:rsidRPr="00E84783" w:rsidTr="00AB0AD0">
        <w:trPr>
          <w:cnfStyle w:val="000000010000" w:firstRow="0" w:lastRow="0" w:firstColumn="0" w:lastColumn="0" w:oddVBand="0" w:evenVBand="0" w:oddHBand="0" w:evenHBand="1"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2842" w:type="dxa"/>
          </w:tcPr>
          <w:p w:rsidR="00DF53F5" w:rsidRPr="00DF53F5" w:rsidRDefault="00DF53F5" w:rsidP="00DF53F5">
            <w:r w:rsidRPr="00596965">
              <w:t>Small business</w:t>
            </w:r>
          </w:p>
        </w:tc>
        <w:tc>
          <w:tcPr>
            <w:tcW w:w="1263" w:type="dxa"/>
            <w:vAlign w:val="top"/>
          </w:tcPr>
          <w:p w:rsidR="00DF53F5" w:rsidRPr="00DF53F5" w:rsidRDefault="00DF53F5" w:rsidP="00DF53F5">
            <w:pPr>
              <w:pStyle w:val="AERtabletextright"/>
              <w:cnfStyle w:val="000000010000" w:firstRow="0" w:lastRow="0" w:firstColumn="0" w:lastColumn="0" w:oddVBand="0" w:evenVBand="0" w:oddHBand="0" w:evenHBand="1" w:firstRowFirstColumn="0" w:firstRowLastColumn="0" w:lastRowFirstColumn="0" w:lastRowLastColumn="0"/>
            </w:pPr>
            <w:r w:rsidRPr="00596965">
              <w:t>-46</w:t>
            </w:r>
          </w:p>
        </w:tc>
        <w:tc>
          <w:tcPr>
            <w:tcW w:w="1263" w:type="dxa"/>
            <w:vAlign w:val="top"/>
          </w:tcPr>
          <w:p w:rsidR="00DF53F5" w:rsidRPr="00DF53F5" w:rsidRDefault="00DF53F5" w:rsidP="00DF53F5">
            <w:pPr>
              <w:pStyle w:val="AERtabletextright"/>
              <w:cnfStyle w:val="000000010000" w:firstRow="0" w:lastRow="0" w:firstColumn="0" w:lastColumn="0" w:oddVBand="0" w:evenVBand="0" w:oddHBand="0" w:evenHBand="1" w:firstRowFirstColumn="0" w:firstRowLastColumn="0" w:lastRowFirstColumn="0" w:lastRowLastColumn="0"/>
            </w:pPr>
            <w:r w:rsidRPr="00596965">
              <w:t>-47</w:t>
            </w:r>
          </w:p>
        </w:tc>
        <w:tc>
          <w:tcPr>
            <w:tcW w:w="1263" w:type="dxa"/>
            <w:vAlign w:val="top"/>
          </w:tcPr>
          <w:p w:rsidR="00DF53F5" w:rsidRPr="00DF53F5" w:rsidRDefault="00DF53F5" w:rsidP="00DF53F5">
            <w:pPr>
              <w:pStyle w:val="AERtabletextright"/>
              <w:cnfStyle w:val="000000010000" w:firstRow="0" w:lastRow="0" w:firstColumn="0" w:lastColumn="0" w:oddVBand="0" w:evenVBand="0" w:oddHBand="0" w:evenHBand="1" w:firstRowFirstColumn="0" w:firstRowLastColumn="0" w:lastRowFirstColumn="0" w:lastRowLastColumn="0"/>
            </w:pPr>
            <w:r w:rsidRPr="00596965">
              <w:t>-48</w:t>
            </w:r>
          </w:p>
        </w:tc>
        <w:tc>
          <w:tcPr>
            <w:tcW w:w="1263" w:type="dxa"/>
            <w:vAlign w:val="top"/>
          </w:tcPr>
          <w:p w:rsidR="00DF53F5" w:rsidRPr="00DF53F5" w:rsidRDefault="00DF53F5" w:rsidP="00DF53F5">
            <w:pPr>
              <w:pStyle w:val="AERtabletextright"/>
              <w:cnfStyle w:val="000000010000" w:firstRow="0" w:lastRow="0" w:firstColumn="0" w:lastColumn="0" w:oddVBand="0" w:evenVBand="0" w:oddHBand="0" w:evenHBand="1" w:firstRowFirstColumn="0" w:firstRowLastColumn="0" w:lastRowFirstColumn="0" w:lastRowLastColumn="0"/>
            </w:pPr>
            <w:r w:rsidRPr="00596965">
              <w:t>-49</w:t>
            </w:r>
          </w:p>
        </w:tc>
        <w:tc>
          <w:tcPr>
            <w:tcW w:w="1264" w:type="dxa"/>
            <w:vAlign w:val="top"/>
          </w:tcPr>
          <w:p w:rsidR="00DF53F5" w:rsidRPr="00DF53F5" w:rsidRDefault="00DF53F5" w:rsidP="00DF53F5">
            <w:pPr>
              <w:pStyle w:val="AERtabletextright"/>
              <w:cnfStyle w:val="000000010000" w:firstRow="0" w:lastRow="0" w:firstColumn="0" w:lastColumn="0" w:oddVBand="0" w:evenVBand="0" w:oddHBand="0" w:evenHBand="1" w:firstRowFirstColumn="0" w:firstRowLastColumn="0" w:lastRowFirstColumn="0" w:lastRowLastColumn="0"/>
            </w:pPr>
            <w:r w:rsidRPr="00596965">
              <w:t>-50</w:t>
            </w:r>
          </w:p>
        </w:tc>
      </w:tr>
      <w:tr w:rsidR="00DF53F5" w:rsidRPr="00E84783" w:rsidTr="00AB0AD0">
        <w:trPr>
          <w:trHeight w:val="596"/>
        </w:trPr>
        <w:tc>
          <w:tcPr>
            <w:cnfStyle w:val="001000000000" w:firstRow="0" w:lastRow="0" w:firstColumn="1" w:lastColumn="0" w:oddVBand="0" w:evenVBand="0" w:oddHBand="0" w:evenHBand="0" w:firstRowFirstColumn="0" w:firstRowLastColumn="0" w:lastRowFirstColumn="0" w:lastRowLastColumn="0"/>
            <w:tcW w:w="2842" w:type="dxa"/>
          </w:tcPr>
          <w:p w:rsidR="00DF53F5" w:rsidRPr="00DF53F5" w:rsidRDefault="00DF53F5" w:rsidP="00DF53F5">
            <w:r w:rsidRPr="00596965">
              <w:t>Tariff V I&amp;C</w:t>
            </w:r>
          </w:p>
        </w:tc>
        <w:tc>
          <w:tcPr>
            <w:tcW w:w="1263" w:type="dxa"/>
            <w:vAlign w:val="top"/>
          </w:tcPr>
          <w:p w:rsidR="00DF53F5" w:rsidRPr="00DF53F5" w:rsidRDefault="00DF53F5" w:rsidP="00DF53F5">
            <w:pPr>
              <w:pStyle w:val="AERtabletextright"/>
              <w:cnfStyle w:val="000000000000" w:firstRow="0" w:lastRow="0" w:firstColumn="0" w:lastColumn="0" w:oddVBand="0" w:evenVBand="0" w:oddHBand="0" w:evenHBand="0" w:firstRowFirstColumn="0" w:firstRowLastColumn="0" w:lastRowFirstColumn="0" w:lastRowLastColumn="0"/>
            </w:pPr>
            <w:r w:rsidRPr="00596965">
              <w:t>-34</w:t>
            </w:r>
          </w:p>
        </w:tc>
        <w:tc>
          <w:tcPr>
            <w:tcW w:w="1263" w:type="dxa"/>
            <w:vAlign w:val="top"/>
          </w:tcPr>
          <w:p w:rsidR="00DF53F5" w:rsidRPr="00DF53F5" w:rsidRDefault="00DF53F5" w:rsidP="00DF53F5">
            <w:pPr>
              <w:pStyle w:val="AERtabletextright"/>
              <w:cnfStyle w:val="000000000000" w:firstRow="0" w:lastRow="0" w:firstColumn="0" w:lastColumn="0" w:oddVBand="0" w:evenVBand="0" w:oddHBand="0" w:evenHBand="0" w:firstRowFirstColumn="0" w:firstRowLastColumn="0" w:lastRowFirstColumn="0" w:lastRowLastColumn="0"/>
            </w:pPr>
            <w:r w:rsidRPr="00596965">
              <w:t>-34</w:t>
            </w:r>
          </w:p>
        </w:tc>
        <w:tc>
          <w:tcPr>
            <w:tcW w:w="1263" w:type="dxa"/>
            <w:vAlign w:val="top"/>
          </w:tcPr>
          <w:p w:rsidR="00DF53F5" w:rsidRPr="00DF53F5" w:rsidRDefault="00DF53F5" w:rsidP="00DF53F5">
            <w:pPr>
              <w:pStyle w:val="AERtabletextright"/>
              <w:cnfStyle w:val="000000000000" w:firstRow="0" w:lastRow="0" w:firstColumn="0" w:lastColumn="0" w:oddVBand="0" w:evenVBand="0" w:oddHBand="0" w:evenHBand="0" w:firstRowFirstColumn="0" w:firstRowLastColumn="0" w:lastRowFirstColumn="0" w:lastRowLastColumn="0"/>
            </w:pPr>
            <w:r w:rsidRPr="00596965">
              <w:t>-35</w:t>
            </w:r>
          </w:p>
        </w:tc>
        <w:tc>
          <w:tcPr>
            <w:tcW w:w="1263" w:type="dxa"/>
            <w:vAlign w:val="top"/>
          </w:tcPr>
          <w:p w:rsidR="00DF53F5" w:rsidRPr="00DF53F5" w:rsidRDefault="00DF53F5" w:rsidP="00DF53F5">
            <w:pPr>
              <w:pStyle w:val="AERtabletextright"/>
              <w:cnfStyle w:val="000000000000" w:firstRow="0" w:lastRow="0" w:firstColumn="0" w:lastColumn="0" w:oddVBand="0" w:evenVBand="0" w:oddHBand="0" w:evenHBand="0" w:firstRowFirstColumn="0" w:firstRowLastColumn="0" w:lastRowFirstColumn="0" w:lastRowLastColumn="0"/>
            </w:pPr>
            <w:r w:rsidRPr="00596965">
              <w:t>-36</w:t>
            </w:r>
          </w:p>
        </w:tc>
        <w:tc>
          <w:tcPr>
            <w:tcW w:w="1264" w:type="dxa"/>
            <w:vAlign w:val="top"/>
          </w:tcPr>
          <w:p w:rsidR="00DF53F5" w:rsidRPr="00DF53F5" w:rsidRDefault="00DF53F5" w:rsidP="00DF53F5">
            <w:pPr>
              <w:pStyle w:val="AERtabletextright"/>
              <w:cnfStyle w:val="000000000000" w:firstRow="0" w:lastRow="0" w:firstColumn="0" w:lastColumn="0" w:oddVBand="0" w:evenVBand="0" w:oddHBand="0" w:evenHBand="0" w:firstRowFirstColumn="0" w:firstRowLastColumn="0" w:lastRowFirstColumn="0" w:lastRowLastColumn="0"/>
            </w:pPr>
            <w:r w:rsidRPr="00596965">
              <w:t>-36</w:t>
            </w:r>
          </w:p>
        </w:tc>
      </w:tr>
    </w:tbl>
    <w:p w:rsidR="00DF53F5" w:rsidRDefault="00DF53F5" w:rsidP="00DF53F5">
      <w:pPr>
        <w:pStyle w:val="AERtablesource"/>
      </w:pPr>
      <w:r>
        <w:t>Source: AER analysis</w:t>
      </w:r>
    </w:p>
    <w:p w:rsidR="00C707F9" w:rsidRPr="00343857" w:rsidRDefault="00C707F9" w:rsidP="00600C09">
      <w:pPr>
        <w:pStyle w:val="AERbodytext"/>
        <w:numPr>
          <w:ilvl w:val="0"/>
          <w:numId w:val="0"/>
        </w:numPr>
      </w:pPr>
    </w:p>
    <w:sectPr w:rsidR="00C707F9" w:rsidRPr="00343857" w:rsidSect="00300EBE">
      <w:footerReference w:type="even" r:id="rId11"/>
      <w:footerReference w:type="default" r:id="rId12"/>
      <w:pgSz w:w="11906" w:h="16838"/>
      <w:pgMar w:top="1440" w:right="1440" w:bottom="1440" w:left="1440" w:header="708" w:footer="708"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932" w:rsidRPr="00AB4345" w:rsidRDefault="003F3932" w:rsidP="00AB4345">
      <w:r>
        <w:separator/>
      </w:r>
    </w:p>
  </w:endnote>
  <w:endnote w:type="continuationSeparator" w:id="0">
    <w:p w:rsidR="003F3932" w:rsidRPr="00AB4345" w:rsidRDefault="003F3932"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882516"/>
      <w:docPartObj>
        <w:docPartGallery w:val="Page Numbers (Bottom of Page)"/>
        <w:docPartUnique/>
      </w:docPartObj>
    </w:sdtPr>
    <w:sdtEndPr/>
    <w:sdtContent>
      <w:p w:rsidR="003F3932" w:rsidRPr="00824CC8" w:rsidRDefault="003F3932" w:rsidP="00824CC8">
        <w:pPr>
          <w:pStyle w:val="Footer"/>
        </w:pPr>
        <w:r w:rsidRPr="00824CC8">
          <w:fldChar w:fldCharType="begin"/>
        </w:r>
        <w:r w:rsidRPr="00824CC8">
          <w:instrText xml:space="preserve"> PAGE   \* MERGEFORMAT </w:instrText>
        </w:r>
        <w:r w:rsidRPr="00824CC8">
          <w:fldChar w:fldCharType="separate"/>
        </w:r>
        <w:r w:rsidR="00DF296E">
          <w:rPr>
            <w:noProof/>
          </w:rPr>
          <w:t>13-18</w:t>
        </w:r>
        <w:r w:rsidRPr="00824CC8">
          <w:fldChar w:fldCharType="end"/>
        </w:r>
        <w:r w:rsidRPr="00824CC8">
          <w:tab/>
        </w:r>
        <w:r>
          <w:t>Attachment 13 Demand</w:t>
        </w:r>
        <w:r w:rsidRPr="00824CC8">
          <w:rPr>
            <w:rStyle w:val="AERbody"/>
          </w:rPr>
          <w:t xml:space="preserve"> | </w:t>
        </w:r>
        <w:r>
          <w:rPr>
            <w:rStyle w:val="AERbody"/>
          </w:rPr>
          <w:t>Jemena Gas Networks 2015-2020</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932" w:rsidRPr="00824CC8" w:rsidRDefault="003F3932" w:rsidP="00824CC8">
    <w:pPr>
      <w:pStyle w:val="Footer"/>
      <w:rPr>
        <w:rStyle w:val="AERbody"/>
      </w:rPr>
    </w:pPr>
    <w:r>
      <w:rPr>
        <w:rStyle w:val="AERbody"/>
      </w:rPr>
      <w:t>Jemena Gas Networks 2015-2020</w:t>
    </w:r>
    <w:r w:rsidRPr="00210880">
      <w:rPr>
        <w:rStyle w:val="AERbody"/>
      </w:rPr>
      <w:t xml:space="preserve"> | </w:t>
    </w:r>
    <w:r>
      <w:t>Attachment 13 Demand</w:t>
    </w:r>
    <w:r w:rsidRPr="00210880">
      <w:rPr>
        <w:rStyle w:val="AERbody"/>
      </w:rPr>
      <w:tab/>
    </w: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sidR="00DF296E">
      <w:rPr>
        <w:rStyle w:val="AERbody"/>
        <w:noProof/>
      </w:rPr>
      <w:t>13-19</w:t>
    </w:r>
    <w:r w:rsidRPr="00824CC8">
      <w:rPr>
        <w:rStyle w:val="AERbod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932" w:rsidRPr="00AB4345" w:rsidRDefault="003F3932" w:rsidP="00AB4345">
      <w:r>
        <w:separator/>
      </w:r>
    </w:p>
  </w:footnote>
  <w:footnote w:type="continuationSeparator" w:id="0">
    <w:p w:rsidR="003F3932" w:rsidRPr="00AB4345" w:rsidRDefault="003F3932" w:rsidP="00AB4345">
      <w:r>
        <w:continuationSeparator/>
      </w:r>
    </w:p>
  </w:footnote>
  <w:footnote w:id="1">
    <w:p w:rsidR="003F3932" w:rsidRDefault="003F3932" w:rsidP="00871AC3">
      <w:pPr>
        <w:pStyle w:val="FootnoteText"/>
      </w:pPr>
      <w:r>
        <w:rPr>
          <w:rStyle w:val="FootnoteReference"/>
        </w:rPr>
        <w:footnoteRef/>
      </w:r>
      <w:r>
        <w:t xml:space="preserve"> </w:t>
      </w:r>
      <w:r>
        <w:tab/>
        <w:t xml:space="preserve">JGN, </w:t>
      </w:r>
      <w:r w:rsidRPr="00162B38">
        <w:rPr>
          <w:rStyle w:val="AERtextitalic"/>
        </w:rPr>
        <w:t>2015-20</w:t>
      </w:r>
      <w:r>
        <w:t xml:space="preserve"> Access Arrangement Information, 30 June 2014, Attachment 5.1: Core Energy Group, </w:t>
      </w:r>
      <w:r w:rsidRPr="00871AC3">
        <w:rPr>
          <w:rStyle w:val="AERtextitalic"/>
        </w:rPr>
        <w:t>Gas</w:t>
      </w:r>
      <w:r>
        <w:t xml:space="preserve"> </w:t>
      </w:r>
      <w:r>
        <w:rPr>
          <w:rStyle w:val="AERtextitalic"/>
        </w:rPr>
        <w:t xml:space="preserve">Demand and Customer Forecasts - Jemena Gas Networks - NSW Gas Access Arrangement 2015- 2020, </w:t>
      </w:r>
      <w:r w:rsidRPr="00871AC3">
        <w:rPr>
          <w:rStyle w:val="AERtextitalic"/>
          <w:i w:val="0"/>
        </w:rPr>
        <w:t>April 2</w:t>
      </w:r>
      <w:r w:rsidRPr="00DC4CEE">
        <w:rPr>
          <w:rStyle w:val="AERtextitalic"/>
          <w:i w:val="0"/>
        </w:rPr>
        <w:t>014</w:t>
      </w:r>
      <w:r w:rsidRPr="00A409E4">
        <w:rPr>
          <w:rStyle w:val="AERtextitalic"/>
          <w:i w:val="0"/>
        </w:rPr>
        <w:t>, p1</w:t>
      </w:r>
      <w:r>
        <w:rPr>
          <w:rStyle w:val="AERtextitalic"/>
        </w:rPr>
        <w:t>2</w:t>
      </w:r>
      <w:r w:rsidRPr="00A409E4">
        <w:rPr>
          <w:rStyle w:val="AERtextitalic"/>
          <w:i w:val="0"/>
        </w:rPr>
        <w:t>.</w:t>
      </w:r>
    </w:p>
  </w:footnote>
  <w:footnote w:id="2">
    <w:p w:rsidR="003F3932" w:rsidRPr="00383873" w:rsidRDefault="003F3932" w:rsidP="00383873">
      <w:pPr>
        <w:pStyle w:val="FootnoteText"/>
      </w:pPr>
      <w:r>
        <w:rPr>
          <w:rStyle w:val="FootnoteReference"/>
        </w:rPr>
        <w:footnoteRef/>
      </w:r>
      <w:r>
        <w:t xml:space="preserve"> </w:t>
      </w:r>
      <w:r>
        <w:tab/>
        <w:t xml:space="preserve">JGN, </w:t>
      </w:r>
      <w:r w:rsidRPr="00162B38">
        <w:rPr>
          <w:rStyle w:val="AERtextitalic"/>
        </w:rPr>
        <w:t>2015-20</w:t>
      </w:r>
      <w:r>
        <w:t xml:space="preserve"> </w:t>
      </w:r>
      <w:r w:rsidRPr="00CF5788">
        <w:rPr>
          <w:rStyle w:val="AERtextitalic"/>
        </w:rPr>
        <w:t>Access Arrangement Information</w:t>
      </w:r>
      <w:r>
        <w:t xml:space="preserve">, 30 June 2014, Attachment 5.1: Core Energy Group, </w:t>
      </w:r>
      <w:r w:rsidRPr="00871AC3">
        <w:rPr>
          <w:rStyle w:val="AERtextitalic"/>
        </w:rPr>
        <w:t>Gas</w:t>
      </w:r>
      <w:r>
        <w:t xml:space="preserve"> </w:t>
      </w:r>
      <w:r>
        <w:rPr>
          <w:rStyle w:val="AERtextitalic"/>
        </w:rPr>
        <w:t xml:space="preserve">Demand and Customer Forecasts - Jemena Gas Networks - NSW Gas Access Arrangement 2015- 2020, </w:t>
      </w:r>
      <w:r w:rsidRPr="00383873">
        <w:rPr>
          <w:rStyle w:val="AERtextitalic"/>
          <w:i w:val="0"/>
        </w:rPr>
        <w:t>April 2014, p12.</w:t>
      </w:r>
    </w:p>
  </w:footnote>
  <w:footnote w:id="3">
    <w:p w:rsidR="003F3932" w:rsidRDefault="003F3932">
      <w:pPr>
        <w:pStyle w:val="FootnoteText"/>
      </w:pPr>
      <w:r>
        <w:rPr>
          <w:rStyle w:val="FootnoteReference"/>
        </w:rPr>
        <w:footnoteRef/>
      </w:r>
      <w:r>
        <w:t xml:space="preserve"> </w:t>
      </w:r>
      <w:r>
        <w:tab/>
        <w:t>Chargeable demand is the quantity of gas used to determine the Demand Charge under Jemena's Reference Tariff Schedule.</w:t>
      </w:r>
    </w:p>
  </w:footnote>
  <w:footnote w:id="4">
    <w:p w:rsidR="003F3932" w:rsidRDefault="003F3932" w:rsidP="00754AEF">
      <w:pPr>
        <w:pStyle w:val="FootnoteText"/>
      </w:pPr>
      <w:r>
        <w:rPr>
          <w:rStyle w:val="FootnoteReference"/>
        </w:rPr>
        <w:footnoteRef/>
      </w:r>
      <w:r>
        <w:t xml:space="preserve"> </w:t>
      </w:r>
      <w:r>
        <w:tab/>
        <w:t>NGR, r. 72(1)(a)(iii).</w:t>
      </w:r>
    </w:p>
  </w:footnote>
  <w:footnote w:id="5">
    <w:p w:rsidR="003F3932" w:rsidRDefault="003F3932" w:rsidP="00754AEF">
      <w:pPr>
        <w:pStyle w:val="FootnoteText"/>
      </w:pPr>
      <w:r>
        <w:rPr>
          <w:rStyle w:val="FootnoteReference"/>
        </w:rPr>
        <w:footnoteRef/>
      </w:r>
      <w:r>
        <w:t xml:space="preserve"> </w:t>
      </w:r>
      <w:r>
        <w:tab/>
        <w:t>NGR, r. 72(1)(d).</w:t>
      </w:r>
    </w:p>
  </w:footnote>
  <w:footnote w:id="6">
    <w:p w:rsidR="003F3932" w:rsidRDefault="003F3932" w:rsidP="00754AEF">
      <w:pPr>
        <w:pStyle w:val="FootnoteText"/>
      </w:pPr>
      <w:r>
        <w:rPr>
          <w:rStyle w:val="FootnoteReference"/>
        </w:rPr>
        <w:footnoteRef/>
      </w:r>
      <w:r>
        <w:t xml:space="preserve"> </w:t>
      </w:r>
      <w:r>
        <w:tab/>
        <w:t>NGR, r. 74(2).</w:t>
      </w:r>
    </w:p>
  </w:footnote>
  <w:footnote w:id="7">
    <w:p w:rsidR="003F3932" w:rsidRDefault="003F3932" w:rsidP="00754AEF">
      <w:pPr>
        <w:pStyle w:val="FootnoteText"/>
      </w:pPr>
      <w:r>
        <w:rPr>
          <w:rStyle w:val="FootnoteReference"/>
        </w:rPr>
        <w:footnoteRef/>
      </w:r>
      <w:r>
        <w:t xml:space="preserve"> </w:t>
      </w:r>
      <w:r>
        <w:tab/>
        <w:t>NGR, r. 74(2).</w:t>
      </w:r>
    </w:p>
  </w:footnote>
  <w:footnote w:id="8">
    <w:p w:rsidR="003F3932" w:rsidRDefault="003F3932" w:rsidP="00DC1A91">
      <w:pPr>
        <w:pStyle w:val="FootnoteText"/>
      </w:pPr>
      <w:r>
        <w:rPr>
          <w:rStyle w:val="FootnoteReference"/>
        </w:rPr>
        <w:footnoteRef/>
      </w:r>
      <w:r>
        <w:t xml:space="preserve"> </w:t>
      </w:r>
      <w:r>
        <w:tab/>
        <w:t xml:space="preserve">Deloitte Access Economics, </w:t>
      </w:r>
      <w:r>
        <w:rPr>
          <w:rStyle w:val="AERtextitalic"/>
        </w:rPr>
        <w:t xml:space="preserve">AER Review of Core Energy Group gas demand forecast for Jemena's NSW network, </w:t>
      </w:r>
      <w:r w:rsidRPr="00DC1A91">
        <w:rPr>
          <w:rStyle w:val="AERtextitalic"/>
          <w:i w:val="0"/>
        </w:rPr>
        <w:t>11 August 2014</w:t>
      </w:r>
      <w:r>
        <w:rPr>
          <w:rStyle w:val="AERtextitalic"/>
        </w:rPr>
        <w:t xml:space="preserve">; </w:t>
      </w:r>
      <w:r>
        <w:t>Deloitte Access Economics, Australian Energy Regulator, Gas Demand forecast for Jemena's NSW network, 30 October 2014.</w:t>
      </w:r>
    </w:p>
  </w:footnote>
  <w:footnote w:id="9">
    <w:p w:rsidR="003F3932" w:rsidRDefault="003F3932">
      <w:pPr>
        <w:pStyle w:val="FootnoteText"/>
      </w:pPr>
      <w:r>
        <w:rPr>
          <w:rStyle w:val="FootnoteReference"/>
        </w:rPr>
        <w:footnoteRef/>
      </w:r>
      <w:r>
        <w:t xml:space="preserve"> </w:t>
      </w:r>
      <w:r>
        <w:tab/>
        <w:t xml:space="preserve">Core Energy Group, </w:t>
      </w:r>
      <w:r w:rsidRPr="00DC1A91">
        <w:rPr>
          <w:rStyle w:val="AERtextitalic"/>
        </w:rPr>
        <w:t>Response to Deloitte Report: Australian Energy Regulator, Review of Core Energy Group Gas demand forecast for Jemena's NSW network</w:t>
      </w:r>
      <w:r>
        <w:t>, August 2014.</w:t>
      </w:r>
    </w:p>
  </w:footnote>
  <w:footnote w:id="10">
    <w:p w:rsidR="003F3932" w:rsidRDefault="003F3932">
      <w:pPr>
        <w:pStyle w:val="FootnoteText"/>
      </w:pPr>
      <w:r>
        <w:rPr>
          <w:rStyle w:val="FootnoteReference"/>
        </w:rPr>
        <w:footnoteRef/>
      </w:r>
      <w:r>
        <w:t xml:space="preserve"> </w:t>
      </w:r>
      <w:r>
        <w:tab/>
        <w:t>NGR, r.74(2)</w:t>
      </w:r>
      <w:r w:rsidR="00CF5788">
        <w:t>.</w:t>
      </w:r>
    </w:p>
  </w:footnote>
  <w:footnote w:id="11">
    <w:p w:rsidR="003F3932" w:rsidRDefault="003F3932">
      <w:pPr>
        <w:pStyle w:val="FootnoteText"/>
      </w:pPr>
      <w:r>
        <w:rPr>
          <w:rStyle w:val="FootnoteReference"/>
        </w:rPr>
        <w:footnoteRef/>
      </w:r>
      <w:r>
        <w:t xml:space="preserve"> </w:t>
      </w:r>
      <w:r>
        <w:tab/>
        <w:t>Deloitte Access Economics, Australian Energy Regulator, Gas demand forecast for Jemena's NSW network, 30 October 2014, pp. 24-27.</w:t>
      </w:r>
    </w:p>
  </w:footnote>
  <w:footnote w:id="12">
    <w:p w:rsidR="003F3932" w:rsidRDefault="003F3932">
      <w:pPr>
        <w:pStyle w:val="FootnoteText"/>
      </w:pPr>
      <w:r>
        <w:rPr>
          <w:rStyle w:val="FootnoteReference"/>
        </w:rPr>
        <w:footnoteRef/>
      </w:r>
      <w:r>
        <w:t xml:space="preserve"> </w:t>
      </w:r>
      <w:r>
        <w:tab/>
        <w:t>Deloitte Access Economics, Australian Energy Regulator, Gas demand forecast for Jemena's NSW network, 30 October 2014, p. 27.</w:t>
      </w:r>
    </w:p>
  </w:footnote>
  <w:footnote w:id="13">
    <w:p w:rsidR="003F3932" w:rsidRDefault="003F3932" w:rsidP="009F16ED">
      <w:pPr>
        <w:pStyle w:val="FootnoteText"/>
      </w:pPr>
      <w:r>
        <w:rPr>
          <w:rStyle w:val="FootnoteReference"/>
        </w:rPr>
        <w:footnoteRef/>
      </w:r>
      <w:r>
        <w:t xml:space="preserve"> </w:t>
      </w:r>
      <w:r>
        <w:tab/>
        <w:t xml:space="preserve">NGR, </w:t>
      </w:r>
      <w:r>
        <w:rPr>
          <w:rFonts w:eastAsia="Calibri"/>
        </w:rPr>
        <w:t>r. 72</w:t>
      </w:r>
      <w:r w:rsidRPr="00C24D68">
        <w:rPr>
          <w:rFonts w:eastAsia="Calibri"/>
        </w:rPr>
        <w:t>(1)(a)(iii)</w:t>
      </w:r>
      <w:r>
        <w:rPr>
          <w:rFonts w:eastAsia="Calibri"/>
        </w:rPr>
        <w:t>(A).</w:t>
      </w:r>
    </w:p>
  </w:footnote>
  <w:footnote w:id="14">
    <w:p w:rsidR="003F3932" w:rsidRDefault="003F3932">
      <w:pPr>
        <w:pStyle w:val="FootnoteText"/>
      </w:pPr>
      <w:r>
        <w:rPr>
          <w:rStyle w:val="FootnoteReference"/>
        </w:rPr>
        <w:footnoteRef/>
      </w:r>
      <w:r>
        <w:t xml:space="preserve"> </w:t>
      </w:r>
      <w:r>
        <w:tab/>
        <w:t xml:space="preserve">JGN, </w:t>
      </w:r>
      <w:r w:rsidRPr="00390641">
        <w:rPr>
          <w:rStyle w:val="AERtextitalic"/>
        </w:rPr>
        <w:t>2015-20 Access Arrangement Information</w:t>
      </w:r>
      <w:r>
        <w:t>, June 2014, p. 22.</w:t>
      </w:r>
    </w:p>
  </w:footnote>
  <w:footnote w:id="15">
    <w:p w:rsidR="003F3932" w:rsidRDefault="003F3932">
      <w:pPr>
        <w:pStyle w:val="FootnoteText"/>
      </w:pPr>
      <w:r>
        <w:rPr>
          <w:rStyle w:val="FootnoteReference"/>
        </w:rPr>
        <w:footnoteRef/>
      </w:r>
      <w:r>
        <w:t xml:space="preserve"> </w:t>
      </w:r>
      <w:r>
        <w:tab/>
        <w:t xml:space="preserve">JGN, </w:t>
      </w:r>
      <w:r w:rsidRPr="00390641">
        <w:rPr>
          <w:rStyle w:val="AERtextitalic"/>
        </w:rPr>
        <w:t>2015-20 Access Arrangement Information</w:t>
      </w:r>
      <w:r>
        <w:t xml:space="preserve">, June 2014, p. 22; JGN, </w:t>
      </w:r>
      <w:r w:rsidRPr="00390641">
        <w:rPr>
          <w:rStyle w:val="AERtextitalic"/>
        </w:rPr>
        <w:t>2015-20 Access Arrangement Information</w:t>
      </w:r>
      <w:r>
        <w:t xml:space="preserve">, June 2014, </w:t>
      </w:r>
      <w:r w:rsidRPr="00923933">
        <w:t>Appendix A to the AA RIN response - Regulatory templates (CONFIDENTIAL) [UPDATE].XLSM</w:t>
      </w:r>
      <w:r>
        <w:t>.</w:t>
      </w:r>
    </w:p>
  </w:footnote>
  <w:footnote w:id="16">
    <w:p w:rsidR="003F3932" w:rsidRDefault="003F3932">
      <w:pPr>
        <w:pStyle w:val="FootnoteText"/>
      </w:pPr>
      <w:r>
        <w:rPr>
          <w:rStyle w:val="FootnoteReference"/>
        </w:rPr>
        <w:footnoteRef/>
      </w:r>
      <w:r>
        <w:t xml:space="preserve"> </w:t>
      </w:r>
      <w:r>
        <w:tab/>
        <w:t xml:space="preserve">JGN, </w:t>
      </w:r>
      <w:r w:rsidRPr="00390641">
        <w:rPr>
          <w:rStyle w:val="AERtextitalic"/>
        </w:rPr>
        <w:t>2015-20 Access Arrangement Information</w:t>
      </w:r>
      <w:r>
        <w:t>, June 2014, p. 39.</w:t>
      </w:r>
    </w:p>
  </w:footnote>
  <w:footnote w:id="17">
    <w:p w:rsidR="003F3932" w:rsidRDefault="003F3932">
      <w:pPr>
        <w:pStyle w:val="FootnoteText"/>
      </w:pPr>
      <w:r>
        <w:rPr>
          <w:rStyle w:val="FootnoteReference"/>
        </w:rPr>
        <w:footnoteRef/>
      </w:r>
      <w:r>
        <w:t xml:space="preserve"> </w:t>
      </w:r>
      <w:r>
        <w:tab/>
        <w:t>JGN, 2015-20 Access Arrangement Information, 30 June 2014, Appendix 5.1: Demand forecasting report, p. 27.</w:t>
      </w:r>
    </w:p>
  </w:footnote>
  <w:footnote w:id="18">
    <w:p w:rsidR="003F3932" w:rsidRDefault="003F3932">
      <w:pPr>
        <w:pStyle w:val="FootnoteText"/>
      </w:pPr>
      <w:r>
        <w:rPr>
          <w:rStyle w:val="FootnoteReference"/>
        </w:rPr>
        <w:footnoteRef/>
      </w:r>
      <w:r>
        <w:t xml:space="preserve"> </w:t>
      </w:r>
      <w:r>
        <w:tab/>
        <w:t>Deloitte Access Economics, Australian Energy Regulator, Gas demand forecast for Jemena's NSW network, 30 October 2014, p. 21.</w:t>
      </w:r>
    </w:p>
  </w:footnote>
  <w:footnote w:id="19">
    <w:p w:rsidR="003F3932" w:rsidRDefault="003F3932">
      <w:pPr>
        <w:pStyle w:val="FootnoteText"/>
      </w:pPr>
      <w:r>
        <w:rPr>
          <w:rStyle w:val="FootnoteReference"/>
        </w:rPr>
        <w:footnoteRef/>
      </w:r>
      <w:r>
        <w:t xml:space="preserve"> </w:t>
      </w:r>
      <w:r>
        <w:tab/>
        <w:t>Deloitte Access Economics, Australian Energy Regulator, Gas demand forecast for Jemena's NSW network, 30 October 2014, p. 24.</w:t>
      </w:r>
    </w:p>
  </w:footnote>
  <w:footnote w:id="20">
    <w:p w:rsidR="003F3932" w:rsidRDefault="003F3932">
      <w:pPr>
        <w:pStyle w:val="FootnoteText"/>
      </w:pPr>
      <w:r>
        <w:rPr>
          <w:rStyle w:val="FootnoteReference"/>
        </w:rPr>
        <w:footnoteRef/>
      </w:r>
      <w:r>
        <w:t xml:space="preserve"> </w:t>
      </w:r>
      <w:r>
        <w:tab/>
        <w:t>NSW Treasury, Budget Paper 2 - 2014-15 Budget Statement, Chapter 2, Table 2.1, p.2-2.</w:t>
      </w:r>
    </w:p>
  </w:footnote>
  <w:footnote w:id="21">
    <w:p w:rsidR="003F3932" w:rsidRDefault="003F3932">
      <w:pPr>
        <w:pStyle w:val="FootnoteText"/>
      </w:pPr>
      <w:r>
        <w:rPr>
          <w:rStyle w:val="FootnoteReference"/>
        </w:rPr>
        <w:footnoteRef/>
      </w:r>
      <w:r>
        <w:t xml:space="preserve"> </w:t>
      </w:r>
      <w:r>
        <w:tab/>
        <w:t>Deloitte Access Economics, Australian Energy Regulator, Gas demand forecast for Jemena's NSW network, 30 October 2014, p. 10.</w:t>
      </w:r>
    </w:p>
  </w:footnote>
  <w:footnote w:id="22">
    <w:p w:rsidR="003F3932" w:rsidRDefault="003F3932">
      <w:pPr>
        <w:pStyle w:val="FootnoteText"/>
      </w:pPr>
      <w:r>
        <w:rPr>
          <w:rStyle w:val="FootnoteReference"/>
        </w:rPr>
        <w:footnoteRef/>
      </w:r>
      <w:r>
        <w:t xml:space="preserve"> </w:t>
      </w:r>
      <w:r>
        <w:tab/>
        <w:t>Core Energy Group, Response to Deloitte Report, August 2014, p. 8.</w:t>
      </w:r>
    </w:p>
  </w:footnote>
  <w:footnote w:id="23">
    <w:p w:rsidR="003F3932" w:rsidRDefault="003F3932" w:rsidP="00006A14">
      <w:pPr>
        <w:pStyle w:val="FootnoteText"/>
      </w:pPr>
      <w:r>
        <w:rPr>
          <w:rStyle w:val="FootnoteReference"/>
        </w:rPr>
        <w:footnoteRef/>
      </w:r>
      <w:r>
        <w:t xml:space="preserve"> </w:t>
      </w:r>
      <w:r>
        <w:tab/>
        <w:t>Core Energy Group, Response to Deloitte Report, August 2014, p. 8.</w:t>
      </w:r>
    </w:p>
  </w:footnote>
  <w:footnote w:id="24">
    <w:p w:rsidR="003F3932" w:rsidRDefault="003F3932">
      <w:pPr>
        <w:pStyle w:val="FootnoteText"/>
      </w:pPr>
      <w:r>
        <w:rPr>
          <w:rStyle w:val="FootnoteReference"/>
        </w:rPr>
        <w:footnoteRef/>
      </w:r>
      <w:r>
        <w:t xml:space="preserve"> </w:t>
      </w:r>
      <w:r>
        <w:tab/>
      </w:r>
    </w:p>
  </w:footnote>
  <w:footnote w:id="25">
    <w:p w:rsidR="003F3932" w:rsidRDefault="003F3932">
      <w:pPr>
        <w:pStyle w:val="FootnoteText"/>
      </w:pPr>
      <w:r>
        <w:rPr>
          <w:rStyle w:val="FootnoteReference"/>
        </w:rPr>
        <w:footnoteRef/>
      </w:r>
      <w:r>
        <w:t xml:space="preserve"> </w:t>
      </w:r>
      <w:r>
        <w:tab/>
        <w:t>Deloitte Access Economics, Australian Energy Regulator, Gas demand forecast for Jemena's NSW network, 30 October 2014, p. 9.</w:t>
      </w:r>
    </w:p>
  </w:footnote>
  <w:footnote w:id="26">
    <w:p w:rsidR="003F3932" w:rsidRDefault="003F3932">
      <w:pPr>
        <w:pStyle w:val="FootnoteText"/>
      </w:pPr>
      <w:r>
        <w:rPr>
          <w:rStyle w:val="FootnoteReference"/>
        </w:rPr>
        <w:footnoteRef/>
      </w:r>
      <w:r>
        <w:t xml:space="preserve"> </w:t>
      </w:r>
      <w:r>
        <w:tab/>
        <w:t>Deloitte Access Economics, Australian Energy Regulator, Gas demand forecast for Jemena's NSW network, 30 October 2014, p. 24.</w:t>
      </w:r>
    </w:p>
  </w:footnote>
  <w:footnote w:id="27">
    <w:p w:rsidR="003F3932" w:rsidRDefault="003F3932">
      <w:pPr>
        <w:pStyle w:val="FootnoteText"/>
      </w:pPr>
      <w:r>
        <w:rPr>
          <w:rStyle w:val="FootnoteReference"/>
        </w:rPr>
        <w:footnoteRef/>
      </w:r>
      <w:r>
        <w:t xml:space="preserve"> </w:t>
      </w:r>
      <w:r>
        <w:tab/>
        <w:t>Deloitte Access Economics, Australian Energy Regulator, Gas demand forecast for Jemena's NSW network, 30 October 2014, p. 25.</w:t>
      </w:r>
    </w:p>
  </w:footnote>
  <w:footnote w:id="28">
    <w:p w:rsidR="003F3932" w:rsidRDefault="003F3932">
      <w:pPr>
        <w:pStyle w:val="FootnoteText"/>
      </w:pPr>
      <w:r>
        <w:rPr>
          <w:rStyle w:val="FootnoteReference"/>
        </w:rPr>
        <w:footnoteRef/>
      </w:r>
      <w:r>
        <w:t xml:space="preserve"> </w:t>
      </w:r>
      <w:r>
        <w:tab/>
        <w:t>Deloitte Access Economics, Australian Energy Regulator, Gas demand forecast for Jemena's NSW network, 30 October 2014, p. 25.</w:t>
      </w:r>
    </w:p>
  </w:footnote>
  <w:footnote w:id="29">
    <w:p w:rsidR="003F3932" w:rsidRDefault="003F3932">
      <w:pPr>
        <w:pStyle w:val="FootnoteText"/>
      </w:pPr>
      <w:r>
        <w:rPr>
          <w:rStyle w:val="FootnoteReference"/>
        </w:rPr>
        <w:footnoteRef/>
      </w:r>
      <w:r>
        <w:t xml:space="preserve"> </w:t>
      </w:r>
      <w:r>
        <w:tab/>
        <w:t>Deloitte Access Economics, Australian Energy Regulator, Gas demand forecast for Jemena's NSW network, 30 October 2014, p. 25.</w:t>
      </w:r>
    </w:p>
  </w:footnote>
  <w:footnote w:id="30">
    <w:p w:rsidR="003F3932" w:rsidRDefault="003F3932">
      <w:pPr>
        <w:pStyle w:val="FootnoteText"/>
      </w:pPr>
      <w:r>
        <w:rPr>
          <w:rStyle w:val="FootnoteReference"/>
        </w:rPr>
        <w:footnoteRef/>
      </w:r>
      <w:r>
        <w:t xml:space="preserve"> </w:t>
      </w:r>
      <w:r>
        <w:tab/>
        <w:t>JGN, 2015-20 Access Arrangement Information, 30 June 2014, Appendix 5.1: Demand forecasting report, pp. 41-48.</w:t>
      </w:r>
    </w:p>
  </w:footnote>
  <w:footnote w:id="31">
    <w:p w:rsidR="003F3932" w:rsidRDefault="003F3932">
      <w:pPr>
        <w:pStyle w:val="FootnoteText"/>
      </w:pPr>
      <w:r>
        <w:rPr>
          <w:rStyle w:val="FootnoteReference"/>
        </w:rPr>
        <w:footnoteRef/>
      </w:r>
      <w:r>
        <w:t xml:space="preserve"> </w:t>
      </w:r>
      <w:r>
        <w:tab/>
        <w:t>JGN, 2015-20 Access Arrangement Information, 30 June 2014, Appendix 5.1: Demand forecasting report, p. 87.</w:t>
      </w:r>
    </w:p>
  </w:footnote>
  <w:footnote w:id="32">
    <w:p w:rsidR="003F3932" w:rsidRDefault="003F3932">
      <w:pPr>
        <w:pStyle w:val="FootnoteText"/>
      </w:pPr>
      <w:r>
        <w:rPr>
          <w:rStyle w:val="FootnoteReference"/>
        </w:rPr>
        <w:footnoteRef/>
      </w:r>
      <w:r>
        <w:t xml:space="preserve"> </w:t>
      </w:r>
      <w:r>
        <w:tab/>
        <w:t>JGN, 2015-20 Access Arrangement Information, 30 June 2014, Appendix 5.1: Demand forecasting report, p. 88.</w:t>
      </w:r>
    </w:p>
  </w:footnote>
  <w:footnote w:id="33">
    <w:p w:rsidR="003F3932" w:rsidRDefault="003F3932">
      <w:pPr>
        <w:pStyle w:val="FootnoteText"/>
      </w:pPr>
      <w:r>
        <w:rPr>
          <w:rStyle w:val="FootnoteReference"/>
        </w:rPr>
        <w:footnoteRef/>
      </w:r>
      <w:r>
        <w:t xml:space="preserve"> </w:t>
      </w:r>
      <w:r>
        <w:tab/>
        <w:t>Deloitte Access Economics, Australian Energy Regulator, Gas demand forecast for Jemena's NSW network, 30 October 2014, p. 27.</w:t>
      </w:r>
    </w:p>
  </w:footnote>
  <w:footnote w:id="34">
    <w:p w:rsidR="003F3932" w:rsidRDefault="003F3932">
      <w:pPr>
        <w:pStyle w:val="FootnoteText"/>
      </w:pPr>
      <w:r>
        <w:rPr>
          <w:rStyle w:val="FootnoteReference"/>
        </w:rPr>
        <w:footnoteRef/>
      </w:r>
      <w:r>
        <w:t xml:space="preserve"> </w:t>
      </w:r>
      <w:r>
        <w:tab/>
        <w:t>Deloitte Access Economics, Australian Energy Regulator, Gas demand forecast for Jemena's NSW network, 30 October 2014, p. 27.</w:t>
      </w:r>
    </w:p>
  </w:footnote>
  <w:footnote w:id="35">
    <w:p w:rsidR="003F3932" w:rsidRDefault="003F3932">
      <w:pPr>
        <w:pStyle w:val="FootnoteText"/>
      </w:pPr>
      <w:r>
        <w:rPr>
          <w:rStyle w:val="FootnoteReference"/>
        </w:rPr>
        <w:footnoteRef/>
      </w:r>
      <w:r>
        <w:t xml:space="preserve"> </w:t>
      </w:r>
      <w:r>
        <w:tab/>
        <w:t>Deloitte Access Economics, Australian Energy Regulator, Gas demand forecast for Jemena's NSW network, 30 October 2014, p. 28.</w:t>
      </w:r>
    </w:p>
  </w:footnote>
  <w:footnote w:id="36">
    <w:p w:rsidR="003F3932" w:rsidRDefault="003F3932" w:rsidP="00DF53F5">
      <w:pPr>
        <w:pStyle w:val="FootnoteText"/>
      </w:pPr>
      <w:r>
        <w:rPr>
          <w:rStyle w:val="FootnoteReference"/>
        </w:rPr>
        <w:footnoteRef/>
      </w:r>
      <w:r>
        <w:t xml:space="preserve"> </w:t>
      </w:r>
      <w:r>
        <w:tab/>
        <w:t>Core Energy Group, Response to Deloitte Report, August 2014, p. 10.</w:t>
      </w:r>
    </w:p>
  </w:footnote>
  <w:footnote w:id="37">
    <w:p w:rsidR="003F3932" w:rsidRDefault="003F3932" w:rsidP="00DF53F5">
      <w:pPr>
        <w:pStyle w:val="FootnoteText"/>
      </w:pPr>
      <w:r>
        <w:rPr>
          <w:rStyle w:val="FootnoteReference"/>
        </w:rPr>
        <w:footnoteRef/>
      </w:r>
      <w:r>
        <w:t xml:space="preserve"> </w:t>
      </w:r>
      <w:r>
        <w:tab/>
        <w:t>JGN, 2015-20 Access Arrangement Information, 30 June 2014, Appendix 5.1: Demand forecasting report, pp. 57-58.</w:t>
      </w:r>
    </w:p>
  </w:footnote>
  <w:footnote w:id="38">
    <w:p w:rsidR="003F3932" w:rsidRDefault="003F3932" w:rsidP="00DF53F5">
      <w:pPr>
        <w:pStyle w:val="FootnoteText"/>
      </w:pPr>
      <w:r>
        <w:rPr>
          <w:rStyle w:val="FootnoteReference"/>
        </w:rPr>
        <w:footnoteRef/>
      </w:r>
      <w:r>
        <w:t xml:space="preserve"> </w:t>
      </w:r>
      <w:r>
        <w:tab/>
        <w:t xml:space="preserve">The AER requested that JGN update its forecasts for the latest BIS and HIA data (AER information request 16a). The HIA data is publically available. JGN did not provide updated forecasts, stating that they would need to purchase the updated BIS data and that this </w:t>
      </w:r>
      <w:r w:rsidRPr="00CC3473">
        <w:t xml:space="preserve">may result in material expense incurred for no benefit </w:t>
      </w:r>
      <w:r>
        <w:t>(JGN, Response to information request 16a, received 17 October 2014).</w:t>
      </w:r>
    </w:p>
  </w:footnote>
  <w:footnote w:id="39">
    <w:p w:rsidR="003F3932" w:rsidRDefault="003F3932" w:rsidP="00DF53F5">
      <w:pPr>
        <w:pStyle w:val="FootnoteText"/>
      </w:pPr>
      <w:r>
        <w:rPr>
          <w:rStyle w:val="FootnoteReference"/>
        </w:rPr>
        <w:footnoteRef/>
      </w:r>
      <w:r>
        <w:t xml:space="preserve"> </w:t>
      </w:r>
      <w:r>
        <w:tab/>
        <w:t>JGN, 2015-20 Access Arrangement Information, 30 June 2014, Appendix 5.1: Demand forecasting report, p. 58.</w:t>
      </w:r>
    </w:p>
  </w:footnote>
  <w:footnote w:id="40">
    <w:p w:rsidR="003F3932" w:rsidRDefault="003F3932" w:rsidP="00DF53F5">
      <w:pPr>
        <w:pStyle w:val="FootnoteText"/>
      </w:pPr>
      <w:r>
        <w:rPr>
          <w:rStyle w:val="FootnoteReference"/>
        </w:rPr>
        <w:footnoteRef/>
      </w:r>
      <w:r>
        <w:t xml:space="preserve"> </w:t>
      </w:r>
      <w:r>
        <w:tab/>
        <w:t>Deloitte Access Economics, Australian Energy Regulator, Gas demand forecast for Jemena's NSW network, 30 October 2014, p.13.</w:t>
      </w:r>
    </w:p>
  </w:footnote>
  <w:footnote w:id="41">
    <w:p w:rsidR="003F3932" w:rsidRDefault="003F3932" w:rsidP="00DF53F5">
      <w:pPr>
        <w:pStyle w:val="FootnoteText"/>
      </w:pPr>
      <w:r>
        <w:rPr>
          <w:rStyle w:val="FootnoteReference"/>
        </w:rPr>
        <w:footnoteRef/>
      </w:r>
      <w:r>
        <w:t xml:space="preserve"> </w:t>
      </w:r>
      <w:r>
        <w:tab/>
        <w:t>Deloitte Access Economics, Australian Energy Regulator, Gas demand forecast for Jemena's NSW network, 30 October 2014, p.14.</w:t>
      </w:r>
    </w:p>
  </w:footnote>
  <w:footnote w:id="42">
    <w:p w:rsidR="003F3932" w:rsidRDefault="003F3932" w:rsidP="00DF53F5">
      <w:pPr>
        <w:pStyle w:val="FootnoteText"/>
      </w:pPr>
      <w:r>
        <w:rPr>
          <w:rStyle w:val="FootnoteReference"/>
        </w:rPr>
        <w:footnoteRef/>
      </w:r>
      <w:r>
        <w:t xml:space="preserve"> </w:t>
      </w:r>
      <w:r>
        <w:tab/>
        <w:t>Deloitte Access Economics, Australian Energy Regulator, Gas demand forecast for Jemena's NSW network, 30 October 2014, p.14.</w:t>
      </w:r>
    </w:p>
  </w:footnote>
  <w:footnote w:id="43">
    <w:p w:rsidR="003F3932" w:rsidRDefault="003F3932" w:rsidP="00DF53F5">
      <w:pPr>
        <w:pStyle w:val="FootnoteText"/>
      </w:pPr>
      <w:r>
        <w:rPr>
          <w:rStyle w:val="FootnoteReference"/>
        </w:rPr>
        <w:footnoteRef/>
      </w:r>
      <w:r>
        <w:t xml:space="preserve"> </w:t>
      </w:r>
      <w:r>
        <w:tab/>
        <w:t>Deloitte Access Economics, Australian Energy Regulator, Gas demand forecast for Jemena's NSW network, 30 October 2014, p.16.</w:t>
      </w:r>
    </w:p>
  </w:footnote>
  <w:footnote w:id="44">
    <w:p w:rsidR="003F3932" w:rsidRDefault="003F3932" w:rsidP="00DF53F5">
      <w:pPr>
        <w:pStyle w:val="FootnoteText"/>
      </w:pPr>
      <w:r>
        <w:rPr>
          <w:rStyle w:val="FootnoteReference"/>
        </w:rPr>
        <w:footnoteRef/>
      </w:r>
      <w:r>
        <w:t xml:space="preserve"> </w:t>
      </w:r>
      <w:r>
        <w:tab/>
        <w:t>JGN, 2015-20 Access Arrangement Information, 30 June 2014, Appendix 5.1: Demand forecasting report, p. 32.</w:t>
      </w:r>
    </w:p>
  </w:footnote>
  <w:footnote w:id="45">
    <w:p w:rsidR="003F3932" w:rsidRDefault="003F3932" w:rsidP="00DF53F5">
      <w:pPr>
        <w:pStyle w:val="FootnoteText"/>
      </w:pPr>
      <w:r>
        <w:rPr>
          <w:rStyle w:val="FootnoteReference"/>
        </w:rPr>
        <w:footnoteRef/>
      </w:r>
      <w:r>
        <w:t xml:space="preserve"> </w:t>
      </w:r>
      <w:r>
        <w:tab/>
        <w:t>Core Energy Group, Response to Deloitte Report, August 2014, p. 19.</w:t>
      </w:r>
    </w:p>
  </w:footnote>
  <w:footnote w:id="46">
    <w:p w:rsidR="003F3932" w:rsidRDefault="003F3932" w:rsidP="00DF53F5">
      <w:pPr>
        <w:pStyle w:val="FootnoteText"/>
      </w:pPr>
      <w:r>
        <w:rPr>
          <w:rStyle w:val="FootnoteReference"/>
        </w:rPr>
        <w:footnoteRef/>
      </w:r>
      <w:r>
        <w:t xml:space="preserve"> </w:t>
      </w:r>
      <w:r>
        <w:tab/>
        <w:t>Deloitte Access Economics, Australian Energy Regulator, Gas demand forecast for Jemena's NSW network, 30 October 2014, p.19.</w:t>
      </w:r>
    </w:p>
  </w:footnote>
  <w:footnote w:id="47">
    <w:p w:rsidR="003F3932" w:rsidRDefault="003F3932" w:rsidP="00DF53F5">
      <w:pPr>
        <w:pStyle w:val="FootnoteText"/>
      </w:pPr>
      <w:r>
        <w:rPr>
          <w:rStyle w:val="FootnoteReference"/>
        </w:rPr>
        <w:footnoteRef/>
      </w:r>
      <w:r>
        <w:t xml:space="preserve"> </w:t>
      </w:r>
      <w:r>
        <w:tab/>
        <w:t>JGN, 2015-20 Access Arrangement Information, 30 June 2014, Appendix 5.1: Demand forecasting report, p. 38.</w:t>
      </w:r>
    </w:p>
  </w:footnote>
  <w:footnote w:id="48">
    <w:p w:rsidR="003F3932" w:rsidRDefault="003F3932" w:rsidP="00DF53F5">
      <w:pPr>
        <w:pStyle w:val="FootnoteText"/>
      </w:pPr>
      <w:r>
        <w:rPr>
          <w:rStyle w:val="FootnoteReference"/>
        </w:rPr>
        <w:footnoteRef/>
      </w:r>
      <w:r>
        <w:t xml:space="preserve"> </w:t>
      </w:r>
      <w:r>
        <w:tab/>
        <w:t>JGN, 2015-20 Access Arrangement Information, 30 June 2014, Appendix 5.1: Demand forecasting report, p. 58.</w:t>
      </w:r>
    </w:p>
  </w:footnote>
  <w:footnote w:id="49">
    <w:p w:rsidR="003F3932" w:rsidRDefault="003F3932" w:rsidP="00DF53F5">
      <w:pPr>
        <w:pStyle w:val="FootnoteText"/>
      </w:pPr>
      <w:r>
        <w:rPr>
          <w:rStyle w:val="FootnoteReference"/>
        </w:rPr>
        <w:footnoteRef/>
      </w:r>
      <w:r>
        <w:t xml:space="preserve"> </w:t>
      </w:r>
      <w:r>
        <w:tab/>
        <w:t>Deloitte Access Economics, Australian Energy Regulator, Gas demand forecast for Jemena's NSW network, 30 October 2014, p.17.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
    <w:nsid w:val="1A3A6266"/>
    <w:multiLevelType w:val="multilevel"/>
    <w:tmpl w:val="A93864D8"/>
    <w:lvl w:ilvl="0">
      <w:start w:val="1"/>
      <w:numFmt w:val="bullet"/>
      <w:lvlText w:val=""/>
      <w:lvlJc w:val="left"/>
      <w:pPr>
        <w:tabs>
          <w:tab w:val="num" w:pos="714"/>
        </w:tabs>
        <w:ind w:left="714" w:hanging="357"/>
      </w:pPr>
      <w:rPr>
        <w:rFonts w:ascii="Wingdings" w:hAnsi="Wingdings" w:hint="default"/>
        <w:sz w:val="24"/>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sz w:val="20"/>
        <w:szCs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nsid w:val="2FB612CC"/>
    <w:multiLevelType w:val="multilevel"/>
    <w:tmpl w:val="950A1C52"/>
    <w:styleLink w:val="AERHeadings"/>
    <w:lvl w:ilvl="0">
      <w:start w:val="1"/>
      <w:numFmt w:val="none"/>
      <w:pStyle w:val="UnnumberedHeading"/>
      <w:lvlText w:val="%1"/>
      <w:lvlJc w:val="left"/>
      <w:pPr>
        <w:tabs>
          <w:tab w:val="num" w:pos="0"/>
        </w:tabs>
        <w:ind w:left="0" w:firstLine="0"/>
      </w:pPr>
      <w:rPr>
        <w:rFonts w:hint="default"/>
      </w:rPr>
    </w:lvl>
    <w:lvl w:ilvl="1">
      <w:start w:val="13"/>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
    <w:nsid w:val="301B31FF"/>
    <w:multiLevelType w:val="multilevel"/>
    <w:tmpl w:val="6B1233FC"/>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5">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43F74CB"/>
    <w:multiLevelType w:val="hybridMultilevel"/>
    <w:tmpl w:val="89C4D03A"/>
    <w:lvl w:ilvl="0" w:tplc="C90C7928">
      <w:start w:val="1"/>
      <w:numFmt w:val="decimal"/>
      <w:lvlText w:val="%1."/>
      <w:lvlJc w:val="left"/>
      <w:pPr>
        <w:ind w:left="360" w:hanging="360"/>
      </w:pPr>
      <w:rPr>
        <w:rFonts w:hint="default"/>
        <w:b w:val="0"/>
        <w:i w:val="0"/>
        <w:sz w:val="22"/>
      </w:rPr>
    </w:lvl>
    <w:lvl w:ilvl="1" w:tplc="0C090003">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8">
    <w:nsid w:val="51487971"/>
    <w:multiLevelType w:val="multilevel"/>
    <w:tmpl w:val="39D4CB02"/>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454"/>
        </w:tabs>
        <w:ind w:left="454" w:hanging="454"/>
      </w:pPr>
      <w:rPr>
        <w:rFonts w:hint="default"/>
      </w:rPr>
    </w:lvl>
    <w:lvl w:ilvl="5">
      <w:start w:val="1"/>
      <w:numFmt w:val="lowerLetter"/>
      <w:pStyle w:val="AERnumberedlist2second"/>
      <w:lvlText w:val="(%6)"/>
      <w:lvlJc w:val="left"/>
      <w:pPr>
        <w:tabs>
          <w:tab w:val="num" w:pos="811"/>
        </w:tabs>
        <w:ind w:left="811" w:hanging="357"/>
      </w:pPr>
      <w:rPr>
        <w:rFonts w:hint="default"/>
      </w:rPr>
    </w:lvl>
    <w:lvl w:ilvl="6">
      <w:start w:val="1"/>
      <w:numFmt w:val="lowerRoman"/>
      <w:pStyle w:val="AERnumberedlist2third"/>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7AAC6DD7"/>
    <w:multiLevelType w:val="multilevel"/>
    <w:tmpl w:val="950A1C52"/>
    <w:numStyleLink w:val="AERHeadings"/>
  </w:abstractNum>
  <w:abstractNum w:abstractNumId="10">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AEF67FF"/>
    <w:multiLevelType w:val="multilevel"/>
    <w:tmpl w:val="E1F4D8C6"/>
    <w:lvl w:ilvl="0">
      <w:start w:val="1"/>
      <w:numFmt w:val="bullet"/>
      <w:lvlText w:val=""/>
      <w:lvlJc w:val="left"/>
      <w:pPr>
        <w:tabs>
          <w:tab w:val="num" w:pos="1071"/>
        </w:tabs>
        <w:ind w:left="1071" w:hanging="357"/>
      </w:pPr>
      <w:rPr>
        <w:rFonts w:ascii="Wingdings" w:hAnsi="Wingdings" w:hint="default"/>
        <w:sz w:val="28"/>
      </w:rPr>
    </w:lvl>
    <w:lvl w:ilvl="1">
      <w:start w:val="1"/>
      <w:numFmt w:val="bullet"/>
      <w:lvlText w:val=""/>
      <w:lvlJc w:val="left"/>
      <w:pPr>
        <w:tabs>
          <w:tab w:val="num" w:pos="2154"/>
        </w:tabs>
        <w:ind w:left="2154" w:hanging="360"/>
      </w:pPr>
      <w:rPr>
        <w:rFonts w:ascii="Wingdings" w:hAnsi="Wingdings" w:hint="default"/>
      </w:rPr>
    </w:lvl>
    <w:lvl w:ilvl="2">
      <w:start w:val="1"/>
      <w:numFmt w:val="bullet"/>
      <w:lvlText w:val="—"/>
      <w:lvlJc w:val="left"/>
      <w:pPr>
        <w:tabs>
          <w:tab w:val="num" w:pos="2874"/>
        </w:tabs>
        <w:ind w:left="2874" w:hanging="360"/>
      </w:pPr>
      <w:rPr>
        <w:rFonts w:ascii="Times New Roman" w:hAnsi="Times New Roman" w:cs="Times New Roman" w:hint="default"/>
      </w:rPr>
    </w:lvl>
    <w:lvl w:ilvl="3">
      <w:start w:val="1"/>
      <w:numFmt w:val="bullet"/>
      <w:lvlText w:val=""/>
      <w:lvlJc w:val="left"/>
      <w:pPr>
        <w:tabs>
          <w:tab w:val="num" w:pos="3594"/>
        </w:tabs>
        <w:ind w:left="3594" w:hanging="360"/>
      </w:pPr>
      <w:rPr>
        <w:rFonts w:ascii="Symbol" w:hAnsi="Symbol" w:hint="default"/>
      </w:rPr>
    </w:lvl>
    <w:lvl w:ilvl="4">
      <w:start w:val="1"/>
      <w:numFmt w:val="bullet"/>
      <w:lvlText w:val="o"/>
      <w:lvlJc w:val="left"/>
      <w:pPr>
        <w:tabs>
          <w:tab w:val="num" w:pos="4314"/>
        </w:tabs>
        <w:ind w:left="4314" w:hanging="360"/>
      </w:pPr>
      <w:rPr>
        <w:rFonts w:ascii="Courier New" w:hAnsi="Courier New" w:cs="Courier New" w:hint="default"/>
      </w:rPr>
    </w:lvl>
    <w:lvl w:ilvl="5">
      <w:start w:val="1"/>
      <w:numFmt w:val="bullet"/>
      <w:lvlText w:val=""/>
      <w:lvlJc w:val="left"/>
      <w:pPr>
        <w:tabs>
          <w:tab w:val="num" w:pos="5034"/>
        </w:tabs>
        <w:ind w:left="5034" w:hanging="360"/>
      </w:pPr>
      <w:rPr>
        <w:rFonts w:ascii="Wingdings" w:hAnsi="Wingdings" w:hint="default"/>
      </w:rPr>
    </w:lvl>
    <w:lvl w:ilvl="6">
      <w:start w:val="1"/>
      <w:numFmt w:val="bullet"/>
      <w:lvlText w:val=""/>
      <w:lvlJc w:val="left"/>
      <w:pPr>
        <w:tabs>
          <w:tab w:val="num" w:pos="5754"/>
        </w:tabs>
        <w:ind w:left="5754" w:hanging="360"/>
      </w:pPr>
      <w:rPr>
        <w:rFonts w:ascii="Symbol" w:hAnsi="Symbol" w:hint="default"/>
      </w:rPr>
    </w:lvl>
    <w:lvl w:ilvl="7">
      <w:start w:val="1"/>
      <w:numFmt w:val="bullet"/>
      <w:lvlText w:val="o"/>
      <w:lvlJc w:val="left"/>
      <w:pPr>
        <w:tabs>
          <w:tab w:val="num" w:pos="6474"/>
        </w:tabs>
        <w:ind w:left="6474" w:hanging="360"/>
      </w:pPr>
      <w:rPr>
        <w:rFonts w:ascii="Courier New" w:hAnsi="Courier New" w:cs="Courier New" w:hint="default"/>
      </w:rPr>
    </w:lvl>
    <w:lvl w:ilvl="8">
      <w:start w:val="1"/>
      <w:numFmt w:val="bullet"/>
      <w:lvlText w:val=""/>
      <w:lvlJc w:val="left"/>
      <w:pPr>
        <w:tabs>
          <w:tab w:val="num" w:pos="7194"/>
        </w:tabs>
        <w:ind w:left="7194" w:hanging="360"/>
      </w:pPr>
      <w:rPr>
        <w:rFonts w:ascii="Wingdings" w:hAnsi="Wingdings" w:hint="default"/>
      </w:rPr>
    </w:lvl>
  </w:abstractNum>
  <w:num w:numId="1">
    <w:abstractNumId w:val="2"/>
  </w:num>
  <w:num w:numId="2">
    <w:abstractNumId w:val="6"/>
  </w:num>
  <w:num w:numId="3">
    <w:abstractNumId w:val="4"/>
  </w:num>
  <w:num w:numId="4">
    <w:abstractNumId w:val="10"/>
  </w:num>
  <w:num w:numId="5">
    <w:abstractNumId w:val="0"/>
  </w:num>
  <w:num w:numId="6">
    <w:abstractNumId w:val="8"/>
  </w:num>
  <w:num w:numId="7">
    <w:abstractNumId w:val="5"/>
  </w:num>
  <w:num w:numId="8">
    <w:abstractNumId w:val="9"/>
  </w:num>
  <w:num w:numId="9">
    <w:abstractNumId w:val="11"/>
  </w:num>
  <w:num w:numId="10">
    <w:abstractNumId w:val="9"/>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7"/>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3">
      <w:lvl w:ilvl="3">
        <w:start w:val="1"/>
        <w:numFmt w:val="decimal"/>
        <w:pStyle w:val="Heading3"/>
        <w:lvlText w:val="%2.%3.%4"/>
        <w:lvlJc w:val="left"/>
        <w:pPr>
          <w:tabs>
            <w:tab w:val="num" w:pos="0"/>
          </w:tabs>
          <w:ind w:left="0" w:hanging="851"/>
        </w:pPr>
        <w:rPr>
          <w:rFonts w:hint="default"/>
        </w:rPr>
      </w:lvl>
    </w:lvlOverride>
  </w:num>
  <w:num w:numId="22">
    <w:abstractNumId w:val="7"/>
    <w:lvlOverride w:ilvl="0">
      <w:startOverride w:val="1"/>
    </w:lvlOverride>
  </w:num>
  <w:num w:numId="23">
    <w:abstractNumId w:val="2"/>
    <w:lvlOverride w:ilvl="0">
      <w:lvl w:ilvl="0">
        <w:start w:val="1"/>
        <w:numFmt w:val="none"/>
        <w:pStyle w:val="UnnumberedHeading"/>
        <w:lvlText w:val="%1"/>
        <w:lvlJc w:val="left"/>
        <w:pPr>
          <w:tabs>
            <w:tab w:val="num" w:pos="0"/>
          </w:tabs>
          <w:ind w:left="0" w:firstLine="0"/>
        </w:pPr>
        <w:rPr>
          <w:rFonts w:hint="default"/>
        </w:rPr>
      </w:lvl>
    </w:lvlOverride>
    <w:lvlOverride w:ilvl="1">
      <w:lvl w:ilvl="1">
        <w:start w:val="1"/>
        <w:numFmt w:val="decimal"/>
        <w:pStyle w:val="Heading1"/>
        <w:lvlText w:val="%1%2"/>
        <w:lvlJc w:val="left"/>
        <w:pPr>
          <w:tabs>
            <w:tab w:val="num" w:pos="0"/>
          </w:tabs>
          <w:ind w:left="0" w:hanging="851"/>
        </w:pPr>
        <w:rPr>
          <w:rFonts w:hint="default"/>
        </w:rPr>
      </w:lvl>
    </w:lvlOverride>
    <w:lvlOverride w:ilvl="2">
      <w:lvl w:ilvl="2">
        <w:start w:val="1"/>
        <w:numFmt w:val="decimal"/>
        <w:pStyle w:val="Heading2"/>
        <w:lvlText w:val="%1%2.%3"/>
        <w:lvlJc w:val="left"/>
        <w:pPr>
          <w:tabs>
            <w:tab w:val="num" w:pos="0"/>
          </w:tabs>
          <w:ind w:left="0" w:hanging="851"/>
        </w:pPr>
        <w:rPr>
          <w:rFonts w:hint="default"/>
        </w:rPr>
      </w:lvl>
    </w:lvlOverride>
    <w:lvlOverride w:ilvl="3">
      <w:lvl w:ilvl="3">
        <w:start w:val="1"/>
        <w:numFmt w:val="decimal"/>
        <w:pStyle w:val="Heading3"/>
        <w:lvlText w:val="%2.%3.%4"/>
        <w:lvlJc w:val="left"/>
        <w:pPr>
          <w:tabs>
            <w:tab w:val="num" w:pos="0"/>
          </w:tabs>
          <w:ind w:left="0" w:hanging="851"/>
        </w:pPr>
        <w:rPr>
          <w:rFonts w:hint="default"/>
        </w:rPr>
      </w:lvl>
    </w:lvlOverride>
    <w:lvlOverride w:ilvl="4">
      <w:lvl w:ilvl="4">
        <w:start w:val="1"/>
        <w:numFmt w:val="upperLetter"/>
        <w:lvlRestart w:val="1"/>
        <w:pStyle w:val="Heading7"/>
        <w:lvlText w:val="%5"/>
        <w:lvlJc w:val="left"/>
        <w:pPr>
          <w:tabs>
            <w:tab w:val="num" w:pos="0"/>
          </w:tabs>
          <w:ind w:left="0" w:hanging="851"/>
        </w:pPr>
        <w:rPr>
          <w:rFonts w:hint="default"/>
        </w:rPr>
      </w:lvl>
    </w:lvlOverride>
    <w:lvlOverride w:ilvl="5">
      <w:lvl w:ilvl="5">
        <w:start w:val="1"/>
        <w:numFmt w:val="decimal"/>
        <w:pStyle w:val="Heading8"/>
        <w:lvlText w:val="%5.%6"/>
        <w:lvlJc w:val="left"/>
        <w:pPr>
          <w:tabs>
            <w:tab w:val="num" w:pos="0"/>
          </w:tabs>
          <w:ind w:left="0" w:hanging="851"/>
        </w:pPr>
        <w:rPr>
          <w:rFonts w:hint="default"/>
        </w:rPr>
      </w:lvl>
    </w:lvlOverride>
    <w:lvlOverride w:ilvl="6">
      <w:lvl w:ilvl="6">
        <w:start w:val="1"/>
        <w:numFmt w:val="decimal"/>
        <w:pStyle w:val="Heading9"/>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cumentProtection w:formatting="1" w:enforcement="0"/>
  <w:defaultTabStop w:val="720"/>
  <w:evenAndOddHeaders/>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currentname" w:val="\\cdchnas-evs02\home$\bshel\jemena gas 2014 - capex - draf (D2014-00118190) (1).docx"/>
  </w:docVars>
  <w:rsids>
    <w:rsidRoot w:val="000C052F"/>
    <w:rsid w:val="000003DE"/>
    <w:rsid w:val="00000711"/>
    <w:rsid w:val="00000B02"/>
    <w:rsid w:val="000060AF"/>
    <w:rsid w:val="00006A14"/>
    <w:rsid w:val="00007378"/>
    <w:rsid w:val="00011129"/>
    <w:rsid w:val="0001164D"/>
    <w:rsid w:val="000126FA"/>
    <w:rsid w:val="00015485"/>
    <w:rsid w:val="00016E0D"/>
    <w:rsid w:val="00016E7E"/>
    <w:rsid w:val="00017155"/>
    <w:rsid w:val="0002109E"/>
    <w:rsid w:val="00022606"/>
    <w:rsid w:val="00024BE8"/>
    <w:rsid w:val="00030809"/>
    <w:rsid w:val="00034049"/>
    <w:rsid w:val="00040408"/>
    <w:rsid w:val="00040599"/>
    <w:rsid w:val="00040749"/>
    <w:rsid w:val="00044445"/>
    <w:rsid w:val="0004576C"/>
    <w:rsid w:val="00045DC3"/>
    <w:rsid w:val="00051586"/>
    <w:rsid w:val="00051DE3"/>
    <w:rsid w:val="00053F49"/>
    <w:rsid w:val="000545B2"/>
    <w:rsid w:val="0006749A"/>
    <w:rsid w:val="00067A6E"/>
    <w:rsid w:val="00071769"/>
    <w:rsid w:val="00076F86"/>
    <w:rsid w:val="000849EC"/>
    <w:rsid w:val="00087698"/>
    <w:rsid w:val="00092FB3"/>
    <w:rsid w:val="000A0210"/>
    <w:rsid w:val="000A0C59"/>
    <w:rsid w:val="000A1865"/>
    <w:rsid w:val="000A1CC2"/>
    <w:rsid w:val="000A42FD"/>
    <w:rsid w:val="000A5342"/>
    <w:rsid w:val="000B15CA"/>
    <w:rsid w:val="000B4A43"/>
    <w:rsid w:val="000B5876"/>
    <w:rsid w:val="000B58E4"/>
    <w:rsid w:val="000C052F"/>
    <w:rsid w:val="000C19E9"/>
    <w:rsid w:val="000C3071"/>
    <w:rsid w:val="000C3430"/>
    <w:rsid w:val="000C39BC"/>
    <w:rsid w:val="000D03C2"/>
    <w:rsid w:val="000D04B1"/>
    <w:rsid w:val="000D250E"/>
    <w:rsid w:val="000D3964"/>
    <w:rsid w:val="000D401F"/>
    <w:rsid w:val="000D576F"/>
    <w:rsid w:val="000E160B"/>
    <w:rsid w:val="000E1A25"/>
    <w:rsid w:val="000E314E"/>
    <w:rsid w:val="000E544A"/>
    <w:rsid w:val="000E552A"/>
    <w:rsid w:val="000E6418"/>
    <w:rsid w:val="000F06E5"/>
    <w:rsid w:val="000F100E"/>
    <w:rsid w:val="000F3454"/>
    <w:rsid w:val="000F3A6A"/>
    <w:rsid w:val="000F72B3"/>
    <w:rsid w:val="001018A4"/>
    <w:rsid w:val="00101BBF"/>
    <w:rsid w:val="001033B3"/>
    <w:rsid w:val="001042AE"/>
    <w:rsid w:val="00105636"/>
    <w:rsid w:val="001167B3"/>
    <w:rsid w:val="001169CF"/>
    <w:rsid w:val="0013022D"/>
    <w:rsid w:val="001320E4"/>
    <w:rsid w:val="00132966"/>
    <w:rsid w:val="00133694"/>
    <w:rsid w:val="00133EAC"/>
    <w:rsid w:val="00134815"/>
    <w:rsid w:val="001353CB"/>
    <w:rsid w:val="00135518"/>
    <w:rsid w:val="00136150"/>
    <w:rsid w:val="0014218F"/>
    <w:rsid w:val="0014356D"/>
    <w:rsid w:val="00153185"/>
    <w:rsid w:val="001543D2"/>
    <w:rsid w:val="00162B38"/>
    <w:rsid w:val="001702E2"/>
    <w:rsid w:val="001708CC"/>
    <w:rsid w:val="00171022"/>
    <w:rsid w:val="0017196A"/>
    <w:rsid w:val="001726DB"/>
    <w:rsid w:val="00174026"/>
    <w:rsid w:val="00174D27"/>
    <w:rsid w:val="00174DD3"/>
    <w:rsid w:val="00175C58"/>
    <w:rsid w:val="00177831"/>
    <w:rsid w:val="0018498B"/>
    <w:rsid w:val="001856EE"/>
    <w:rsid w:val="00187D48"/>
    <w:rsid w:val="00194C3C"/>
    <w:rsid w:val="00196100"/>
    <w:rsid w:val="001A47F4"/>
    <w:rsid w:val="001A5CC9"/>
    <w:rsid w:val="001A6DC2"/>
    <w:rsid w:val="001B56BD"/>
    <w:rsid w:val="001B6619"/>
    <w:rsid w:val="001C12E5"/>
    <w:rsid w:val="001C2797"/>
    <w:rsid w:val="001C3B7A"/>
    <w:rsid w:val="001C5755"/>
    <w:rsid w:val="001C64AB"/>
    <w:rsid w:val="001C6BCB"/>
    <w:rsid w:val="001C7E71"/>
    <w:rsid w:val="001C7FB8"/>
    <w:rsid w:val="001D1E87"/>
    <w:rsid w:val="001D2957"/>
    <w:rsid w:val="001E62E7"/>
    <w:rsid w:val="001E78B9"/>
    <w:rsid w:val="001F2866"/>
    <w:rsid w:val="001F5C4D"/>
    <w:rsid w:val="00200C5E"/>
    <w:rsid w:val="002023BB"/>
    <w:rsid w:val="002023C1"/>
    <w:rsid w:val="00204395"/>
    <w:rsid w:val="00205A3C"/>
    <w:rsid w:val="0020711E"/>
    <w:rsid w:val="00207CB5"/>
    <w:rsid w:val="00210880"/>
    <w:rsid w:val="00215B59"/>
    <w:rsid w:val="0021623D"/>
    <w:rsid w:val="002170F9"/>
    <w:rsid w:val="00217D94"/>
    <w:rsid w:val="002203A5"/>
    <w:rsid w:val="00221554"/>
    <w:rsid w:val="002246D3"/>
    <w:rsid w:val="002249F3"/>
    <w:rsid w:val="002257B9"/>
    <w:rsid w:val="002264EF"/>
    <w:rsid w:val="0023137D"/>
    <w:rsid w:val="0023411A"/>
    <w:rsid w:val="0023549C"/>
    <w:rsid w:val="00236A95"/>
    <w:rsid w:val="002375EC"/>
    <w:rsid w:val="00237670"/>
    <w:rsid w:val="00253B6B"/>
    <w:rsid w:val="002560FC"/>
    <w:rsid w:val="002571D7"/>
    <w:rsid w:val="00266710"/>
    <w:rsid w:val="00271C4A"/>
    <w:rsid w:val="00275734"/>
    <w:rsid w:val="002763A0"/>
    <w:rsid w:val="00276A7F"/>
    <w:rsid w:val="00277388"/>
    <w:rsid w:val="002805B8"/>
    <w:rsid w:val="00280F28"/>
    <w:rsid w:val="002811D4"/>
    <w:rsid w:val="00282DD3"/>
    <w:rsid w:val="00284DEA"/>
    <w:rsid w:val="00285183"/>
    <w:rsid w:val="002938CE"/>
    <w:rsid w:val="0029485F"/>
    <w:rsid w:val="00296316"/>
    <w:rsid w:val="002B04ED"/>
    <w:rsid w:val="002B5813"/>
    <w:rsid w:val="002B5FE2"/>
    <w:rsid w:val="002B6640"/>
    <w:rsid w:val="002C17AB"/>
    <w:rsid w:val="002C327D"/>
    <w:rsid w:val="002C58E1"/>
    <w:rsid w:val="002C6423"/>
    <w:rsid w:val="002C6526"/>
    <w:rsid w:val="002D1B2C"/>
    <w:rsid w:val="002D61AC"/>
    <w:rsid w:val="002E2C9E"/>
    <w:rsid w:val="002E3845"/>
    <w:rsid w:val="002E3864"/>
    <w:rsid w:val="002E4720"/>
    <w:rsid w:val="002E5F4A"/>
    <w:rsid w:val="002F0E16"/>
    <w:rsid w:val="002F5E0E"/>
    <w:rsid w:val="002F7888"/>
    <w:rsid w:val="00300EBE"/>
    <w:rsid w:val="00303452"/>
    <w:rsid w:val="00305A10"/>
    <w:rsid w:val="00311EE2"/>
    <w:rsid w:val="00313053"/>
    <w:rsid w:val="003153DD"/>
    <w:rsid w:val="003170C4"/>
    <w:rsid w:val="00317771"/>
    <w:rsid w:val="00326AF5"/>
    <w:rsid w:val="00331E90"/>
    <w:rsid w:val="003324F7"/>
    <w:rsid w:val="003337C7"/>
    <w:rsid w:val="00333A31"/>
    <w:rsid w:val="00334F88"/>
    <w:rsid w:val="00336B42"/>
    <w:rsid w:val="00343857"/>
    <w:rsid w:val="00347D6F"/>
    <w:rsid w:val="00347FEB"/>
    <w:rsid w:val="00352761"/>
    <w:rsid w:val="00355A5A"/>
    <w:rsid w:val="00367EBC"/>
    <w:rsid w:val="003707DB"/>
    <w:rsid w:val="00373B02"/>
    <w:rsid w:val="00375AEC"/>
    <w:rsid w:val="00376236"/>
    <w:rsid w:val="0037652C"/>
    <w:rsid w:val="003800E4"/>
    <w:rsid w:val="00380FF5"/>
    <w:rsid w:val="00383873"/>
    <w:rsid w:val="00386823"/>
    <w:rsid w:val="00386A1D"/>
    <w:rsid w:val="00390641"/>
    <w:rsid w:val="00394C88"/>
    <w:rsid w:val="00395951"/>
    <w:rsid w:val="003964D7"/>
    <w:rsid w:val="00397328"/>
    <w:rsid w:val="0039786A"/>
    <w:rsid w:val="003A217D"/>
    <w:rsid w:val="003A4BAC"/>
    <w:rsid w:val="003A6174"/>
    <w:rsid w:val="003A7C8A"/>
    <w:rsid w:val="003C2D3D"/>
    <w:rsid w:val="003C4848"/>
    <w:rsid w:val="003D614B"/>
    <w:rsid w:val="003D7015"/>
    <w:rsid w:val="003E1029"/>
    <w:rsid w:val="003E1A9E"/>
    <w:rsid w:val="003E6B69"/>
    <w:rsid w:val="003F3932"/>
    <w:rsid w:val="003F3E3B"/>
    <w:rsid w:val="003F4320"/>
    <w:rsid w:val="003F48EC"/>
    <w:rsid w:val="003F5AF4"/>
    <w:rsid w:val="00400814"/>
    <w:rsid w:val="004030AB"/>
    <w:rsid w:val="00405BB8"/>
    <w:rsid w:val="00405CC5"/>
    <w:rsid w:val="0041181D"/>
    <w:rsid w:val="004118AC"/>
    <w:rsid w:val="00412282"/>
    <w:rsid w:val="004138BF"/>
    <w:rsid w:val="004256BA"/>
    <w:rsid w:val="004266B8"/>
    <w:rsid w:val="00426CFB"/>
    <w:rsid w:val="0042774F"/>
    <w:rsid w:val="0043084C"/>
    <w:rsid w:val="00431999"/>
    <w:rsid w:val="004322E0"/>
    <w:rsid w:val="00433475"/>
    <w:rsid w:val="00434814"/>
    <w:rsid w:val="00435682"/>
    <w:rsid w:val="00435A51"/>
    <w:rsid w:val="00436C61"/>
    <w:rsid w:val="004423CF"/>
    <w:rsid w:val="00452054"/>
    <w:rsid w:val="00452FD1"/>
    <w:rsid w:val="0045445D"/>
    <w:rsid w:val="00456081"/>
    <w:rsid w:val="00460F4B"/>
    <w:rsid w:val="00464F5D"/>
    <w:rsid w:val="00465807"/>
    <w:rsid w:val="00471E3D"/>
    <w:rsid w:val="004743DC"/>
    <w:rsid w:val="00474FBD"/>
    <w:rsid w:val="0047602C"/>
    <w:rsid w:val="00477CE0"/>
    <w:rsid w:val="00483FE0"/>
    <w:rsid w:val="00486408"/>
    <w:rsid w:val="00491D7D"/>
    <w:rsid w:val="004954B7"/>
    <w:rsid w:val="004964DB"/>
    <w:rsid w:val="00497F62"/>
    <w:rsid w:val="004A179C"/>
    <w:rsid w:val="004A2D18"/>
    <w:rsid w:val="004A2EB2"/>
    <w:rsid w:val="004B5201"/>
    <w:rsid w:val="004B6C23"/>
    <w:rsid w:val="004C115A"/>
    <w:rsid w:val="004C3F45"/>
    <w:rsid w:val="004C6B95"/>
    <w:rsid w:val="004D07A1"/>
    <w:rsid w:val="004D1CA8"/>
    <w:rsid w:val="004D24B6"/>
    <w:rsid w:val="004D5AF5"/>
    <w:rsid w:val="004E16E6"/>
    <w:rsid w:val="004E3F4A"/>
    <w:rsid w:val="004E40EF"/>
    <w:rsid w:val="004E73F7"/>
    <w:rsid w:val="004F02AC"/>
    <w:rsid w:val="004F24FA"/>
    <w:rsid w:val="004F2B46"/>
    <w:rsid w:val="004F3488"/>
    <w:rsid w:val="004F3C24"/>
    <w:rsid w:val="004F76A0"/>
    <w:rsid w:val="00500E7F"/>
    <w:rsid w:val="00503CEC"/>
    <w:rsid w:val="00505522"/>
    <w:rsid w:val="00506001"/>
    <w:rsid w:val="00510278"/>
    <w:rsid w:val="0051172A"/>
    <w:rsid w:val="00513874"/>
    <w:rsid w:val="00515FB2"/>
    <w:rsid w:val="00517910"/>
    <w:rsid w:val="00520094"/>
    <w:rsid w:val="00520DCB"/>
    <w:rsid w:val="0052179D"/>
    <w:rsid w:val="005223A5"/>
    <w:rsid w:val="005224BC"/>
    <w:rsid w:val="00525604"/>
    <w:rsid w:val="00525C98"/>
    <w:rsid w:val="00527E19"/>
    <w:rsid w:val="00530C57"/>
    <w:rsid w:val="00533EA0"/>
    <w:rsid w:val="00536482"/>
    <w:rsid w:val="00537441"/>
    <w:rsid w:val="00537FC3"/>
    <w:rsid w:val="005410DA"/>
    <w:rsid w:val="00543FFF"/>
    <w:rsid w:val="00544E52"/>
    <w:rsid w:val="005456A9"/>
    <w:rsid w:val="005474F8"/>
    <w:rsid w:val="005478D3"/>
    <w:rsid w:val="00551A62"/>
    <w:rsid w:val="00553F2C"/>
    <w:rsid w:val="00554AF0"/>
    <w:rsid w:val="00555D52"/>
    <w:rsid w:val="005566D7"/>
    <w:rsid w:val="00561F7F"/>
    <w:rsid w:val="00566B35"/>
    <w:rsid w:val="00570067"/>
    <w:rsid w:val="00570544"/>
    <w:rsid w:val="00570CA7"/>
    <w:rsid w:val="00572720"/>
    <w:rsid w:val="005732CC"/>
    <w:rsid w:val="00575422"/>
    <w:rsid w:val="00580354"/>
    <w:rsid w:val="00583C27"/>
    <w:rsid w:val="005861A1"/>
    <w:rsid w:val="00587021"/>
    <w:rsid w:val="00591CAA"/>
    <w:rsid w:val="005938C6"/>
    <w:rsid w:val="0059471C"/>
    <w:rsid w:val="005958F2"/>
    <w:rsid w:val="00596965"/>
    <w:rsid w:val="005A0431"/>
    <w:rsid w:val="005A2049"/>
    <w:rsid w:val="005A25F8"/>
    <w:rsid w:val="005A3660"/>
    <w:rsid w:val="005A3745"/>
    <w:rsid w:val="005A6424"/>
    <w:rsid w:val="005A7D29"/>
    <w:rsid w:val="005B2340"/>
    <w:rsid w:val="005B3752"/>
    <w:rsid w:val="005B4D2B"/>
    <w:rsid w:val="005B4E7E"/>
    <w:rsid w:val="005B56B8"/>
    <w:rsid w:val="005B61C2"/>
    <w:rsid w:val="005C0953"/>
    <w:rsid w:val="005C10D4"/>
    <w:rsid w:val="005C2CC8"/>
    <w:rsid w:val="005C4BAF"/>
    <w:rsid w:val="005C56FA"/>
    <w:rsid w:val="005D0609"/>
    <w:rsid w:val="005D0A2B"/>
    <w:rsid w:val="005D1D58"/>
    <w:rsid w:val="005D26B7"/>
    <w:rsid w:val="005D4AA1"/>
    <w:rsid w:val="005D5647"/>
    <w:rsid w:val="005D633B"/>
    <w:rsid w:val="005E012E"/>
    <w:rsid w:val="005E1F06"/>
    <w:rsid w:val="005E3C3F"/>
    <w:rsid w:val="005E3E0C"/>
    <w:rsid w:val="005E4E71"/>
    <w:rsid w:val="005E54C6"/>
    <w:rsid w:val="005E7056"/>
    <w:rsid w:val="005F2BE0"/>
    <w:rsid w:val="005F326F"/>
    <w:rsid w:val="005F7997"/>
    <w:rsid w:val="00600C09"/>
    <w:rsid w:val="0060146C"/>
    <w:rsid w:val="0060207D"/>
    <w:rsid w:val="006039F2"/>
    <w:rsid w:val="00603F89"/>
    <w:rsid w:val="00604C48"/>
    <w:rsid w:val="006061B0"/>
    <w:rsid w:val="0060732E"/>
    <w:rsid w:val="006076A9"/>
    <w:rsid w:val="00611715"/>
    <w:rsid w:val="00611C1A"/>
    <w:rsid w:val="0061244A"/>
    <w:rsid w:val="00615082"/>
    <w:rsid w:val="00615A16"/>
    <w:rsid w:val="00615C1A"/>
    <w:rsid w:val="00616D6E"/>
    <w:rsid w:val="00616F95"/>
    <w:rsid w:val="0062586A"/>
    <w:rsid w:val="00633897"/>
    <w:rsid w:val="006406EC"/>
    <w:rsid w:val="00640E0A"/>
    <w:rsid w:val="00642F6F"/>
    <w:rsid w:val="0065125A"/>
    <w:rsid w:val="00652229"/>
    <w:rsid w:val="00654121"/>
    <w:rsid w:val="006544EA"/>
    <w:rsid w:val="00664EF6"/>
    <w:rsid w:val="0066569F"/>
    <w:rsid w:val="006661A3"/>
    <w:rsid w:val="0067211B"/>
    <w:rsid w:val="00677028"/>
    <w:rsid w:val="00677ACF"/>
    <w:rsid w:val="00682425"/>
    <w:rsid w:val="006877E7"/>
    <w:rsid w:val="00687DEA"/>
    <w:rsid w:val="0069004B"/>
    <w:rsid w:val="006903D6"/>
    <w:rsid w:val="00693004"/>
    <w:rsid w:val="00694629"/>
    <w:rsid w:val="006A1CB7"/>
    <w:rsid w:val="006A1E8D"/>
    <w:rsid w:val="006A5D01"/>
    <w:rsid w:val="006B08EB"/>
    <w:rsid w:val="006B258B"/>
    <w:rsid w:val="006B404D"/>
    <w:rsid w:val="006B481F"/>
    <w:rsid w:val="006B6672"/>
    <w:rsid w:val="006C6C3A"/>
    <w:rsid w:val="006D0CCD"/>
    <w:rsid w:val="006D1B3E"/>
    <w:rsid w:val="006D4CAF"/>
    <w:rsid w:val="006E2006"/>
    <w:rsid w:val="006E3DB8"/>
    <w:rsid w:val="006E42B9"/>
    <w:rsid w:val="006F638E"/>
    <w:rsid w:val="006F77DE"/>
    <w:rsid w:val="00703E42"/>
    <w:rsid w:val="007056AB"/>
    <w:rsid w:val="007128A4"/>
    <w:rsid w:val="007129C6"/>
    <w:rsid w:val="00716770"/>
    <w:rsid w:val="00717CCB"/>
    <w:rsid w:val="007202F1"/>
    <w:rsid w:val="00724445"/>
    <w:rsid w:val="00727517"/>
    <w:rsid w:val="00730E0D"/>
    <w:rsid w:val="00736035"/>
    <w:rsid w:val="007364AF"/>
    <w:rsid w:val="007368AD"/>
    <w:rsid w:val="007415F7"/>
    <w:rsid w:val="0074370B"/>
    <w:rsid w:val="00743BFC"/>
    <w:rsid w:val="00747470"/>
    <w:rsid w:val="00751365"/>
    <w:rsid w:val="00751B1D"/>
    <w:rsid w:val="00751D2A"/>
    <w:rsid w:val="00753E51"/>
    <w:rsid w:val="00753E7C"/>
    <w:rsid w:val="00754001"/>
    <w:rsid w:val="00754AEF"/>
    <w:rsid w:val="00754FF8"/>
    <w:rsid w:val="00755095"/>
    <w:rsid w:val="00757DE4"/>
    <w:rsid w:val="00763728"/>
    <w:rsid w:val="007640C4"/>
    <w:rsid w:val="00765256"/>
    <w:rsid w:val="0076722E"/>
    <w:rsid w:val="00771721"/>
    <w:rsid w:val="007819B7"/>
    <w:rsid w:val="007840F1"/>
    <w:rsid w:val="00790222"/>
    <w:rsid w:val="007902A1"/>
    <w:rsid w:val="00793254"/>
    <w:rsid w:val="00793639"/>
    <w:rsid w:val="00794319"/>
    <w:rsid w:val="007952EC"/>
    <w:rsid w:val="00795AAA"/>
    <w:rsid w:val="00796A07"/>
    <w:rsid w:val="00797100"/>
    <w:rsid w:val="007A2EAC"/>
    <w:rsid w:val="007A5EE2"/>
    <w:rsid w:val="007A7F27"/>
    <w:rsid w:val="007B0BB0"/>
    <w:rsid w:val="007B541B"/>
    <w:rsid w:val="007B66AC"/>
    <w:rsid w:val="007C274F"/>
    <w:rsid w:val="007C45E8"/>
    <w:rsid w:val="007C74B0"/>
    <w:rsid w:val="007D1251"/>
    <w:rsid w:val="007D5665"/>
    <w:rsid w:val="007E1639"/>
    <w:rsid w:val="007E66C4"/>
    <w:rsid w:val="007E68E6"/>
    <w:rsid w:val="007F10E3"/>
    <w:rsid w:val="007F2C0E"/>
    <w:rsid w:val="007F5837"/>
    <w:rsid w:val="007F5A95"/>
    <w:rsid w:val="007F5F5F"/>
    <w:rsid w:val="00800D85"/>
    <w:rsid w:val="0080174E"/>
    <w:rsid w:val="0080187F"/>
    <w:rsid w:val="0080296E"/>
    <w:rsid w:val="00802D01"/>
    <w:rsid w:val="00804443"/>
    <w:rsid w:val="00804AEB"/>
    <w:rsid w:val="0080667C"/>
    <w:rsid w:val="00812B35"/>
    <w:rsid w:val="008132FC"/>
    <w:rsid w:val="0081761E"/>
    <w:rsid w:val="008246B3"/>
    <w:rsid w:val="00824CC8"/>
    <w:rsid w:val="0082691A"/>
    <w:rsid w:val="00827315"/>
    <w:rsid w:val="008349A0"/>
    <w:rsid w:val="00835254"/>
    <w:rsid w:val="00836D17"/>
    <w:rsid w:val="00840A55"/>
    <w:rsid w:val="00840B04"/>
    <w:rsid w:val="00841E25"/>
    <w:rsid w:val="00842B66"/>
    <w:rsid w:val="008432CF"/>
    <w:rsid w:val="0084378B"/>
    <w:rsid w:val="00845758"/>
    <w:rsid w:val="008464CD"/>
    <w:rsid w:val="00847A6C"/>
    <w:rsid w:val="008515EE"/>
    <w:rsid w:val="00857F0E"/>
    <w:rsid w:val="00860E03"/>
    <w:rsid w:val="0086160E"/>
    <w:rsid w:val="00861C4E"/>
    <w:rsid w:val="00862319"/>
    <w:rsid w:val="00863A8C"/>
    <w:rsid w:val="00864802"/>
    <w:rsid w:val="00866D21"/>
    <w:rsid w:val="0087123E"/>
    <w:rsid w:val="0087125A"/>
    <w:rsid w:val="00871AC3"/>
    <w:rsid w:val="00872D85"/>
    <w:rsid w:val="00874AF5"/>
    <w:rsid w:val="00874B81"/>
    <w:rsid w:val="00874F3B"/>
    <w:rsid w:val="00876438"/>
    <w:rsid w:val="00882D30"/>
    <w:rsid w:val="00883385"/>
    <w:rsid w:val="00883DDA"/>
    <w:rsid w:val="0088519E"/>
    <w:rsid w:val="00887075"/>
    <w:rsid w:val="0088744B"/>
    <w:rsid w:val="008907A4"/>
    <w:rsid w:val="00890A06"/>
    <w:rsid w:val="0089129A"/>
    <w:rsid w:val="00891FF9"/>
    <w:rsid w:val="00893367"/>
    <w:rsid w:val="00893A8A"/>
    <w:rsid w:val="00893D07"/>
    <w:rsid w:val="00895BCB"/>
    <w:rsid w:val="008A5126"/>
    <w:rsid w:val="008B4932"/>
    <w:rsid w:val="008B722E"/>
    <w:rsid w:val="008B762E"/>
    <w:rsid w:val="008B77D8"/>
    <w:rsid w:val="008B7956"/>
    <w:rsid w:val="008C3722"/>
    <w:rsid w:val="008C3B67"/>
    <w:rsid w:val="008C3F48"/>
    <w:rsid w:val="008C787B"/>
    <w:rsid w:val="008D137B"/>
    <w:rsid w:val="008D2965"/>
    <w:rsid w:val="008D4761"/>
    <w:rsid w:val="008D49B4"/>
    <w:rsid w:val="008D7498"/>
    <w:rsid w:val="008E0142"/>
    <w:rsid w:val="008E1FE5"/>
    <w:rsid w:val="008E41B0"/>
    <w:rsid w:val="008E43EB"/>
    <w:rsid w:val="008E7F71"/>
    <w:rsid w:val="008F17E1"/>
    <w:rsid w:val="008F3F14"/>
    <w:rsid w:val="008F6EAC"/>
    <w:rsid w:val="00902ACC"/>
    <w:rsid w:val="00903E31"/>
    <w:rsid w:val="009041EF"/>
    <w:rsid w:val="009112E9"/>
    <w:rsid w:val="00911307"/>
    <w:rsid w:val="0091391D"/>
    <w:rsid w:val="00923933"/>
    <w:rsid w:val="00926391"/>
    <w:rsid w:val="00927678"/>
    <w:rsid w:val="00932E96"/>
    <w:rsid w:val="00936389"/>
    <w:rsid w:val="00937169"/>
    <w:rsid w:val="009418E6"/>
    <w:rsid w:val="0094235F"/>
    <w:rsid w:val="0094279F"/>
    <w:rsid w:val="00942FA6"/>
    <w:rsid w:val="00944C5A"/>
    <w:rsid w:val="00946B98"/>
    <w:rsid w:val="00947435"/>
    <w:rsid w:val="0095052A"/>
    <w:rsid w:val="009516DF"/>
    <w:rsid w:val="00952244"/>
    <w:rsid w:val="009546D2"/>
    <w:rsid w:val="00954A2A"/>
    <w:rsid w:val="00956724"/>
    <w:rsid w:val="00957164"/>
    <w:rsid w:val="009632D9"/>
    <w:rsid w:val="009658F0"/>
    <w:rsid w:val="009667FC"/>
    <w:rsid w:val="00971655"/>
    <w:rsid w:val="00971C63"/>
    <w:rsid w:val="00972175"/>
    <w:rsid w:val="00976D37"/>
    <w:rsid w:val="00980D9B"/>
    <w:rsid w:val="009822D1"/>
    <w:rsid w:val="009830B7"/>
    <w:rsid w:val="00985A25"/>
    <w:rsid w:val="00986019"/>
    <w:rsid w:val="00991231"/>
    <w:rsid w:val="00993B29"/>
    <w:rsid w:val="009954CC"/>
    <w:rsid w:val="009A266E"/>
    <w:rsid w:val="009A2F59"/>
    <w:rsid w:val="009A46C2"/>
    <w:rsid w:val="009A4AE9"/>
    <w:rsid w:val="009A5D89"/>
    <w:rsid w:val="009A61A9"/>
    <w:rsid w:val="009B18B5"/>
    <w:rsid w:val="009C0C32"/>
    <w:rsid w:val="009C326D"/>
    <w:rsid w:val="009C33E8"/>
    <w:rsid w:val="009C4E8D"/>
    <w:rsid w:val="009C71D5"/>
    <w:rsid w:val="009D57A0"/>
    <w:rsid w:val="009E112C"/>
    <w:rsid w:val="009E6A61"/>
    <w:rsid w:val="009F0FFB"/>
    <w:rsid w:val="009F16ED"/>
    <w:rsid w:val="009F3EDD"/>
    <w:rsid w:val="009F7CE4"/>
    <w:rsid w:val="009F7E1F"/>
    <w:rsid w:val="00A03972"/>
    <w:rsid w:val="00A056A4"/>
    <w:rsid w:val="00A06143"/>
    <w:rsid w:val="00A11162"/>
    <w:rsid w:val="00A11C89"/>
    <w:rsid w:val="00A14B4C"/>
    <w:rsid w:val="00A17FBE"/>
    <w:rsid w:val="00A203C9"/>
    <w:rsid w:val="00A22027"/>
    <w:rsid w:val="00A26573"/>
    <w:rsid w:val="00A2715B"/>
    <w:rsid w:val="00A27469"/>
    <w:rsid w:val="00A3053C"/>
    <w:rsid w:val="00A31752"/>
    <w:rsid w:val="00A32C75"/>
    <w:rsid w:val="00A40EAA"/>
    <w:rsid w:val="00A43227"/>
    <w:rsid w:val="00A43BA7"/>
    <w:rsid w:val="00A4447D"/>
    <w:rsid w:val="00A448EB"/>
    <w:rsid w:val="00A44F3E"/>
    <w:rsid w:val="00A4549D"/>
    <w:rsid w:val="00A46CCD"/>
    <w:rsid w:val="00A50A42"/>
    <w:rsid w:val="00A52FFD"/>
    <w:rsid w:val="00A571B0"/>
    <w:rsid w:val="00A60A2E"/>
    <w:rsid w:val="00A64641"/>
    <w:rsid w:val="00A65031"/>
    <w:rsid w:val="00A65133"/>
    <w:rsid w:val="00A652C5"/>
    <w:rsid w:val="00A67256"/>
    <w:rsid w:val="00A6727C"/>
    <w:rsid w:val="00A7098C"/>
    <w:rsid w:val="00A73B8C"/>
    <w:rsid w:val="00A74AEA"/>
    <w:rsid w:val="00A76366"/>
    <w:rsid w:val="00A7763A"/>
    <w:rsid w:val="00A81CB7"/>
    <w:rsid w:val="00A85C5A"/>
    <w:rsid w:val="00A86AFF"/>
    <w:rsid w:val="00A91109"/>
    <w:rsid w:val="00A96A08"/>
    <w:rsid w:val="00AA0161"/>
    <w:rsid w:val="00AA0AC5"/>
    <w:rsid w:val="00AA1ECA"/>
    <w:rsid w:val="00AA203F"/>
    <w:rsid w:val="00AA51FA"/>
    <w:rsid w:val="00AB01EC"/>
    <w:rsid w:val="00AB0AD0"/>
    <w:rsid w:val="00AB1D08"/>
    <w:rsid w:val="00AB20CB"/>
    <w:rsid w:val="00AB4345"/>
    <w:rsid w:val="00AB5BD7"/>
    <w:rsid w:val="00AB75E9"/>
    <w:rsid w:val="00AC0135"/>
    <w:rsid w:val="00AC070D"/>
    <w:rsid w:val="00AC1B94"/>
    <w:rsid w:val="00AD0616"/>
    <w:rsid w:val="00AD30D9"/>
    <w:rsid w:val="00AD34FF"/>
    <w:rsid w:val="00AD4DE6"/>
    <w:rsid w:val="00AE08A8"/>
    <w:rsid w:val="00AE15F7"/>
    <w:rsid w:val="00AE606F"/>
    <w:rsid w:val="00AE6DBC"/>
    <w:rsid w:val="00AF3E95"/>
    <w:rsid w:val="00AF569A"/>
    <w:rsid w:val="00AF61B2"/>
    <w:rsid w:val="00AF7C67"/>
    <w:rsid w:val="00B02D47"/>
    <w:rsid w:val="00B0387B"/>
    <w:rsid w:val="00B15FE9"/>
    <w:rsid w:val="00B16FCF"/>
    <w:rsid w:val="00B22E31"/>
    <w:rsid w:val="00B23487"/>
    <w:rsid w:val="00B25066"/>
    <w:rsid w:val="00B27F52"/>
    <w:rsid w:val="00B31188"/>
    <w:rsid w:val="00B34AC8"/>
    <w:rsid w:val="00B36856"/>
    <w:rsid w:val="00B4186D"/>
    <w:rsid w:val="00B43093"/>
    <w:rsid w:val="00B46D5B"/>
    <w:rsid w:val="00B4729E"/>
    <w:rsid w:val="00B5174E"/>
    <w:rsid w:val="00B51883"/>
    <w:rsid w:val="00B55F8B"/>
    <w:rsid w:val="00B60DB6"/>
    <w:rsid w:val="00B61FD4"/>
    <w:rsid w:val="00B62583"/>
    <w:rsid w:val="00B62CD0"/>
    <w:rsid w:val="00B637BC"/>
    <w:rsid w:val="00B65FC5"/>
    <w:rsid w:val="00B674DB"/>
    <w:rsid w:val="00B7069F"/>
    <w:rsid w:val="00B71CE1"/>
    <w:rsid w:val="00B7544E"/>
    <w:rsid w:val="00B80580"/>
    <w:rsid w:val="00B82E8D"/>
    <w:rsid w:val="00B871B4"/>
    <w:rsid w:val="00B902C7"/>
    <w:rsid w:val="00B9264D"/>
    <w:rsid w:val="00B940A4"/>
    <w:rsid w:val="00B94C44"/>
    <w:rsid w:val="00B94D99"/>
    <w:rsid w:val="00BA0C6F"/>
    <w:rsid w:val="00BA386E"/>
    <w:rsid w:val="00BA4785"/>
    <w:rsid w:val="00BA67BA"/>
    <w:rsid w:val="00BB030D"/>
    <w:rsid w:val="00BB3FA1"/>
    <w:rsid w:val="00BB62BB"/>
    <w:rsid w:val="00BC05C5"/>
    <w:rsid w:val="00BC4043"/>
    <w:rsid w:val="00BC429F"/>
    <w:rsid w:val="00BC4A5D"/>
    <w:rsid w:val="00BC55C0"/>
    <w:rsid w:val="00BD04BE"/>
    <w:rsid w:val="00BD1FF1"/>
    <w:rsid w:val="00BD4F7C"/>
    <w:rsid w:val="00BD5286"/>
    <w:rsid w:val="00BD59B3"/>
    <w:rsid w:val="00BD5E35"/>
    <w:rsid w:val="00BD622D"/>
    <w:rsid w:val="00BD77F6"/>
    <w:rsid w:val="00BE1CE9"/>
    <w:rsid w:val="00BE3823"/>
    <w:rsid w:val="00BE5BD7"/>
    <w:rsid w:val="00BE60CB"/>
    <w:rsid w:val="00BE6F28"/>
    <w:rsid w:val="00BF1909"/>
    <w:rsid w:val="00BF29FA"/>
    <w:rsid w:val="00C03E43"/>
    <w:rsid w:val="00C04D2B"/>
    <w:rsid w:val="00C10B73"/>
    <w:rsid w:val="00C124A6"/>
    <w:rsid w:val="00C12D94"/>
    <w:rsid w:val="00C15AD9"/>
    <w:rsid w:val="00C16210"/>
    <w:rsid w:val="00C20637"/>
    <w:rsid w:val="00C20F82"/>
    <w:rsid w:val="00C214FF"/>
    <w:rsid w:val="00C23B7E"/>
    <w:rsid w:val="00C279D0"/>
    <w:rsid w:val="00C35217"/>
    <w:rsid w:val="00C37FB6"/>
    <w:rsid w:val="00C41A50"/>
    <w:rsid w:val="00C443FC"/>
    <w:rsid w:val="00C50C26"/>
    <w:rsid w:val="00C512AC"/>
    <w:rsid w:val="00C54790"/>
    <w:rsid w:val="00C557F2"/>
    <w:rsid w:val="00C57360"/>
    <w:rsid w:val="00C66E48"/>
    <w:rsid w:val="00C707F9"/>
    <w:rsid w:val="00C7338B"/>
    <w:rsid w:val="00C737C5"/>
    <w:rsid w:val="00C76493"/>
    <w:rsid w:val="00C7790D"/>
    <w:rsid w:val="00C800B7"/>
    <w:rsid w:val="00C81D29"/>
    <w:rsid w:val="00C86B93"/>
    <w:rsid w:val="00C90B65"/>
    <w:rsid w:val="00C9628B"/>
    <w:rsid w:val="00C97BCC"/>
    <w:rsid w:val="00CA0B34"/>
    <w:rsid w:val="00CA131C"/>
    <w:rsid w:val="00CA2FED"/>
    <w:rsid w:val="00CA3540"/>
    <w:rsid w:val="00CA5DDC"/>
    <w:rsid w:val="00CA6DED"/>
    <w:rsid w:val="00CB0AE4"/>
    <w:rsid w:val="00CB4A7C"/>
    <w:rsid w:val="00CC1D4B"/>
    <w:rsid w:val="00CC3473"/>
    <w:rsid w:val="00CC49D4"/>
    <w:rsid w:val="00CC5CB7"/>
    <w:rsid w:val="00CC7D74"/>
    <w:rsid w:val="00CD0858"/>
    <w:rsid w:val="00CD0E88"/>
    <w:rsid w:val="00CD7912"/>
    <w:rsid w:val="00CE11BC"/>
    <w:rsid w:val="00CE1E8F"/>
    <w:rsid w:val="00CE6C73"/>
    <w:rsid w:val="00CE6F5A"/>
    <w:rsid w:val="00CF2AD4"/>
    <w:rsid w:val="00CF42CF"/>
    <w:rsid w:val="00CF4771"/>
    <w:rsid w:val="00CF5788"/>
    <w:rsid w:val="00D00E71"/>
    <w:rsid w:val="00D01410"/>
    <w:rsid w:val="00D01F86"/>
    <w:rsid w:val="00D0295A"/>
    <w:rsid w:val="00D102E9"/>
    <w:rsid w:val="00D11EA3"/>
    <w:rsid w:val="00D1688F"/>
    <w:rsid w:val="00D2117F"/>
    <w:rsid w:val="00D25317"/>
    <w:rsid w:val="00D25978"/>
    <w:rsid w:val="00D270F8"/>
    <w:rsid w:val="00D36F0F"/>
    <w:rsid w:val="00D46FC0"/>
    <w:rsid w:val="00D5082B"/>
    <w:rsid w:val="00D51A58"/>
    <w:rsid w:val="00D53F1F"/>
    <w:rsid w:val="00D639CD"/>
    <w:rsid w:val="00D64652"/>
    <w:rsid w:val="00D64697"/>
    <w:rsid w:val="00D66E8B"/>
    <w:rsid w:val="00D71986"/>
    <w:rsid w:val="00D74904"/>
    <w:rsid w:val="00D74A64"/>
    <w:rsid w:val="00D81B53"/>
    <w:rsid w:val="00D85715"/>
    <w:rsid w:val="00D8706C"/>
    <w:rsid w:val="00D91469"/>
    <w:rsid w:val="00D91C3C"/>
    <w:rsid w:val="00D92B15"/>
    <w:rsid w:val="00D9420A"/>
    <w:rsid w:val="00D97B82"/>
    <w:rsid w:val="00DA4C62"/>
    <w:rsid w:val="00DA5B25"/>
    <w:rsid w:val="00DB096F"/>
    <w:rsid w:val="00DB49A9"/>
    <w:rsid w:val="00DB690A"/>
    <w:rsid w:val="00DB6A17"/>
    <w:rsid w:val="00DC1A91"/>
    <w:rsid w:val="00DC2848"/>
    <w:rsid w:val="00DC4098"/>
    <w:rsid w:val="00DC4658"/>
    <w:rsid w:val="00DC4CEE"/>
    <w:rsid w:val="00DC6C36"/>
    <w:rsid w:val="00DD4387"/>
    <w:rsid w:val="00DD4E84"/>
    <w:rsid w:val="00DD5172"/>
    <w:rsid w:val="00DD5520"/>
    <w:rsid w:val="00DE00D3"/>
    <w:rsid w:val="00DE0580"/>
    <w:rsid w:val="00DE0F54"/>
    <w:rsid w:val="00DE11F4"/>
    <w:rsid w:val="00DE22F1"/>
    <w:rsid w:val="00DE29C1"/>
    <w:rsid w:val="00DE44F6"/>
    <w:rsid w:val="00DE5BAB"/>
    <w:rsid w:val="00DF16C2"/>
    <w:rsid w:val="00DF2134"/>
    <w:rsid w:val="00DF296E"/>
    <w:rsid w:val="00DF53F5"/>
    <w:rsid w:val="00DF72CB"/>
    <w:rsid w:val="00DF7E09"/>
    <w:rsid w:val="00E00F76"/>
    <w:rsid w:val="00E0112C"/>
    <w:rsid w:val="00E02A36"/>
    <w:rsid w:val="00E051FD"/>
    <w:rsid w:val="00E05FD8"/>
    <w:rsid w:val="00E10BB9"/>
    <w:rsid w:val="00E124F5"/>
    <w:rsid w:val="00E17590"/>
    <w:rsid w:val="00E209BF"/>
    <w:rsid w:val="00E2192A"/>
    <w:rsid w:val="00E21E75"/>
    <w:rsid w:val="00E23050"/>
    <w:rsid w:val="00E23BD0"/>
    <w:rsid w:val="00E41C0F"/>
    <w:rsid w:val="00E519DC"/>
    <w:rsid w:val="00E51BC8"/>
    <w:rsid w:val="00E5266F"/>
    <w:rsid w:val="00E539CB"/>
    <w:rsid w:val="00E54C24"/>
    <w:rsid w:val="00E552B6"/>
    <w:rsid w:val="00E5665A"/>
    <w:rsid w:val="00E62BBC"/>
    <w:rsid w:val="00E63329"/>
    <w:rsid w:val="00E65496"/>
    <w:rsid w:val="00E6571F"/>
    <w:rsid w:val="00E678B7"/>
    <w:rsid w:val="00E70B70"/>
    <w:rsid w:val="00E729C0"/>
    <w:rsid w:val="00E753AC"/>
    <w:rsid w:val="00E7637A"/>
    <w:rsid w:val="00E763CC"/>
    <w:rsid w:val="00E768D1"/>
    <w:rsid w:val="00E807DA"/>
    <w:rsid w:val="00E82908"/>
    <w:rsid w:val="00E84E3A"/>
    <w:rsid w:val="00E84F0B"/>
    <w:rsid w:val="00E85552"/>
    <w:rsid w:val="00E8558C"/>
    <w:rsid w:val="00E919D8"/>
    <w:rsid w:val="00E91B3D"/>
    <w:rsid w:val="00E91F70"/>
    <w:rsid w:val="00E95655"/>
    <w:rsid w:val="00E9754E"/>
    <w:rsid w:val="00EA05AF"/>
    <w:rsid w:val="00EA4156"/>
    <w:rsid w:val="00EB0E3D"/>
    <w:rsid w:val="00EB1790"/>
    <w:rsid w:val="00EB1ED0"/>
    <w:rsid w:val="00EB4339"/>
    <w:rsid w:val="00EB5CDF"/>
    <w:rsid w:val="00EB67F1"/>
    <w:rsid w:val="00EC10C8"/>
    <w:rsid w:val="00EC2B8B"/>
    <w:rsid w:val="00EC43B9"/>
    <w:rsid w:val="00EC4E32"/>
    <w:rsid w:val="00ED0166"/>
    <w:rsid w:val="00ED0339"/>
    <w:rsid w:val="00ED0F86"/>
    <w:rsid w:val="00ED3403"/>
    <w:rsid w:val="00ED3596"/>
    <w:rsid w:val="00ED45A7"/>
    <w:rsid w:val="00ED4D69"/>
    <w:rsid w:val="00ED6AEF"/>
    <w:rsid w:val="00EE0AA0"/>
    <w:rsid w:val="00EE362F"/>
    <w:rsid w:val="00EE386B"/>
    <w:rsid w:val="00EE41C9"/>
    <w:rsid w:val="00EE5D37"/>
    <w:rsid w:val="00EE71BA"/>
    <w:rsid w:val="00EE79F3"/>
    <w:rsid w:val="00EF0E19"/>
    <w:rsid w:val="00EF0EEB"/>
    <w:rsid w:val="00EF278E"/>
    <w:rsid w:val="00EF316A"/>
    <w:rsid w:val="00EF354A"/>
    <w:rsid w:val="00EF64E9"/>
    <w:rsid w:val="00EF6C04"/>
    <w:rsid w:val="00F00437"/>
    <w:rsid w:val="00F061DA"/>
    <w:rsid w:val="00F114AE"/>
    <w:rsid w:val="00F14A11"/>
    <w:rsid w:val="00F1506D"/>
    <w:rsid w:val="00F22EE3"/>
    <w:rsid w:val="00F318AA"/>
    <w:rsid w:val="00F31B3A"/>
    <w:rsid w:val="00F32624"/>
    <w:rsid w:val="00F35942"/>
    <w:rsid w:val="00F35E5C"/>
    <w:rsid w:val="00F420AE"/>
    <w:rsid w:val="00F42870"/>
    <w:rsid w:val="00F43CA0"/>
    <w:rsid w:val="00F477EA"/>
    <w:rsid w:val="00F4795B"/>
    <w:rsid w:val="00F502D0"/>
    <w:rsid w:val="00F52DED"/>
    <w:rsid w:val="00F54216"/>
    <w:rsid w:val="00F55030"/>
    <w:rsid w:val="00F55FD6"/>
    <w:rsid w:val="00F57C64"/>
    <w:rsid w:val="00F61681"/>
    <w:rsid w:val="00F61A02"/>
    <w:rsid w:val="00F645DF"/>
    <w:rsid w:val="00F7018E"/>
    <w:rsid w:val="00F70B05"/>
    <w:rsid w:val="00F7244F"/>
    <w:rsid w:val="00F7696F"/>
    <w:rsid w:val="00F771E5"/>
    <w:rsid w:val="00F77302"/>
    <w:rsid w:val="00F8209B"/>
    <w:rsid w:val="00F91B99"/>
    <w:rsid w:val="00F95ACE"/>
    <w:rsid w:val="00F9698F"/>
    <w:rsid w:val="00F9735E"/>
    <w:rsid w:val="00F97965"/>
    <w:rsid w:val="00F97CD9"/>
    <w:rsid w:val="00FA0576"/>
    <w:rsid w:val="00FA08A3"/>
    <w:rsid w:val="00FA4E72"/>
    <w:rsid w:val="00FA716F"/>
    <w:rsid w:val="00FB50B4"/>
    <w:rsid w:val="00FB5702"/>
    <w:rsid w:val="00FC1557"/>
    <w:rsid w:val="00FC2586"/>
    <w:rsid w:val="00FD2901"/>
    <w:rsid w:val="00FD4B97"/>
    <w:rsid w:val="00FE55EB"/>
    <w:rsid w:val="00FE740A"/>
    <w:rsid w:val="00FF4EE4"/>
    <w:rsid w:val="00FF71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semiHidden="0" w:uiPriority="9" w:unhideWhenUsed="0" w:qFormat="1"/>
    <w:lsdException w:name="heading 5" w:uiPriority="9" w:qFormat="1"/>
    <w:lsdException w:name="heading 6"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lsdException w:name="footer" w:locked="0" w:qFormat="1"/>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line number" w:locked="0"/>
    <w:lsdException w:name="page number" w:locked="0" w:uiPriority="0"/>
    <w:lsdException w:name="endnote reference" w:locked="0"/>
    <w:lsdException w:name="endnote text" w:locked="0"/>
    <w:lsdException w:name="table of authorities" w:locked="0"/>
    <w:lsdException w:name="macro" w:locked="0"/>
    <w:lsdException w:name="toa heading" w:locked="0"/>
    <w:lsdException w:name="Title" w:locked="0" w:uiPriority="10"/>
    <w:lsdException w:name="Closing" w:locked="0"/>
    <w:lsdException w:name="Signature" w:locked="0"/>
    <w:lsdException w:name="Default Paragraph Font" w:locked="0" w:uiPriority="1"/>
    <w:lsdException w:name="Message Header" w:locked="0"/>
    <w:lsdException w:name="Subtitle" w:locked="0" w:uiPriority="11" w:qFormat="1"/>
    <w:lsdException w:name="Salutation" w:locked="0"/>
    <w:lsdException w:name="Date" w:locked="0"/>
    <w:lsdException w:name="Note Heading" w:locked="0"/>
    <w:lsdException w:name="Hyperlink" w:locked="0"/>
    <w:lsdException w:name="FollowedHyperlink" w:locked="0"/>
    <w:lsdException w:name="Strong" w:locked="0" w:uiPriority="22" w:qFormat="1"/>
    <w:lsdException w:name="Emphasis" w:locked="0" w:uiPriority="20" w:qFormat="1"/>
    <w:lsdException w:name="Document Map" w:locked="0"/>
    <w:lsdException w:name="Plain Text" w:locked="0"/>
    <w:lsdException w:name="E-mail Signature" w:locked="0"/>
    <w:lsdException w:name="HTML Top of Form" w:locked="0"/>
    <w:lsdException w:name="HTML Bottom of Form"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No List" w:locked="0"/>
    <w:lsdException w:name="Outline List 3" w:locked="0"/>
    <w:lsdException w:name="Table Grid" w:locked="0" w:semiHidden="0" w:uiPriority="59" w:unhideWhenUsed="0"/>
    <w:lsdException w:name="Placeholder Text" w:locked="0"/>
    <w:lsdException w:name="No Spacing" w:locked="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locked="0" w:uiPriority="29" w:qFormat="1"/>
    <w:lsdException w:name="Intense Quote" w:locked="0"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uiPriority="37"/>
    <w:lsdException w:name="TOC Heading" w:uiPriority="39" w:qFormat="1"/>
  </w:latentStyles>
  <w:style w:type="paragraph" w:default="1" w:styleId="Normal">
    <w:name w:val="Normal"/>
    <w:qFormat/>
    <w:rsid w:val="00D81B53"/>
    <w:pPr>
      <w:spacing w:after="240" w:line="288" w:lineRule="auto"/>
      <w:jc w:val="both"/>
    </w:pPr>
    <w:rPr>
      <w:lang w:eastAsia="en-US"/>
    </w:rPr>
  </w:style>
  <w:style w:type="paragraph" w:styleId="Heading1">
    <w:name w:val="heading 1"/>
    <w:next w:val="AERbodytext"/>
    <w:link w:val="Heading1Char"/>
    <w:uiPriority w:val="9"/>
    <w:qFormat/>
    <w:rsid w:val="00B94D99"/>
    <w:pPr>
      <w:keepNext/>
      <w:keepLines/>
      <w:pageBreakBefore/>
      <w:numPr>
        <w:ilvl w:val="1"/>
        <w:numId w:val="8"/>
      </w:numPr>
      <w:spacing w:before="120" w:after="120" w:line="288" w:lineRule="auto"/>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semiHidden/>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semiHidden/>
    <w:qFormat/>
    <w:rsid w:val="005A0431"/>
    <w:pPr>
      <w:numPr>
        <w:ilvl w:val="5"/>
      </w:numPr>
      <w:outlineLvl w:val="4"/>
    </w:pPr>
    <w:rPr>
      <w:i/>
      <w:sz w:val="20"/>
    </w:rPr>
  </w:style>
  <w:style w:type="paragraph" w:styleId="Heading6">
    <w:name w:val="heading 6"/>
    <w:basedOn w:val="Heading5"/>
    <w:next w:val="AERbodytext"/>
    <w:link w:val="Heading6Char"/>
    <w:uiPriority w:val="9"/>
    <w:semiHidden/>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1"/>
      </w:numPr>
    </w:pPr>
  </w:style>
  <w:style w:type="character" w:customStyle="1" w:styleId="Heading1Char">
    <w:name w:val="Heading 1 Char"/>
    <w:basedOn w:val="DefaultParagraphFont"/>
    <w:link w:val="Heading1"/>
    <w:uiPriority w:val="9"/>
    <w:rsid w:val="00B94D99"/>
    <w:rPr>
      <w:rFonts w:eastAsia="Times New Roman"/>
      <w:b/>
      <w:bCs/>
      <w:color w:val="E36C0A"/>
      <w:sz w:val="36"/>
      <w:szCs w:val="28"/>
      <w:lang w:eastAsia="en-US"/>
    </w:rPr>
  </w:style>
  <w:style w:type="character" w:customStyle="1" w:styleId="Heading2Char">
    <w:name w:val="Heading 2 Char"/>
    <w:basedOn w:val="DefaultParagraphFont"/>
    <w:link w:val="Heading2"/>
    <w:uiPriority w:val="9"/>
    <w:rsid w:val="000A1CC2"/>
    <w:rPr>
      <w:rFonts w:eastAsia="Times New Roman"/>
      <w:b/>
      <w:color w:val="E36C0A"/>
      <w:sz w:val="28"/>
      <w:szCs w:val="26"/>
      <w:lang w:eastAsia="en-US"/>
    </w:rPr>
  </w:style>
  <w:style w:type="character" w:customStyle="1" w:styleId="Heading3Char">
    <w:name w:val="Heading 3 Char"/>
    <w:basedOn w:val="DefaultParagraphFont"/>
    <w:link w:val="Heading3"/>
    <w:uiPriority w:val="9"/>
    <w:rsid w:val="000A1CC2"/>
    <w:rPr>
      <w:rFonts w:eastAsia="Times New Roman"/>
      <w:b/>
      <w:bCs/>
      <w:color w:val="E36C0A"/>
      <w:sz w:val="24"/>
      <w:szCs w:val="26"/>
      <w:lang w:eastAsia="en-US"/>
    </w:rPr>
  </w:style>
  <w:style w:type="character" w:customStyle="1" w:styleId="Heading4Char">
    <w:name w:val="Heading 4 Char"/>
    <w:basedOn w:val="DefaultParagraphFont"/>
    <w:link w:val="Heading4"/>
    <w:uiPriority w:val="9"/>
    <w:semiHidden/>
    <w:rsid w:val="00F97CD9"/>
    <w:rPr>
      <w:rFonts w:eastAsia="Times New Roman"/>
      <w:b/>
      <w:iCs/>
      <w:color w:val="FF0000"/>
      <w:sz w:val="22"/>
      <w:szCs w:val="24"/>
      <w:lang w:eastAsia="en-US"/>
    </w:rPr>
  </w:style>
  <w:style w:type="character" w:customStyle="1" w:styleId="Heading5Char">
    <w:name w:val="Heading 5 Char"/>
    <w:basedOn w:val="DefaultParagraphFont"/>
    <w:link w:val="Heading5"/>
    <w:uiPriority w:val="9"/>
    <w:semiHidden/>
    <w:rsid w:val="00F97CD9"/>
    <w:rPr>
      <w:rFonts w:eastAsia="Times New Roman"/>
      <w:b/>
      <w:i/>
      <w:iCs/>
      <w:color w:val="FF0000"/>
      <w:szCs w:val="24"/>
      <w:lang w:eastAsia="en-US"/>
    </w:rPr>
  </w:style>
  <w:style w:type="character" w:customStyle="1" w:styleId="Heading6Char">
    <w:name w:val="Heading 6 Char"/>
    <w:basedOn w:val="DefaultParagraphFont"/>
    <w:link w:val="Heading6"/>
    <w:uiPriority w:val="9"/>
    <w:semiHidden/>
    <w:rsid w:val="00F97CD9"/>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eastAsia="Times New Roman"/>
      <w:b/>
      <w:bCs/>
      <w:iCs/>
      <w:color w:val="E36C0A"/>
      <w:sz w:val="36"/>
      <w:szCs w:val="24"/>
      <w:lang w:eastAsia="en-US"/>
    </w:rPr>
  </w:style>
  <w:style w:type="character" w:customStyle="1" w:styleId="Heading8Char">
    <w:name w:val="Heading 8 Char"/>
    <w:basedOn w:val="DefaultParagraphFont"/>
    <w:link w:val="Heading8"/>
    <w:uiPriority w:val="9"/>
    <w:rsid w:val="00303452"/>
    <w:rPr>
      <w:rFonts w:eastAsia="Times New Roman"/>
      <w:b/>
      <w:bCs/>
      <w:iCs/>
      <w:color w:val="E36C0A"/>
      <w:sz w:val="28"/>
      <w:lang w:eastAsia="en-US"/>
    </w:rPr>
  </w:style>
  <w:style w:type="character" w:customStyle="1" w:styleId="Heading9Char">
    <w:name w:val="Heading 9 Char"/>
    <w:basedOn w:val="DefaultParagraphFont"/>
    <w:link w:val="Heading9"/>
    <w:uiPriority w:val="9"/>
    <w:rsid w:val="00303452"/>
    <w:rPr>
      <w:rFonts w:eastAsia="Times New Roman"/>
      <w:b/>
      <w:bCs/>
      <w:color w:val="E36C0A"/>
      <w:sz w:val="24"/>
      <w:lang w:eastAsia="en-US"/>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EB5CDF"/>
    <w:pPr>
      <w:numPr>
        <w:numId w:val="6"/>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2"/>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5"/>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3"/>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4"/>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AERbodytext"/>
    <w:link w:val="FootnoteTextChar"/>
    <w:uiPriority w:val="99"/>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3800E4"/>
    <w:rPr>
      <w:vertAlign w:val="superscript"/>
    </w:rPr>
  </w:style>
  <w:style w:type="paragraph" w:styleId="Header">
    <w:name w:val="header"/>
    <w:basedOn w:val="Normal"/>
    <w:link w:val="HeaderChar"/>
    <w:uiPriority w:val="99"/>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B94D99"/>
    <w:pPr>
      <w:numPr>
        <w:ilvl w:val="0"/>
      </w:numPr>
    </w:pPr>
  </w:style>
  <w:style w:type="table" w:styleId="TableGrid">
    <w:name w:val="Table Grid"/>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EB5CDF"/>
    <w:pPr>
      <w:numPr>
        <w:numId w:val="6"/>
      </w:numPr>
    </w:pPr>
  </w:style>
  <w:style w:type="numbering" w:customStyle="1" w:styleId="OldAERheadings">
    <w:name w:val="Old AER headings"/>
    <w:uiPriority w:val="99"/>
    <w:locked/>
    <w:rsid w:val="008515EE"/>
    <w:pPr>
      <w:numPr>
        <w:numId w:val="7"/>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unhideWhenUsed/>
    <w:qFormat/>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B94D99"/>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semiHidden/>
    <w:unhideWhenUsed/>
    <w:qFormat/>
    <w:rsid w:val="00AF3E95"/>
    <w:pPr>
      <w:pageBreakBefore w:val="0"/>
      <w:numPr>
        <w:ilvl w:val="0"/>
        <w:numId w:val="0"/>
      </w:numPr>
      <w:spacing w:before="480" w:after="0" w:line="276" w:lineRule="auto"/>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rsid w:val="00AF3E95"/>
    <w:rPr>
      <w:color w:val="0000FF"/>
      <w:u w:val="single"/>
    </w:rPr>
  </w:style>
  <w:style w:type="paragraph" w:styleId="BalloonText">
    <w:name w:val="Balloon Text"/>
    <w:basedOn w:val="Normal"/>
    <w:link w:val="BalloonTextChar"/>
    <w:uiPriority w:val="99"/>
    <w:semiHidden/>
    <w:unhideWhenUs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rsid w:val="00BE6F28"/>
    <w:rPr>
      <w:sz w:val="16"/>
      <w:szCs w:val="16"/>
    </w:rPr>
  </w:style>
  <w:style w:type="paragraph" w:styleId="CommentText">
    <w:name w:val="annotation text"/>
    <w:basedOn w:val="Normal"/>
    <w:link w:val="CommentTextChar"/>
    <w:uiPriority w:val="99"/>
    <w:unhideWhenUsed/>
    <w:rsid w:val="00BE6F28"/>
    <w:pPr>
      <w:spacing w:line="240" w:lineRule="auto"/>
    </w:pPr>
  </w:style>
  <w:style w:type="character" w:customStyle="1" w:styleId="CommentTextChar">
    <w:name w:val="Comment Text Char"/>
    <w:basedOn w:val="DefaultParagraphFont"/>
    <w:link w:val="CommentText"/>
    <w:uiPriority w:val="99"/>
    <w:semiHidden/>
    <w:rsid w:val="00BE6F28"/>
  </w:style>
  <w:style w:type="paragraph" w:styleId="CommentSubject">
    <w:name w:val="annotation subject"/>
    <w:basedOn w:val="CommentText"/>
    <w:next w:val="CommentText"/>
    <w:link w:val="CommentSubjectChar"/>
    <w:uiPriority w:val="99"/>
    <w:semiHidden/>
    <w:unhideWhenUs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8C3722"/>
    <w:pPr>
      <w:keepNext/>
      <w:spacing w:before="120" w:after="120"/>
      <w:jc w:val="left"/>
    </w:pPr>
    <w:rPr>
      <w:b/>
      <w:color w:val="365F91" w:themeColor="accent1" w:themeShade="BF"/>
      <w:sz w:val="24"/>
    </w:rPr>
  </w:style>
  <w:style w:type="paragraph" w:customStyle="1" w:styleId="HeadingBoldItalic">
    <w:name w:val="Heading Bold Italic"/>
    <w:basedOn w:val="AERbodytext"/>
    <w:next w:val="AERbodytext"/>
    <w:qFormat/>
    <w:rsid w:val="008C3722"/>
    <w:pPr>
      <w:keepNext/>
      <w:spacing w:before="120" w:after="120"/>
      <w:jc w:val="left"/>
    </w:pPr>
    <w:rPr>
      <w:b/>
      <w:i/>
      <w:color w:val="E36C0A"/>
      <w:sz w:val="22"/>
    </w:rPr>
  </w:style>
  <w:style w:type="character" w:customStyle="1" w:styleId="AERbodytextChar">
    <w:name w:val="AER body text Char"/>
    <w:basedOn w:val="DefaultParagraphFont"/>
    <w:link w:val="AERbodytext"/>
    <w:rsid w:val="00EB5CDF"/>
    <w:rPr>
      <w:rFonts w:eastAsia="Times New Roman"/>
      <w:szCs w:val="24"/>
      <w:lang w:eastAsia="en-US"/>
    </w:rPr>
  </w:style>
  <w:style w:type="character" w:customStyle="1" w:styleId="HeadingBoldBlueChar">
    <w:name w:val="Heading Bold Blue Char"/>
    <w:basedOn w:val="AERbodytextChar"/>
    <w:link w:val="HeadingBoldBlue"/>
    <w:rsid w:val="008C3722"/>
    <w:rPr>
      <w:rFonts w:eastAsia="Times New Roman"/>
      <w:b/>
      <w:color w:val="365F91" w:themeColor="accent1" w:themeShade="BF"/>
      <w:sz w:val="24"/>
      <w:szCs w:val="24"/>
      <w:lang w:eastAsia="en-US"/>
    </w:rPr>
  </w:style>
  <w:style w:type="paragraph" w:customStyle="1" w:styleId="HeadingItalic">
    <w:name w:val="Heading Italic"/>
    <w:basedOn w:val="AERbodytext"/>
    <w:next w:val="AERbodytext"/>
    <w:qFormat/>
    <w:rsid w:val="008C3722"/>
    <w:pPr>
      <w:keepNext/>
      <w:spacing w:before="120" w:after="120"/>
      <w:jc w:val="left"/>
    </w:pPr>
    <w:rPr>
      <w:b/>
      <w:i/>
      <w:color w:val="365F91" w:themeColor="accent1" w:themeShade="BF"/>
      <w:sz w:val="22"/>
    </w:rPr>
  </w:style>
  <w:style w:type="character" w:styleId="PageNumber">
    <w:name w:val="page number"/>
    <w:basedOn w:val="DefaultParagraphFont"/>
    <w:rsid w:val="00CC49D4"/>
    <w:rPr>
      <w:rFonts w:ascii="Gautami" w:hAnsi="Gautami"/>
      <w:sz w:val="18"/>
    </w:rPr>
  </w:style>
  <w:style w:type="paragraph" w:customStyle="1" w:styleId="AERbodytextnospaceleftalign">
    <w:name w:val="AER body text no space left align"/>
    <w:basedOn w:val="AERbodytextnospace"/>
    <w:qFormat/>
    <w:rsid w:val="00DD4E84"/>
    <w:pPr>
      <w:numPr>
        <w:numId w:val="0"/>
      </w:numPr>
      <w:tabs>
        <w:tab w:val="num" w:pos="0"/>
      </w:tabs>
      <w:jc w:val="left"/>
    </w:pPr>
  </w:style>
  <w:style w:type="paragraph" w:customStyle="1" w:styleId="AERbodytextleftalign">
    <w:name w:val="AER body text left align"/>
    <w:basedOn w:val="AERbodytext"/>
    <w:qFormat/>
    <w:rsid w:val="00DD4E84"/>
    <w:pPr>
      <w:jc w:val="left"/>
    </w:pPr>
  </w:style>
  <w:style w:type="paragraph" w:customStyle="1" w:styleId="AERbodytextcentre">
    <w:name w:val="AER body text centre"/>
    <w:basedOn w:val="AERbodytext"/>
    <w:qFormat/>
    <w:rsid w:val="0013022D"/>
    <w:pPr>
      <w:jc w:val="center"/>
    </w:pPr>
  </w:style>
  <w:style w:type="paragraph" w:customStyle="1" w:styleId="AERbodytextnospacecentre">
    <w:name w:val="AER body text no space centre"/>
    <w:basedOn w:val="AERbodytextnospace"/>
    <w:qFormat/>
    <w:rsid w:val="0013022D"/>
    <w:pPr>
      <w:jc w:val="center"/>
    </w:pPr>
  </w:style>
  <w:style w:type="paragraph" w:customStyle="1" w:styleId="HeadingOrange">
    <w:name w:val="Heading Orange"/>
    <w:basedOn w:val="HeadingBoldItalic"/>
    <w:qFormat/>
    <w:rsid w:val="008C3722"/>
    <w:rPr>
      <w:i w:val="0"/>
      <w:sz w:val="20"/>
    </w:rPr>
  </w:style>
  <w:style w:type="paragraph" w:styleId="Revision">
    <w:name w:val="Revision"/>
    <w:hidden/>
    <w:uiPriority w:val="99"/>
    <w:semiHidden/>
    <w:rsid w:val="00394C88"/>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1"/>
      </w:numPr>
    </w:pPr>
  </w:style>
  <w:style w:type="numbering" w:customStyle="1" w:styleId="Heading1Char">
    <w:name w:val="OldAERheadings"/>
    <w:pPr>
      <w:numPr>
        <w:numId w:val="7"/>
      </w:numPr>
    </w:pPr>
  </w:style>
  <w:style w:type="numbering" w:customStyle="1" w:styleId="Heading2Char">
    <w:name w:val="AERnumberedlist"/>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54520">
      <w:bodyDiv w:val="1"/>
      <w:marLeft w:val="0"/>
      <w:marRight w:val="0"/>
      <w:marTop w:val="0"/>
      <w:marBottom w:val="0"/>
      <w:divBdr>
        <w:top w:val="none" w:sz="0" w:space="0" w:color="auto"/>
        <w:left w:val="none" w:sz="0" w:space="0" w:color="auto"/>
        <w:bottom w:val="none" w:sz="0" w:space="0" w:color="auto"/>
        <w:right w:val="none" w:sz="0" w:space="0" w:color="auto"/>
      </w:divBdr>
    </w:div>
    <w:div w:id="306857222">
      <w:bodyDiv w:val="1"/>
      <w:marLeft w:val="0"/>
      <w:marRight w:val="0"/>
      <w:marTop w:val="0"/>
      <w:marBottom w:val="0"/>
      <w:divBdr>
        <w:top w:val="none" w:sz="0" w:space="0" w:color="auto"/>
        <w:left w:val="none" w:sz="0" w:space="0" w:color="auto"/>
        <w:bottom w:val="none" w:sz="0" w:space="0" w:color="auto"/>
        <w:right w:val="none" w:sz="0" w:space="0" w:color="auto"/>
      </w:divBdr>
    </w:div>
    <w:div w:id="393625324">
      <w:bodyDiv w:val="1"/>
      <w:marLeft w:val="0"/>
      <w:marRight w:val="0"/>
      <w:marTop w:val="0"/>
      <w:marBottom w:val="0"/>
      <w:divBdr>
        <w:top w:val="none" w:sz="0" w:space="0" w:color="auto"/>
        <w:left w:val="none" w:sz="0" w:space="0" w:color="auto"/>
        <w:bottom w:val="none" w:sz="0" w:space="0" w:color="auto"/>
        <w:right w:val="none" w:sz="0" w:space="0" w:color="auto"/>
      </w:divBdr>
    </w:div>
    <w:div w:id="741605736">
      <w:bodyDiv w:val="1"/>
      <w:marLeft w:val="0"/>
      <w:marRight w:val="0"/>
      <w:marTop w:val="0"/>
      <w:marBottom w:val="0"/>
      <w:divBdr>
        <w:top w:val="none" w:sz="0" w:space="0" w:color="auto"/>
        <w:left w:val="none" w:sz="0" w:space="0" w:color="auto"/>
        <w:bottom w:val="none" w:sz="0" w:space="0" w:color="auto"/>
        <w:right w:val="none" w:sz="0" w:space="0" w:color="auto"/>
      </w:divBdr>
    </w:div>
    <w:div w:id="993216248">
      <w:bodyDiv w:val="1"/>
      <w:marLeft w:val="0"/>
      <w:marRight w:val="0"/>
      <w:marTop w:val="0"/>
      <w:marBottom w:val="0"/>
      <w:divBdr>
        <w:top w:val="none" w:sz="0" w:space="0" w:color="auto"/>
        <w:left w:val="none" w:sz="0" w:space="0" w:color="auto"/>
        <w:bottom w:val="none" w:sz="0" w:space="0" w:color="auto"/>
        <w:right w:val="none" w:sz="0" w:space="0" w:color="auto"/>
      </w:divBdr>
    </w:div>
    <w:div w:id="1540052541">
      <w:bodyDiv w:val="1"/>
      <w:marLeft w:val="0"/>
      <w:marRight w:val="0"/>
      <w:marTop w:val="0"/>
      <w:marBottom w:val="0"/>
      <w:divBdr>
        <w:top w:val="none" w:sz="0" w:space="0" w:color="auto"/>
        <w:left w:val="none" w:sz="0" w:space="0" w:color="auto"/>
        <w:bottom w:val="none" w:sz="0" w:space="0" w:color="auto"/>
        <w:right w:val="none" w:sz="0" w:space="0" w:color="auto"/>
      </w:divBdr>
    </w:div>
    <w:div w:id="201965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ERInquiry@aer.gov.au" TargetMode="External"/><Relationship Id="rId4" Type="http://schemas.openxmlformats.org/officeDocument/2006/relationships/settings" Target="settings.xml"/><Relationship Id="rId9" Type="http://schemas.openxmlformats.org/officeDocument/2006/relationships/hyperlink" Target="mailto:publishing.unit@accc.gov.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9B26F544.dotm</Template>
  <TotalTime>0</TotalTime>
  <Pages>19</Pages>
  <Words>5423</Words>
  <Characters>30912</Characters>
  <Application>Microsoft Office Word</Application>
  <DocSecurity>0</DocSecurity>
  <Lines>257</Lines>
  <Paragraphs>72</Paragraphs>
  <ScaleCrop>false</ScaleCrop>
  <Company/>
  <LinksUpToDate>false</LinksUpToDate>
  <CharactersWithSpaces>36263</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2014-11-26T04:17:00Z</dcterms:created>
  <dcterms:modified xsi:type="dcterms:W3CDTF">2014-11-26T04:17:00Z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8295730</vt:lpwstr>
  </property>
</Properties>
</file>