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EF0E19">
      <w:pPr>
        <w:pStyle w:val="AERtitle1"/>
      </w:pPr>
      <w:bookmarkStart w:id="0" w:name="_GoBack"/>
      <w:bookmarkEnd w:id="0"/>
      <w:r w:rsidRPr="00824CC8">
        <w:rPr>
          <w:noProof/>
        </w:rPr>
        <w:drawing>
          <wp:anchor distT="0" distB="0" distL="114300" distR="114300" simplePos="0" relativeHeight="251664384" behindDoc="1" locked="0" layoutInCell="1" allowOverlap="1" wp14:anchorId="567C241C" wp14:editId="73823A15">
            <wp:simplePos x="0" y="0"/>
            <wp:positionH relativeFrom="column">
              <wp:posOffset>-948513</wp:posOffset>
            </wp:positionH>
            <wp:positionV relativeFrom="paragraph">
              <wp:posOffset>-946298</wp:posOffset>
            </wp:positionV>
            <wp:extent cx="7657657" cy="10792047"/>
            <wp:effectExtent l="19050" t="0" r="443"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r>
        <w:t xml:space="preserve">Draft </w:t>
      </w:r>
      <w:r w:rsidR="00525604">
        <w:t>decision</w:t>
      </w:r>
    </w:p>
    <w:p w:rsidR="00465C62" w:rsidRDefault="00E82908" w:rsidP="00EF0E19">
      <w:pPr>
        <w:pStyle w:val="AERtitle1"/>
      </w:pPr>
      <w:r>
        <w:t>Jemena Gas Networks</w:t>
      </w:r>
      <w:r w:rsidR="00465C62">
        <w:t xml:space="preserve"> </w:t>
      </w:r>
      <w:r w:rsidR="009429FF">
        <w:t>(NSW) Ltd</w:t>
      </w:r>
    </w:p>
    <w:p w:rsidR="007F06C1" w:rsidRDefault="00465C62" w:rsidP="00EF0E19">
      <w:pPr>
        <w:pStyle w:val="AERtitle1"/>
      </w:pPr>
      <w:r>
        <w:t>Access arrangement</w:t>
      </w:r>
      <w:r w:rsidR="009429FF">
        <w:t xml:space="preserve"> 2015–20</w:t>
      </w:r>
    </w:p>
    <w:p w:rsidR="007F06C1" w:rsidRDefault="007F06C1" w:rsidP="007F06C1">
      <w:pPr>
        <w:pStyle w:val="AERtitle1"/>
      </w:pPr>
    </w:p>
    <w:p w:rsidR="00EF0E19" w:rsidRDefault="007F06C1" w:rsidP="007F06C1">
      <w:pPr>
        <w:pStyle w:val="AERtitle1"/>
      </w:pPr>
      <w:r>
        <w:t>Attachment 10 – Reference tariff setting</w:t>
      </w:r>
    </w:p>
    <w:p w:rsidR="00EF0E19" w:rsidRDefault="00EF0E19" w:rsidP="00EF0E19"/>
    <w:p w:rsidR="00EF0E19" w:rsidRPr="00F6235D" w:rsidRDefault="00EF0E19" w:rsidP="00EF0E19"/>
    <w:p w:rsidR="009429FF" w:rsidRDefault="009429FF" w:rsidP="00EF0E19">
      <w:pPr>
        <w:pStyle w:val="AERtitle2"/>
      </w:pPr>
    </w:p>
    <w:p w:rsidR="00EF0E19" w:rsidRPr="00F6235D" w:rsidRDefault="007F06C1" w:rsidP="00EF0E19">
      <w:pPr>
        <w:pStyle w:val="AERtitle2"/>
      </w:pPr>
      <w:r>
        <w:t>November</w:t>
      </w:r>
      <w:r w:rsidR="00525604">
        <w:t xml:space="preserve"> </w:t>
      </w:r>
      <w:r w:rsidR="00EF0E19">
        <w:t>20</w:t>
      </w:r>
      <w:r w:rsidR="00525604">
        <w:t>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EF0E19" w:rsidRPr="008F1A4A" w:rsidRDefault="00EF0E19" w:rsidP="00F97CD9">
      <w:pPr>
        <w:pStyle w:val="AERbodytextnospace"/>
        <w:rPr>
          <w:rStyle w:val="AERtextbold"/>
        </w:rPr>
      </w:pPr>
      <w:r w:rsidRPr="008F1A4A">
        <w:rPr>
          <w:rStyle w:val="AERtextbold"/>
        </w:rPr>
        <w:lastRenderedPageBreak/>
        <w:t>© Commonwealth of Australia 201</w:t>
      </w:r>
      <w:r w:rsidR="00525604">
        <w:rPr>
          <w:rStyle w:val="AERtextbold"/>
        </w:rPr>
        <w:t>4</w:t>
      </w:r>
    </w:p>
    <w:p w:rsidR="008E43EB" w:rsidRDefault="00EF0E19" w:rsidP="008E43EB">
      <w:r w:rsidRPr="00F6235D">
        <w:t xml:space="preserve">This work is copyright. Apart from any use permitted by the Copyright Act 1968, </w:t>
      </w:r>
      <w:r w:rsidR="008E43EB" w:rsidRPr="008E43EB">
        <w:t>all material contained within this work is provided under a Creative Commons Attribution 3.0 Australia licence</w:t>
      </w:r>
      <w:r w:rsidR="008E43EB">
        <w:t xml:space="preserve"> </w:t>
      </w:r>
      <w:r w:rsidR="008E43EB" w:rsidRPr="008E43EB">
        <w:t>with the exception of:</w:t>
      </w:r>
    </w:p>
    <w:p w:rsidR="008E43EB" w:rsidRDefault="008E43EB" w:rsidP="008E43EB">
      <w:pPr>
        <w:pStyle w:val="AERbulletlistsecondstyle"/>
      </w:pPr>
      <w:r>
        <w:t>Commonwealth Coat of Arms</w:t>
      </w:r>
    </w:p>
    <w:p w:rsidR="008E43EB" w:rsidRDefault="008E43EB" w:rsidP="008E43EB">
      <w:pPr>
        <w:pStyle w:val="AERbulletlistsecondstyle"/>
      </w:pPr>
      <w:r>
        <w:t>the ACCC and AER logos</w:t>
      </w:r>
    </w:p>
    <w:p w:rsidR="008E43EB" w:rsidRPr="008E43EB" w:rsidRDefault="008E43EB" w:rsidP="008E43EB">
      <w:pPr>
        <w:pStyle w:val="AERbulletlistsecondstyle"/>
      </w:pPr>
      <w:r w:rsidRPr="008E43EB">
        <w:t>any illustration, diagram, photograph or graphic over which the Australian Competition and Consumer Commission does not hold copyright, but which may be part of or contained within this publication</w:t>
      </w:r>
    </w:p>
    <w:p w:rsidR="008E43EB" w:rsidRPr="008E43EB" w:rsidRDefault="008E43EB" w:rsidP="008E43EB">
      <w:pPr>
        <w:pStyle w:val="AERbodytext"/>
      </w:pPr>
      <w:r w:rsidRPr="008E43EB">
        <w:t>The details of the relevant licence conditions are available on the Creative Commons website, as is the full legal code for the CC BY 3.0 AU licence.</w:t>
      </w:r>
    </w:p>
    <w:p w:rsidR="008E43EB" w:rsidRPr="008E43EB" w:rsidRDefault="008E43EB" w:rsidP="008E43EB">
      <w:pPr>
        <w:pStyle w:val="AERbodytext"/>
      </w:pPr>
      <w:r w:rsidRPr="008E43EB">
        <w:t xml:space="preserve">Requests and inquiries concerning reproduction and rights should be addressed to the Director, Corporate Communications, ACCC, GPO Box 3131, Canberra ACT 2601, or </w:t>
      </w:r>
      <w:hyperlink r:id="rId9" w:history="1">
        <w:r w:rsidRPr="008E43EB">
          <w:rPr>
            <w:rStyle w:val="Hyperlink"/>
          </w:rPr>
          <w:t>publishing.unit@accc.gov.au</w:t>
        </w:r>
      </w:hyperlink>
      <w:r w:rsidRPr="008E43EB">
        <w:t xml:space="preserve"> .</w:t>
      </w:r>
    </w:p>
    <w:p w:rsidR="008E43EB" w:rsidRDefault="008E43EB" w:rsidP="008E43EB">
      <w:pPr>
        <w:pStyle w:val="AERbodytext"/>
      </w:pPr>
      <w:r w:rsidRPr="008E43EB">
        <w:t>Inquiries about this decision should be addressed to:</w:t>
      </w:r>
    </w:p>
    <w:p w:rsidR="00EF0E19" w:rsidRDefault="00EF0E19" w:rsidP="008E43EB">
      <w:pPr>
        <w:pStyle w:val="AERbodytext"/>
        <w:numPr>
          <w:ilvl w:val="0"/>
          <w:numId w:val="0"/>
        </w:numPr>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Pr="008F1A4A" w:rsidRDefault="00EF0E19" w:rsidP="00EF0E19"/>
    <w:p w:rsidR="00EF0E19" w:rsidRDefault="00EF0E19" w:rsidP="00EF0E19">
      <w:r>
        <w:t xml:space="preserve">AER reference:   </w:t>
      </w:r>
      <w:r w:rsidR="009B0639">
        <w:t>51741</w:t>
      </w:r>
    </w:p>
    <w:p w:rsidR="003324F7" w:rsidRDefault="003324F7"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1168DE" w:rsidRPr="00627323" w:rsidRDefault="001168DE" w:rsidP="001168DE">
      <w:pPr>
        <w:pStyle w:val="UnnumberedHeading"/>
        <w:numPr>
          <w:ilvl w:val="0"/>
          <w:numId w:val="8"/>
        </w:numPr>
        <w:rPr>
          <w:rStyle w:val="AERtextblue"/>
        </w:rPr>
      </w:pPr>
      <w:bookmarkStart w:id="1" w:name="_Toc404152781"/>
      <w:bookmarkStart w:id="2" w:name="_Toc404155792"/>
      <w:r w:rsidRPr="00627323">
        <w:rPr>
          <w:rStyle w:val="AERtextblue"/>
          <w:color w:val="E36C0A"/>
        </w:rPr>
        <w:lastRenderedPageBreak/>
        <w:t>Note</w:t>
      </w:r>
      <w:bookmarkEnd w:id="1"/>
      <w:bookmarkEnd w:id="2"/>
    </w:p>
    <w:p w:rsidR="001168DE" w:rsidRDefault="001168DE" w:rsidP="001168DE">
      <w:r>
        <w:t>This attachment forms part of the AER's draft</w:t>
      </w:r>
      <w:r w:rsidR="0084155C">
        <w:t xml:space="preserve"> decision on Jemena Gas Network</w:t>
      </w:r>
      <w:r>
        <w:t>s</w:t>
      </w:r>
      <w:r w:rsidR="004C2A2F">
        <w:t>'</w:t>
      </w:r>
      <w:r>
        <w:t xml:space="preserve"> 2015–20 access arrangement. It should be read with other parts of the draft decision.</w:t>
      </w:r>
    </w:p>
    <w:p w:rsidR="001168DE" w:rsidRDefault="001168DE" w:rsidP="001168DE">
      <w:r>
        <w:t>The draft decision includes the following documents:</w:t>
      </w:r>
    </w:p>
    <w:p w:rsidR="001168DE" w:rsidRDefault="001168DE" w:rsidP="001168DE">
      <w:r>
        <w:t>Overview</w:t>
      </w:r>
    </w:p>
    <w:p w:rsidR="001168DE" w:rsidRDefault="001168DE" w:rsidP="001168DE">
      <w:r>
        <w:t>Attachment 1 – services covered by the access arrangement</w:t>
      </w:r>
    </w:p>
    <w:p w:rsidR="001168DE" w:rsidRDefault="001168DE" w:rsidP="001168DE">
      <w:r>
        <w:t>Attachment 2 – capital base</w:t>
      </w:r>
    </w:p>
    <w:p w:rsidR="001168DE" w:rsidRDefault="001168DE" w:rsidP="001168DE">
      <w:r>
        <w:t>Attachment 3 – rate of return</w:t>
      </w:r>
    </w:p>
    <w:p w:rsidR="001168DE" w:rsidRDefault="001168DE" w:rsidP="001168DE">
      <w:r>
        <w:t>Attachment 4 – value of imputation credits</w:t>
      </w:r>
    </w:p>
    <w:p w:rsidR="001168DE" w:rsidRDefault="001168DE" w:rsidP="001168DE">
      <w:r>
        <w:t>Attachment 5 – regulatory depreciation</w:t>
      </w:r>
    </w:p>
    <w:p w:rsidR="001168DE" w:rsidRDefault="001168DE" w:rsidP="001168DE">
      <w:r>
        <w:t>Attachment 6 – capital expenditure</w:t>
      </w:r>
      <w:r w:rsidRPr="0012445F">
        <w:t xml:space="preserve"> </w:t>
      </w:r>
    </w:p>
    <w:p w:rsidR="001168DE" w:rsidRDefault="001168DE" w:rsidP="001168DE">
      <w:r>
        <w:t>Attachment 7 – operating expenditure</w:t>
      </w:r>
    </w:p>
    <w:p w:rsidR="001168DE" w:rsidRDefault="001168DE" w:rsidP="001168DE">
      <w:r>
        <w:t>Attachment 8 – corporate income tax</w:t>
      </w:r>
    </w:p>
    <w:p w:rsidR="00256C61" w:rsidRPr="00256C61" w:rsidRDefault="00256C61" w:rsidP="00256C61">
      <w:r w:rsidRPr="00256C61">
        <w:t>Attachment 9 – efficiency carryover mechanism</w:t>
      </w:r>
    </w:p>
    <w:p w:rsidR="001168DE" w:rsidRDefault="001168DE" w:rsidP="001168DE">
      <w:r w:rsidRPr="00DF268E">
        <w:t xml:space="preserve">Attachment </w:t>
      </w:r>
      <w:r>
        <w:t>10</w:t>
      </w:r>
      <w:r w:rsidRPr="00DF268E">
        <w:t xml:space="preserve"> –</w:t>
      </w:r>
      <w:r>
        <w:t xml:space="preserve"> reference tariff setting</w:t>
      </w:r>
    </w:p>
    <w:p w:rsidR="001168DE" w:rsidRDefault="001168DE" w:rsidP="001168DE">
      <w:r w:rsidRPr="00DF268E">
        <w:t>Attachment 1</w:t>
      </w:r>
      <w:r>
        <w:t>1 – reference tariff variation mechanism</w:t>
      </w:r>
    </w:p>
    <w:p w:rsidR="001168DE" w:rsidRDefault="001168DE" w:rsidP="001168DE">
      <w:r w:rsidRPr="00DF268E">
        <w:t>Attachment 1</w:t>
      </w:r>
      <w:r>
        <w:t>2</w:t>
      </w:r>
      <w:r w:rsidRPr="00DF268E">
        <w:t xml:space="preserve"> –</w:t>
      </w:r>
      <w:r>
        <w:t xml:space="preserve"> non-tariff components</w:t>
      </w:r>
    </w:p>
    <w:p w:rsidR="001B21EC" w:rsidRPr="0012445F" w:rsidRDefault="001B21EC" w:rsidP="001168DE">
      <w:r>
        <w:t>Attachment 13 - demand</w:t>
      </w: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F54216" w:rsidRDefault="00F54216" w:rsidP="00525604">
      <w:pPr>
        <w:pStyle w:val="AERbodytext"/>
        <w:numPr>
          <w:ilvl w:val="0"/>
          <w:numId w:val="0"/>
        </w:numPr>
      </w:pPr>
    </w:p>
    <w:p w:rsidR="00525604" w:rsidRDefault="00525604" w:rsidP="00525604">
      <w:pPr>
        <w:pStyle w:val="AERbodytext"/>
        <w:numPr>
          <w:ilvl w:val="0"/>
          <w:numId w:val="0"/>
        </w:numPr>
      </w:pPr>
    </w:p>
    <w:p w:rsidR="00525604" w:rsidRDefault="00525604" w:rsidP="00F54216">
      <w:pPr>
        <w:pStyle w:val="UnnumberedHeading"/>
      </w:pPr>
      <w:bookmarkStart w:id="3" w:name="_Toc404173772"/>
      <w:r>
        <w:lastRenderedPageBreak/>
        <w:t>Contents</w:t>
      </w:r>
      <w:bookmarkEnd w:id="3"/>
    </w:p>
    <w:sdt>
      <w:sdtPr>
        <w:rPr>
          <w:rFonts w:ascii="Gautami" w:eastAsia="Calibri" w:hAnsi="Gautami"/>
          <w:b w:val="0"/>
          <w:bCs w:val="0"/>
          <w:color w:val="auto"/>
          <w:sz w:val="20"/>
          <w:szCs w:val="20"/>
          <w:lang w:val="en-AU"/>
        </w:rPr>
        <w:id w:val="2131349066"/>
        <w:docPartObj>
          <w:docPartGallery w:val="Table of Contents"/>
          <w:docPartUnique/>
        </w:docPartObj>
      </w:sdtPr>
      <w:sdtEndPr/>
      <w:sdtContent>
        <w:p w:rsidR="0084378B" w:rsidRPr="0084378B" w:rsidRDefault="0084378B">
          <w:pPr>
            <w:pStyle w:val="TOCHeading"/>
          </w:pPr>
        </w:p>
        <w:p w:rsidR="001168DE" w:rsidRDefault="0084378B">
          <w:pPr>
            <w:pStyle w:val="TOC1"/>
            <w:tabs>
              <w:tab w:val="right" w:leader="dot" w:pos="9016"/>
            </w:tabs>
            <w:rPr>
              <w:rFonts w:asciiTheme="minorHAnsi" w:eastAsiaTheme="minorEastAsia" w:hAnsiTheme="minorHAnsi" w:cstheme="minorBidi"/>
              <w:b w:val="0"/>
              <w:bCs w:val="0"/>
              <w:noProof/>
              <w:sz w:val="22"/>
              <w:szCs w:val="22"/>
              <w:lang w:eastAsia="en-AU"/>
            </w:rPr>
          </w:pPr>
          <w:r w:rsidRPr="0084378B">
            <w:fldChar w:fldCharType="begin"/>
          </w:r>
          <w:r w:rsidRPr="0084378B">
            <w:instrText xml:space="preserve"> TOC \o "1-3" \h \z \u </w:instrText>
          </w:r>
          <w:r w:rsidRPr="0084378B">
            <w:fldChar w:fldCharType="separate"/>
          </w:r>
          <w:hyperlink w:anchor="_Toc404173772" w:history="1">
            <w:r w:rsidR="001168DE" w:rsidRPr="006C79E8">
              <w:rPr>
                <w:rStyle w:val="Hyperlink"/>
                <w:noProof/>
              </w:rPr>
              <w:t>Contents</w:t>
            </w:r>
            <w:r w:rsidR="001168DE">
              <w:rPr>
                <w:noProof/>
                <w:webHidden/>
              </w:rPr>
              <w:tab/>
            </w:r>
            <w:r w:rsidR="001168DE">
              <w:rPr>
                <w:noProof/>
                <w:webHidden/>
              </w:rPr>
              <w:fldChar w:fldCharType="begin"/>
            </w:r>
            <w:r w:rsidR="001168DE">
              <w:rPr>
                <w:noProof/>
                <w:webHidden/>
              </w:rPr>
              <w:instrText xml:space="preserve"> PAGEREF _Toc404173772 \h </w:instrText>
            </w:r>
            <w:r w:rsidR="001168DE">
              <w:rPr>
                <w:noProof/>
                <w:webHidden/>
              </w:rPr>
            </w:r>
            <w:r w:rsidR="001168DE">
              <w:rPr>
                <w:noProof/>
                <w:webHidden/>
              </w:rPr>
              <w:fldChar w:fldCharType="separate"/>
            </w:r>
            <w:r w:rsidR="001168DE">
              <w:rPr>
                <w:noProof/>
                <w:webHidden/>
              </w:rPr>
              <w:t>10-4</w:t>
            </w:r>
            <w:r w:rsidR="001168DE">
              <w:rPr>
                <w:noProof/>
                <w:webHidden/>
              </w:rPr>
              <w:fldChar w:fldCharType="end"/>
            </w:r>
          </w:hyperlink>
        </w:p>
        <w:p w:rsidR="001168DE" w:rsidRDefault="00C60FC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73773" w:history="1">
            <w:r w:rsidR="001168DE" w:rsidRPr="006C79E8">
              <w:rPr>
                <w:rStyle w:val="Hyperlink"/>
                <w:noProof/>
              </w:rPr>
              <w:t>Shortened forms</w:t>
            </w:r>
            <w:r w:rsidR="001168DE">
              <w:rPr>
                <w:noProof/>
                <w:webHidden/>
              </w:rPr>
              <w:tab/>
            </w:r>
            <w:r w:rsidR="001168DE">
              <w:rPr>
                <w:noProof/>
                <w:webHidden/>
              </w:rPr>
              <w:fldChar w:fldCharType="begin"/>
            </w:r>
            <w:r w:rsidR="001168DE">
              <w:rPr>
                <w:noProof/>
                <w:webHidden/>
              </w:rPr>
              <w:instrText xml:space="preserve"> PAGEREF _Toc404173773 \h </w:instrText>
            </w:r>
            <w:r w:rsidR="001168DE">
              <w:rPr>
                <w:noProof/>
                <w:webHidden/>
              </w:rPr>
            </w:r>
            <w:r w:rsidR="001168DE">
              <w:rPr>
                <w:noProof/>
                <w:webHidden/>
              </w:rPr>
              <w:fldChar w:fldCharType="separate"/>
            </w:r>
            <w:r w:rsidR="001168DE">
              <w:rPr>
                <w:noProof/>
                <w:webHidden/>
              </w:rPr>
              <w:t>10-5</w:t>
            </w:r>
            <w:r w:rsidR="001168DE">
              <w:rPr>
                <w:noProof/>
                <w:webHidden/>
              </w:rPr>
              <w:fldChar w:fldCharType="end"/>
            </w:r>
          </w:hyperlink>
        </w:p>
        <w:p w:rsidR="001168DE" w:rsidRDefault="00C60FC4">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173774" w:history="1">
            <w:r w:rsidR="001168DE" w:rsidRPr="006C79E8">
              <w:rPr>
                <w:rStyle w:val="Hyperlink"/>
                <w:noProof/>
              </w:rPr>
              <w:t>10</w:t>
            </w:r>
            <w:r w:rsidR="001168DE">
              <w:rPr>
                <w:rFonts w:asciiTheme="minorHAnsi" w:eastAsiaTheme="minorEastAsia" w:hAnsiTheme="minorHAnsi" w:cstheme="minorBidi"/>
                <w:b w:val="0"/>
                <w:bCs w:val="0"/>
                <w:noProof/>
                <w:sz w:val="22"/>
                <w:szCs w:val="22"/>
                <w:lang w:eastAsia="en-AU"/>
              </w:rPr>
              <w:tab/>
            </w:r>
            <w:r w:rsidR="001168DE" w:rsidRPr="006C79E8">
              <w:rPr>
                <w:rStyle w:val="Hyperlink"/>
                <w:noProof/>
              </w:rPr>
              <w:t>Reference tariff setting – distribution pipelines</w:t>
            </w:r>
            <w:r w:rsidR="001168DE">
              <w:rPr>
                <w:noProof/>
                <w:webHidden/>
              </w:rPr>
              <w:tab/>
            </w:r>
            <w:r w:rsidR="001168DE">
              <w:rPr>
                <w:noProof/>
                <w:webHidden/>
              </w:rPr>
              <w:fldChar w:fldCharType="begin"/>
            </w:r>
            <w:r w:rsidR="001168DE">
              <w:rPr>
                <w:noProof/>
                <w:webHidden/>
              </w:rPr>
              <w:instrText xml:space="preserve"> PAGEREF _Toc404173774 \h </w:instrText>
            </w:r>
            <w:r w:rsidR="001168DE">
              <w:rPr>
                <w:noProof/>
                <w:webHidden/>
              </w:rPr>
            </w:r>
            <w:r w:rsidR="001168DE">
              <w:rPr>
                <w:noProof/>
                <w:webHidden/>
              </w:rPr>
              <w:fldChar w:fldCharType="separate"/>
            </w:r>
            <w:r w:rsidR="001168DE">
              <w:rPr>
                <w:noProof/>
                <w:webHidden/>
              </w:rPr>
              <w:t>10-6</w:t>
            </w:r>
            <w:r w:rsidR="001168DE">
              <w:rPr>
                <w:noProof/>
                <w:webHidden/>
              </w:rPr>
              <w:fldChar w:fldCharType="end"/>
            </w:r>
          </w:hyperlink>
        </w:p>
        <w:p w:rsidR="001168DE" w:rsidRDefault="00C60FC4">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3775" w:history="1">
            <w:r w:rsidR="001168DE" w:rsidRPr="006C79E8">
              <w:rPr>
                <w:rStyle w:val="Hyperlink"/>
                <w:noProof/>
              </w:rPr>
              <w:t>10.1</w:t>
            </w:r>
            <w:r w:rsidR="001168DE">
              <w:rPr>
                <w:rFonts w:asciiTheme="minorHAnsi" w:eastAsiaTheme="minorEastAsia" w:hAnsiTheme="minorHAnsi" w:cstheme="minorBidi"/>
                <w:iCs w:val="0"/>
                <w:noProof/>
                <w:sz w:val="22"/>
                <w:szCs w:val="22"/>
                <w:lang w:eastAsia="en-AU"/>
              </w:rPr>
              <w:tab/>
            </w:r>
            <w:r w:rsidR="001168DE" w:rsidRPr="006C79E8">
              <w:rPr>
                <w:rStyle w:val="Hyperlink"/>
                <w:noProof/>
              </w:rPr>
              <w:t>Draft decision</w:t>
            </w:r>
            <w:r w:rsidR="001168DE">
              <w:rPr>
                <w:noProof/>
                <w:webHidden/>
              </w:rPr>
              <w:tab/>
            </w:r>
            <w:r w:rsidR="001168DE">
              <w:rPr>
                <w:noProof/>
                <w:webHidden/>
              </w:rPr>
              <w:fldChar w:fldCharType="begin"/>
            </w:r>
            <w:r w:rsidR="001168DE">
              <w:rPr>
                <w:noProof/>
                <w:webHidden/>
              </w:rPr>
              <w:instrText xml:space="preserve"> PAGEREF _Toc404173775 \h </w:instrText>
            </w:r>
            <w:r w:rsidR="001168DE">
              <w:rPr>
                <w:noProof/>
                <w:webHidden/>
              </w:rPr>
            </w:r>
            <w:r w:rsidR="001168DE">
              <w:rPr>
                <w:noProof/>
                <w:webHidden/>
              </w:rPr>
              <w:fldChar w:fldCharType="separate"/>
            </w:r>
            <w:r w:rsidR="001168DE">
              <w:rPr>
                <w:noProof/>
                <w:webHidden/>
              </w:rPr>
              <w:t>10-6</w:t>
            </w:r>
            <w:r w:rsidR="001168DE">
              <w:rPr>
                <w:noProof/>
                <w:webHidden/>
              </w:rPr>
              <w:fldChar w:fldCharType="end"/>
            </w:r>
          </w:hyperlink>
        </w:p>
        <w:p w:rsidR="001168DE" w:rsidRDefault="00C60FC4">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3776" w:history="1">
            <w:r w:rsidR="001168DE" w:rsidRPr="006C79E8">
              <w:rPr>
                <w:rStyle w:val="Hyperlink"/>
                <w:noProof/>
              </w:rPr>
              <w:t>10.2</w:t>
            </w:r>
            <w:r w:rsidR="001168DE">
              <w:rPr>
                <w:rFonts w:asciiTheme="minorHAnsi" w:eastAsiaTheme="minorEastAsia" w:hAnsiTheme="minorHAnsi" w:cstheme="minorBidi"/>
                <w:iCs w:val="0"/>
                <w:noProof/>
                <w:sz w:val="22"/>
                <w:szCs w:val="22"/>
                <w:lang w:eastAsia="en-AU"/>
              </w:rPr>
              <w:tab/>
            </w:r>
            <w:r w:rsidR="001168DE" w:rsidRPr="006C79E8">
              <w:rPr>
                <w:rStyle w:val="Hyperlink"/>
                <w:noProof/>
              </w:rPr>
              <w:t>JGN's proposal</w:t>
            </w:r>
            <w:r w:rsidR="001168DE">
              <w:rPr>
                <w:noProof/>
                <w:webHidden/>
              </w:rPr>
              <w:tab/>
            </w:r>
            <w:r w:rsidR="001168DE">
              <w:rPr>
                <w:noProof/>
                <w:webHidden/>
              </w:rPr>
              <w:fldChar w:fldCharType="begin"/>
            </w:r>
            <w:r w:rsidR="001168DE">
              <w:rPr>
                <w:noProof/>
                <w:webHidden/>
              </w:rPr>
              <w:instrText xml:space="preserve"> PAGEREF _Toc404173776 \h </w:instrText>
            </w:r>
            <w:r w:rsidR="001168DE">
              <w:rPr>
                <w:noProof/>
                <w:webHidden/>
              </w:rPr>
            </w:r>
            <w:r w:rsidR="001168DE">
              <w:rPr>
                <w:noProof/>
                <w:webHidden/>
              </w:rPr>
              <w:fldChar w:fldCharType="separate"/>
            </w:r>
            <w:r w:rsidR="001168DE">
              <w:rPr>
                <w:noProof/>
                <w:webHidden/>
              </w:rPr>
              <w:t>10-6</w:t>
            </w:r>
            <w:r w:rsidR="001168DE">
              <w:rPr>
                <w:noProof/>
                <w:webHidden/>
              </w:rPr>
              <w:fldChar w:fldCharType="end"/>
            </w:r>
          </w:hyperlink>
        </w:p>
        <w:p w:rsidR="001168DE" w:rsidRDefault="00C60FC4">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3777" w:history="1">
            <w:r w:rsidR="001168DE" w:rsidRPr="006C79E8">
              <w:rPr>
                <w:rStyle w:val="Hyperlink"/>
                <w:noProof/>
              </w:rPr>
              <w:t>10.3</w:t>
            </w:r>
            <w:r w:rsidR="001168DE">
              <w:rPr>
                <w:rFonts w:asciiTheme="minorHAnsi" w:eastAsiaTheme="minorEastAsia" w:hAnsiTheme="minorHAnsi" w:cstheme="minorBidi"/>
                <w:iCs w:val="0"/>
                <w:noProof/>
                <w:sz w:val="22"/>
                <w:szCs w:val="22"/>
                <w:lang w:eastAsia="en-AU"/>
              </w:rPr>
              <w:tab/>
            </w:r>
            <w:r w:rsidR="001168DE" w:rsidRPr="006C79E8">
              <w:rPr>
                <w:rStyle w:val="Hyperlink"/>
                <w:noProof/>
              </w:rPr>
              <w:t>Assessment approach</w:t>
            </w:r>
            <w:r w:rsidR="001168DE">
              <w:rPr>
                <w:noProof/>
                <w:webHidden/>
              </w:rPr>
              <w:tab/>
            </w:r>
            <w:r w:rsidR="001168DE">
              <w:rPr>
                <w:noProof/>
                <w:webHidden/>
              </w:rPr>
              <w:fldChar w:fldCharType="begin"/>
            </w:r>
            <w:r w:rsidR="001168DE">
              <w:rPr>
                <w:noProof/>
                <w:webHidden/>
              </w:rPr>
              <w:instrText xml:space="preserve"> PAGEREF _Toc404173777 \h </w:instrText>
            </w:r>
            <w:r w:rsidR="001168DE">
              <w:rPr>
                <w:noProof/>
                <w:webHidden/>
              </w:rPr>
            </w:r>
            <w:r w:rsidR="001168DE">
              <w:rPr>
                <w:noProof/>
                <w:webHidden/>
              </w:rPr>
              <w:fldChar w:fldCharType="separate"/>
            </w:r>
            <w:r w:rsidR="001168DE">
              <w:rPr>
                <w:noProof/>
                <w:webHidden/>
              </w:rPr>
              <w:t>10-8</w:t>
            </w:r>
            <w:r w:rsidR="001168DE">
              <w:rPr>
                <w:noProof/>
                <w:webHidden/>
              </w:rPr>
              <w:fldChar w:fldCharType="end"/>
            </w:r>
          </w:hyperlink>
        </w:p>
        <w:p w:rsidR="001168DE" w:rsidRDefault="00C60FC4">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3778" w:history="1">
            <w:r w:rsidR="001168DE" w:rsidRPr="006C79E8">
              <w:rPr>
                <w:rStyle w:val="Hyperlink"/>
                <w:noProof/>
              </w:rPr>
              <w:t>10.4</w:t>
            </w:r>
            <w:r w:rsidR="001168DE">
              <w:rPr>
                <w:rFonts w:asciiTheme="minorHAnsi" w:eastAsiaTheme="minorEastAsia" w:hAnsiTheme="minorHAnsi" w:cstheme="minorBidi"/>
                <w:iCs w:val="0"/>
                <w:noProof/>
                <w:sz w:val="22"/>
                <w:szCs w:val="22"/>
                <w:lang w:eastAsia="en-AU"/>
              </w:rPr>
              <w:tab/>
            </w:r>
            <w:r w:rsidR="001168DE" w:rsidRPr="006C79E8">
              <w:rPr>
                <w:rStyle w:val="Hyperlink"/>
                <w:noProof/>
              </w:rPr>
              <w:t>Reasons for draft decision</w:t>
            </w:r>
            <w:r w:rsidR="001168DE">
              <w:rPr>
                <w:noProof/>
                <w:webHidden/>
              </w:rPr>
              <w:tab/>
            </w:r>
            <w:r w:rsidR="001168DE">
              <w:rPr>
                <w:noProof/>
                <w:webHidden/>
              </w:rPr>
              <w:fldChar w:fldCharType="begin"/>
            </w:r>
            <w:r w:rsidR="001168DE">
              <w:rPr>
                <w:noProof/>
                <w:webHidden/>
              </w:rPr>
              <w:instrText xml:space="preserve"> PAGEREF _Toc404173778 \h </w:instrText>
            </w:r>
            <w:r w:rsidR="001168DE">
              <w:rPr>
                <w:noProof/>
                <w:webHidden/>
              </w:rPr>
            </w:r>
            <w:r w:rsidR="001168DE">
              <w:rPr>
                <w:noProof/>
                <w:webHidden/>
              </w:rPr>
              <w:fldChar w:fldCharType="separate"/>
            </w:r>
            <w:r w:rsidR="001168DE">
              <w:rPr>
                <w:noProof/>
                <w:webHidden/>
              </w:rPr>
              <w:t>10-10</w:t>
            </w:r>
            <w:r w:rsidR="001168DE">
              <w:rPr>
                <w:noProof/>
                <w:webHidden/>
              </w:rPr>
              <w:fldChar w:fldCharType="end"/>
            </w:r>
          </w:hyperlink>
        </w:p>
        <w:p w:rsidR="001168DE" w:rsidRDefault="00C60FC4">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3779" w:history="1">
            <w:r w:rsidR="001168DE" w:rsidRPr="006C79E8">
              <w:rPr>
                <w:rStyle w:val="Hyperlink"/>
                <w:noProof/>
              </w:rPr>
              <w:t>10.5</w:t>
            </w:r>
            <w:r w:rsidR="001168DE">
              <w:rPr>
                <w:rFonts w:asciiTheme="minorHAnsi" w:eastAsiaTheme="minorEastAsia" w:hAnsiTheme="minorHAnsi" w:cstheme="minorBidi"/>
                <w:iCs w:val="0"/>
                <w:noProof/>
                <w:sz w:val="22"/>
                <w:szCs w:val="22"/>
                <w:lang w:eastAsia="en-AU"/>
              </w:rPr>
              <w:tab/>
            </w:r>
            <w:r w:rsidR="001168DE" w:rsidRPr="006C79E8">
              <w:rPr>
                <w:rStyle w:val="Hyperlink"/>
                <w:noProof/>
              </w:rPr>
              <w:t>Allocation of revenues and costs to reference tariffs</w:t>
            </w:r>
            <w:r w:rsidR="001168DE">
              <w:rPr>
                <w:noProof/>
                <w:webHidden/>
              </w:rPr>
              <w:tab/>
            </w:r>
            <w:r w:rsidR="001168DE">
              <w:rPr>
                <w:noProof/>
                <w:webHidden/>
              </w:rPr>
              <w:fldChar w:fldCharType="begin"/>
            </w:r>
            <w:r w:rsidR="001168DE">
              <w:rPr>
                <w:noProof/>
                <w:webHidden/>
              </w:rPr>
              <w:instrText xml:space="preserve"> PAGEREF _Toc404173779 \h </w:instrText>
            </w:r>
            <w:r w:rsidR="001168DE">
              <w:rPr>
                <w:noProof/>
                <w:webHidden/>
              </w:rPr>
            </w:r>
            <w:r w:rsidR="001168DE">
              <w:rPr>
                <w:noProof/>
                <w:webHidden/>
              </w:rPr>
              <w:fldChar w:fldCharType="separate"/>
            </w:r>
            <w:r w:rsidR="001168DE">
              <w:rPr>
                <w:noProof/>
                <w:webHidden/>
              </w:rPr>
              <w:t>10-10</w:t>
            </w:r>
            <w:r w:rsidR="001168DE">
              <w:rPr>
                <w:noProof/>
                <w:webHidden/>
              </w:rPr>
              <w:fldChar w:fldCharType="end"/>
            </w:r>
          </w:hyperlink>
        </w:p>
        <w:p w:rsidR="001168DE" w:rsidRDefault="00C60FC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3780" w:history="1">
            <w:r w:rsidR="001168DE" w:rsidRPr="006C79E8">
              <w:rPr>
                <w:rStyle w:val="Hyperlink"/>
                <w:noProof/>
              </w:rPr>
              <w:t>10.5.1</w:t>
            </w:r>
            <w:r w:rsidR="001168DE">
              <w:rPr>
                <w:rFonts w:asciiTheme="minorHAnsi" w:eastAsiaTheme="minorEastAsia" w:hAnsiTheme="minorHAnsi" w:cstheme="minorBidi"/>
                <w:noProof/>
                <w:sz w:val="22"/>
                <w:szCs w:val="22"/>
                <w:lang w:eastAsia="en-AU"/>
              </w:rPr>
              <w:tab/>
            </w:r>
            <w:r w:rsidR="001168DE" w:rsidRPr="006C79E8">
              <w:rPr>
                <w:rStyle w:val="Hyperlink"/>
                <w:noProof/>
              </w:rPr>
              <w:t>Establishment of tariff classes</w:t>
            </w:r>
            <w:r w:rsidR="001168DE">
              <w:rPr>
                <w:noProof/>
                <w:webHidden/>
              </w:rPr>
              <w:tab/>
            </w:r>
            <w:r w:rsidR="001168DE">
              <w:rPr>
                <w:noProof/>
                <w:webHidden/>
              </w:rPr>
              <w:fldChar w:fldCharType="begin"/>
            </w:r>
            <w:r w:rsidR="001168DE">
              <w:rPr>
                <w:noProof/>
                <w:webHidden/>
              </w:rPr>
              <w:instrText xml:space="preserve"> PAGEREF _Toc404173780 \h </w:instrText>
            </w:r>
            <w:r w:rsidR="001168DE">
              <w:rPr>
                <w:noProof/>
                <w:webHidden/>
              </w:rPr>
            </w:r>
            <w:r w:rsidR="001168DE">
              <w:rPr>
                <w:noProof/>
                <w:webHidden/>
              </w:rPr>
              <w:fldChar w:fldCharType="separate"/>
            </w:r>
            <w:r w:rsidR="001168DE">
              <w:rPr>
                <w:noProof/>
                <w:webHidden/>
              </w:rPr>
              <w:t>10-10</w:t>
            </w:r>
            <w:r w:rsidR="001168DE">
              <w:rPr>
                <w:noProof/>
                <w:webHidden/>
              </w:rPr>
              <w:fldChar w:fldCharType="end"/>
            </w:r>
          </w:hyperlink>
        </w:p>
        <w:p w:rsidR="001168DE" w:rsidRDefault="00C60FC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3781" w:history="1">
            <w:r w:rsidR="001168DE" w:rsidRPr="006C79E8">
              <w:rPr>
                <w:rStyle w:val="Hyperlink"/>
                <w:noProof/>
              </w:rPr>
              <w:t>10.5.2</w:t>
            </w:r>
            <w:r w:rsidR="001168DE">
              <w:rPr>
                <w:rFonts w:asciiTheme="minorHAnsi" w:eastAsiaTheme="minorEastAsia" w:hAnsiTheme="minorHAnsi" w:cstheme="minorBidi"/>
                <w:noProof/>
                <w:sz w:val="22"/>
                <w:szCs w:val="22"/>
                <w:lang w:eastAsia="en-AU"/>
              </w:rPr>
              <w:tab/>
            </w:r>
            <w:r w:rsidR="001168DE" w:rsidRPr="006C79E8">
              <w:rPr>
                <w:rStyle w:val="Hyperlink"/>
                <w:noProof/>
              </w:rPr>
              <w:t>Other issues raised by retailers</w:t>
            </w:r>
            <w:r w:rsidR="001168DE">
              <w:rPr>
                <w:noProof/>
                <w:webHidden/>
              </w:rPr>
              <w:tab/>
            </w:r>
            <w:r w:rsidR="001168DE">
              <w:rPr>
                <w:noProof/>
                <w:webHidden/>
              </w:rPr>
              <w:fldChar w:fldCharType="begin"/>
            </w:r>
            <w:r w:rsidR="001168DE">
              <w:rPr>
                <w:noProof/>
                <w:webHidden/>
              </w:rPr>
              <w:instrText xml:space="preserve"> PAGEREF _Toc404173781 \h </w:instrText>
            </w:r>
            <w:r w:rsidR="001168DE">
              <w:rPr>
                <w:noProof/>
                <w:webHidden/>
              </w:rPr>
            </w:r>
            <w:r w:rsidR="001168DE">
              <w:rPr>
                <w:noProof/>
                <w:webHidden/>
              </w:rPr>
              <w:fldChar w:fldCharType="separate"/>
            </w:r>
            <w:r w:rsidR="001168DE">
              <w:rPr>
                <w:noProof/>
                <w:webHidden/>
              </w:rPr>
              <w:t>10-15</w:t>
            </w:r>
            <w:r w:rsidR="001168DE">
              <w:rPr>
                <w:noProof/>
                <w:webHidden/>
              </w:rPr>
              <w:fldChar w:fldCharType="end"/>
            </w:r>
          </w:hyperlink>
        </w:p>
        <w:p w:rsidR="001168DE" w:rsidRDefault="00C60FC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3782" w:history="1">
            <w:r w:rsidR="001168DE" w:rsidRPr="006C79E8">
              <w:rPr>
                <w:rStyle w:val="Hyperlink"/>
                <w:noProof/>
              </w:rPr>
              <w:t>10.5.3</w:t>
            </w:r>
            <w:r w:rsidR="001168DE">
              <w:rPr>
                <w:rFonts w:asciiTheme="minorHAnsi" w:eastAsiaTheme="minorEastAsia" w:hAnsiTheme="minorHAnsi" w:cstheme="minorBidi"/>
                <w:noProof/>
                <w:sz w:val="22"/>
                <w:szCs w:val="22"/>
                <w:lang w:eastAsia="en-AU"/>
              </w:rPr>
              <w:tab/>
            </w:r>
            <w:r w:rsidR="001168DE" w:rsidRPr="006C79E8">
              <w:rPr>
                <w:rStyle w:val="Hyperlink"/>
                <w:noProof/>
              </w:rPr>
              <w:t>Introduction and withdrawal of reference tariffs</w:t>
            </w:r>
            <w:r w:rsidR="001168DE">
              <w:rPr>
                <w:noProof/>
                <w:webHidden/>
              </w:rPr>
              <w:tab/>
            </w:r>
            <w:r w:rsidR="001168DE">
              <w:rPr>
                <w:noProof/>
                <w:webHidden/>
              </w:rPr>
              <w:fldChar w:fldCharType="begin"/>
            </w:r>
            <w:r w:rsidR="001168DE">
              <w:rPr>
                <w:noProof/>
                <w:webHidden/>
              </w:rPr>
              <w:instrText xml:space="preserve"> PAGEREF _Toc404173782 \h </w:instrText>
            </w:r>
            <w:r w:rsidR="001168DE">
              <w:rPr>
                <w:noProof/>
                <w:webHidden/>
              </w:rPr>
            </w:r>
            <w:r w:rsidR="001168DE">
              <w:rPr>
                <w:noProof/>
                <w:webHidden/>
              </w:rPr>
              <w:fldChar w:fldCharType="separate"/>
            </w:r>
            <w:r w:rsidR="001168DE">
              <w:rPr>
                <w:noProof/>
                <w:webHidden/>
              </w:rPr>
              <w:t>10-17</w:t>
            </w:r>
            <w:r w:rsidR="001168DE">
              <w:rPr>
                <w:noProof/>
                <w:webHidden/>
              </w:rPr>
              <w:fldChar w:fldCharType="end"/>
            </w:r>
          </w:hyperlink>
        </w:p>
        <w:p w:rsidR="001168DE" w:rsidRDefault="00C60FC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3783" w:history="1">
            <w:r w:rsidR="001168DE" w:rsidRPr="006C79E8">
              <w:rPr>
                <w:rStyle w:val="Hyperlink"/>
                <w:noProof/>
              </w:rPr>
              <w:t>10.5.4</w:t>
            </w:r>
            <w:r w:rsidR="001168DE">
              <w:rPr>
                <w:rFonts w:asciiTheme="minorHAnsi" w:eastAsiaTheme="minorEastAsia" w:hAnsiTheme="minorHAnsi" w:cstheme="minorBidi"/>
                <w:noProof/>
                <w:sz w:val="22"/>
                <w:szCs w:val="22"/>
                <w:lang w:eastAsia="en-AU"/>
              </w:rPr>
              <w:tab/>
            </w:r>
            <w:r w:rsidR="001168DE" w:rsidRPr="006C79E8">
              <w:rPr>
                <w:rStyle w:val="Hyperlink"/>
                <w:noProof/>
              </w:rPr>
              <w:t>Prudent discount</w:t>
            </w:r>
            <w:r w:rsidR="001168DE">
              <w:rPr>
                <w:noProof/>
                <w:webHidden/>
              </w:rPr>
              <w:tab/>
            </w:r>
            <w:r w:rsidR="001168DE">
              <w:rPr>
                <w:noProof/>
                <w:webHidden/>
              </w:rPr>
              <w:fldChar w:fldCharType="begin"/>
            </w:r>
            <w:r w:rsidR="001168DE">
              <w:rPr>
                <w:noProof/>
                <w:webHidden/>
              </w:rPr>
              <w:instrText xml:space="preserve"> PAGEREF _Toc404173783 \h </w:instrText>
            </w:r>
            <w:r w:rsidR="001168DE">
              <w:rPr>
                <w:noProof/>
                <w:webHidden/>
              </w:rPr>
            </w:r>
            <w:r w:rsidR="001168DE">
              <w:rPr>
                <w:noProof/>
                <w:webHidden/>
              </w:rPr>
              <w:fldChar w:fldCharType="separate"/>
            </w:r>
            <w:r w:rsidR="001168DE">
              <w:rPr>
                <w:noProof/>
                <w:webHidden/>
              </w:rPr>
              <w:t>10-17</w:t>
            </w:r>
            <w:r w:rsidR="001168DE">
              <w:rPr>
                <w:noProof/>
                <w:webHidden/>
              </w:rPr>
              <w:fldChar w:fldCharType="end"/>
            </w:r>
          </w:hyperlink>
        </w:p>
        <w:p w:rsidR="001168DE" w:rsidRDefault="00C60FC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3784" w:history="1">
            <w:r w:rsidR="001168DE" w:rsidRPr="006C79E8">
              <w:rPr>
                <w:rStyle w:val="Hyperlink"/>
                <w:noProof/>
              </w:rPr>
              <w:t>10.5.5</w:t>
            </w:r>
            <w:r w:rsidR="001168DE">
              <w:rPr>
                <w:rFonts w:asciiTheme="minorHAnsi" w:eastAsiaTheme="minorEastAsia" w:hAnsiTheme="minorHAnsi" w:cstheme="minorBidi"/>
                <w:noProof/>
                <w:sz w:val="22"/>
                <w:szCs w:val="22"/>
                <w:lang w:eastAsia="en-AU"/>
              </w:rPr>
              <w:tab/>
            </w:r>
            <w:r w:rsidR="001168DE" w:rsidRPr="006C79E8">
              <w:rPr>
                <w:rStyle w:val="Hyperlink"/>
                <w:noProof/>
              </w:rPr>
              <w:t>Revisions</w:t>
            </w:r>
            <w:r w:rsidR="001168DE">
              <w:rPr>
                <w:noProof/>
                <w:webHidden/>
              </w:rPr>
              <w:tab/>
            </w:r>
            <w:r w:rsidR="001168DE">
              <w:rPr>
                <w:noProof/>
                <w:webHidden/>
              </w:rPr>
              <w:fldChar w:fldCharType="begin"/>
            </w:r>
            <w:r w:rsidR="001168DE">
              <w:rPr>
                <w:noProof/>
                <w:webHidden/>
              </w:rPr>
              <w:instrText xml:space="preserve"> PAGEREF _Toc404173784 \h </w:instrText>
            </w:r>
            <w:r w:rsidR="001168DE">
              <w:rPr>
                <w:noProof/>
                <w:webHidden/>
              </w:rPr>
            </w:r>
            <w:r w:rsidR="001168DE">
              <w:rPr>
                <w:noProof/>
                <w:webHidden/>
              </w:rPr>
              <w:fldChar w:fldCharType="separate"/>
            </w:r>
            <w:r w:rsidR="001168DE">
              <w:rPr>
                <w:noProof/>
                <w:webHidden/>
              </w:rPr>
              <w:t>10-18</w:t>
            </w:r>
            <w:r w:rsidR="001168DE">
              <w:rPr>
                <w:noProof/>
                <w:webHidden/>
              </w:rPr>
              <w:fldChar w:fldCharType="end"/>
            </w:r>
          </w:hyperlink>
        </w:p>
        <w:p w:rsidR="0084378B" w:rsidRPr="0084378B" w:rsidRDefault="0084378B">
          <w:r w:rsidRPr="0084378B">
            <w:fldChar w:fldCharType="end"/>
          </w:r>
        </w:p>
      </w:sdtContent>
    </w:sdt>
    <w:p w:rsidR="00525604" w:rsidRDefault="00525604" w:rsidP="00525604">
      <w:pPr>
        <w:pStyle w:val="AERbodytext"/>
        <w:numPr>
          <w:ilvl w:val="0"/>
          <w:numId w:val="0"/>
        </w:numPr>
      </w:pPr>
    </w:p>
    <w:p w:rsidR="00525604" w:rsidRDefault="00525604" w:rsidP="00F54216">
      <w:pPr>
        <w:pStyle w:val="UnnumberedHeading"/>
      </w:pPr>
      <w:bookmarkStart w:id="4" w:name="_Toc404173773"/>
      <w:r>
        <w:lastRenderedPageBreak/>
        <w:t>Shortened forms</w:t>
      </w:r>
      <w:bookmarkEnd w:id="4"/>
    </w:p>
    <w:tbl>
      <w:tblPr>
        <w:tblStyle w:val="AERtable-numbers"/>
        <w:tblW w:w="0" w:type="auto"/>
        <w:tblLook w:val="04A0" w:firstRow="1" w:lastRow="0" w:firstColumn="1" w:lastColumn="0" w:noHBand="0" w:noVBand="1"/>
      </w:tblPr>
      <w:tblGrid>
        <w:gridCol w:w="4621"/>
        <w:gridCol w:w="4621"/>
      </w:tblGrid>
      <w:tr w:rsidR="000722CB" w:rsidTr="009B06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0722CB" w:rsidRDefault="000722CB" w:rsidP="000722CB">
            <w:pPr>
              <w:pStyle w:val="AERbodytext"/>
            </w:pPr>
            <w:r>
              <w:t>Shortened form</w:t>
            </w:r>
          </w:p>
        </w:tc>
        <w:tc>
          <w:tcPr>
            <w:tcW w:w="4621" w:type="dxa"/>
          </w:tcPr>
          <w:p w:rsidR="000722CB" w:rsidRDefault="000722CB" w:rsidP="000722CB">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2010–15 access arrangement</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Access arrangement for JGN effective from 1 July 2010 to 30 June 2015 inclusive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2010–15 access arrangement</w:t>
            </w:r>
            <w:r>
              <w:t xml:space="preserve"> period</w:t>
            </w:r>
          </w:p>
        </w:tc>
        <w:tc>
          <w:tcPr>
            <w:tcW w:w="4621" w:type="dxa"/>
          </w:tcPr>
          <w:p w:rsidR="001168DE" w:rsidRPr="00E854E3"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E854E3">
              <w:t>1 July 2010 to 30 June 2015 inclusive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w:t>
            </w:r>
            <w:r>
              <w:t>5</w:t>
            </w:r>
            <w:r w:rsidRPr="00E854E3">
              <w:t>–</w:t>
            </w:r>
            <w:r>
              <w:t>20</w:t>
            </w:r>
            <w:r w:rsidRPr="00E854E3">
              <w:t xml:space="preserve"> access arrangement</w:t>
            </w:r>
          </w:p>
        </w:tc>
        <w:tc>
          <w:tcPr>
            <w:tcW w:w="4621" w:type="dxa"/>
          </w:tcPr>
          <w:p w:rsidR="001168DE" w:rsidRPr="00E854E3"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rsidRPr="00E854E3">
              <w:t>Access arrangement for JGN effective from 1 July 201</w:t>
            </w:r>
            <w:r>
              <w:t>5</w:t>
            </w:r>
            <w:r w:rsidRPr="00E854E3">
              <w:t xml:space="preserve"> to 30 June 20</w:t>
            </w:r>
            <w:r>
              <w:t>20</w:t>
            </w:r>
            <w:r w:rsidRPr="00E854E3">
              <w:t xml:space="preserve"> inclusive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w:t>
            </w:r>
            <w:r>
              <w:t>5</w:t>
            </w:r>
            <w:r w:rsidRPr="00E854E3">
              <w:t>–</w:t>
            </w:r>
            <w:r>
              <w:t>20</w:t>
            </w:r>
            <w:r w:rsidRPr="00E854E3">
              <w:t xml:space="preserve"> access arrangement period</w:t>
            </w:r>
          </w:p>
        </w:tc>
        <w:tc>
          <w:tcPr>
            <w:tcW w:w="4621" w:type="dxa"/>
          </w:tcPr>
          <w:p w:rsidR="001168DE" w:rsidRPr="00E854E3"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E854E3">
              <w:t>1 July 201</w:t>
            </w:r>
            <w:r>
              <w:t>5</w:t>
            </w:r>
            <w:r w:rsidRPr="00E854E3">
              <w:t xml:space="preserve"> to 30 June 20</w:t>
            </w:r>
            <w:r>
              <w:t>20</w:t>
            </w:r>
            <w:r w:rsidRPr="00E854E3">
              <w:t xml:space="preserve"> inclusive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Access arrangement information</w:t>
            </w:r>
          </w:p>
        </w:tc>
        <w:tc>
          <w:tcPr>
            <w:tcW w:w="4621" w:type="dxa"/>
          </w:tcPr>
          <w:p w:rsidR="001168DE" w:rsidRDefault="001168DE" w:rsidP="0084155C">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Access Arrangement Informatio</w:t>
            </w:r>
            <w:r>
              <w:rPr>
                <w:rStyle w:val="AERtextitalic"/>
              </w:rPr>
              <w:t>n 2015–20</w:t>
            </w:r>
            <w:r w:rsidRPr="00A41D43">
              <w:t>, 30 June 2014</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Access arrangement proposal</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A41D43">
              <w:t xml:space="preserve">Jemena Gas Networks (NSW) Ltd,  </w:t>
            </w:r>
            <w:r w:rsidRPr="00A41D43">
              <w:rPr>
                <w:rStyle w:val="AERtextitalic"/>
              </w:rPr>
              <w:t>Access arrangement, JGN’s NSW gas distribution networks, 1 July 2015 – 30 June 2020</w:t>
            </w:r>
            <w:r w:rsidRPr="00A41D43">
              <w:t>, 30 June 2014</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AER</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proofErr w:type="spellStart"/>
            <w:r>
              <w:t>capex</w:t>
            </w:r>
            <w:proofErr w:type="spellEnd"/>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CAPM</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capital asset pricing model</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CCP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Code</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CPI</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DRP</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ERP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JGN</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Jemena Gas Networks (NSW) Ltd (CAN 003 004 322)</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MRP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NGL</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gas law</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NGO</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national gas objective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NGR</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gas rules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proofErr w:type="spellStart"/>
            <w:r>
              <w:lastRenderedPageBreak/>
              <w:t>opex</w:t>
            </w:r>
            <w:proofErr w:type="spellEnd"/>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PPI</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PTRM</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RAB</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RBA</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Reference service agreement proposal</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Reference Service Agreement, JGN’s NSW gas distribution networks</w:t>
            </w:r>
            <w:r w:rsidRPr="00A41D43">
              <w:t>, 30 June 2014</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RFM</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RIN</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RPP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 xml:space="preserve">revenue </w:t>
            </w:r>
            <w:r w:rsidR="0084155C">
              <w:t xml:space="preserve">and </w:t>
            </w:r>
            <w:r>
              <w:t>pricing principles</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SLCAPM</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WACC</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C557F2" w:rsidRPr="00C557F2" w:rsidRDefault="00C557F2" w:rsidP="00C557F2">
      <w:pPr>
        <w:pStyle w:val="AERbodytext"/>
      </w:pPr>
    </w:p>
    <w:p w:rsidR="008B4932" w:rsidRPr="008B4932" w:rsidRDefault="008B4932" w:rsidP="008B4932">
      <w:pPr>
        <w:pStyle w:val="AERbodytext"/>
        <w:numPr>
          <w:ilvl w:val="0"/>
          <w:numId w:val="0"/>
        </w:numPr>
      </w:pPr>
    </w:p>
    <w:p w:rsidR="00525604" w:rsidRPr="003E6299" w:rsidRDefault="00B2412C" w:rsidP="003E6299">
      <w:pPr>
        <w:pStyle w:val="Heading1"/>
      </w:pPr>
      <w:bookmarkStart w:id="5" w:name="_Toc404173774"/>
      <w:r w:rsidRPr="003E6299">
        <w:lastRenderedPageBreak/>
        <w:t>Reference t</w:t>
      </w:r>
      <w:r w:rsidR="00D81B53" w:rsidRPr="003E6299">
        <w:t>ariff setting</w:t>
      </w:r>
      <w:r w:rsidRPr="003E6299">
        <w:t xml:space="preserve"> – distribution pipelines</w:t>
      </w:r>
      <w:bookmarkEnd w:id="5"/>
    </w:p>
    <w:p w:rsidR="00D62997" w:rsidRPr="00D62997" w:rsidRDefault="00D62997" w:rsidP="00D62997">
      <w:pPr>
        <w:pStyle w:val="AERbodytext"/>
      </w:pPr>
      <w:r w:rsidRPr="00D62997">
        <w:rPr>
          <w:rStyle w:val="AERbody"/>
        </w:rPr>
        <w:t xml:space="preserve">This attachment outlines our assessment of the reference tariffs proposed by JGN against the requirements of the NGR. </w:t>
      </w:r>
      <w:r w:rsidR="006049FB">
        <w:rPr>
          <w:rStyle w:val="AERbody"/>
        </w:rPr>
        <w:t>Our</w:t>
      </w:r>
      <w:r w:rsidRPr="00D62997">
        <w:rPr>
          <w:rStyle w:val="AERbody"/>
        </w:rPr>
        <w:t xml:space="preserve"> assessment focuses on the structure of reference tariffs</w:t>
      </w:r>
      <w:r w:rsidR="006049FB">
        <w:rPr>
          <w:rStyle w:val="AERbody"/>
        </w:rPr>
        <w:t xml:space="preserve"> and </w:t>
      </w:r>
      <w:r w:rsidRPr="00D62997">
        <w:rPr>
          <w:rStyle w:val="AERbody"/>
        </w:rPr>
        <w:t>takes into account the revenue and pricing principles</w:t>
      </w:r>
      <w:r w:rsidR="006049FB">
        <w:rPr>
          <w:rStyle w:val="AERbody"/>
        </w:rPr>
        <w:t>.</w:t>
      </w:r>
      <w:r w:rsidR="006049FB">
        <w:rPr>
          <w:rStyle w:val="FootnoteReference"/>
        </w:rPr>
        <w:footnoteReference w:id="1"/>
      </w:r>
      <w:r w:rsidRPr="00D62997">
        <w:rPr>
          <w:rStyle w:val="AERbody"/>
        </w:rPr>
        <w:t xml:space="preserve"> </w:t>
      </w:r>
    </w:p>
    <w:p w:rsidR="00D62997" w:rsidRPr="00D62997" w:rsidRDefault="00D62997" w:rsidP="00E30377">
      <w:pPr>
        <w:pStyle w:val="Heading2"/>
      </w:pPr>
      <w:bookmarkStart w:id="6" w:name="_Toc404173775"/>
      <w:r w:rsidRPr="00D62997">
        <w:t>Draft decision</w:t>
      </w:r>
      <w:bookmarkEnd w:id="6"/>
    </w:p>
    <w:p w:rsidR="00D62997" w:rsidRPr="00D62997" w:rsidRDefault="00D62997" w:rsidP="00D62997">
      <w:pPr>
        <w:pStyle w:val="AERbodytext"/>
      </w:pPr>
      <w:r>
        <w:t xml:space="preserve">We </w:t>
      </w:r>
      <w:r w:rsidR="00A7774C">
        <w:t xml:space="preserve">approve </w:t>
      </w:r>
      <w:r>
        <w:t>JGN'</w:t>
      </w:r>
      <w:r w:rsidRPr="00D62997">
        <w:t>s proposed structure of reference tariffs for the 201</w:t>
      </w:r>
      <w:r>
        <w:t>5–20</w:t>
      </w:r>
      <w:r w:rsidRPr="00D62997">
        <w:t xml:space="preserve"> </w:t>
      </w:r>
      <w:r w:rsidR="00BD2A5A">
        <w:t>a</w:t>
      </w:r>
      <w:r w:rsidRPr="00D62997">
        <w:t xml:space="preserve">ccess </w:t>
      </w:r>
      <w:r w:rsidR="00BD2A5A">
        <w:t>a</w:t>
      </w:r>
      <w:r w:rsidRPr="00D62997">
        <w:t xml:space="preserve">rrangement </w:t>
      </w:r>
      <w:proofErr w:type="gramStart"/>
      <w:r w:rsidRPr="00D62997">
        <w:t>period</w:t>
      </w:r>
      <w:proofErr w:type="gramEnd"/>
      <w:r w:rsidRPr="00D62997">
        <w:t xml:space="preserve">. </w:t>
      </w:r>
      <w:r>
        <w:t>We are</w:t>
      </w:r>
      <w:r w:rsidRPr="00D62997">
        <w:t xml:space="preserve"> satisfied the proposed structure of the reference tariffs </w:t>
      </w:r>
      <w:r w:rsidR="00213992">
        <w:t xml:space="preserve">complies with the requirements </w:t>
      </w:r>
      <w:r w:rsidRPr="00D62997">
        <w:t>of the NGR.</w:t>
      </w:r>
      <w:r w:rsidR="00213992">
        <w:rPr>
          <w:rStyle w:val="FootnoteReference"/>
        </w:rPr>
        <w:footnoteReference w:id="2"/>
      </w:r>
      <w:r w:rsidRPr="00D62997">
        <w:t xml:space="preserve">  </w:t>
      </w:r>
    </w:p>
    <w:p w:rsidR="00D62997" w:rsidRPr="00D62997" w:rsidRDefault="003F55FC" w:rsidP="00D62997">
      <w:pPr>
        <w:pStyle w:val="AERbodytext"/>
      </w:pPr>
      <w:r>
        <w:t>However, we consider that JGN’s ability to introduce and withdraw tariffs</w:t>
      </w:r>
      <w:r w:rsidR="00BD2A5A">
        <w:t xml:space="preserve"> should be restricted to those we have approved. </w:t>
      </w:r>
      <w:r w:rsidR="00512D17">
        <w:t>W</w:t>
      </w:r>
      <w:r w:rsidR="00D62997">
        <w:t>e</w:t>
      </w:r>
      <w:r w:rsidR="00D62997" w:rsidRPr="00D62997">
        <w:t xml:space="preserve"> </w:t>
      </w:r>
      <w:r w:rsidR="00BD2A5A">
        <w:t xml:space="preserve">also </w:t>
      </w:r>
      <w:r w:rsidR="00D62997" w:rsidRPr="00D62997">
        <w:t>consider that</w:t>
      </w:r>
      <w:r w:rsidR="00213992">
        <w:t xml:space="preserve"> </w:t>
      </w:r>
      <w:r w:rsidR="00D62997" w:rsidRPr="00D62997">
        <w:t xml:space="preserve">the quantum of the proposed reference tariffs must be amended </w:t>
      </w:r>
      <w:r w:rsidR="00444D60">
        <w:t>to reflect the revised revenue allowance based on this draft decision</w:t>
      </w:r>
      <w:r w:rsidR="00D62997" w:rsidRPr="00D62997">
        <w:t xml:space="preserve">. </w:t>
      </w:r>
    </w:p>
    <w:p w:rsidR="00D62997" w:rsidRPr="00D62997" w:rsidRDefault="00D62997" w:rsidP="00E30377">
      <w:pPr>
        <w:pStyle w:val="Heading2"/>
      </w:pPr>
      <w:bookmarkStart w:id="7" w:name="_Toc404173776"/>
      <w:r>
        <w:t>JGN</w:t>
      </w:r>
      <w:r w:rsidRPr="00D62997">
        <w:t>'s proposal</w:t>
      </w:r>
      <w:bookmarkEnd w:id="7"/>
    </w:p>
    <w:p w:rsidR="006C10BB" w:rsidRDefault="006C10BB" w:rsidP="00D62997">
      <w:pPr>
        <w:pStyle w:val="AERbodytext"/>
      </w:pPr>
      <w:r>
        <w:t xml:space="preserve">JGN proposed to </w:t>
      </w:r>
      <w:r w:rsidR="00512D17">
        <w:t>change</w:t>
      </w:r>
      <w:r>
        <w:t xml:space="preserve"> its reference tariffs for the 2015–20</w:t>
      </w:r>
      <w:r w:rsidR="00E97CFD">
        <w:t xml:space="preserve"> period by:</w:t>
      </w:r>
    </w:p>
    <w:p w:rsidR="00E97CFD" w:rsidRDefault="00E97CFD" w:rsidP="00E97CFD">
      <w:pPr>
        <w:pStyle w:val="AERbulletlistfirststyle"/>
      </w:pPr>
      <w:r>
        <w:t>stream lining and consolidating certain charges</w:t>
      </w:r>
    </w:p>
    <w:p w:rsidR="00E97CFD" w:rsidRDefault="00E97CFD" w:rsidP="00E97CFD">
      <w:pPr>
        <w:pStyle w:val="AERbulletlistfirststyle"/>
      </w:pPr>
      <w:r>
        <w:t>restructuring throughput tariff structures and levels to support gas competiveness</w:t>
      </w:r>
    </w:p>
    <w:p w:rsidR="00E97CFD" w:rsidRDefault="00E97CFD" w:rsidP="00E97CFD">
      <w:pPr>
        <w:pStyle w:val="AERbulletlistfirststyle"/>
      </w:pPr>
      <w:r>
        <w:t>streamlining ancillary charges to facilitate customer participation</w:t>
      </w:r>
    </w:p>
    <w:p w:rsidR="00E97CFD" w:rsidRDefault="00E97CFD" w:rsidP="00E97CFD">
      <w:pPr>
        <w:pStyle w:val="AERbulletlistfirststyle"/>
      </w:pPr>
      <w:r>
        <w:t>adding new classes to support intermediaries wishing to supply or on-sell energy</w:t>
      </w:r>
    </w:p>
    <w:p w:rsidR="00E97CFD" w:rsidRDefault="00E97CFD" w:rsidP="00E97CFD">
      <w:pPr>
        <w:pStyle w:val="AERbulletlistfirststyle"/>
      </w:pPr>
      <w:proofErr w:type="gramStart"/>
      <w:r>
        <w:t>publishing</w:t>
      </w:r>
      <w:proofErr w:type="gramEnd"/>
      <w:r>
        <w:t xml:space="preserve"> a tariff structure statement to provide greater transparency on how it structure</w:t>
      </w:r>
      <w:r w:rsidR="00512D17">
        <w:t>s</w:t>
      </w:r>
      <w:r>
        <w:t xml:space="preserve"> and set</w:t>
      </w:r>
      <w:r w:rsidR="00512D17">
        <w:t>s</w:t>
      </w:r>
      <w:r>
        <w:t xml:space="preserve"> network tariffs.</w:t>
      </w:r>
      <w:r>
        <w:rPr>
          <w:rStyle w:val="FootnoteReference"/>
        </w:rPr>
        <w:footnoteReference w:id="3"/>
      </w:r>
    </w:p>
    <w:p w:rsidR="00D62997" w:rsidRPr="00D62997" w:rsidRDefault="00D62997" w:rsidP="00D62997">
      <w:pPr>
        <w:pStyle w:val="AERbodytext"/>
      </w:pPr>
      <w:r w:rsidRPr="00D62997">
        <w:t xml:space="preserve">The reference tariff classes proposed by </w:t>
      </w:r>
      <w:r w:rsidR="00963AFA">
        <w:t>JGN</w:t>
      </w:r>
      <w:r w:rsidRPr="00D62997">
        <w:t xml:space="preserve"> are outlined in</w:t>
      </w:r>
      <w:r w:rsidR="00CD1010">
        <w:t xml:space="preserve"> </w:t>
      </w:r>
      <w:r w:rsidR="00CD1010">
        <w:fldChar w:fldCharType="begin"/>
      </w:r>
      <w:r w:rsidR="00CD1010">
        <w:instrText xml:space="preserve"> REF _Ref404174040 \h </w:instrText>
      </w:r>
      <w:r w:rsidR="00CD1010">
        <w:fldChar w:fldCharType="separate"/>
      </w:r>
      <w:r w:rsidR="00CD1010">
        <w:t xml:space="preserve">Table </w:t>
      </w:r>
      <w:r w:rsidR="00CD1010">
        <w:rPr>
          <w:noProof/>
        </w:rPr>
        <w:t>10</w:t>
      </w:r>
      <w:r w:rsidR="00CD1010">
        <w:noBreakHyphen/>
      </w:r>
      <w:r w:rsidR="00CD1010">
        <w:rPr>
          <w:noProof/>
        </w:rPr>
        <w:t>1</w:t>
      </w:r>
      <w:r w:rsidR="00CD1010">
        <w:fldChar w:fldCharType="end"/>
      </w:r>
      <w:r w:rsidRPr="00D62997">
        <w:t xml:space="preserve">.  </w:t>
      </w:r>
    </w:p>
    <w:p w:rsidR="00D62997" w:rsidRDefault="00963AFA" w:rsidP="00E97CFD">
      <w:r w:rsidRPr="00E97CFD">
        <w:t>JGN</w:t>
      </w:r>
      <w:r w:rsidR="00D62997" w:rsidRPr="00E97CFD">
        <w:t xml:space="preserve"> proposed to change the structure of its ancillary reference service tariff by </w:t>
      </w:r>
      <w:r w:rsidRPr="00E97CFD">
        <w:t xml:space="preserve">removing the temporary disconnections tariff and adding in a disconnections charge for its </w:t>
      </w:r>
      <w:r w:rsidR="00D62997" w:rsidRPr="00E97CFD">
        <w:t>ancillary reference services</w:t>
      </w:r>
      <w:r w:rsidR="00E97CFD">
        <w:t xml:space="preserve"> </w:t>
      </w:r>
      <w:r w:rsidR="00D62997" w:rsidRPr="00D62997">
        <w:t>(</w:t>
      </w:r>
      <w:r w:rsidR="00CD1010">
        <w:fldChar w:fldCharType="begin"/>
      </w:r>
      <w:r w:rsidR="00CD1010">
        <w:instrText xml:space="preserve"> REF _Ref403491101 \h </w:instrText>
      </w:r>
      <w:r w:rsidR="00CD1010">
        <w:fldChar w:fldCharType="separate"/>
      </w:r>
      <w:r w:rsidR="00E25F1E">
        <w:t xml:space="preserve">Table </w:t>
      </w:r>
      <w:r w:rsidR="00E25F1E">
        <w:rPr>
          <w:noProof/>
        </w:rPr>
        <w:t>10</w:t>
      </w:r>
      <w:r w:rsidR="00E25F1E">
        <w:noBreakHyphen/>
      </w:r>
      <w:r w:rsidR="00E25F1E">
        <w:rPr>
          <w:noProof/>
        </w:rPr>
        <w:t>2</w:t>
      </w:r>
      <w:r w:rsidR="00CD1010">
        <w:fldChar w:fldCharType="end"/>
      </w:r>
      <w:r w:rsidR="00D62997" w:rsidRPr="00D62997">
        <w:t xml:space="preserve">). </w:t>
      </w:r>
    </w:p>
    <w:p w:rsidR="00D62997" w:rsidRDefault="00CD1010" w:rsidP="00CD1010">
      <w:pPr>
        <w:pStyle w:val="Caption"/>
      </w:pPr>
      <w:bookmarkStart w:id="8" w:name="_Ref404174040"/>
      <w:bookmarkStart w:id="9" w:name="_Ref400194059"/>
      <w:r>
        <w:t xml:space="preserve">Table </w:t>
      </w:r>
      <w:fldSimple w:instr=" STYLEREF 1 \s ">
        <w:r>
          <w:rPr>
            <w:noProof/>
          </w:rPr>
          <w:t>10</w:t>
        </w:r>
      </w:fldSimple>
      <w:r>
        <w:noBreakHyphen/>
      </w:r>
      <w:fldSimple w:instr=" SEQ Table \* ARABIC \s 1 ">
        <w:r>
          <w:rPr>
            <w:noProof/>
          </w:rPr>
          <w:t>1</w:t>
        </w:r>
      </w:fldSimple>
      <w:bookmarkEnd w:id="8"/>
      <w:r w:rsidR="00142E50" w:rsidRPr="00142E50">
        <w:tab/>
      </w:r>
      <w:r w:rsidR="00142E50">
        <w:t>JGN's</w:t>
      </w:r>
      <w:r w:rsidR="00142E50" w:rsidRPr="00142E50">
        <w:t xml:space="preserve"> - </w:t>
      </w:r>
      <w:r w:rsidR="00142E50">
        <w:t>Initial Tariff Classes and Tariff Charge components</w:t>
      </w:r>
      <w:bookmarkEnd w:id="9"/>
    </w:p>
    <w:tbl>
      <w:tblPr>
        <w:tblStyle w:val="AERtable-text"/>
        <w:tblW w:w="5000" w:type="pct"/>
        <w:tblLook w:val="01E0" w:firstRow="1" w:lastRow="1" w:firstColumn="1" w:lastColumn="1" w:noHBand="0" w:noVBand="0"/>
      </w:tblPr>
      <w:tblGrid>
        <w:gridCol w:w="3082"/>
        <w:gridCol w:w="3081"/>
        <w:gridCol w:w="3079"/>
      </w:tblGrid>
      <w:tr w:rsidR="00142E50" w:rsidTr="009B0639">
        <w:trPr>
          <w:cnfStyle w:val="100000000000" w:firstRow="1" w:lastRow="0" w:firstColumn="0" w:lastColumn="0" w:oddVBand="0" w:evenVBand="0" w:oddHBand="0" w:evenHBand="0" w:firstRowFirstColumn="0" w:firstRowLastColumn="0" w:lastRowFirstColumn="0" w:lastRowLastColumn="0"/>
          <w:trHeight w:val="464"/>
          <w:tblHeader/>
        </w:trPr>
        <w:tc>
          <w:tcPr>
            <w:tcW w:w="1667" w:type="pct"/>
            <w:vAlign w:val="top"/>
          </w:tcPr>
          <w:p w:rsidR="00142E50" w:rsidRPr="00142E50" w:rsidRDefault="00142E50" w:rsidP="00142E50">
            <w:pPr>
              <w:pStyle w:val="AERtabletextleft"/>
            </w:pPr>
            <w:r w:rsidRPr="00142E50">
              <w:t xml:space="preserve">Customer Type/Category </w:t>
            </w:r>
          </w:p>
        </w:tc>
        <w:tc>
          <w:tcPr>
            <w:tcW w:w="1667" w:type="pct"/>
            <w:vAlign w:val="top"/>
          </w:tcPr>
          <w:p w:rsidR="00142E50" w:rsidRPr="00142E50" w:rsidRDefault="00142E50" w:rsidP="00142E50">
            <w:pPr>
              <w:pStyle w:val="AERtabletextleft"/>
            </w:pPr>
            <w:r w:rsidRPr="00142E50">
              <w:t xml:space="preserve">Tariff Class Haulage </w:t>
            </w:r>
          </w:p>
        </w:tc>
        <w:tc>
          <w:tcPr>
            <w:tcW w:w="1666" w:type="pct"/>
            <w:vAlign w:val="top"/>
          </w:tcPr>
          <w:p w:rsidR="00142E50" w:rsidRPr="00142E50" w:rsidRDefault="00142E50" w:rsidP="00142E50">
            <w:pPr>
              <w:pStyle w:val="AERtabletextleft"/>
            </w:pPr>
            <w:r>
              <w:t xml:space="preserve">Haulage Reference Service </w:t>
            </w:r>
          </w:p>
        </w:tc>
      </w:tr>
      <w:tr w:rsidR="00142E50" w:rsidTr="00880D0C">
        <w:trPr>
          <w:trHeight w:val="464"/>
        </w:trPr>
        <w:tc>
          <w:tcPr>
            <w:tcW w:w="1667" w:type="pct"/>
          </w:tcPr>
          <w:p w:rsidR="00142E50" w:rsidRPr="00142E50" w:rsidRDefault="00142E50" w:rsidP="00142E50">
            <w:pPr>
              <w:pStyle w:val="AERtablesource"/>
              <w:rPr>
                <w:rStyle w:val="AERtextbold"/>
              </w:rPr>
            </w:pPr>
            <w:r w:rsidRPr="00142E50">
              <w:rPr>
                <w:rStyle w:val="AERtextbold"/>
              </w:rPr>
              <w:t>Volume Tariffs</w:t>
            </w:r>
          </w:p>
        </w:tc>
        <w:tc>
          <w:tcPr>
            <w:tcW w:w="1667" w:type="pct"/>
          </w:tcPr>
          <w:p w:rsidR="00142E50" w:rsidRPr="00142E50" w:rsidRDefault="00142E50" w:rsidP="00142E50">
            <w:pPr>
              <w:pStyle w:val="AERtabletextleft"/>
            </w:pPr>
          </w:p>
        </w:tc>
        <w:tc>
          <w:tcPr>
            <w:tcW w:w="1666" w:type="pct"/>
          </w:tcPr>
          <w:p w:rsidR="00142E50" w:rsidRPr="00142E50" w:rsidRDefault="00142E50" w:rsidP="00142E50">
            <w:pPr>
              <w:pStyle w:val="AERtabletextleft"/>
            </w:pPr>
          </w:p>
        </w:tc>
      </w:tr>
      <w:tr w:rsidR="00142E50" w:rsidTr="00880D0C">
        <w:trPr>
          <w:cnfStyle w:val="000000010000" w:firstRow="0" w:lastRow="0" w:firstColumn="0" w:lastColumn="0" w:oddVBand="0" w:evenVBand="0" w:oddHBand="0" w:evenHBand="1" w:firstRowFirstColumn="0" w:firstRowLastColumn="0" w:lastRowFirstColumn="0" w:lastRowLastColumn="0"/>
          <w:trHeight w:val="464"/>
        </w:trPr>
        <w:tc>
          <w:tcPr>
            <w:tcW w:w="1667" w:type="pct"/>
          </w:tcPr>
          <w:p w:rsidR="00142E50" w:rsidRPr="00142E50" w:rsidRDefault="00142E50" w:rsidP="00142E50">
            <w:pPr>
              <w:pStyle w:val="AERtablesource"/>
            </w:pPr>
            <w:r w:rsidRPr="00142E50">
              <w:t>Volume Individual</w:t>
            </w:r>
          </w:p>
        </w:tc>
        <w:tc>
          <w:tcPr>
            <w:tcW w:w="1667" w:type="pct"/>
          </w:tcPr>
          <w:p w:rsidR="00142E50" w:rsidRPr="00142E50" w:rsidRDefault="00142E50" w:rsidP="00142E50">
            <w:pPr>
              <w:pStyle w:val="AERtabletextleft"/>
            </w:pPr>
            <w:r w:rsidRPr="00142E50">
              <w:t>VI-Coastal</w:t>
            </w:r>
          </w:p>
          <w:p w:rsidR="00142E50" w:rsidRDefault="00142E50" w:rsidP="00142E50">
            <w:pPr>
              <w:pStyle w:val="AERtabletextleft"/>
            </w:pPr>
            <w:r w:rsidRPr="00142E50">
              <w:t>VI- Country</w:t>
            </w:r>
          </w:p>
        </w:tc>
        <w:tc>
          <w:tcPr>
            <w:tcW w:w="1666" w:type="pct"/>
          </w:tcPr>
          <w:p w:rsidR="00142E50" w:rsidRPr="00142E50" w:rsidRDefault="00142E50" w:rsidP="00142E50">
            <w:pPr>
              <w:pStyle w:val="AERtabletextleft"/>
            </w:pPr>
            <w:r w:rsidRPr="00142E50">
              <w:t>Volume Throughput Rate (clause 4.1(h))</w:t>
            </w:r>
          </w:p>
          <w:p w:rsidR="00142E50" w:rsidRPr="00142E50" w:rsidRDefault="00142E50" w:rsidP="00142E50">
            <w:pPr>
              <w:pStyle w:val="AERtabletextleft"/>
            </w:pPr>
            <w:r w:rsidRPr="00142E50">
              <w:t>Fixed Charge (clause 4.1(</w:t>
            </w:r>
            <w:proofErr w:type="spellStart"/>
            <w:r w:rsidRPr="00142E50">
              <w:t>i</w:t>
            </w:r>
            <w:proofErr w:type="spellEnd"/>
            <w:r w:rsidRPr="00142E50">
              <w:t>))</w:t>
            </w:r>
          </w:p>
          <w:p w:rsidR="00142E50" w:rsidRDefault="00142E50" w:rsidP="00142E50">
            <w:pPr>
              <w:pStyle w:val="AERtabletextleft"/>
            </w:pPr>
            <w:r w:rsidRPr="00142E50">
              <w:t>Ancillary Charges (clause 4.1(j))</w:t>
            </w:r>
          </w:p>
        </w:tc>
      </w:tr>
      <w:tr w:rsidR="00142E50" w:rsidTr="00880D0C">
        <w:trPr>
          <w:trHeight w:val="464"/>
        </w:trPr>
        <w:tc>
          <w:tcPr>
            <w:tcW w:w="1667" w:type="pct"/>
          </w:tcPr>
          <w:p w:rsidR="00142E50" w:rsidRPr="00142E50" w:rsidRDefault="00142E50" w:rsidP="00142E50">
            <w:pPr>
              <w:pStyle w:val="AERtabletextleft"/>
            </w:pPr>
            <w:r w:rsidRPr="00142E50">
              <w:t>Volume Boundary</w:t>
            </w:r>
          </w:p>
        </w:tc>
        <w:tc>
          <w:tcPr>
            <w:tcW w:w="1667" w:type="pct"/>
          </w:tcPr>
          <w:p w:rsidR="00142E50" w:rsidRPr="00142E50" w:rsidRDefault="00142E50" w:rsidP="00142E50">
            <w:pPr>
              <w:pStyle w:val="AERtabletextleft"/>
            </w:pPr>
            <w:r w:rsidRPr="00142E50">
              <w:t>VB-Coastal</w:t>
            </w:r>
          </w:p>
          <w:p w:rsidR="00142E50" w:rsidRPr="00142E50" w:rsidRDefault="00142E50" w:rsidP="00142E50">
            <w:pPr>
              <w:pStyle w:val="AERtabletextleft"/>
            </w:pPr>
            <w:r w:rsidRPr="00142E50">
              <w:lastRenderedPageBreak/>
              <w:t>VB-Country</w:t>
            </w:r>
          </w:p>
        </w:tc>
        <w:tc>
          <w:tcPr>
            <w:tcW w:w="1666" w:type="pct"/>
          </w:tcPr>
          <w:p w:rsidR="00142E50" w:rsidRPr="00142E50" w:rsidRDefault="00142E50" w:rsidP="00142E50">
            <w:pPr>
              <w:pStyle w:val="AERtabletextleft"/>
            </w:pPr>
            <w:r w:rsidRPr="00142E50">
              <w:lastRenderedPageBreak/>
              <w:t>Volume Throughput Rate (clause 4.1(h))</w:t>
            </w:r>
          </w:p>
          <w:p w:rsidR="00142E50" w:rsidRPr="00142E50" w:rsidRDefault="00142E50" w:rsidP="00142E50">
            <w:pPr>
              <w:pStyle w:val="AERtabletextleft"/>
            </w:pPr>
            <w:r w:rsidRPr="00142E50">
              <w:lastRenderedPageBreak/>
              <w:t>Fixed Charge (clause 4.1(</w:t>
            </w:r>
            <w:proofErr w:type="spellStart"/>
            <w:r w:rsidRPr="00142E50">
              <w:t>i</w:t>
            </w:r>
            <w:proofErr w:type="spellEnd"/>
            <w:r w:rsidRPr="00142E50">
              <w:t>))</w:t>
            </w:r>
          </w:p>
          <w:p w:rsidR="00142E50" w:rsidRDefault="00142E50" w:rsidP="00142E50">
            <w:pPr>
              <w:pStyle w:val="AERtabletextleft"/>
            </w:pPr>
            <w:r w:rsidRPr="00142E50">
              <w:t>Ancillary Charges (clause 4.1(j))</w:t>
            </w:r>
          </w:p>
        </w:tc>
      </w:tr>
      <w:tr w:rsidR="00142E50" w:rsidTr="00880D0C">
        <w:trPr>
          <w:cnfStyle w:val="000000010000" w:firstRow="0" w:lastRow="0" w:firstColumn="0" w:lastColumn="0" w:oddVBand="0" w:evenVBand="0" w:oddHBand="0" w:evenHBand="1" w:firstRowFirstColumn="0" w:firstRowLastColumn="0" w:lastRowFirstColumn="0" w:lastRowLastColumn="0"/>
          <w:trHeight w:val="464"/>
        </w:trPr>
        <w:tc>
          <w:tcPr>
            <w:tcW w:w="1667" w:type="pct"/>
          </w:tcPr>
          <w:p w:rsidR="00142E50" w:rsidRPr="00142E50" w:rsidRDefault="00142E50" w:rsidP="00142E50">
            <w:pPr>
              <w:pStyle w:val="AERtabletextleft"/>
            </w:pPr>
            <w:r w:rsidRPr="00142E50">
              <w:lastRenderedPageBreak/>
              <w:t>Volume Residential Distributed</w:t>
            </w:r>
          </w:p>
          <w:p w:rsidR="00142E50" w:rsidRPr="00142E50" w:rsidRDefault="00142E50" w:rsidP="00142E50">
            <w:pPr>
              <w:pStyle w:val="AERtabletextleft"/>
            </w:pPr>
            <w:r w:rsidRPr="00142E50">
              <w:t>Generation Technology</w:t>
            </w:r>
          </w:p>
        </w:tc>
        <w:tc>
          <w:tcPr>
            <w:tcW w:w="1667" w:type="pct"/>
          </w:tcPr>
          <w:p w:rsidR="00142E50" w:rsidRPr="00142E50" w:rsidRDefault="00142E50" w:rsidP="00142E50">
            <w:pPr>
              <w:pStyle w:val="AERtabletextleft"/>
            </w:pPr>
            <w:r w:rsidRPr="00142E50">
              <w:t>VRT-03</w:t>
            </w:r>
          </w:p>
          <w:p w:rsidR="00142E50" w:rsidRPr="00142E50" w:rsidRDefault="00142E50" w:rsidP="00142E50">
            <w:pPr>
              <w:pStyle w:val="AERtabletextleft"/>
            </w:pPr>
            <w:r w:rsidRPr="00142E50">
              <w:t>VRT-04</w:t>
            </w:r>
          </w:p>
          <w:p w:rsidR="00142E50" w:rsidRPr="00142E50" w:rsidRDefault="00142E50" w:rsidP="00142E50">
            <w:pPr>
              <w:pStyle w:val="AERtabletextleft"/>
            </w:pPr>
            <w:r w:rsidRPr="00142E50">
              <w:t>VRT-06</w:t>
            </w:r>
          </w:p>
          <w:p w:rsidR="00142E50" w:rsidRPr="00142E50" w:rsidRDefault="00142E50" w:rsidP="00142E50">
            <w:pPr>
              <w:pStyle w:val="AERtabletextleft"/>
            </w:pPr>
            <w:r w:rsidRPr="00142E50">
              <w:t>VRT-10</w:t>
            </w:r>
          </w:p>
        </w:tc>
        <w:tc>
          <w:tcPr>
            <w:tcW w:w="1666" w:type="pct"/>
          </w:tcPr>
          <w:p w:rsidR="00142E50" w:rsidRPr="00142E50" w:rsidRDefault="00142E50" w:rsidP="00142E50">
            <w:pPr>
              <w:pStyle w:val="AERtabletextleft"/>
            </w:pPr>
            <w:r w:rsidRPr="00142E50">
              <w:t>Demand Capacity Rate (clause 4.1(a))</w:t>
            </w:r>
          </w:p>
          <w:p w:rsidR="00142E50" w:rsidRPr="00142E50" w:rsidRDefault="00142E50" w:rsidP="00142E50">
            <w:pPr>
              <w:pStyle w:val="AERtabletextleft"/>
            </w:pPr>
            <w:r w:rsidRPr="00142E50">
              <w:t>Provision of Basic Metering Equipment</w:t>
            </w:r>
          </w:p>
          <w:p w:rsidR="00142E50" w:rsidRPr="00142E50" w:rsidRDefault="00142E50" w:rsidP="00142E50">
            <w:pPr>
              <w:pStyle w:val="AERtabletextleft"/>
            </w:pPr>
            <w:r w:rsidRPr="00142E50">
              <w:t>Charge (clause 4.1(g))</w:t>
            </w:r>
          </w:p>
          <w:p w:rsidR="00142E50" w:rsidRPr="008A451E" w:rsidRDefault="00142E50" w:rsidP="00142E50">
            <w:pPr>
              <w:pStyle w:val="AERtabletextleft"/>
            </w:pPr>
            <w:r w:rsidRPr="00142E50">
              <w:t>Ancillary Charges (clause 4.1(j))</w:t>
            </w:r>
          </w:p>
        </w:tc>
      </w:tr>
      <w:tr w:rsidR="00142E50" w:rsidTr="00880D0C">
        <w:trPr>
          <w:trHeight w:val="464"/>
        </w:trPr>
        <w:tc>
          <w:tcPr>
            <w:tcW w:w="1667" w:type="pct"/>
          </w:tcPr>
          <w:p w:rsidR="00142E50" w:rsidRPr="00142E50" w:rsidRDefault="00142E50" w:rsidP="00142E50">
            <w:pPr>
              <w:pStyle w:val="AERtablesource"/>
              <w:rPr>
                <w:rStyle w:val="AERtextbold"/>
              </w:rPr>
            </w:pPr>
            <w:r w:rsidRPr="00142E50">
              <w:rPr>
                <w:rStyle w:val="AERtextbold"/>
              </w:rPr>
              <w:t>Demand Tariffs</w:t>
            </w:r>
          </w:p>
        </w:tc>
        <w:tc>
          <w:tcPr>
            <w:tcW w:w="1667" w:type="pct"/>
          </w:tcPr>
          <w:p w:rsidR="00142E50" w:rsidRPr="00142E50" w:rsidRDefault="00142E50" w:rsidP="00142E50">
            <w:pPr>
              <w:pStyle w:val="AERtabletextleft"/>
            </w:pPr>
          </w:p>
        </w:tc>
        <w:tc>
          <w:tcPr>
            <w:tcW w:w="1666" w:type="pct"/>
          </w:tcPr>
          <w:p w:rsidR="00142E50" w:rsidRPr="008A451E" w:rsidRDefault="00142E50" w:rsidP="00142E50">
            <w:pPr>
              <w:pStyle w:val="AERtabletextleft"/>
            </w:pPr>
          </w:p>
        </w:tc>
      </w:tr>
      <w:tr w:rsidR="00142E50" w:rsidTr="00880D0C">
        <w:trPr>
          <w:cnfStyle w:val="000000010000" w:firstRow="0" w:lastRow="0" w:firstColumn="0" w:lastColumn="0" w:oddVBand="0" w:evenVBand="0" w:oddHBand="0" w:evenHBand="1" w:firstRowFirstColumn="0" w:firstRowLastColumn="0" w:lastRowFirstColumn="0" w:lastRowLastColumn="0"/>
          <w:trHeight w:val="464"/>
        </w:trPr>
        <w:tc>
          <w:tcPr>
            <w:tcW w:w="1667" w:type="pct"/>
          </w:tcPr>
          <w:p w:rsidR="00142E50" w:rsidRPr="00142E50" w:rsidRDefault="00142E50" w:rsidP="00142E50">
            <w:pPr>
              <w:pStyle w:val="AERtabletextleft"/>
            </w:pPr>
            <w:r w:rsidRPr="00142E50">
              <w:t>Demand Capacity</w:t>
            </w:r>
          </w:p>
        </w:tc>
        <w:tc>
          <w:tcPr>
            <w:tcW w:w="1667" w:type="pct"/>
          </w:tcPr>
          <w:p w:rsidR="00142E50" w:rsidRPr="00142E50" w:rsidRDefault="00142E50" w:rsidP="00142E50">
            <w:pPr>
              <w:pStyle w:val="AERtabletextleft"/>
            </w:pPr>
            <w:r w:rsidRPr="00142E50">
              <w:t>DC-1</w:t>
            </w:r>
          </w:p>
          <w:p w:rsidR="00142E50" w:rsidRPr="00142E50" w:rsidRDefault="00142E50" w:rsidP="00142E50">
            <w:pPr>
              <w:pStyle w:val="AERtabletextleft"/>
            </w:pPr>
            <w:r w:rsidRPr="00142E50">
              <w:t>To</w:t>
            </w:r>
          </w:p>
          <w:p w:rsidR="00142E50" w:rsidRPr="00142E50" w:rsidRDefault="00142E50" w:rsidP="00142E50">
            <w:pPr>
              <w:pStyle w:val="AERtabletextleft"/>
            </w:pPr>
            <w:r w:rsidRPr="00142E50">
              <w:t>DC-11</w:t>
            </w:r>
          </w:p>
        </w:tc>
        <w:tc>
          <w:tcPr>
            <w:tcW w:w="1666" w:type="pct"/>
          </w:tcPr>
          <w:p w:rsidR="00142E50" w:rsidRPr="00142E50" w:rsidRDefault="00142E50" w:rsidP="00142E50">
            <w:pPr>
              <w:pStyle w:val="AERtabletextleft"/>
            </w:pPr>
            <w:r w:rsidRPr="00142E50">
              <w:t>Demand Capacity Rate (clause 4.1(a))</w:t>
            </w:r>
          </w:p>
          <w:p w:rsidR="00142E50" w:rsidRPr="00142E50" w:rsidRDefault="00142E50" w:rsidP="00142E50">
            <w:pPr>
              <w:pStyle w:val="AERtabletextleft"/>
            </w:pPr>
            <w:r w:rsidRPr="00142E50">
              <w:t>Provision of Basic Metering Equipment Charge</w:t>
            </w:r>
          </w:p>
          <w:p w:rsidR="00142E50" w:rsidRPr="00142E50" w:rsidRDefault="00142E50" w:rsidP="00142E50">
            <w:pPr>
              <w:pStyle w:val="AERtabletextleft"/>
            </w:pPr>
            <w:r w:rsidRPr="00142E50">
              <w:t>(clause 4.1(g))</w:t>
            </w:r>
          </w:p>
          <w:p w:rsidR="00142E50" w:rsidRPr="008A451E" w:rsidRDefault="00142E50" w:rsidP="00142E50">
            <w:pPr>
              <w:pStyle w:val="AERtabletextleft"/>
            </w:pPr>
            <w:r w:rsidRPr="00142E50">
              <w:t>Ancillary Charges (clause 4.1(j))</w:t>
            </w:r>
          </w:p>
        </w:tc>
      </w:tr>
      <w:tr w:rsidR="00142E50" w:rsidTr="00880D0C">
        <w:trPr>
          <w:trHeight w:val="464"/>
        </w:trPr>
        <w:tc>
          <w:tcPr>
            <w:tcW w:w="1667" w:type="pct"/>
          </w:tcPr>
          <w:p w:rsidR="00142E50" w:rsidRPr="00142E50" w:rsidRDefault="00142E50" w:rsidP="00142E50">
            <w:pPr>
              <w:pStyle w:val="AERtabletextleft"/>
            </w:pPr>
          </w:p>
        </w:tc>
        <w:tc>
          <w:tcPr>
            <w:tcW w:w="1667" w:type="pct"/>
          </w:tcPr>
          <w:p w:rsidR="00142E50" w:rsidRPr="00142E50" w:rsidRDefault="00880D0C" w:rsidP="00142E50">
            <w:pPr>
              <w:pStyle w:val="AERtabletextleft"/>
            </w:pPr>
            <w:r w:rsidRPr="00880D0C">
              <w:t>DC</w:t>
            </w:r>
            <w:r>
              <w:t xml:space="preserve"> </w:t>
            </w:r>
            <w:r w:rsidRPr="00880D0C">
              <w:t>Country</w:t>
            </w:r>
          </w:p>
        </w:tc>
        <w:tc>
          <w:tcPr>
            <w:tcW w:w="1666" w:type="pct"/>
          </w:tcPr>
          <w:p w:rsidR="00880D0C" w:rsidRPr="00880D0C" w:rsidRDefault="00880D0C" w:rsidP="00880D0C">
            <w:pPr>
              <w:pStyle w:val="AERtabletextleft"/>
            </w:pPr>
            <w:r w:rsidRPr="00880D0C">
              <w:t>Demand Capacity Rate comprised of:</w:t>
            </w:r>
          </w:p>
          <w:p w:rsidR="00880D0C" w:rsidRPr="00880D0C" w:rsidRDefault="00880D0C" w:rsidP="00880D0C">
            <w:pPr>
              <w:pStyle w:val="AERbulletlistfirststyle"/>
            </w:pPr>
            <w:r w:rsidRPr="00880D0C">
              <w:t xml:space="preserve">Capacity Distance Rate </w:t>
            </w:r>
            <w:r>
              <w:br/>
            </w:r>
            <w:r w:rsidRPr="00880D0C">
              <w:t>(clause 4.1(b)), and</w:t>
            </w:r>
          </w:p>
          <w:p w:rsidR="00880D0C" w:rsidRPr="00880D0C" w:rsidRDefault="00880D0C" w:rsidP="00880D0C">
            <w:pPr>
              <w:pStyle w:val="AERbulletlistfirststyle"/>
            </w:pPr>
            <w:r w:rsidRPr="00880D0C">
              <w:t xml:space="preserve">Pressure Reduction Rate </w:t>
            </w:r>
            <w:r>
              <w:br/>
            </w:r>
            <w:r w:rsidRPr="00880D0C">
              <w:t>(clause 4.1(c))</w:t>
            </w:r>
          </w:p>
          <w:p w:rsidR="00880D0C" w:rsidRPr="00880D0C" w:rsidRDefault="00880D0C" w:rsidP="00880D0C">
            <w:pPr>
              <w:pStyle w:val="AERbulletlistfirststyle"/>
            </w:pPr>
            <w:r w:rsidRPr="00880D0C">
              <w:t>Provision of Basic Metering Equipment Charge</w:t>
            </w:r>
            <w:r>
              <w:t xml:space="preserve"> </w:t>
            </w:r>
            <w:r w:rsidRPr="00880D0C">
              <w:t>(clause 4.1(g))</w:t>
            </w:r>
          </w:p>
          <w:p w:rsidR="00142E50" w:rsidRDefault="00880D0C" w:rsidP="00880D0C">
            <w:pPr>
              <w:pStyle w:val="AERtabletextleft"/>
            </w:pPr>
            <w:r w:rsidRPr="00880D0C">
              <w:t>Ancillary Charges (clause 4.1(j))</w:t>
            </w:r>
          </w:p>
        </w:tc>
      </w:tr>
      <w:tr w:rsidR="00142E50" w:rsidTr="00880D0C">
        <w:trPr>
          <w:cnfStyle w:val="000000010000" w:firstRow="0" w:lastRow="0" w:firstColumn="0" w:lastColumn="0" w:oddVBand="0" w:evenVBand="0" w:oddHBand="0" w:evenHBand="1" w:firstRowFirstColumn="0" w:firstRowLastColumn="0" w:lastRowFirstColumn="0" w:lastRowLastColumn="0"/>
          <w:trHeight w:val="464"/>
        </w:trPr>
        <w:tc>
          <w:tcPr>
            <w:tcW w:w="1667" w:type="pct"/>
            <w:vAlign w:val="top"/>
          </w:tcPr>
          <w:p w:rsidR="00880D0C" w:rsidRPr="00880D0C" w:rsidRDefault="00880D0C" w:rsidP="00880D0C">
            <w:pPr>
              <w:pStyle w:val="AERtabletextleft"/>
            </w:pPr>
            <w:r w:rsidRPr="00880D0C">
              <w:t>Demand</w:t>
            </w:r>
          </w:p>
          <w:p w:rsidR="00142E50" w:rsidRPr="00142E50" w:rsidRDefault="00880D0C" w:rsidP="00880D0C">
            <w:pPr>
              <w:pStyle w:val="AERtabletextleft"/>
            </w:pPr>
            <w:r w:rsidRPr="00880D0C">
              <w:t>Throughput</w:t>
            </w:r>
          </w:p>
        </w:tc>
        <w:tc>
          <w:tcPr>
            <w:tcW w:w="1667" w:type="pct"/>
          </w:tcPr>
          <w:p w:rsidR="00142E50" w:rsidRPr="00142E50" w:rsidRDefault="00880D0C" w:rsidP="00142E50">
            <w:pPr>
              <w:pStyle w:val="AERtabletextleft"/>
            </w:pPr>
            <w:r>
              <w:t>DT</w:t>
            </w:r>
          </w:p>
        </w:tc>
        <w:tc>
          <w:tcPr>
            <w:tcW w:w="1666" w:type="pct"/>
          </w:tcPr>
          <w:p w:rsidR="00880D0C" w:rsidRPr="00880D0C" w:rsidRDefault="00880D0C" w:rsidP="00880D0C">
            <w:pPr>
              <w:pStyle w:val="AERtabletextleft"/>
            </w:pPr>
            <w:r w:rsidRPr="00880D0C">
              <w:t>Demand Throughput Rate (clause 4.1(f))</w:t>
            </w:r>
          </w:p>
          <w:p w:rsidR="00880D0C" w:rsidRPr="00880D0C" w:rsidRDefault="00880D0C" w:rsidP="00880D0C">
            <w:pPr>
              <w:pStyle w:val="AERtabletextleft"/>
            </w:pPr>
            <w:r w:rsidRPr="00880D0C">
              <w:t>Provision of Basic Metering Equipment Charge</w:t>
            </w:r>
          </w:p>
          <w:p w:rsidR="00880D0C" w:rsidRPr="00880D0C" w:rsidRDefault="00880D0C" w:rsidP="00880D0C">
            <w:pPr>
              <w:pStyle w:val="AERtabletextleft"/>
            </w:pPr>
            <w:r w:rsidRPr="00880D0C">
              <w:t>(clause 4.1(g))</w:t>
            </w:r>
          </w:p>
          <w:p w:rsidR="00142E50" w:rsidRDefault="00880D0C" w:rsidP="00880D0C">
            <w:pPr>
              <w:pStyle w:val="AERtabletextleft"/>
            </w:pPr>
            <w:r w:rsidRPr="00880D0C">
              <w:t>Ancillary Charges (clause 4.1(j))</w:t>
            </w:r>
          </w:p>
        </w:tc>
      </w:tr>
      <w:tr w:rsidR="00142E50" w:rsidTr="00880D0C">
        <w:trPr>
          <w:trHeight w:val="464"/>
        </w:trPr>
        <w:tc>
          <w:tcPr>
            <w:tcW w:w="1667" w:type="pct"/>
            <w:vAlign w:val="top"/>
          </w:tcPr>
          <w:p w:rsidR="00880D0C" w:rsidRPr="00880D0C" w:rsidRDefault="00880D0C" w:rsidP="00880D0C">
            <w:pPr>
              <w:pStyle w:val="AERtabletextleft"/>
            </w:pPr>
            <w:r w:rsidRPr="00880D0C">
              <w:t>Demand Capacity -</w:t>
            </w:r>
          </w:p>
          <w:p w:rsidR="00142E50" w:rsidRPr="00142E50" w:rsidRDefault="00880D0C" w:rsidP="00880D0C">
            <w:pPr>
              <w:pStyle w:val="AERtabletextleft"/>
            </w:pPr>
            <w:r w:rsidRPr="00880D0C">
              <w:t>1st Response</w:t>
            </w:r>
          </w:p>
        </w:tc>
        <w:tc>
          <w:tcPr>
            <w:tcW w:w="1667" w:type="pct"/>
          </w:tcPr>
          <w:p w:rsidR="00142E50" w:rsidRPr="00142E50" w:rsidRDefault="00880D0C" w:rsidP="00142E50">
            <w:pPr>
              <w:pStyle w:val="AERtabletextleft"/>
            </w:pPr>
            <w:r w:rsidRPr="00880D0C">
              <w:t>DCFR-6</w:t>
            </w:r>
          </w:p>
        </w:tc>
        <w:tc>
          <w:tcPr>
            <w:tcW w:w="1666" w:type="pct"/>
          </w:tcPr>
          <w:p w:rsidR="00880D0C" w:rsidRPr="00880D0C" w:rsidRDefault="00880D0C" w:rsidP="00880D0C">
            <w:pPr>
              <w:pStyle w:val="AERtabletextleft"/>
            </w:pPr>
            <w:r w:rsidRPr="00880D0C">
              <w:t>Discounted Demand Capacity Rate (clause</w:t>
            </w:r>
          </w:p>
          <w:p w:rsidR="00880D0C" w:rsidRPr="00880D0C" w:rsidRDefault="00880D0C" w:rsidP="00880D0C">
            <w:pPr>
              <w:pStyle w:val="AERtabletextleft"/>
            </w:pPr>
            <w:r w:rsidRPr="00880D0C">
              <w:t>4.1(d))</w:t>
            </w:r>
          </w:p>
          <w:p w:rsidR="00880D0C" w:rsidRPr="00880D0C" w:rsidRDefault="00880D0C" w:rsidP="00880D0C">
            <w:pPr>
              <w:pStyle w:val="AERtabletextleft"/>
            </w:pPr>
            <w:r w:rsidRPr="00880D0C">
              <w:t>Provision of Basic Metering Equipment Charge</w:t>
            </w:r>
          </w:p>
          <w:p w:rsidR="00880D0C" w:rsidRPr="00880D0C" w:rsidRDefault="00880D0C" w:rsidP="00880D0C">
            <w:pPr>
              <w:pStyle w:val="AERtabletextleft"/>
            </w:pPr>
            <w:r w:rsidRPr="00880D0C">
              <w:t>(clause 4.1(g))</w:t>
            </w:r>
          </w:p>
          <w:p w:rsidR="00142E50" w:rsidRPr="002758C1" w:rsidRDefault="00880D0C" w:rsidP="00880D0C">
            <w:pPr>
              <w:pStyle w:val="AERtabletextleft"/>
            </w:pPr>
            <w:r w:rsidRPr="00880D0C">
              <w:t>Ancillary Charges (clause 4.1(j))</w:t>
            </w:r>
          </w:p>
        </w:tc>
      </w:tr>
      <w:tr w:rsidR="00142E50" w:rsidTr="00880D0C">
        <w:trPr>
          <w:cnfStyle w:val="000000010000" w:firstRow="0" w:lastRow="0" w:firstColumn="0" w:lastColumn="0" w:oddVBand="0" w:evenVBand="0" w:oddHBand="0" w:evenHBand="1" w:firstRowFirstColumn="0" w:firstRowLastColumn="0" w:lastRowFirstColumn="0" w:lastRowLastColumn="0"/>
          <w:trHeight w:val="464"/>
        </w:trPr>
        <w:tc>
          <w:tcPr>
            <w:tcW w:w="1667" w:type="pct"/>
            <w:vAlign w:val="top"/>
          </w:tcPr>
          <w:p w:rsidR="00880D0C" w:rsidRPr="00880D0C" w:rsidRDefault="00880D0C" w:rsidP="00880D0C">
            <w:pPr>
              <w:pStyle w:val="AERtabletextleft"/>
            </w:pPr>
            <w:r w:rsidRPr="00880D0C">
              <w:t>Demand Major End</w:t>
            </w:r>
          </w:p>
          <w:p w:rsidR="00880D0C" w:rsidRPr="00880D0C" w:rsidRDefault="00880D0C" w:rsidP="00880D0C">
            <w:pPr>
              <w:pStyle w:val="AERtabletextleft"/>
            </w:pPr>
            <w:r w:rsidRPr="00880D0C">
              <w:t>Customer</w:t>
            </w:r>
          </w:p>
          <w:p w:rsidR="00142E50" w:rsidRPr="00142E50" w:rsidRDefault="00880D0C" w:rsidP="00880D0C">
            <w:pPr>
              <w:pStyle w:val="AERtabletextleft"/>
            </w:pPr>
            <w:r w:rsidRPr="00880D0C">
              <w:t>Throughput</w:t>
            </w:r>
          </w:p>
        </w:tc>
        <w:tc>
          <w:tcPr>
            <w:tcW w:w="1667" w:type="pct"/>
          </w:tcPr>
          <w:p w:rsidR="00880D0C" w:rsidRPr="00880D0C" w:rsidRDefault="00880D0C" w:rsidP="00880D0C">
            <w:pPr>
              <w:pStyle w:val="AERtabletextleft"/>
            </w:pPr>
            <w:r w:rsidRPr="00880D0C">
              <w:t>DMT-01</w:t>
            </w:r>
          </w:p>
          <w:p w:rsidR="00880D0C" w:rsidRPr="00880D0C" w:rsidRDefault="00880D0C" w:rsidP="00880D0C">
            <w:pPr>
              <w:pStyle w:val="AERtabletextleft"/>
            </w:pPr>
            <w:r w:rsidRPr="00880D0C">
              <w:t>To</w:t>
            </w:r>
          </w:p>
          <w:p w:rsidR="00142E50" w:rsidRPr="00142E50" w:rsidRDefault="00880D0C" w:rsidP="00880D0C">
            <w:pPr>
              <w:pStyle w:val="AERtabletextleft"/>
            </w:pPr>
            <w:r w:rsidRPr="00880D0C">
              <w:t>DMT-05</w:t>
            </w:r>
          </w:p>
        </w:tc>
        <w:tc>
          <w:tcPr>
            <w:tcW w:w="1666" w:type="pct"/>
          </w:tcPr>
          <w:p w:rsidR="00880D0C" w:rsidRPr="00880D0C" w:rsidRDefault="00880D0C" w:rsidP="00880D0C">
            <w:pPr>
              <w:pStyle w:val="AERtabletextleft"/>
            </w:pPr>
            <w:r w:rsidRPr="00880D0C">
              <w:t>Fixed Charge (clause 4.1(</w:t>
            </w:r>
            <w:proofErr w:type="spellStart"/>
            <w:r w:rsidRPr="00880D0C">
              <w:t>i</w:t>
            </w:r>
            <w:proofErr w:type="spellEnd"/>
            <w:r w:rsidRPr="00880D0C">
              <w:t>))</w:t>
            </w:r>
          </w:p>
          <w:p w:rsidR="00880D0C" w:rsidRPr="00880D0C" w:rsidRDefault="00880D0C" w:rsidP="00880D0C">
            <w:pPr>
              <w:pStyle w:val="AERtabletextleft"/>
            </w:pPr>
            <w:r w:rsidRPr="00880D0C">
              <w:t>Demand Throughput Rate (clause 4.1(f))</w:t>
            </w:r>
          </w:p>
          <w:p w:rsidR="00880D0C" w:rsidRPr="00880D0C" w:rsidRDefault="00880D0C" w:rsidP="00880D0C">
            <w:pPr>
              <w:pStyle w:val="AERtabletextleft"/>
            </w:pPr>
            <w:r w:rsidRPr="00880D0C">
              <w:t>Provision of Basic Metering Equipment Charge</w:t>
            </w:r>
          </w:p>
          <w:p w:rsidR="00880D0C" w:rsidRPr="00880D0C" w:rsidRDefault="00880D0C" w:rsidP="00880D0C">
            <w:pPr>
              <w:pStyle w:val="AERtabletextleft"/>
            </w:pPr>
            <w:r w:rsidRPr="00880D0C">
              <w:t>(clause 4.1(g))</w:t>
            </w:r>
          </w:p>
          <w:p w:rsidR="00142E50" w:rsidRDefault="00880D0C" w:rsidP="00880D0C">
            <w:pPr>
              <w:pStyle w:val="AERtabletextleft"/>
            </w:pPr>
            <w:r w:rsidRPr="00880D0C">
              <w:t>Ancillary Charges (clause 4.1(j))</w:t>
            </w:r>
          </w:p>
        </w:tc>
      </w:tr>
      <w:tr w:rsidR="00142E50" w:rsidTr="00880D0C">
        <w:trPr>
          <w:trHeight w:val="464"/>
        </w:trPr>
        <w:tc>
          <w:tcPr>
            <w:tcW w:w="1667" w:type="pct"/>
            <w:vAlign w:val="top"/>
          </w:tcPr>
          <w:p w:rsidR="00880D0C" w:rsidRPr="00880D0C" w:rsidRDefault="00880D0C" w:rsidP="00880D0C">
            <w:pPr>
              <w:pStyle w:val="AERtabletextleft"/>
            </w:pPr>
            <w:r w:rsidRPr="00880D0C">
              <w:lastRenderedPageBreak/>
              <w:t>Demand Major End</w:t>
            </w:r>
          </w:p>
          <w:p w:rsidR="00880D0C" w:rsidRPr="00880D0C" w:rsidRDefault="00880D0C" w:rsidP="00880D0C">
            <w:pPr>
              <w:pStyle w:val="AERtabletextleft"/>
            </w:pPr>
            <w:r w:rsidRPr="00880D0C">
              <w:t>Customer</w:t>
            </w:r>
          </w:p>
          <w:p w:rsidR="00880D0C" w:rsidRPr="00880D0C" w:rsidRDefault="00880D0C" w:rsidP="00880D0C">
            <w:pPr>
              <w:pStyle w:val="AERtabletextleft"/>
            </w:pPr>
            <w:r w:rsidRPr="00880D0C">
              <w:t>Throughput</w:t>
            </w:r>
          </w:p>
          <w:p w:rsidR="00142E50" w:rsidRPr="00142E50" w:rsidRDefault="00880D0C" w:rsidP="00880D0C">
            <w:pPr>
              <w:pStyle w:val="AERtabletextleft"/>
            </w:pPr>
            <w:r w:rsidRPr="00880D0C">
              <w:t>- 1st response</w:t>
            </w:r>
          </w:p>
        </w:tc>
        <w:tc>
          <w:tcPr>
            <w:tcW w:w="1667" w:type="pct"/>
          </w:tcPr>
          <w:p w:rsidR="00142E50" w:rsidRPr="00142E50" w:rsidRDefault="00880D0C" w:rsidP="00142E50">
            <w:pPr>
              <w:pStyle w:val="AERtabletextleft"/>
            </w:pPr>
            <w:r w:rsidRPr="00880D0C">
              <w:t>DMTFR-3</w:t>
            </w:r>
          </w:p>
        </w:tc>
        <w:tc>
          <w:tcPr>
            <w:tcW w:w="1666" w:type="pct"/>
          </w:tcPr>
          <w:p w:rsidR="00880D0C" w:rsidRPr="00880D0C" w:rsidRDefault="00880D0C" w:rsidP="00880D0C">
            <w:pPr>
              <w:pStyle w:val="AERtabletextleft"/>
            </w:pPr>
            <w:r w:rsidRPr="00880D0C">
              <w:t>Discounted Fixed Charge (clause 4.1(e))</w:t>
            </w:r>
          </w:p>
          <w:p w:rsidR="00880D0C" w:rsidRPr="00880D0C" w:rsidRDefault="00880D0C" w:rsidP="00880D0C">
            <w:pPr>
              <w:pStyle w:val="AERtabletextleft"/>
            </w:pPr>
            <w:r w:rsidRPr="00880D0C">
              <w:t>Discounted Demand Throughput Rate (clause</w:t>
            </w:r>
          </w:p>
          <w:p w:rsidR="00880D0C" w:rsidRPr="00880D0C" w:rsidRDefault="00880D0C" w:rsidP="00880D0C">
            <w:pPr>
              <w:pStyle w:val="AERtabletextleft"/>
            </w:pPr>
            <w:r w:rsidRPr="00880D0C">
              <w:t>4.1(e))</w:t>
            </w:r>
          </w:p>
          <w:p w:rsidR="00880D0C" w:rsidRPr="00880D0C" w:rsidRDefault="00880D0C" w:rsidP="00880D0C">
            <w:pPr>
              <w:pStyle w:val="AERtabletextleft"/>
            </w:pPr>
            <w:r w:rsidRPr="00880D0C">
              <w:t>Provision of Basic Metering Equipment Charge</w:t>
            </w:r>
          </w:p>
          <w:p w:rsidR="00880D0C" w:rsidRPr="00880D0C" w:rsidRDefault="00880D0C" w:rsidP="00880D0C">
            <w:pPr>
              <w:pStyle w:val="AERtabletextleft"/>
            </w:pPr>
            <w:r w:rsidRPr="00880D0C">
              <w:t>(clause 4.1(g))</w:t>
            </w:r>
          </w:p>
          <w:p w:rsidR="00142E50" w:rsidRPr="002758C1" w:rsidRDefault="00880D0C" w:rsidP="00880D0C">
            <w:pPr>
              <w:pStyle w:val="AERtabletextleft"/>
            </w:pPr>
            <w:r w:rsidRPr="00880D0C">
              <w:t>Ancillary Charges (clause 4.1(j))</w:t>
            </w:r>
          </w:p>
        </w:tc>
      </w:tr>
    </w:tbl>
    <w:p w:rsidR="00142E50" w:rsidRPr="00142E50" w:rsidRDefault="000C2CC6" w:rsidP="006C10BB">
      <w:pPr>
        <w:pStyle w:val="AERtablesource"/>
      </w:pPr>
      <w:r>
        <w:t>Source:</w:t>
      </w:r>
      <w:r>
        <w:tab/>
      </w:r>
      <w:r w:rsidR="006C10BB">
        <w:t>JGN</w:t>
      </w:r>
      <w:r w:rsidR="006C10BB" w:rsidRPr="006C10BB">
        <w:t xml:space="preserve">, </w:t>
      </w:r>
      <w:r w:rsidR="006C10BB" w:rsidRPr="00CD1010">
        <w:rPr>
          <w:rStyle w:val="AERtextitalic"/>
        </w:rPr>
        <w:t xml:space="preserve">Access Arrangement </w:t>
      </w:r>
      <w:r w:rsidR="003F55FC" w:rsidRPr="00CD1010">
        <w:rPr>
          <w:rStyle w:val="AERtextitalic"/>
        </w:rPr>
        <w:t>2015–20</w:t>
      </w:r>
      <w:r w:rsidR="003F55FC">
        <w:t xml:space="preserve">: </w:t>
      </w:r>
      <w:r w:rsidR="006C10BB">
        <w:t>Schedule 2</w:t>
      </w:r>
      <w:r w:rsidR="006C10BB" w:rsidRPr="006C10BB">
        <w:t xml:space="preserve">, </w:t>
      </w:r>
      <w:r w:rsidR="006C10BB">
        <w:t>June 2014</w:t>
      </w:r>
      <w:r w:rsidR="006C10BB" w:rsidRPr="006C10BB">
        <w:t>, p</w:t>
      </w:r>
      <w:r w:rsidR="006C10BB">
        <w:t>p</w:t>
      </w:r>
      <w:r w:rsidR="006C10BB" w:rsidRPr="006C10BB">
        <w:t xml:space="preserve">. </w:t>
      </w:r>
      <w:r w:rsidR="006C10BB">
        <w:t>44–46.</w:t>
      </w:r>
    </w:p>
    <w:p w:rsidR="00880D0C" w:rsidRPr="00880D0C" w:rsidRDefault="000C2CC6" w:rsidP="000C2CC6">
      <w:pPr>
        <w:pStyle w:val="Caption"/>
      </w:pPr>
      <w:bookmarkStart w:id="10" w:name="_Ref403491101"/>
      <w:r>
        <w:t xml:space="preserve">Table </w:t>
      </w:r>
      <w:fldSimple w:instr=" STYLEREF 1 \s ">
        <w:r w:rsidR="00CD1010">
          <w:rPr>
            <w:noProof/>
          </w:rPr>
          <w:t>10</w:t>
        </w:r>
      </w:fldSimple>
      <w:r w:rsidR="00CD1010">
        <w:noBreakHyphen/>
      </w:r>
      <w:fldSimple w:instr=" SEQ Table \* ARABIC \s 1 ">
        <w:r w:rsidR="00CD1010">
          <w:rPr>
            <w:noProof/>
          </w:rPr>
          <w:t>2</w:t>
        </w:r>
      </w:fldSimple>
      <w:bookmarkEnd w:id="10"/>
      <w:r>
        <w:tab/>
        <w:t>JGN's—</w:t>
      </w:r>
      <w:r w:rsidR="004D2E88" w:rsidRPr="004D2E88">
        <w:t>ancillary reference service tariff structure</w:t>
      </w:r>
    </w:p>
    <w:tbl>
      <w:tblPr>
        <w:tblStyle w:val="AERtable-text"/>
        <w:tblW w:w="5000" w:type="pct"/>
        <w:tblLook w:val="01E0" w:firstRow="1" w:lastRow="1" w:firstColumn="1" w:lastColumn="1" w:noHBand="0" w:noVBand="0"/>
      </w:tblPr>
      <w:tblGrid>
        <w:gridCol w:w="3082"/>
        <w:gridCol w:w="3081"/>
        <w:gridCol w:w="3079"/>
      </w:tblGrid>
      <w:tr w:rsidR="00880D0C" w:rsidTr="00880D0C">
        <w:trPr>
          <w:cnfStyle w:val="100000000000" w:firstRow="1" w:lastRow="0" w:firstColumn="0" w:lastColumn="0" w:oddVBand="0" w:evenVBand="0" w:oddHBand="0" w:evenHBand="0" w:firstRowFirstColumn="0" w:firstRowLastColumn="0" w:lastRowFirstColumn="0" w:lastRowLastColumn="0"/>
          <w:trHeight w:val="464"/>
        </w:trPr>
        <w:tc>
          <w:tcPr>
            <w:tcW w:w="1667" w:type="pct"/>
          </w:tcPr>
          <w:p w:rsidR="00880D0C" w:rsidRPr="00880D0C" w:rsidRDefault="00880D0C" w:rsidP="00880D0C">
            <w:pPr>
              <w:pStyle w:val="AERtabletextleft"/>
            </w:pPr>
            <w:r w:rsidRPr="00880D0C">
              <w:t>2010–15 access arrangement period (Current )</w:t>
            </w:r>
          </w:p>
        </w:tc>
        <w:tc>
          <w:tcPr>
            <w:tcW w:w="1667" w:type="pct"/>
          </w:tcPr>
          <w:p w:rsidR="00880D0C" w:rsidRPr="00880D0C" w:rsidRDefault="00880D0C" w:rsidP="004D2E88">
            <w:pPr>
              <w:pStyle w:val="AERtabletextleft"/>
            </w:pPr>
            <w:r w:rsidRPr="00880D0C">
              <w:t>201</w:t>
            </w:r>
            <w:r w:rsidR="004D2E88">
              <w:t>5</w:t>
            </w:r>
            <w:r w:rsidRPr="00880D0C">
              <w:t>–</w:t>
            </w:r>
            <w:r w:rsidR="004D2E88">
              <w:t>2020</w:t>
            </w:r>
            <w:r w:rsidRPr="00880D0C">
              <w:t xml:space="preserve"> access arrangement period (Proposed)</w:t>
            </w:r>
          </w:p>
        </w:tc>
        <w:tc>
          <w:tcPr>
            <w:tcW w:w="1666" w:type="pct"/>
          </w:tcPr>
          <w:p w:rsidR="00880D0C" w:rsidRDefault="004D2E88" w:rsidP="00880D0C">
            <w:pPr>
              <w:pStyle w:val="AERtabletextleft"/>
            </w:pPr>
            <w:r>
              <w:t>Charge</w:t>
            </w:r>
          </w:p>
        </w:tc>
      </w:tr>
      <w:tr w:rsidR="00880D0C" w:rsidTr="00880D0C">
        <w:trPr>
          <w:trHeight w:val="464"/>
        </w:trPr>
        <w:tc>
          <w:tcPr>
            <w:tcW w:w="1667" w:type="pct"/>
          </w:tcPr>
          <w:p w:rsidR="00880D0C" w:rsidRPr="00880D0C" w:rsidRDefault="004D2E88" w:rsidP="004D2E88">
            <w:pPr>
              <w:pStyle w:val="AERtablesource"/>
              <w:ind w:left="0" w:firstLine="0"/>
            </w:pPr>
            <w:r w:rsidRPr="004D2E88">
              <w:t>Request for service</w:t>
            </w:r>
          </w:p>
        </w:tc>
        <w:tc>
          <w:tcPr>
            <w:tcW w:w="1667" w:type="pct"/>
          </w:tcPr>
          <w:p w:rsidR="00880D0C" w:rsidRDefault="004D2E88" w:rsidP="004D2E88">
            <w:pPr>
              <w:pStyle w:val="AERtabletextleft"/>
            </w:pPr>
            <w:r w:rsidRPr="004D2E88">
              <w:t>Hourly Charge –</w:t>
            </w:r>
            <w:r>
              <w:t xml:space="preserve"> </w:t>
            </w:r>
            <w:r w:rsidRPr="004D2E88">
              <w:t>non-standard User</w:t>
            </w:r>
            <w:r>
              <w:t xml:space="preserve"> </w:t>
            </w:r>
            <w:r w:rsidRPr="004D2E88">
              <w:t>initiated</w:t>
            </w:r>
            <w:r>
              <w:t xml:space="preserve"> </w:t>
            </w:r>
            <w:r w:rsidRPr="004D2E88">
              <w:t>requests</w:t>
            </w:r>
            <w:r>
              <w:t xml:space="preserve"> </w:t>
            </w:r>
            <w:r w:rsidRPr="004D2E88">
              <w:t>and queries</w:t>
            </w:r>
          </w:p>
        </w:tc>
        <w:tc>
          <w:tcPr>
            <w:tcW w:w="1666" w:type="pct"/>
          </w:tcPr>
          <w:p w:rsidR="00880D0C" w:rsidRDefault="004D2E88" w:rsidP="00880D0C">
            <w:pPr>
              <w:pStyle w:val="AERtabletextleft"/>
            </w:pPr>
            <w:r>
              <w:t>Fixed</w:t>
            </w:r>
          </w:p>
        </w:tc>
      </w:tr>
      <w:tr w:rsidR="00880D0C" w:rsidTr="00880D0C">
        <w:trPr>
          <w:cnfStyle w:val="000000010000" w:firstRow="0" w:lastRow="0" w:firstColumn="0" w:lastColumn="0" w:oddVBand="0" w:evenVBand="0" w:oddHBand="0" w:evenHBand="1" w:firstRowFirstColumn="0" w:firstRowLastColumn="0" w:lastRowFirstColumn="0" w:lastRowLastColumn="0"/>
          <w:trHeight w:val="464"/>
        </w:trPr>
        <w:tc>
          <w:tcPr>
            <w:tcW w:w="1667" w:type="pct"/>
          </w:tcPr>
          <w:p w:rsidR="00880D0C" w:rsidRPr="00880D0C" w:rsidRDefault="004D2E88" w:rsidP="004D2E88">
            <w:pPr>
              <w:pStyle w:val="AERtabletextleft"/>
            </w:pPr>
            <w:r w:rsidRPr="004D2E88">
              <w:t>Temporary</w:t>
            </w:r>
            <w:r>
              <w:t xml:space="preserve"> </w:t>
            </w:r>
            <w:r w:rsidRPr="004D2E88">
              <w:t>disconnection</w:t>
            </w:r>
          </w:p>
        </w:tc>
        <w:tc>
          <w:tcPr>
            <w:tcW w:w="1667" w:type="pct"/>
          </w:tcPr>
          <w:p w:rsidR="00880D0C" w:rsidRPr="00880D0C" w:rsidRDefault="004D2E88" w:rsidP="004D2E88">
            <w:pPr>
              <w:pStyle w:val="AERtabletextleft"/>
            </w:pPr>
            <w:r w:rsidRPr="004D2E88">
              <w:t>Disconnection (small</w:t>
            </w:r>
            <w:r>
              <w:t xml:space="preserve"> </w:t>
            </w:r>
            <w:r w:rsidRPr="004D2E88">
              <w:t>and large</w:t>
            </w:r>
            <w:r>
              <w:t xml:space="preserve"> </w:t>
            </w:r>
            <w:r w:rsidRPr="004D2E88">
              <w:t>customers)</w:t>
            </w:r>
          </w:p>
        </w:tc>
        <w:tc>
          <w:tcPr>
            <w:tcW w:w="1666" w:type="pct"/>
          </w:tcPr>
          <w:p w:rsidR="00880D0C" w:rsidRDefault="004D2E88" w:rsidP="00880D0C">
            <w:pPr>
              <w:pStyle w:val="AERtabletextleft"/>
            </w:pPr>
            <w:r>
              <w:t>Fixed</w:t>
            </w:r>
          </w:p>
        </w:tc>
      </w:tr>
      <w:tr w:rsidR="00880D0C" w:rsidTr="00880D0C">
        <w:trPr>
          <w:trHeight w:val="464"/>
        </w:trPr>
        <w:tc>
          <w:tcPr>
            <w:tcW w:w="1667" w:type="pct"/>
          </w:tcPr>
          <w:p w:rsidR="00880D0C" w:rsidRPr="00880D0C" w:rsidRDefault="004D2E88" w:rsidP="004D2E88">
            <w:pPr>
              <w:pStyle w:val="AERtabletextleft"/>
            </w:pPr>
            <w:r w:rsidRPr="004D2E88">
              <w:t>Permanent</w:t>
            </w:r>
            <w:r>
              <w:t xml:space="preserve"> </w:t>
            </w:r>
            <w:r w:rsidRPr="004D2E88">
              <w:t>disconnection</w:t>
            </w:r>
          </w:p>
        </w:tc>
        <w:tc>
          <w:tcPr>
            <w:tcW w:w="1667" w:type="pct"/>
          </w:tcPr>
          <w:p w:rsidR="00880D0C" w:rsidRPr="00880D0C" w:rsidRDefault="004D2E88" w:rsidP="004D2E88">
            <w:pPr>
              <w:pStyle w:val="AERtabletextleft"/>
            </w:pPr>
            <w:r w:rsidRPr="004D2E88">
              <w:t>Temporary</w:t>
            </w:r>
            <w:r>
              <w:t xml:space="preserve"> </w:t>
            </w:r>
            <w:r w:rsidRPr="004D2E88">
              <w:t>disconnection for</w:t>
            </w:r>
            <w:r>
              <w:t xml:space="preserve"> </w:t>
            </w:r>
            <w:r w:rsidRPr="004D2E88">
              <w:t>large customers</w:t>
            </w:r>
          </w:p>
        </w:tc>
        <w:tc>
          <w:tcPr>
            <w:tcW w:w="1666" w:type="pct"/>
          </w:tcPr>
          <w:p w:rsidR="00880D0C" w:rsidRPr="008A451E" w:rsidRDefault="004D2E88" w:rsidP="00880D0C">
            <w:pPr>
              <w:pStyle w:val="AERtabletextleft"/>
            </w:pPr>
            <w:r>
              <w:t>Fixed</w:t>
            </w:r>
          </w:p>
        </w:tc>
      </w:tr>
      <w:tr w:rsidR="00880D0C" w:rsidTr="00880D0C">
        <w:trPr>
          <w:cnfStyle w:val="000000010000" w:firstRow="0" w:lastRow="0" w:firstColumn="0" w:lastColumn="0" w:oddVBand="0" w:evenVBand="0" w:oddHBand="0" w:evenHBand="1" w:firstRowFirstColumn="0" w:firstRowLastColumn="0" w:lastRowFirstColumn="0" w:lastRowLastColumn="0"/>
          <w:trHeight w:val="464"/>
        </w:trPr>
        <w:tc>
          <w:tcPr>
            <w:tcW w:w="1667" w:type="pct"/>
          </w:tcPr>
          <w:p w:rsidR="004D2E88" w:rsidRPr="004D2E88" w:rsidRDefault="004D2E88" w:rsidP="004D2E88">
            <w:pPr>
              <w:pStyle w:val="AERtablesource"/>
            </w:pPr>
            <w:r w:rsidRPr="004D2E88">
              <w:t>Decommissioning and</w:t>
            </w:r>
          </w:p>
          <w:p w:rsidR="00880D0C" w:rsidRPr="00880D0C" w:rsidRDefault="004D2E88" w:rsidP="004D2E88">
            <w:pPr>
              <w:pStyle w:val="AERtablesource"/>
            </w:pPr>
            <w:r w:rsidRPr="004D2E88">
              <w:t>meter removal</w:t>
            </w:r>
            <w:r>
              <w:t xml:space="preserve"> </w:t>
            </w:r>
          </w:p>
        </w:tc>
        <w:tc>
          <w:tcPr>
            <w:tcW w:w="1667" w:type="pct"/>
          </w:tcPr>
          <w:p w:rsidR="00880D0C" w:rsidRPr="00880D0C" w:rsidRDefault="004D2E88" w:rsidP="004D2E88">
            <w:pPr>
              <w:pStyle w:val="AERtabletextleft"/>
            </w:pPr>
            <w:r w:rsidRPr="004D2E88">
              <w:t>Decommissioning</w:t>
            </w:r>
            <w:r>
              <w:t xml:space="preserve"> </w:t>
            </w:r>
            <w:r w:rsidRPr="004D2E88">
              <w:t>and meter removal</w:t>
            </w:r>
          </w:p>
        </w:tc>
        <w:tc>
          <w:tcPr>
            <w:tcW w:w="1666" w:type="pct"/>
          </w:tcPr>
          <w:p w:rsidR="00880D0C" w:rsidRPr="008A451E" w:rsidRDefault="004D2E88" w:rsidP="00880D0C">
            <w:pPr>
              <w:pStyle w:val="AERtabletextleft"/>
            </w:pPr>
            <w:r>
              <w:t>Fixed</w:t>
            </w:r>
          </w:p>
        </w:tc>
      </w:tr>
      <w:tr w:rsidR="00880D0C" w:rsidTr="00880D0C">
        <w:trPr>
          <w:trHeight w:val="464"/>
        </w:trPr>
        <w:tc>
          <w:tcPr>
            <w:tcW w:w="1667" w:type="pct"/>
          </w:tcPr>
          <w:p w:rsidR="00880D0C" w:rsidRPr="00880D0C" w:rsidRDefault="004D2E88" w:rsidP="004D2E88">
            <w:pPr>
              <w:pStyle w:val="AERtabletextleft"/>
            </w:pPr>
            <w:r w:rsidRPr="004D2E88">
              <w:t>Special meter</w:t>
            </w:r>
            <w:r>
              <w:t xml:space="preserve"> </w:t>
            </w:r>
            <w:r w:rsidRPr="004D2E88">
              <w:t>read</w:t>
            </w:r>
          </w:p>
        </w:tc>
        <w:tc>
          <w:tcPr>
            <w:tcW w:w="1667" w:type="pct"/>
          </w:tcPr>
          <w:p w:rsidR="00880D0C" w:rsidRPr="00880D0C" w:rsidRDefault="004D2E88" w:rsidP="004D2E88">
            <w:pPr>
              <w:pStyle w:val="AERtabletextleft"/>
            </w:pPr>
            <w:r w:rsidRPr="004D2E88">
              <w:t>Special Meter</w:t>
            </w:r>
            <w:r>
              <w:t xml:space="preserve"> </w:t>
            </w:r>
            <w:r w:rsidRPr="004D2E88">
              <w:t>Reads</w:t>
            </w:r>
          </w:p>
        </w:tc>
        <w:tc>
          <w:tcPr>
            <w:tcW w:w="1666" w:type="pct"/>
          </w:tcPr>
          <w:p w:rsidR="00880D0C" w:rsidRPr="008A451E" w:rsidRDefault="004D2E88" w:rsidP="00880D0C">
            <w:pPr>
              <w:pStyle w:val="AERtabletextleft"/>
            </w:pPr>
            <w:r>
              <w:t>Fixed</w:t>
            </w:r>
          </w:p>
        </w:tc>
      </w:tr>
    </w:tbl>
    <w:p w:rsidR="00880D0C" w:rsidRDefault="000C2CC6" w:rsidP="006C10BB">
      <w:pPr>
        <w:pStyle w:val="AERtablesource"/>
      </w:pPr>
      <w:r>
        <w:t>Source:</w:t>
      </w:r>
      <w:r>
        <w:tab/>
      </w:r>
      <w:r w:rsidR="006C10BB" w:rsidRPr="006C10BB">
        <w:t xml:space="preserve">JGN, </w:t>
      </w:r>
      <w:r w:rsidR="006C10BB" w:rsidRPr="00CD1010">
        <w:rPr>
          <w:rStyle w:val="AERtextitalic"/>
        </w:rPr>
        <w:t>Access Arrangement</w:t>
      </w:r>
      <w:r w:rsidR="003F55FC" w:rsidRPr="00CD1010">
        <w:rPr>
          <w:rStyle w:val="AERtextitalic"/>
        </w:rPr>
        <w:t xml:space="preserve"> 201</w:t>
      </w:r>
      <w:r w:rsidR="00CD1010" w:rsidRPr="00CD1010">
        <w:rPr>
          <w:rStyle w:val="AERtextitalic"/>
        </w:rPr>
        <w:t>5</w:t>
      </w:r>
      <w:r w:rsidR="003F55FC" w:rsidRPr="00CD1010">
        <w:rPr>
          <w:rStyle w:val="AERtextitalic"/>
        </w:rPr>
        <w:t>–20</w:t>
      </w:r>
      <w:r w:rsidR="00BF1CAF">
        <w:t>:</w:t>
      </w:r>
      <w:r w:rsidR="006C10BB" w:rsidRPr="006C10BB">
        <w:t xml:space="preserve"> Schedule 2, June 2014, pp. </w:t>
      </w:r>
      <w:r w:rsidR="006C10BB">
        <w:t>54–55</w:t>
      </w:r>
      <w:r w:rsidR="006C10BB" w:rsidRPr="006C10BB">
        <w:t>.</w:t>
      </w:r>
    </w:p>
    <w:p w:rsidR="00212B7E" w:rsidRPr="00212B7E" w:rsidRDefault="0065014D" w:rsidP="00212B7E">
      <w:pPr>
        <w:pStyle w:val="Heading2"/>
      </w:pPr>
      <w:bookmarkStart w:id="11" w:name="_Toc404173777"/>
      <w:r>
        <w:t>Assessment</w:t>
      </w:r>
      <w:r w:rsidR="00212B7E" w:rsidRPr="00212B7E">
        <w:t xml:space="preserve"> approach</w:t>
      </w:r>
      <w:bookmarkEnd w:id="11"/>
    </w:p>
    <w:p w:rsidR="00212B7E" w:rsidRPr="00212B7E" w:rsidRDefault="00212B7E" w:rsidP="00212B7E">
      <w:pPr>
        <w:pStyle w:val="AERbodytext"/>
      </w:pPr>
      <w:r w:rsidRPr="00212B7E">
        <w:t>In a full access arrangement, a service provider is required to specify for each reference service the reference tariff and the proposed approach to the setting reference tariffs.</w:t>
      </w:r>
      <w:r w:rsidR="00E244E4">
        <w:rPr>
          <w:rStyle w:val="FootnoteReference"/>
        </w:rPr>
        <w:footnoteReference w:id="4"/>
      </w:r>
      <w:r w:rsidRPr="00212B7E">
        <w:t xml:space="preserve"> This is done by:</w:t>
      </w:r>
    </w:p>
    <w:p w:rsidR="00212B7E" w:rsidRPr="00212B7E" w:rsidRDefault="00212B7E" w:rsidP="00212B7E">
      <w:pPr>
        <w:pStyle w:val="AERbulletlistfirststyle"/>
      </w:pPr>
      <w:r w:rsidRPr="00212B7E">
        <w:t>explaining how revenues and costs are allocated, including the relationship between costs and tariffs</w:t>
      </w:r>
      <w:r w:rsidR="00E244E4">
        <w:rPr>
          <w:rStyle w:val="FootnoteReference"/>
        </w:rPr>
        <w:footnoteReference w:id="5"/>
      </w:r>
      <w:r w:rsidRPr="00212B7E">
        <w:t xml:space="preserve">   </w:t>
      </w:r>
    </w:p>
    <w:p w:rsidR="00212B7E" w:rsidRPr="00212B7E" w:rsidRDefault="00212B7E" w:rsidP="00212B7E">
      <w:pPr>
        <w:pStyle w:val="AERbulletlistfirststyle"/>
      </w:pPr>
      <w:r w:rsidRPr="00212B7E">
        <w:t>defining the tariff classes</w:t>
      </w:r>
      <w:r w:rsidR="00E244E4">
        <w:rPr>
          <w:rStyle w:val="FootnoteReference"/>
        </w:rPr>
        <w:footnoteReference w:id="6"/>
      </w:r>
      <w:r w:rsidRPr="00212B7E">
        <w:t xml:space="preserve">  </w:t>
      </w:r>
    </w:p>
    <w:p w:rsidR="00212B7E" w:rsidRPr="00212B7E" w:rsidRDefault="00212B7E" w:rsidP="00212B7E">
      <w:pPr>
        <w:pStyle w:val="AERbulletlistfirststyle"/>
      </w:pPr>
      <w:r w:rsidRPr="00212B7E">
        <w:t>comparing the revenue to be raised by each reference tariff with the cost of providing each individual reference service</w:t>
      </w:r>
      <w:r w:rsidR="00E244E4">
        <w:rPr>
          <w:rStyle w:val="FootnoteReference"/>
        </w:rPr>
        <w:footnoteReference w:id="7"/>
      </w:r>
      <w:r w:rsidRPr="00212B7E">
        <w:t xml:space="preserve">  </w:t>
      </w:r>
    </w:p>
    <w:p w:rsidR="00212B7E" w:rsidRPr="00212B7E" w:rsidRDefault="00212B7E" w:rsidP="00212B7E">
      <w:pPr>
        <w:pStyle w:val="AERbulletlistfirststyle"/>
      </w:pPr>
      <w:r w:rsidRPr="00212B7E">
        <w:t xml:space="preserve">explaining </w:t>
      </w:r>
      <w:r w:rsidR="00C90B93">
        <w:t xml:space="preserve">and describing </w:t>
      </w:r>
      <w:r w:rsidRPr="00212B7E">
        <w:t>any pricing principles it employed</w:t>
      </w:r>
      <w:r w:rsidR="00E244E4">
        <w:rPr>
          <w:rStyle w:val="FootnoteReference"/>
        </w:rPr>
        <w:footnoteReference w:id="8"/>
      </w:r>
      <w:r w:rsidR="00C90B93">
        <w:rPr>
          <w:rStyle w:val="FootnoteReference"/>
        </w:rPr>
        <w:footnoteReference w:id="9"/>
      </w:r>
      <w:r w:rsidRPr="00212B7E">
        <w:t xml:space="preserve">  </w:t>
      </w:r>
    </w:p>
    <w:p w:rsidR="00212B7E" w:rsidRPr="00212B7E" w:rsidRDefault="00212B7E" w:rsidP="00212B7E">
      <w:pPr>
        <w:pStyle w:val="AERbodytext"/>
      </w:pPr>
      <w:r>
        <w:lastRenderedPageBreak/>
        <w:t>We</w:t>
      </w:r>
      <w:r w:rsidRPr="00212B7E">
        <w:t xml:space="preserve"> </w:t>
      </w:r>
      <w:r>
        <w:t>are</w:t>
      </w:r>
      <w:r w:rsidRPr="00212B7E">
        <w:t xml:space="preserve"> required to assess </w:t>
      </w:r>
      <w:r>
        <w:t>JGN's</w:t>
      </w:r>
      <w:r w:rsidRPr="00212B7E">
        <w:t xml:space="preserve"> proposed reference tariffs. Where </w:t>
      </w:r>
      <w:r>
        <w:t>we</w:t>
      </w:r>
      <w:r w:rsidRPr="00212B7E">
        <w:t xml:space="preserve"> do not </w:t>
      </w:r>
      <w:r w:rsidR="000C5F5D">
        <w:t>accept</w:t>
      </w:r>
      <w:r w:rsidRPr="00212B7E">
        <w:t xml:space="preserve"> </w:t>
      </w:r>
      <w:r>
        <w:t>JGN</w:t>
      </w:r>
      <w:r w:rsidRPr="00212B7E">
        <w:t xml:space="preserve">'s proposal, </w:t>
      </w:r>
      <w:r>
        <w:t>we</w:t>
      </w:r>
      <w:r w:rsidRPr="00212B7E">
        <w:t xml:space="preserve"> must determine the initial reference tariffs.</w:t>
      </w:r>
    </w:p>
    <w:p w:rsidR="00212B7E" w:rsidRPr="00212B7E" w:rsidRDefault="00212B7E" w:rsidP="00212B7E">
      <w:pPr>
        <w:pStyle w:val="AERbodytext"/>
      </w:pPr>
      <w:r w:rsidRPr="00212B7E">
        <w:t xml:space="preserve">In </w:t>
      </w:r>
      <w:r>
        <w:t xml:space="preserve">our </w:t>
      </w:r>
      <w:r w:rsidRPr="00212B7E">
        <w:t xml:space="preserve">assessment of </w:t>
      </w:r>
      <w:r w:rsidR="00C90B93">
        <w:t xml:space="preserve">the </w:t>
      </w:r>
      <w:r w:rsidRPr="00212B7E">
        <w:t xml:space="preserve">proposed reference tariff, </w:t>
      </w:r>
      <w:r>
        <w:t>we</w:t>
      </w:r>
      <w:r w:rsidR="00A036EE">
        <w:t xml:space="preserve"> reviewed</w:t>
      </w:r>
      <w:r w:rsidR="00C90B93">
        <w:t xml:space="preserve"> JGN</w:t>
      </w:r>
      <w:r w:rsidR="00C90B93" w:rsidRPr="00212B7E">
        <w:t>'s</w:t>
      </w:r>
      <w:r w:rsidRPr="00212B7E">
        <w:t>:</w:t>
      </w:r>
    </w:p>
    <w:p w:rsidR="00212B7E" w:rsidRPr="00212B7E" w:rsidRDefault="00A036EE" w:rsidP="00A036EE">
      <w:pPr>
        <w:pStyle w:val="AERbulletlistfirststyle"/>
      </w:pPr>
      <w:r>
        <w:t>a</w:t>
      </w:r>
      <w:r w:rsidR="00212B7E" w:rsidRPr="00212B7E">
        <w:t>ccess arrangement information</w:t>
      </w:r>
      <w:r w:rsidR="00E244E4">
        <w:rPr>
          <w:rStyle w:val="FootnoteReference"/>
        </w:rPr>
        <w:footnoteReference w:id="10"/>
      </w:r>
      <w:r w:rsidR="00212B7E" w:rsidRPr="00212B7E">
        <w:t xml:space="preserve">  </w:t>
      </w:r>
    </w:p>
    <w:p w:rsidR="00212B7E" w:rsidRDefault="00212B7E" w:rsidP="00A036EE">
      <w:pPr>
        <w:pStyle w:val="AERbulletlistfirststyle"/>
      </w:pPr>
      <w:r w:rsidRPr="00212B7E">
        <w:t>access arrangement</w:t>
      </w:r>
      <w:r w:rsidR="00A036EE">
        <w:t xml:space="preserve"> proposal</w:t>
      </w:r>
      <w:r w:rsidR="00E244E4">
        <w:rPr>
          <w:rStyle w:val="FootnoteReference"/>
        </w:rPr>
        <w:footnoteReference w:id="11"/>
      </w:r>
      <w:r w:rsidRPr="00212B7E">
        <w:t xml:space="preserve"> </w:t>
      </w:r>
    </w:p>
    <w:p w:rsidR="00A036EE" w:rsidRDefault="00A036EE" w:rsidP="00A036EE">
      <w:pPr>
        <w:pStyle w:val="AERbulletlistfirststyle"/>
      </w:pPr>
      <w:r>
        <w:t>tariff structure statement</w:t>
      </w:r>
      <w:r w:rsidR="00E244E4">
        <w:rPr>
          <w:rStyle w:val="FootnoteReference"/>
        </w:rPr>
        <w:footnoteReference w:id="12"/>
      </w:r>
    </w:p>
    <w:p w:rsidR="00A036EE" w:rsidRPr="00212B7E" w:rsidRDefault="00A036EE" w:rsidP="00A036EE">
      <w:pPr>
        <w:pStyle w:val="AERbulletlistfirststyle"/>
      </w:pPr>
      <w:r>
        <w:t>e</w:t>
      </w:r>
      <w:r w:rsidRPr="00A036EE">
        <w:t xml:space="preserve">xplanation of </w:t>
      </w:r>
      <w:r>
        <w:t>proposed revisions to the 2010 access arrangement</w:t>
      </w:r>
      <w:r w:rsidR="00E244E4">
        <w:rPr>
          <w:rStyle w:val="FootnoteReference"/>
        </w:rPr>
        <w:footnoteReference w:id="13"/>
      </w:r>
      <w:r w:rsidRPr="00A036EE">
        <w:t xml:space="preserve"> </w:t>
      </w:r>
    </w:p>
    <w:p w:rsidR="00212B7E" w:rsidRPr="00212B7E" w:rsidRDefault="00212B7E" w:rsidP="00A036EE">
      <w:pPr>
        <w:pStyle w:val="AERbulletlistfirststyle"/>
      </w:pPr>
      <w:proofErr w:type="gramStart"/>
      <w:r w:rsidRPr="00212B7E">
        <w:t>additional</w:t>
      </w:r>
      <w:proofErr w:type="gramEnd"/>
      <w:r w:rsidRPr="00212B7E">
        <w:t xml:space="preserve"> information provided in response to </w:t>
      </w:r>
      <w:r w:rsidR="00A036EE">
        <w:t>our</w:t>
      </w:r>
      <w:r w:rsidRPr="00212B7E">
        <w:t xml:space="preserve"> information requests</w:t>
      </w:r>
      <w:r w:rsidR="00564677">
        <w:t>.</w:t>
      </w:r>
      <w:r w:rsidR="00E244E4">
        <w:rPr>
          <w:rStyle w:val="FootnoteReference"/>
        </w:rPr>
        <w:footnoteReference w:id="14"/>
      </w:r>
    </w:p>
    <w:p w:rsidR="00212B7E" w:rsidRPr="00212B7E" w:rsidRDefault="00C90B93" w:rsidP="00C90B93">
      <w:pPr>
        <w:pStyle w:val="AERbodytext"/>
      </w:pPr>
      <w:r>
        <w:t xml:space="preserve">We also had regard to </w:t>
      </w:r>
      <w:r w:rsidR="00212B7E" w:rsidRPr="00212B7E">
        <w:t>submissions received in the course of consulting on the access arrangement proposal.</w:t>
      </w:r>
      <w:r w:rsidR="00E244E4">
        <w:rPr>
          <w:rStyle w:val="FootnoteReference"/>
        </w:rPr>
        <w:footnoteReference w:id="15"/>
      </w:r>
      <w:r w:rsidR="00212B7E" w:rsidRPr="00212B7E">
        <w:t xml:space="preserve">  </w:t>
      </w:r>
    </w:p>
    <w:p w:rsidR="00212B7E" w:rsidRPr="00212B7E" w:rsidRDefault="00212B7E" w:rsidP="00A036EE">
      <w:pPr>
        <w:pStyle w:val="HeadingBoldBlue"/>
      </w:pPr>
      <w:r w:rsidRPr="00212B7E">
        <w:t>Identifying the reference service</w:t>
      </w:r>
    </w:p>
    <w:p w:rsidR="00212B7E" w:rsidRPr="00212B7E" w:rsidRDefault="00F636D6" w:rsidP="00212B7E">
      <w:pPr>
        <w:pStyle w:val="AERbodytext"/>
      </w:pPr>
      <w:r>
        <w:t>JGN is required by t</w:t>
      </w:r>
      <w:r w:rsidR="00212B7E" w:rsidRPr="00212B7E">
        <w:t xml:space="preserve">he NGR to specify a reference tariff for each reference service. </w:t>
      </w:r>
      <w:r w:rsidR="00C90B93">
        <w:t xml:space="preserve">We </w:t>
      </w:r>
      <w:r w:rsidR="00212B7E" w:rsidRPr="00212B7E">
        <w:t>first consider</w:t>
      </w:r>
      <w:r>
        <w:t>ed</w:t>
      </w:r>
      <w:r w:rsidR="00212B7E" w:rsidRPr="00212B7E">
        <w:t xml:space="preserve"> what is (or are) the reference service(s) for the purpose of the NGR</w:t>
      </w:r>
      <w:r w:rsidR="00C90B93">
        <w:t xml:space="preserve"> when undertaking our review</w:t>
      </w:r>
      <w:r w:rsidR="00212B7E" w:rsidRPr="00212B7E">
        <w:t>.</w:t>
      </w:r>
      <w:r w:rsidR="0097658F">
        <w:rPr>
          <w:rStyle w:val="FootnoteReference"/>
        </w:rPr>
        <w:footnoteReference w:id="16"/>
      </w:r>
      <w:r w:rsidR="00212B7E" w:rsidRPr="00212B7E">
        <w:t xml:space="preserve"> </w:t>
      </w:r>
      <w:r>
        <w:t xml:space="preserve">Our decision </w:t>
      </w:r>
      <w:r w:rsidR="00212B7E" w:rsidRPr="00212B7E">
        <w:t xml:space="preserve">on what constitutes the reference service is set out in </w:t>
      </w:r>
      <w:r w:rsidR="005A733C">
        <w:t xml:space="preserve">the services </w:t>
      </w:r>
      <w:proofErr w:type="gramStart"/>
      <w:r w:rsidR="00212B7E" w:rsidRPr="00212B7E">
        <w:t>attachment .</w:t>
      </w:r>
      <w:proofErr w:type="gramEnd"/>
    </w:p>
    <w:p w:rsidR="00212B7E" w:rsidRPr="00212B7E" w:rsidRDefault="00212B7E" w:rsidP="00F636D6">
      <w:pPr>
        <w:pStyle w:val="HeadingBoldBlue"/>
      </w:pPr>
      <w:r w:rsidRPr="00212B7E">
        <w:t>Assessing the tariff setting methodology for the reference service</w:t>
      </w:r>
    </w:p>
    <w:p w:rsidR="00A73A0F" w:rsidRDefault="00212B7E" w:rsidP="00212B7E">
      <w:pPr>
        <w:pStyle w:val="AERbodytext"/>
      </w:pPr>
      <w:r w:rsidRPr="00212B7E">
        <w:t xml:space="preserve">The reference tariffs for a full access arrangement must be designed to meet the requirements of </w:t>
      </w:r>
      <w:r w:rsidR="00F636D6">
        <w:br/>
      </w:r>
      <w:r w:rsidR="003676B7">
        <w:t xml:space="preserve">the </w:t>
      </w:r>
      <w:r w:rsidRPr="00212B7E">
        <w:t>NGR</w:t>
      </w:r>
      <w:r w:rsidR="00C03E5F">
        <w:t>.</w:t>
      </w:r>
      <w:r w:rsidR="00C90B93">
        <w:t xml:space="preserve"> </w:t>
      </w:r>
      <w:r w:rsidR="00C03E5F">
        <w:t>O</w:t>
      </w:r>
      <w:r w:rsidR="00B8622C">
        <w:t>ur discretion on tariff design is limited.</w:t>
      </w:r>
      <w:r w:rsidR="00E244E4">
        <w:rPr>
          <w:rStyle w:val="FootnoteReference"/>
        </w:rPr>
        <w:footnoteReference w:id="17"/>
      </w:r>
      <w:r w:rsidR="00A73A0F">
        <w:t xml:space="preserve"> </w:t>
      </w:r>
    </w:p>
    <w:p w:rsidR="00B8622C" w:rsidRDefault="003676B7" w:rsidP="00212B7E">
      <w:pPr>
        <w:pStyle w:val="AERbodytext"/>
      </w:pPr>
      <w:r>
        <w:t>Consequently, w</w:t>
      </w:r>
      <w:r w:rsidR="00B8622C">
        <w:t>e have</w:t>
      </w:r>
      <w:r w:rsidR="00212B7E" w:rsidRPr="00212B7E">
        <w:t xml:space="preserve"> considered how </w:t>
      </w:r>
      <w:r w:rsidR="00B8622C">
        <w:t>JGN</w:t>
      </w:r>
      <w:r w:rsidR="00212B7E" w:rsidRPr="00212B7E">
        <w:t xml:space="preserve"> intend</w:t>
      </w:r>
      <w:r w:rsidR="0097658F">
        <w:t>s</w:t>
      </w:r>
      <w:r w:rsidR="00212B7E" w:rsidRPr="00212B7E">
        <w:t xml:space="preserve"> to charge for reference services</w:t>
      </w:r>
      <w:r w:rsidR="00B8622C">
        <w:t xml:space="preserve"> by:</w:t>
      </w:r>
    </w:p>
    <w:p w:rsidR="00212B7E" w:rsidRPr="00212B7E" w:rsidRDefault="00212B7E" w:rsidP="0065014D">
      <w:pPr>
        <w:pStyle w:val="AERnumberedlistfirststyle"/>
      </w:pPr>
      <w:proofErr w:type="gramStart"/>
      <w:r w:rsidRPr="00212B7E">
        <w:t>assess</w:t>
      </w:r>
      <w:r w:rsidR="00B8622C">
        <w:t>ing</w:t>
      </w:r>
      <w:proofErr w:type="gramEnd"/>
      <w:r w:rsidRPr="00212B7E">
        <w:t xml:space="preserve"> how </w:t>
      </w:r>
      <w:r w:rsidR="00B8622C">
        <w:t>JGN</w:t>
      </w:r>
      <w:r w:rsidRPr="00212B7E">
        <w:t xml:space="preserve"> intend</w:t>
      </w:r>
      <w:r w:rsidR="0097658F">
        <w:t>s</w:t>
      </w:r>
      <w:r w:rsidRPr="00212B7E">
        <w:t xml:space="preserve"> to allocate costs and revenues between reference service and other services. </w:t>
      </w:r>
      <w:r w:rsidR="00C90B93">
        <w:t>It</w:t>
      </w:r>
      <w:r w:rsidR="00D82184">
        <w:t xml:space="preserve"> must</w:t>
      </w:r>
      <w:r w:rsidRPr="00212B7E">
        <w:t xml:space="preserve"> demonstrate that total revenue is allocated between reference and other services in the ratio in which costs are allocated between reference and other services. Costs must also be allocated to the reference service and other services to which the cost is directly attributable.</w:t>
      </w:r>
      <w:r w:rsidR="00D82184">
        <w:rPr>
          <w:rStyle w:val="FootnoteReference"/>
        </w:rPr>
        <w:footnoteReference w:id="18"/>
      </w:r>
      <w:r w:rsidRPr="00212B7E">
        <w:t xml:space="preserve">  </w:t>
      </w:r>
    </w:p>
    <w:p w:rsidR="00212B7E" w:rsidRPr="00212B7E" w:rsidRDefault="00212B7E" w:rsidP="00D04377">
      <w:pPr>
        <w:pStyle w:val="AERnumberedlistfirststyle"/>
      </w:pPr>
      <w:proofErr w:type="gramStart"/>
      <w:r w:rsidRPr="00212B7E">
        <w:t>assess</w:t>
      </w:r>
      <w:r w:rsidR="0065014D">
        <w:t>ing</w:t>
      </w:r>
      <w:proofErr w:type="gramEnd"/>
      <w:r w:rsidRPr="00212B7E">
        <w:t xml:space="preserve"> how </w:t>
      </w:r>
      <w:r w:rsidR="00C03E5F">
        <w:t>JGN</w:t>
      </w:r>
      <w:r w:rsidRPr="00212B7E">
        <w:t xml:space="preserve"> grouped its customers into tariff classes. </w:t>
      </w:r>
      <w:r w:rsidR="00831491">
        <w:t xml:space="preserve">JGN is required to group together </w:t>
      </w:r>
      <w:r w:rsidR="00831491" w:rsidRPr="00831491">
        <w:t xml:space="preserve">customers for reference services on an economically efficient basis and to avoid unnecessary transaction costs. </w:t>
      </w:r>
      <w:r w:rsidR="00831491">
        <w:t xml:space="preserve">We </w:t>
      </w:r>
      <w:r w:rsidR="00831491" w:rsidRPr="00831491">
        <w:t xml:space="preserve">consider </w:t>
      </w:r>
      <w:r w:rsidR="00831491">
        <w:t xml:space="preserve">volume and demand </w:t>
      </w:r>
      <w:r w:rsidR="00D04377" w:rsidRPr="00D04377">
        <w:t>tariff classes are consistent with the need to group customers for reference services together on an economically efficient basis and avoid unnecessary transaction costs.</w:t>
      </w:r>
      <w:r w:rsidR="003676B7">
        <w:rPr>
          <w:rStyle w:val="FootnoteReference"/>
        </w:rPr>
        <w:footnoteReference w:id="19"/>
      </w:r>
      <w:r w:rsidRPr="00212B7E">
        <w:t xml:space="preserve"> </w:t>
      </w:r>
    </w:p>
    <w:p w:rsidR="0065014D" w:rsidRDefault="0065014D" w:rsidP="0065014D">
      <w:pPr>
        <w:pStyle w:val="AERnumberedlistfirststyle"/>
      </w:pPr>
      <w:r>
        <w:t xml:space="preserve">assessing </w:t>
      </w:r>
      <w:r w:rsidR="00212B7E" w:rsidRPr="00212B7E">
        <w:t>how</w:t>
      </w:r>
      <w:r>
        <w:t>:</w:t>
      </w:r>
    </w:p>
    <w:p w:rsidR="00212B7E" w:rsidRPr="00212B7E" w:rsidRDefault="00212B7E" w:rsidP="0065014D">
      <w:pPr>
        <w:pStyle w:val="AERbulletlistsecondstyle"/>
      </w:pPr>
      <w:r w:rsidRPr="00212B7E">
        <w:lastRenderedPageBreak/>
        <w:t xml:space="preserve">the expected average revenue of a tariff class compares with the stand alone cost and avoidable cost of providing the reference service to that tariff class </w:t>
      </w:r>
    </w:p>
    <w:p w:rsidR="00212B7E" w:rsidRPr="00212B7E" w:rsidRDefault="00212B7E" w:rsidP="0065014D">
      <w:pPr>
        <w:pStyle w:val="AERbulletlistsecondstyle"/>
      </w:pPr>
      <w:r w:rsidRPr="00212B7E">
        <w:t xml:space="preserve">whether the tariff takes into account transaction costs associated with the tariff </w:t>
      </w:r>
    </w:p>
    <w:p w:rsidR="00212B7E" w:rsidRPr="00212B7E" w:rsidRDefault="00212B7E" w:rsidP="0065014D">
      <w:pPr>
        <w:pStyle w:val="AERbulletlistsecondstyle"/>
      </w:pPr>
      <w:r w:rsidRPr="00212B7E">
        <w:t xml:space="preserve">whether the tariffs take into account the long run marginal costs of reference services </w:t>
      </w:r>
    </w:p>
    <w:p w:rsidR="00212B7E" w:rsidRPr="00212B7E" w:rsidRDefault="00212B7E" w:rsidP="0065014D">
      <w:pPr>
        <w:pStyle w:val="AERbulletlistsecondstyle"/>
      </w:pPr>
      <w:proofErr w:type="gramStart"/>
      <w:r w:rsidRPr="00212B7E">
        <w:t>whether</w:t>
      </w:r>
      <w:proofErr w:type="gramEnd"/>
      <w:r w:rsidRPr="00212B7E">
        <w:t xml:space="preserve"> customers belonging to the relevant tariff class are able or likely to respond to price signals.</w:t>
      </w:r>
      <w:r w:rsidR="0065014D">
        <w:rPr>
          <w:rStyle w:val="FootnoteReference"/>
        </w:rPr>
        <w:footnoteReference w:id="20"/>
      </w:r>
      <w:r w:rsidRPr="00212B7E">
        <w:t xml:space="preserve"> </w:t>
      </w:r>
    </w:p>
    <w:p w:rsidR="00212B7E" w:rsidRPr="00212B7E" w:rsidRDefault="00212B7E" w:rsidP="0065014D">
      <w:pPr>
        <w:pStyle w:val="Heading2"/>
      </w:pPr>
      <w:bookmarkStart w:id="12" w:name="_Toc404173778"/>
      <w:r w:rsidRPr="00212B7E">
        <w:t>Reasons for draft decision</w:t>
      </w:r>
      <w:bookmarkEnd w:id="12"/>
    </w:p>
    <w:p w:rsidR="003F55FC" w:rsidRDefault="00147A4A" w:rsidP="00147A4A">
      <w:r>
        <w:t>We</w:t>
      </w:r>
      <w:r w:rsidRPr="00147A4A">
        <w:t xml:space="preserve"> </w:t>
      </w:r>
      <w:r w:rsidR="00A7774C">
        <w:t>approve</w:t>
      </w:r>
      <w:r w:rsidRPr="00147A4A">
        <w:t xml:space="preserve"> </w:t>
      </w:r>
      <w:r>
        <w:t xml:space="preserve">JGN's proposed </w:t>
      </w:r>
      <w:r w:rsidR="00C90B93" w:rsidRPr="00147A4A">
        <w:t>reference tariffs</w:t>
      </w:r>
      <w:r w:rsidR="00C90B93">
        <w:t xml:space="preserve"> </w:t>
      </w:r>
      <w:r>
        <w:t>structure</w:t>
      </w:r>
      <w:r w:rsidR="00351732">
        <w:t xml:space="preserve"> because w</w:t>
      </w:r>
      <w:r w:rsidR="00A03483">
        <w:t xml:space="preserve">e </w:t>
      </w:r>
      <w:r w:rsidR="00C03E5F">
        <w:t xml:space="preserve">are satisfied </w:t>
      </w:r>
      <w:r w:rsidR="00351732">
        <w:t>that it</w:t>
      </w:r>
      <w:r w:rsidRPr="00147A4A">
        <w:t xml:space="preserve"> complies with the </w:t>
      </w:r>
      <w:r w:rsidR="00C90B93" w:rsidRPr="00147A4A">
        <w:t xml:space="preserve">NGR </w:t>
      </w:r>
      <w:r w:rsidRPr="00147A4A">
        <w:t>requirements.</w:t>
      </w:r>
      <w:r w:rsidR="0022766D">
        <w:rPr>
          <w:rStyle w:val="FootnoteReference"/>
        </w:rPr>
        <w:footnoteReference w:id="21"/>
      </w:r>
      <w:r w:rsidRPr="00147A4A">
        <w:t xml:space="preserve"> However, </w:t>
      </w:r>
      <w:r>
        <w:t xml:space="preserve">we </w:t>
      </w:r>
      <w:r w:rsidRPr="00147A4A">
        <w:t>consider that the proposed reference tariffs must be amended as set o</w:t>
      </w:r>
      <w:r>
        <w:t xml:space="preserve">ut in the revenue </w:t>
      </w:r>
      <w:r w:rsidR="00A7774C">
        <w:t>and demand chapter</w:t>
      </w:r>
      <w:r>
        <w:t xml:space="preserve"> of our</w:t>
      </w:r>
      <w:r w:rsidRPr="00147A4A">
        <w:t xml:space="preserve"> draft decision. This revision is required to reflect the changes to forecast total revenue and forecast demand. </w:t>
      </w:r>
    </w:p>
    <w:p w:rsidR="00147A4A" w:rsidRPr="00147A4A" w:rsidRDefault="00147A4A" w:rsidP="00147A4A">
      <w:r w:rsidRPr="00147A4A">
        <w:t xml:space="preserve">This section sets out the reasons </w:t>
      </w:r>
      <w:r>
        <w:t xml:space="preserve">our </w:t>
      </w:r>
      <w:r w:rsidRPr="00147A4A">
        <w:t>decision under the following headings:</w:t>
      </w:r>
    </w:p>
    <w:p w:rsidR="00147A4A" w:rsidRPr="00147A4A" w:rsidRDefault="00147A4A" w:rsidP="00147A4A">
      <w:pPr>
        <w:pStyle w:val="AERbulletlistfirststyle"/>
      </w:pPr>
      <w:r w:rsidRPr="00147A4A">
        <w:t xml:space="preserve">the allocation of revenues and costs to reference tariffs </w:t>
      </w:r>
    </w:p>
    <w:p w:rsidR="00147A4A" w:rsidRPr="00147A4A" w:rsidRDefault="00147A4A" w:rsidP="00147A4A">
      <w:pPr>
        <w:pStyle w:val="AERbulletlistfirststyle"/>
      </w:pPr>
      <w:r w:rsidRPr="00147A4A">
        <w:t xml:space="preserve">the establishment of tariffs classes </w:t>
      </w:r>
    </w:p>
    <w:p w:rsidR="00147A4A" w:rsidRPr="00147A4A" w:rsidRDefault="00147A4A" w:rsidP="00147A4A">
      <w:pPr>
        <w:pStyle w:val="AERbulletlistfirststyle"/>
      </w:pPr>
      <w:proofErr w:type="gramStart"/>
      <w:r w:rsidRPr="00147A4A">
        <w:t>tariff</w:t>
      </w:r>
      <w:proofErr w:type="gramEnd"/>
      <w:r w:rsidRPr="00147A4A">
        <w:t xml:space="preserve"> classes and revenue limits.</w:t>
      </w:r>
    </w:p>
    <w:p w:rsidR="005715BC" w:rsidRPr="005715BC" w:rsidRDefault="005715BC" w:rsidP="005715BC">
      <w:pPr>
        <w:pStyle w:val="Heading2"/>
        <w:rPr>
          <w:rFonts w:eastAsia="Calibri"/>
        </w:rPr>
      </w:pPr>
      <w:bookmarkStart w:id="13" w:name="_Toc404173779"/>
      <w:r w:rsidRPr="005715BC">
        <w:rPr>
          <w:rFonts w:eastAsia="Calibri"/>
        </w:rPr>
        <w:t>Allocation of revenues and costs to reference tariffs</w:t>
      </w:r>
      <w:bookmarkEnd w:id="13"/>
    </w:p>
    <w:p w:rsidR="005715BC" w:rsidRPr="005715BC" w:rsidRDefault="003C0C81" w:rsidP="005715BC">
      <w:pPr>
        <w:rPr>
          <w:rStyle w:val="AERbody"/>
        </w:rPr>
      </w:pPr>
      <w:r>
        <w:rPr>
          <w:rStyle w:val="AERbody"/>
        </w:rPr>
        <w:t>W</w:t>
      </w:r>
      <w:r w:rsidRPr="00D20390">
        <w:rPr>
          <w:rStyle w:val="AERbody"/>
        </w:rPr>
        <w:t>e are satisfied that JGN's approach to allocating revenue and costs between reference service and</w:t>
      </w:r>
      <w:r>
        <w:rPr>
          <w:rStyle w:val="AERbody"/>
        </w:rPr>
        <w:t xml:space="preserve"> non–reference services complies with</w:t>
      </w:r>
      <w:r w:rsidRPr="00D20390">
        <w:rPr>
          <w:rStyle w:val="AERbody"/>
        </w:rPr>
        <w:t xml:space="preserve"> the NGR</w:t>
      </w:r>
      <w:r>
        <w:rPr>
          <w:rStyle w:val="FootnoteReference"/>
        </w:rPr>
        <w:footnoteReference w:id="22"/>
      </w:r>
      <w:r w:rsidRPr="005715BC">
        <w:rPr>
          <w:rStyle w:val="AERbody"/>
        </w:rPr>
        <w:t xml:space="preserve"> for the following reasons:</w:t>
      </w:r>
    </w:p>
    <w:p w:rsidR="00121FBC" w:rsidRDefault="00121FBC" w:rsidP="00D20390">
      <w:pPr>
        <w:pStyle w:val="AERbulletlistfirststyle"/>
        <w:rPr>
          <w:rStyle w:val="AERbody"/>
        </w:rPr>
      </w:pPr>
      <w:r w:rsidRPr="00121FBC">
        <w:rPr>
          <w:rStyle w:val="AERbody"/>
        </w:rPr>
        <w:t>JGN</w:t>
      </w:r>
      <w:r w:rsidR="00D20390">
        <w:rPr>
          <w:rStyle w:val="AERbody"/>
        </w:rPr>
        <w:t>'s</w:t>
      </w:r>
      <w:r>
        <w:rPr>
          <w:rStyle w:val="AERbody"/>
        </w:rPr>
        <w:t xml:space="preserve"> cost allocation method </w:t>
      </w:r>
      <w:r w:rsidRPr="00121FBC">
        <w:rPr>
          <w:rStyle w:val="AERbody"/>
        </w:rPr>
        <w:t>takes the required cost of service, deducts revenues associated</w:t>
      </w:r>
      <w:r>
        <w:rPr>
          <w:rStyle w:val="AERbody"/>
        </w:rPr>
        <w:t xml:space="preserve"> </w:t>
      </w:r>
      <w:r w:rsidRPr="00121FBC">
        <w:rPr>
          <w:rStyle w:val="AERbody"/>
        </w:rPr>
        <w:t>with non-reference services (including negotiated revenues) and from non-pipeline services and then allocates</w:t>
      </w:r>
      <w:r w:rsidR="00D20390">
        <w:rPr>
          <w:rStyle w:val="AERbody"/>
        </w:rPr>
        <w:t xml:space="preserve"> </w:t>
      </w:r>
      <w:r w:rsidRPr="00121FBC">
        <w:rPr>
          <w:rStyle w:val="AERbody"/>
        </w:rPr>
        <w:t>the residual costs to the haulage reference service.</w:t>
      </w:r>
    </w:p>
    <w:p w:rsidR="00D20390" w:rsidRDefault="00D20390" w:rsidP="00D20390">
      <w:pPr>
        <w:pStyle w:val="AERbulletlistfirststyle"/>
        <w:rPr>
          <w:rStyle w:val="AERbody"/>
        </w:rPr>
      </w:pPr>
      <w:r w:rsidRPr="00D20390">
        <w:rPr>
          <w:rStyle w:val="AERbody"/>
        </w:rPr>
        <w:t>JGN calculates the revenue for other non-reference services based on the forecast level of activity for those</w:t>
      </w:r>
      <w:r>
        <w:rPr>
          <w:rStyle w:val="AERbody"/>
        </w:rPr>
        <w:t xml:space="preserve"> </w:t>
      </w:r>
      <w:r w:rsidRPr="00D20390">
        <w:rPr>
          <w:rStyle w:val="AERbody"/>
        </w:rPr>
        <w:t>services and their prices. JGN does not allocate this revenue to a</w:t>
      </w:r>
      <w:r>
        <w:rPr>
          <w:rStyle w:val="AERbody"/>
        </w:rPr>
        <w:t xml:space="preserve"> </w:t>
      </w:r>
      <w:r w:rsidRPr="00D20390">
        <w:rPr>
          <w:rStyle w:val="AERbody"/>
        </w:rPr>
        <w:t>reference service as the underlying costs are excluded from JGN’s building block revenues. Deducting these</w:t>
      </w:r>
      <w:r>
        <w:rPr>
          <w:rStyle w:val="AERbody"/>
        </w:rPr>
        <w:t xml:space="preserve"> </w:t>
      </w:r>
      <w:r w:rsidRPr="00D20390">
        <w:rPr>
          <w:rStyle w:val="AERbody"/>
        </w:rPr>
        <w:t>revenues from the building block revenues ensures costs are not duplicated by allocations to reference</w:t>
      </w:r>
      <w:r>
        <w:rPr>
          <w:rStyle w:val="AERbody"/>
        </w:rPr>
        <w:t xml:space="preserve"> </w:t>
      </w:r>
      <w:r w:rsidRPr="00D20390">
        <w:rPr>
          <w:rStyle w:val="AERbody"/>
        </w:rPr>
        <w:t>services.</w:t>
      </w:r>
      <w:r w:rsidR="00A62D21">
        <w:rPr>
          <w:rStyle w:val="AERbody"/>
        </w:rPr>
        <w:t xml:space="preserve"> In other words costs are not counted twice.</w:t>
      </w:r>
    </w:p>
    <w:p w:rsidR="001215CC" w:rsidRDefault="001215CC" w:rsidP="00D20390">
      <w:pPr>
        <w:pStyle w:val="AERbulletlistfirststyle"/>
      </w:pPr>
      <w:r w:rsidRPr="001215CC">
        <w:t>JGN's submission included information outlining its stand-alone costs, long run marginal costs and incremental costs</w:t>
      </w:r>
      <w:r w:rsidR="00A62D21">
        <w:t xml:space="preserve"> which we have no objection to</w:t>
      </w:r>
      <w:r w:rsidRPr="001215CC">
        <w:t>.</w:t>
      </w:r>
      <w:r w:rsidR="00D20390">
        <w:rPr>
          <w:rStyle w:val="FootnoteReference"/>
        </w:rPr>
        <w:footnoteReference w:id="23"/>
      </w:r>
    </w:p>
    <w:p w:rsidR="001215CC" w:rsidRPr="001215CC" w:rsidRDefault="001215CC" w:rsidP="00D20390">
      <w:pPr>
        <w:pStyle w:val="Heading3"/>
      </w:pPr>
      <w:bookmarkStart w:id="14" w:name="_Toc404173780"/>
      <w:r w:rsidRPr="001215CC">
        <w:t>Establishment of tariff classes</w:t>
      </w:r>
      <w:bookmarkEnd w:id="14"/>
      <w:r w:rsidRPr="001215CC">
        <w:t xml:space="preserve"> </w:t>
      </w:r>
    </w:p>
    <w:p w:rsidR="00ED4963" w:rsidRDefault="00404EAB" w:rsidP="00ED4963">
      <w:r>
        <w:t xml:space="preserve">JGN </w:t>
      </w:r>
      <w:r w:rsidR="001215CC" w:rsidRPr="001215CC">
        <w:t>group</w:t>
      </w:r>
      <w:r w:rsidR="0022766D">
        <w:t>s</w:t>
      </w:r>
      <w:r w:rsidR="001215CC" w:rsidRPr="001215CC">
        <w:t xml:space="preserve"> </w:t>
      </w:r>
      <w:r w:rsidR="00E95DF8">
        <w:t xml:space="preserve">its </w:t>
      </w:r>
      <w:r>
        <w:t xml:space="preserve">customers </w:t>
      </w:r>
      <w:r w:rsidR="00E95DF8">
        <w:t xml:space="preserve">into </w:t>
      </w:r>
      <w:r w:rsidR="00ED4963">
        <w:t xml:space="preserve">volume or demand </w:t>
      </w:r>
      <w:r w:rsidR="00ED4963" w:rsidRPr="00ED4963">
        <w:t>tariff categories and</w:t>
      </w:r>
      <w:r w:rsidR="00ED4963">
        <w:t xml:space="preserve"> </w:t>
      </w:r>
      <w:r w:rsidR="00E95DF8">
        <w:t>classif</w:t>
      </w:r>
      <w:r w:rsidR="0022766D">
        <w:t>ies</w:t>
      </w:r>
      <w:r w:rsidR="00E95DF8">
        <w:t xml:space="preserve"> them</w:t>
      </w:r>
      <w:r w:rsidR="00ED4963" w:rsidRPr="00ED4963">
        <w:t xml:space="preserve"> by location</w:t>
      </w:r>
      <w:r w:rsidR="00ED4963">
        <w:t xml:space="preserve"> (coastal, country </w:t>
      </w:r>
      <w:proofErr w:type="spellStart"/>
      <w:r w:rsidR="00ED4963">
        <w:t>etc</w:t>
      </w:r>
      <w:proofErr w:type="spellEnd"/>
      <w:r w:rsidR="00ED4963">
        <w:t>)</w:t>
      </w:r>
      <w:r w:rsidR="00ED4963" w:rsidRPr="00ED4963">
        <w:t>.</w:t>
      </w:r>
      <w:r w:rsidR="00ED4963">
        <w:t xml:space="preserve"> We</w:t>
      </w:r>
      <w:r w:rsidR="001215CC" w:rsidRPr="001215CC">
        <w:t xml:space="preserve"> consider that these characteristics are likely to drive costs within </w:t>
      </w:r>
      <w:r w:rsidR="00ED4963">
        <w:t>JGN's</w:t>
      </w:r>
      <w:r w:rsidR="001215CC" w:rsidRPr="001215CC">
        <w:t xml:space="preserve"> gas distribution network. Therefore, using them to group customers in</w:t>
      </w:r>
      <w:r w:rsidR="0022766D">
        <w:t>to</w:t>
      </w:r>
      <w:r w:rsidR="001215CC" w:rsidRPr="001215CC">
        <w:t xml:space="preserve"> tariff class is appropriate.</w:t>
      </w:r>
    </w:p>
    <w:p w:rsidR="001215CC" w:rsidRPr="001215CC" w:rsidRDefault="001215CC" w:rsidP="001215CC">
      <w:r w:rsidRPr="001215CC">
        <w:lastRenderedPageBreak/>
        <w:t xml:space="preserve">Based on the above reason, </w:t>
      </w:r>
      <w:r w:rsidR="00ED4963">
        <w:t>we</w:t>
      </w:r>
      <w:r w:rsidRPr="001215CC">
        <w:t xml:space="preserve"> </w:t>
      </w:r>
      <w:r w:rsidR="00ED4963">
        <w:t>are</w:t>
      </w:r>
      <w:r w:rsidRPr="001215CC">
        <w:t xml:space="preserve"> satisfied that the proposed tariff classes are consistent with the requirements of the NGR.</w:t>
      </w:r>
      <w:r w:rsidR="00D04377">
        <w:rPr>
          <w:rStyle w:val="FootnoteReference"/>
        </w:rPr>
        <w:footnoteReference w:id="24"/>
      </w:r>
      <w:r w:rsidRPr="001215CC">
        <w:t xml:space="preserve"> </w:t>
      </w:r>
    </w:p>
    <w:p w:rsidR="001215CC" w:rsidRPr="001215CC" w:rsidRDefault="00EE0E2F" w:rsidP="001D0C6B">
      <w:pPr>
        <w:pStyle w:val="HeadingBoldBlue"/>
      </w:pPr>
      <w:r>
        <w:t xml:space="preserve">Efficient pricing </w:t>
      </w:r>
    </w:p>
    <w:p w:rsidR="0000077D" w:rsidRDefault="001D0C6B" w:rsidP="0000077D">
      <w:r>
        <w:t xml:space="preserve">We are </w:t>
      </w:r>
      <w:r w:rsidR="001215CC" w:rsidRPr="001215CC">
        <w:t xml:space="preserve">satisfied that </w:t>
      </w:r>
      <w:r>
        <w:t>JGN's</w:t>
      </w:r>
      <w:r w:rsidR="001215CC" w:rsidRPr="001215CC">
        <w:t xml:space="preserve"> proposed reference tariffs are consistent with the NGR requirements</w:t>
      </w:r>
      <w:r w:rsidR="0000077D">
        <w:t xml:space="preserve"> because </w:t>
      </w:r>
      <w:r w:rsidR="0000077D" w:rsidRPr="0000077D">
        <w:t>the expected revenue to be recovered lie on or between:</w:t>
      </w:r>
    </w:p>
    <w:p w:rsidR="0000077D" w:rsidRPr="0000077D" w:rsidRDefault="0000077D" w:rsidP="0000077D">
      <w:pPr>
        <w:pStyle w:val="AERbulletlistfirststyle"/>
      </w:pPr>
      <w:r w:rsidRPr="0000077D">
        <w:t>an upper bound representing the stand-alone cost of providing the reference service to customers who belong to that tariff class</w:t>
      </w:r>
    </w:p>
    <w:p w:rsidR="0000077D" w:rsidRPr="0000077D" w:rsidRDefault="0000077D" w:rsidP="0000077D">
      <w:pPr>
        <w:pStyle w:val="AERbulletlistfirststyle"/>
      </w:pPr>
      <w:proofErr w:type="gramStart"/>
      <w:r w:rsidRPr="0000077D">
        <w:t>a</w:t>
      </w:r>
      <w:proofErr w:type="gramEnd"/>
      <w:r w:rsidRPr="0000077D">
        <w:t xml:space="preserve"> lower bound representing the avoidable cost of not providing the reference service to those customers.</w:t>
      </w:r>
      <w:r>
        <w:rPr>
          <w:rStyle w:val="FootnoteReference"/>
        </w:rPr>
        <w:footnoteReference w:id="25"/>
      </w:r>
    </w:p>
    <w:p w:rsidR="00AB3BE9" w:rsidRDefault="001D0C6B" w:rsidP="00AB3BE9">
      <w:r>
        <w:t>We</w:t>
      </w:r>
      <w:r w:rsidR="001215CC" w:rsidRPr="001215CC">
        <w:t xml:space="preserve"> reviewed </w:t>
      </w:r>
      <w:r>
        <w:t>JGN</w:t>
      </w:r>
      <w:r w:rsidR="001215CC" w:rsidRPr="001215CC">
        <w:t>'s definitions of avoidable and stan</w:t>
      </w:r>
      <w:r>
        <w:t>dalone costs for the volume</w:t>
      </w:r>
      <w:r w:rsidR="001215CC" w:rsidRPr="001215CC">
        <w:t xml:space="preserve"> and demand tariff classes</w:t>
      </w:r>
      <w:r>
        <w:t xml:space="preserve"> and </w:t>
      </w:r>
      <w:r w:rsidR="001215CC" w:rsidRPr="001215CC">
        <w:t xml:space="preserve">consider that these definitions are acceptable for assessing compliance </w:t>
      </w:r>
      <w:r w:rsidR="00D04377">
        <w:t>the NGR</w:t>
      </w:r>
      <w:r w:rsidR="001215CC" w:rsidRPr="001215CC">
        <w:t>.</w:t>
      </w:r>
      <w:r w:rsidR="00D04377">
        <w:rPr>
          <w:rStyle w:val="FootnoteReference"/>
        </w:rPr>
        <w:footnoteReference w:id="26"/>
      </w:r>
      <w:r w:rsidR="001215CC" w:rsidRPr="001215CC">
        <w:t xml:space="preserve"> </w:t>
      </w:r>
      <w:r w:rsidR="00EE0E2F">
        <w:t xml:space="preserve">We have also reviewed the methodology applied by JGN </w:t>
      </w:r>
      <w:r w:rsidR="00BF1CAF">
        <w:t xml:space="preserve">to </w:t>
      </w:r>
      <w:r w:rsidR="001215CC" w:rsidRPr="001215CC">
        <w:t>demonstrate that for each tariff, the expected tariff revenue lies on or between the avoidable and standalone costs</w:t>
      </w:r>
      <w:r>
        <w:t>.</w:t>
      </w:r>
      <w:r w:rsidR="001215CC" w:rsidRPr="001215CC">
        <w:t xml:space="preserve"> </w:t>
      </w:r>
      <w:r w:rsidR="00A62D21">
        <w:t>This is comparable to the analysis we have undertaken for other energy businesses over a number of years, and the outcome is consistent.</w:t>
      </w:r>
    </w:p>
    <w:p w:rsidR="00872448" w:rsidRDefault="00872448" w:rsidP="00AB3BE9">
      <w:pPr>
        <w:pStyle w:val="HeadingBoldBlue"/>
      </w:pPr>
      <w:r w:rsidRPr="00274E61">
        <w:t>Tariff setting for large users</w:t>
      </w:r>
    </w:p>
    <w:p w:rsidR="00872448" w:rsidRDefault="00872448" w:rsidP="00872448">
      <w:pPr>
        <w:pStyle w:val="AERbodytext"/>
      </w:pPr>
      <w:r>
        <w:t xml:space="preserve">We received submissions from the EMRF, </w:t>
      </w:r>
      <w:proofErr w:type="spellStart"/>
      <w:r>
        <w:t>Qenos</w:t>
      </w:r>
      <w:proofErr w:type="spellEnd"/>
      <w:r>
        <w:t>, Orica, Delta Electricity and the Consumer Challenge Panel outlining their concerns about JGN's proposal to increase tariff prices for large gas users. We also received a submission from PIAC supporting JGN's changes to its tariffs for large gas users.</w:t>
      </w:r>
      <w:r>
        <w:rPr>
          <w:rStyle w:val="FootnoteReference"/>
        </w:rPr>
        <w:footnoteReference w:id="27"/>
      </w:r>
    </w:p>
    <w:p w:rsidR="00872448" w:rsidRPr="00872448" w:rsidRDefault="00872448" w:rsidP="00872448">
      <w:pPr>
        <w:pStyle w:val="AERbodytext"/>
      </w:pPr>
      <w:r>
        <w:t>W</w:t>
      </w:r>
      <w:r w:rsidRPr="00872448">
        <w:t>e</w:t>
      </w:r>
      <w:r w:rsidR="00A7774C">
        <w:t xml:space="preserve"> approve </w:t>
      </w:r>
      <w:r w:rsidR="00351732">
        <w:t>JGN's proposal</w:t>
      </w:r>
      <w:r w:rsidRPr="00872448">
        <w:t xml:space="preserve"> to rebalance tariffs for large users in the 2015–20 </w:t>
      </w:r>
      <w:r w:rsidR="003F55FC">
        <w:t>a</w:t>
      </w:r>
      <w:r w:rsidRPr="00872448">
        <w:t xml:space="preserve">ccess </w:t>
      </w:r>
      <w:r w:rsidR="003F55FC">
        <w:t>a</w:t>
      </w:r>
      <w:r w:rsidRPr="00872448">
        <w:t xml:space="preserve">rrangement period to bring them back to a cost-reflective revenue share for their network utilisation. In the current </w:t>
      </w:r>
      <w:r w:rsidR="00BD2A5A">
        <w:t>a</w:t>
      </w:r>
      <w:r w:rsidRPr="00872448">
        <w:t xml:space="preserve">ccess </w:t>
      </w:r>
      <w:r w:rsidR="00BD2A5A">
        <w:t>a</w:t>
      </w:r>
      <w:r w:rsidRPr="00872448">
        <w:t>rrangement period, large users enjoyed relatively stable prices because JGN altered its pricing strategy to reduce price shocks for its large users from:</w:t>
      </w:r>
    </w:p>
    <w:p w:rsidR="00872448" w:rsidRDefault="00872448" w:rsidP="00872448">
      <w:pPr>
        <w:pStyle w:val="AERbulletlistfirststyle"/>
      </w:pPr>
      <w:r>
        <w:t>the carbon tax – JGN applied the carbon pass through directly to all users thereby reducing the price shocks that would have otherwise been subject to large users</w:t>
      </w:r>
    </w:p>
    <w:p w:rsidR="00AE7C53" w:rsidRDefault="00872448" w:rsidP="00AE7C53">
      <w:pPr>
        <w:pStyle w:val="AERbulletlistfirststyle"/>
      </w:pPr>
      <w:proofErr w:type="gramStart"/>
      <w:r>
        <w:t>due</w:t>
      </w:r>
      <w:proofErr w:type="gramEnd"/>
      <w:r>
        <w:t xml:space="preserve"> to </w:t>
      </w:r>
      <w:r w:rsidRPr="00BC5B1F">
        <w:t>the delay</w:t>
      </w:r>
      <w:r>
        <w:t xml:space="preserve"> of the </w:t>
      </w:r>
      <w:r w:rsidRPr="00BC5B1F">
        <w:t>recovery of JGN allowed revenues (</w:t>
      </w:r>
      <w:r>
        <w:t xml:space="preserve">associated with </w:t>
      </w:r>
      <w:r w:rsidRPr="00BC5B1F">
        <w:t xml:space="preserve">the 2010 </w:t>
      </w:r>
      <w:r w:rsidR="003F55FC">
        <w:t>a</w:t>
      </w:r>
      <w:r>
        <w:t xml:space="preserve">ccess </w:t>
      </w:r>
      <w:r w:rsidR="003F55FC">
        <w:t>a</w:t>
      </w:r>
      <w:r>
        <w:t xml:space="preserve">rrangement </w:t>
      </w:r>
      <w:r w:rsidRPr="00BC5B1F">
        <w:t>merits review)</w:t>
      </w:r>
      <w:r>
        <w:t xml:space="preserve">–JGN </w:t>
      </w:r>
      <w:r w:rsidRPr="00BC5B1F">
        <w:t>limit</w:t>
      </w:r>
      <w:r>
        <w:t>ed</w:t>
      </w:r>
      <w:r w:rsidRPr="00BC5B1F">
        <w:t xml:space="preserve"> the annual price increases for large </w:t>
      </w:r>
      <w:r>
        <w:t>users</w:t>
      </w:r>
      <w:r w:rsidRPr="00BC5B1F">
        <w:t xml:space="preserve"> to around 2.5 per cent real.</w:t>
      </w:r>
      <w:r>
        <w:rPr>
          <w:rStyle w:val="FootnoteReference"/>
        </w:rPr>
        <w:footnoteReference w:id="28"/>
      </w:r>
      <w:r w:rsidRPr="00BC5B1F">
        <w:t xml:space="preserve"> </w:t>
      </w:r>
    </w:p>
    <w:p w:rsidR="00872448" w:rsidRDefault="00872448" w:rsidP="00AB3BE9">
      <w:pPr>
        <w:pStyle w:val="AERbulletlistfirststyle"/>
        <w:numPr>
          <w:ilvl w:val="0"/>
          <w:numId w:val="0"/>
        </w:numPr>
      </w:pPr>
      <w:r w:rsidRPr="005A733C">
        <w:t xml:space="preserve">As such, revenue recovered from large users will reduce from around 10.5 per cent to 8.5 per cent over 2009–14. </w:t>
      </w:r>
      <w:r>
        <w:t>To re-establish cost reflective and efficient tariffs, JGN</w:t>
      </w:r>
      <w:r w:rsidRPr="003841CE">
        <w:t xml:space="preserve"> proposed to continue with </w:t>
      </w:r>
      <w:r>
        <w:t>its</w:t>
      </w:r>
      <w:r w:rsidRPr="003841CE">
        <w:t xml:space="preserve"> long term strategy of stable and predictable </w:t>
      </w:r>
      <w:r>
        <w:t xml:space="preserve">but </w:t>
      </w:r>
      <w:r w:rsidRPr="003841CE">
        <w:t xml:space="preserve">small increases into the 2015 </w:t>
      </w:r>
      <w:r w:rsidR="003F55FC">
        <w:t>a</w:t>
      </w:r>
      <w:r>
        <w:t xml:space="preserve">ccess </w:t>
      </w:r>
      <w:r w:rsidR="003F55FC">
        <w:t>a</w:t>
      </w:r>
      <w:r>
        <w:t xml:space="preserve">rrangement </w:t>
      </w:r>
      <w:r w:rsidRPr="003841CE">
        <w:lastRenderedPageBreak/>
        <w:t>period</w:t>
      </w:r>
      <w:r>
        <w:t>. JGN stated that it wished</w:t>
      </w:r>
      <w:r w:rsidRPr="003841CE">
        <w:t xml:space="preserve"> to restore the proportion of revenues closer to historical levels which were </w:t>
      </w:r>
      <w:r>
        <w:t>in accordance with network utilisation</w:t>
      </w:r>
      <w:r w:rsidRPr="003841CE">
        <w:t>.</w:t>
      </w:r>
      <w:r>
        <w:rPr>
          <w:rStyle w:val="FootnoteReference"/>
        </w:rPr>
        <w:footnoteReference w:id="29"/>
      </w:r>
    </w:p>
    <w:p w:rsidR="00872448" w:rsidRPr="00C91879" w:rsidRDefault="00872448" w:rsidP="00872448">
      <w:pPr>
        <w:pStyle w:val="AERbodytext"/>
      </w:pPr>
      <w:r>
        <w:t>W</w:t>
      </w:r>
      <w:r w:rsidRPr="00C91879">
        <w:t>e understand that</w:t>
      </w:r>
      <w:r>
        <w:t xml:space="preserve"> the price increases outlined in the </w:t>
      </w:r>
      <w:proofErr w:type="spellStart"/>
      <w:r w:rsidRPr="00C91879">
        <w:t>Qenos</w:t>
      </w:r>
      <w:proofErr w:type="spellEnd"/>
      <w:r w:rsidRPr="00C91879">
        <w:t xml:space="preserve">, Orica and Delta Electricity </w:t>
      </w:r>
      <w:r>
        <w:t xml:space="preserve">submissions </w:t>
      </w:r>
      <w:r w:rsidRPr="00C91879">
        <w:t xml:space="preserve">included charges for carbon. </w:t>
      </w:r>
      <w:r>
        <w:t xml:space="preserve">However the carbon tax is no longer in place and JGN has </w:t>
      </w:r>
      <w:r w:rsidRPr="00C91879">
        <w:t xml:space="preserve">advised that </w:t>
      </w:r>
      <w:r>
        <w:t xml:space="preserve">large users will face a </w:t>
      </w:r>
      <w:r w:rsidRPr="00C91879">
        <w:t>price increase</w:t>
      </w:r>
      <w:r>
        <w:t xml:space="preserve"> of</w:t>
      </w:r>
      <w:r w:rsidRPr="00C91879">
        <w:t xml:space="preserve"> around 13 per cent (or </w:t>
      </w:r>
      <w:r>
        <w:t>close to</w:t>
      </w:r>
      <w:r w:rsidRPr="00C91879">
        <w:t xml:space="preserve"> CPI annually) for the 2015–20 </w:t>
      </w:r>
      <w:r w:rsidR="003F55FC">
        <w:t>a</w:t>
      </w:r>
      <w:r w:rsidRPr="00C91879">
        <w:t xml:space="preserve">ccess </w:t>
      </w:r>
      <w:r w:rsidR="003F55FC">
        <w:t>a</w:t>
      </w:r>
      <w:r w:rsidRPr="00C91879">
        <w:t>rrangement period.</w:t>
      </w:r>
      <w:r>
        <w:rPr>
          <w:rStyle w:val="FootnoteReference"/>
        </w:rPr>
        <w:footnoteReference w:id="30"/>
      </w:r>
      <w:r>
        <w:t xml:space="preserve"> This draft decision will further reduce price increases faced by large users because we have amended JGN’s </w:t>
      </w:r>
      <w:proofErr w:type="spellStart"/>
      <w:r>
        <w:t>opex</w:t>
      </w:r>
      <w:proofErr w:type="spellEnd"/>
      <w:r>
        <w:t xml:space="preserve"> and </w:t>
      </w:r>
      <w:proofErr w:type="spellStart"/>
      <w:r>
        <w:t>cape</w:t>
      </w:r>
      <w:r w:rsidR="009A73F2">
        <w:t>x</w:t>
      </w:r>
      <w:proofErr w:type="spellEnd"/>
      <w:r>
        <w:t xml:space="preserve"> forecasts.</w:t>
      </w:r>
    </w:p>
    <w:p w:rsidR="00872448" w:rsidRPr="00872448" w:rsidRDefault="00AB3BE9" w:rsidP="00872448">
      <w:pPr>
        <w:pStyle w:val="AERbodytext"/>
      </w:pPr>
      <w:r w:rsidRPr="005A733C">
        <w:t xml:space="preserve">We </w:t>
      </w:r>
      <w:r w:rsidR="003F55FC">
        <w:t xml:space="preserve">also </w:t>
      </w:r>
      <w:r w:rsidRPr="005A733C">
        <w:t>reviewed JGN</w:t>
      </w:r>
      <w:r>
        <w:t>’s</w:t>
      </w:r>
      <w:r w:rsidRPr="005A733C">
        <w:t xml:space="preserve"> stand alone and avoidable costs and are satisfied that </w:t>
      </w:r>
      <w:r>
        <w:t>its</w:t>
      </w:r>
      <w:r w:rsidRPr="005A733C">
        <w:t xml:space="preserve"> tariffs lie within these efficient bounds of expected revenue</w:t>
      </w:r>
      <w:r w:rsidRPr="00AE7C53">
        <w:t>.</w:t>
      </w:r>
      <w:r w:rsidRPr="00872448">
        <w:rPr>
          <w:rStyle w:val="FootnoteReference"/>
        </w:rPr>
        <w:footnoteReference w:id="31"/>
      </w:r>
      <w:r>
        <w:t xml:space="preserve"> Consequently, w</w:t>
      </w:r>
      <w:r w:rsidR="00872448" w:rsidRPr="00872448">
        <w:t xml:space="preserve">e </w:t>
      </w:r>
      <w:r w:rsidR="00A7774C">
        <w:t xml:space="preserve">approve </w:t>
      </w:r>
      <w:r w:rsidR="00872448" w:rsidRPr="00872448">
        <w:t>JGN's proposal to move back to cost reflective pricing given the relatively limited impact on large users</w:t>
      </w:r>
      <w:r w:rsidR="009A73F2">
        <w:t>.</w:t>
      </w:r>
    </w:p>
    <w:p w:rsidR="006B319B" w:rsidRDefault="006B319B" w:rsidP="006B319B">
      <w:pPr>
        <w:pStyle w:val="HeadingBoldBlue"/>
      </w:pPr>
      <w:r>
        <w:t>Removal of temporary disconnection service for small customers</w:t>
      </w:r>
    </w:p>
    <w:p w:rsidR="006B319B" w:rsidRPr="006F2F02" w:rsidRDefault="006B319B" w:rsidP="006B319B">
      <w:pPr>
        <w:pStyle w:val="AERbodytext"/>
      </w:pPr>
      <w:r>
        <w:t xml:space="preserve">We </w:t>
      </w:r>
      <w:r w:rsidR="00705F01">
        <w:t>approve</w:t>
      </w:r>
      <w:r>
        <w:t xml:space="preserve"> JGN's proposal to combine </w:t>
      </w:r>
      <w:r w:rsidR="00C21585">
        <w:t>temporary disconnection</w:t>
      </w:r>
      <w:r w:rsidR="007B3B61">
        <w:t>s</w:t>
      </w:r>
      <w:r w:rsidR="00C21585">
        <w:t xml:space="preserve"> and permanent disconnections into a single disconnection charge </w:t>
      </w:r>
      <w:r>
        <w:t xml:space="preserve">because we </w:t>
      </w:r>
      <w:r w:rsidRPr="001B4071">
        <w:t>consider that it is consistent with the N</w:t>
      </w:r>
      <w:r w:rsidR="00296327">
        <w:t>GO</w:t>
      </w:r>
      <w:r>
        <w:t xml:space="preserve"> </w:t>
      </w:r>
      <w:r w:rsidRPr="001B4071">
        <w:t>and the N</w:t>
      </w:r>
      <w:r w:rsidR="00296327">
        <w:t>GR</w:t>
      </w:r>
      <w:r w:rsidRPr="001B4071">
        <w:t>.</w:t>
      </w:r>
      <w:r>
        <w:rPr>
          <w:rStyle w:val="FootnoteReference"/>
        </w:rPr>
        <w:footnoteReference w:id="32"/>
      </w:r>
      <w:r w:rsidRPr="001B4071">
        <w:t xml:space="preserve"> </w:t>
      </w:r>
      <w:r>
        <w:t xml:space="preserve">The </w:t>
      </w:r>
      <w:r w:rsidRPr="006F2F02">
        <w:t xml:space="preserve">JGN </w:t>
      </w:r>
      <w:r w:rsidR="003F55FC">
        <w:t>a</w:t>
      </w:r>
      <w:r>
        <w:t xml:space="preserve">ccess </w:t>
      </w:r>
      <w:r w:rsidR="003F55FC">
        <w:t>a</w:t>
      </w:r>
      <w:r>
        <w:t xml:space="preserve">rrangement </w:t>
      </w:r>
      <w:r w:rsidRPr="006F2F02">
        <w:t xml:space="preserve">proposed to </w:t>
      </w:r>
      <w:r w:rsidR="00022493">
        <w:t>change</w:t>
      </w:r>
      <w:r w:rsidRPr="006F2F02">
        <w:t xml:space="preserve"> disconnections for small customers</w:t>
      </w:r>
      <w:r>
        <w:t xml:space="preserve"> </w:t>
      </w:r>
      <w:r w:rsidRPr="006F2F02">
        <w:t>by consolidating the existing two charges of ‘temporary disconnection’ and ‘permanent disconnection’ to a</w:t>
      </w:r>
      <w:r>
        <w:t xml:space="preserve"> </w:t>
      </w:r>
      <w:r w:rsidRPr="006F2F02">
        <w:t>single ‘disconnection’ charge.</w:t>
      </w:r>
      <w:r w:rsidR="00296327">
        <w:rPr>
          <w:rStyle w:val="FootnoteReference"/>
        </w:rPr>
        <w:footnoteReference w:id="33"/>
      </w:r>
    </w:p>
    <w:p w:rsidR="006B319B" w:rsidRDefault="006B319B" w:rsidP="006B319B">
      <w:pPr>
        <w:pStyle w:val="AERbodytext"/>
      </w:pPr>
      <w:r>
        <w:t xml:space="preserve">Origin </w:t>
      </w:r>
      <w:r w:rsidR="00296327">
        <w:t xml:space="preserve">summited that </w:t>
      </w:r>
      <w:r>
        <w:t xml:space="preserve">the removal of temporary disconnections </w:t>
      </w:r>
      <w:r w:rsidR="00296327">
        <w:t xml:space="preserve">may be contrary to the NGO </w:t>
      </w:r>
      <w:r>
        <w:t xml:space="preserve">because it would be more administratively complex to reconnect a customer. </w:t>
      </w:r>
      <w:proofErr w:type="spellStart"/>
      <w:r>
        <w:t>EnergyAustralia</w:t>
      </w:r>
      <w:proofErr w:type="spellEnd"/>
      <w:r>
        <w:t xml:space="preserve"> requested JGN to provide further information on disconnections services</w:t>
      </w:r>
      <w:r w:rsidR="00022493">
        <w:t xml:space="preserve"> and</w:t>
      </w:r>
      <w:r>
        <w:t xml:space="preserve"> temporary disconnections for large customers. </w:t>
      </w:r>
      <w:proofErr w:type="spellStart"/>
      <w:r>
        <w:t>Lumo</w:t>
      </w:r>
      <w:proofErr w:type="spellEnd"/>
      <w:r>
        <w:t xml:space="preserve"> Energy, Origin</w:t>
      </w:r>
      <w:r w:rsidR="00EA50CD">
        <w:t xml:space="preserve">, </w:t>
      </w:r>
      <w:r>
        <w:t xml:space="preserve">and </w:t>
      </w:r>
      <w:proofErr w:type="spellStart"/>
      <w:r>
        <w:t>EnergyAustralia</w:t>
      </w:r>
      <w:proofErr w:type="spellEnd"/>
      <w:r>
        <w:t xml:space="preserve"> submitted that JGN's disconnection service should be unbundled into a connection and disconnection service.</w:t>
      </w:r>
      <w:r w:rsidR="00296327">
        <w:rPr>
          <w:rStyle w:val="FootnoteReference"/>
        </w:rPr>
        <w:footnoteReference w:id="34"/>
      </w:r>
    </w:p>
    <w:p w:rsidR="00A37F0F" w:rsidRDefault="006B319B" w:rsidP="006B319B">
      <w:pPr>
        <w:pStyle w:val="AERbodytext"/>
      </w:pPr>
      <w:r>
        <w:t xml:space="preserve">We have considered stakeholders submissions but </w:t>
      </w:r>
      <w:r w:rsidR="00296327">
        <w:t xml:space="preserve">are not persuaded by </w:t>
      </w:r>
      <w:r>
        <w:t>the propositions put forward</w:t>
      </w:r>
      <w:r w:rsidR="00A37F0F">
        <w:t xml:space="preserve"> because:</w:t>
      </w:r>
    </w:p>
    <w:p w:rsidR="009C17AC" w:rsidRDefault="00A37F0F" w:rsidP="00A37F0F">
      <w:pPr>
        <w:pStyle w:val="AERbulletlistfirststyle"/>
      </w:pPr>
      <w:r>
        <w:t>W</w:t>
      </w:r>
      <w:r w:rsidR="006B319B">
        <w:t xml:space="preserve">e consider that removing temporary disconnection would not inhibit Origin's ability to request JGN to re-energise disconnected sites in the future (where physical </w:t>
      </w:r>
      <w:r w:rsidR="009C17AC">
        <w:t>connection remains</w:t>
      </w:r>
      <w:r w:rsidR="006B319B">
        <w:t xml:space="preserve"> intact). </w:t>
      </w:r>
    </w:p>
    <w:p w:rsidR="006B319B" w:rsidRDefault="006B319B" w:rsidP="00A37F0F">
      <w:pPr>
        <w:pStyle w:val="AERbulletlistfirststyle"/>
      </w:pPr>
      <w:r w:rsidRPr="009C17AC">
        <w:t xml:space="preserve">Additionally, merging temporary disconnection and permanent disconnection </w:t>
      </w:r>
      <w:r w:rsidR="00872448" w:rsidRPr="009C17AC">
        <w:t xml:space="preserve">will lower the </w:t>
      </w:r>
      <w:r w:rsidRPr="009C17AC">
        <w:t xml:space="preserve">charges for consumers wishing to permanently disconnect. </w:t>
      </w:r>
      <w:r w:rsidR="00872448" w:rsidRPr="009C17AC">
        <w:t>C</w:t>
      </w:r>
      <w:r w:rsidRPr="009C17AC">
        <w:t>ombining temporary disconnections and permanent disconnections will send a price signal that encourages efficient behaviour from retail customers and will eventually lead to more cost reflective pricing.</w:t>
      </w:r>
      <w:r w:rsidR="00022493" w:rsidRPr="009C17AC">
        <w:t xml:space="preserve"> That is, customers are incentivised to keep the physical connectio</w:t>
      </w:r>
      <w:r w:rsidR="001F2038" w:rsidRPr="009C17AC">
        <w:t>n because of the lower cost.</w:t>
      </w:r>
    </w:p>
    <w:p w:rsidR="006B319B" w:rsidRDefault="006B319B" w:rsidP="00A37F0F">
      <w:pPr>
        <w:pStyle w:val="AERbulletlistfirststyle"/>
      </w:pPr>
      <w:r>
        <w:t xml:space="preserve">We consider further information regarding disconnections, temporary disconnections for large customers and meter decommissioning to be process matters that should be </w:t>
      </w:r>
      <w:r w:rsidR="003A7EE5">
        <w:t>dealt with by JGN and retailers.</w:t>
      </w:r>
    </w:p>
    <w:p w:rsidR="00F06EA7" w:rsidRPr="003E411D" w:rsidRDefault="00F06EA7" w:rsidP="003E411D">
      <w:r w:rsidRPr="003E411D">
        <w:lastRenderedPageBreak/>
        <w:t>We agree with JGN that disconnection should not be unbundled</w:t>
      </w:r>
      <w:r w:rsidR="001F2038" w:rsidRPr="003E411D">
        <w:t xml:space="preserve"> because of the benefits it brings </w:t>
      </w:r>
      <w:r w:rsidRPr="003E411D">
        <w:t>being:</w:t>
      </w:r>
    </w:p>
    <w:p w:rsidR="00F06EA7" w:rsidRPr="00F06EA7" w:rsidRDefault="00AE7C53" w:rsidP="00A37F0F">
      <w:pPr>
        <w:pStyle w:val="AERbulletlistsecondstyle"/>
      </w:pPr>
      <w:r>
        <w:t>it</w:t>
      </w:r>
      <w:r w:rsidR="00F06EA7" w:rsidRPr="00F06EA7">
        <w:t xml:space="preserve"> provide</w:t>
      </w:r>
      <w:r>
        <w:t>s</w:t>
      </w:r>
      <w:r w:rsidR="00F06EA7" w:rsidRPr="00F06EA7">
        <w:t xml:space="preserve"> choice and clear price differentiation between the different scope of</w:t>
      </w:r>
      <w:r w:rsidR="00F06EA7">
        <w:t xml:space="preserve"> </w:t>
      </w:r>
      <w:r w:rsidR="00F06EA7" w:rsidRPr="00F06EA7">
        <w:t>disconnection and decommissioning activities</w:t>
      </w:r>
    </w:p>
    <w:p w:rsidR="00F06EA7" w:rsidRPr="00F06EA7" w:rsidRDefault="00AE7C53" w:rsidP="00A37F0F">
      <w:pPr>
        <w:pStyle w:val="AERbulletlistsecondstyle"/>
      </w:pPr>
      <w:r>
        <w:t xml:space="preserve">it </w:t>
      </w:r>
      <w:r w:rsidR="00F06EA7" w:rsidRPr="00F06EA7">
        <w:t>reflect</w:t>
      </w:r>
      <w:r>
        <w:t>s</w:t>
      </w:r>
      <w:r w:rsidR="00F06EA7" w:rsidRPr="00F06EA7">
        <w:t xml:space="preserve"> the relativity of JGN’s costs in the respective charges</w:t>
      </w:r>
    </w:p>
    <w:p w:rsidR="00F06EA7" w:rsidRPr="00F06EA7" w:rsidRDefault="00AE7C53" w:rsidP="00A37F0F">
      <w:pPr>
        <w:pStyle w:val="AERbulletlistsecondstyle"/>
      </w:pPr>
      <w:r>
        <w:t xml:space="preserve">it </w:t>
      </w:r>
      <w:r w:rsidR="00F06EA7" w:rsidRPr="00F06EA7">
        <w:t>remove</w:t>
      </w:r>
      <w:r>
        <w:t>s</w:t>
      </w:r>
      <w:r w:rsidR="00F06EA7" w:rsidRPr="00F06EA7">
        <w:t xml:space="preserve"> financial barriers to</w:t>
      </w:r>
      <w:r w:rsidR="00F06EA7">
        <w:t xml:space="preserve"> </w:t>
      </w:r>
      <w:r w:rsidR="00F06EA7" w:rsidRPr="00F06EA7">
        <w:t xml:space="preserve">customers reconnecting to the network to avoid a smaller customer base putting upward pressure on </w:t>
      </w:r>
      <w:r w:rsidR="00E95DF8">
        <w:t xml:space="preserve">its </w:t>
      </w:r>
      <w:r w:rsidR="00F06EA7" w:rsidRPr="00F06EA7">
        <w:t>network prices</w:t>
      </w:r>
    </w:p>
    <w:p w:rsidR="00A37F0F" w:rsidRDefault="00AE7C53" w:rsidP="00A37F0F">
      <w:pPr>
        <w:pStyle w:val="AERbulletlistsecondstyle"/>
      </w:pPr>
      <w:r>
        <w:t xml:space="preserve">it </w:t>
      </w:r>
      <w:r w:rsidR="00F06EA7" w:rsidRPr="00F06EA7">
        <w:t>provide</w:t>
      </w:r>
      <w:r>
        <w:t>s</w:t>
      </w:r>
      <w:r w:rsidR="00F06EA7" w:rsidRPr="00F06EA7">
        <w:t xml:space="preserve"> stronger encouragement for</w:t>
      </w:r>
      <w:r w:rsidR="00F06EA7">
        <w:t xml:space="preserve"> </w:t>
      </w:r>
      <w:r w:rsidR="00F06EA7" w:rsidRPr="00F06EA7">
        <w:t>retailers to search for alternatives for debt management before con</w:t>
      </w:r>
      <w:r w:rsidR="00A37F0F">
        <w:t>sidering physical disconnection</w:t>
      </w:r>
    </w:p>
    <w:p w:rsidR="00F06EA7" w:rsidRDefault="00AE7C53" w:rsidP="00A37F0F">
      <w:pPr>
        <w:pStyle w:val="AERbulletlistsecondstyle"/>
        <w:rPr>
          <w:rStyle w:val="AERbody"/>
        </w:rPr>
      </w:pPr>
      <w:proofErr w:type="gramStart"/>
      <w:r>
        <w:rPr>
          <w:rStyle w:val="AERbody"/>
        </w:rPr>
        <w:t>it</w:t>
      </w:r>
      <w:proofErr w:type="gramEnd"/>
      <w:r>
        <w:rPr>
          <w:rStyle w:val="AERbody"/>
        </w:rPr>
        <w:t xml:space="preserve"> </w:t>
      </w:r>
      <w:r w:rsidR="00F06EA7" w:rsidRPr="00F06EA7">
        <w:rPr>
          <w:rStyle w:val="AERbody"/>
        </w:rPr>
        <w:t>better serve</w:t>
      </w:r>
      <w:r>
        <w:rPr>
          <w:rStyle w:val="AERbody"/>
        </w:rPr>
        <w:t>s</w:t>
      </w:r>
      <w:r w:rsidR="00F06EA7" w:rsidRPr="00F06EA7">
        <w:rPr>
          <w:rStyle w:val="AERbody"/>
        </w:rPr>
        <w:t xml:space="preserve"> the long term interests of customers than any benefits to retailers’ cost of debt management that may flow from </w:t>
      </w:r>
      <w:r w:rsidR="00F06EA7">
        <w:rPr>
          <w:rStyle w:val="AERbody"/>
        </w:rPr>
        <w:t xml:space="preserve">the unbundling of JGN's disconnection </w:t>
      </w:r>
      <w:r w:rsidR="00F06EA7" w:rsidRPr="00F06EA7">
        <w:rPr>
          <w:rStyle w:val="AERbody"/>
        </w:rPr>
        <w:t>charge.</w:t>
      </w:r>
      <w:r w:rsidR="00F06EA7">
        <w:rPr>
          <w:rStyle w:val="FootnoteReference"/>
        </w:rPr>
        <w:footnoteReference w:id="35"/>
      </w:r>
    </w:p>
    <w:p w:rsidR="003E411D" w:rsidRPr="00F06EA7" w:rsidRDefault="003E411D" w:rsidP="003E411D">
      <w:pPr>
        <w:pStyle w:val="AERbulletlistsecondstyle"/>
        <w:numPr>
          <w:ilvl w:val="0"/>
          <w:numId w:val="0"/>
        </w:numPr>
        <w:rPr>
          <w:rStyle w:val="AERbody"/>
        </w:rPr>
      </w:pPr>
      <w:r>
        <w:rPr>
          <w:rStyle w:val="AERbody"/>
        </w:rPr>
        <w:t>This section should be read in</w:t>
      </w:r>
      <w:r w:rsidR="000C6D71">
        <w:rPr>
          <w:rStyle w:val="AERbody"/>
        </w:rPr>
        <w:t xml:space="preserve"> conjunction</w:t>
      </w:r>
      <w:r>
        <w:rPr>
          <w:rStyle w:val="AERbody"/>
        </w:rPr>
        <w:t xml:space="preserve"> with our attachment on </w:t>
      </w:r>
      <w:r w:rsidRPr="003E411D">
        <w:rPr>
          <w:rStyle w:val="AERbody"/>
        </w:rPr>
        <w:t>JGN</w:t>
      </w:r>
      <w:r>
        <w:rPr>
          <w:rStyle w:val="AERbody"/>
        </w:rPr>
        <w:t>'s</w:t>
      </w:r>
      <w:r w:rsidRPr="003E411D">
        <w:rPr>
          <w:rStyle w:val="AERbody"/>
        </w:rPr>
        <w:t xml:space="preserve"> non-tariff components</w:t>
      </w:r>
      <w:r>
        <w:rPr>
          <w:rStyle w:val="AERbody"/>
        </w:rPr>
        <w:t xml:space="preserve"> where temporary disconnection is also discussed.</w:t>
      </w:r>
    </w:p>
    <w:p w:rsidR="0085249B" w:rsidRDefault="0085249B" w:rsidP="0085249B">
      <w:pPr>
        <w:pStyle w:val="HeadingBoldBlue"/>
      </w:pPr>
      <w:r>
        <w:t>M</w:t>
      </w:r>
      <w:r w:rsidRPr="0085249B">
        <w:t>odify the block sizes and charge levels for capacity charges</w:t>
      </w:r>
    </w:p>
    <w:p w:rsidR="00A37F0F" w:rsidRPr="001B4071" w:rsidRDefault="00A37F0F" w:rsidP="00A37F0F">
      <w:pPr>
        <w:pStyle w:val="AERbodytext"/>
      </w:pPr>
      <w:r>
        <w:t xml:space="preserve">We </w:t>
      </w:r>
      <w:r w:rsidR="00705F01">
        <w:t xml:space="preserve">approve </w:t>
      </w:r>
      <w:r>
        <w:t xml:space="preserve">JGN's proposal to modify block sizes and charge level for capacity charges because we </w:t>
      </w:r>
      <w:r w:rsidRPr="001B4071">
        <w:t>consider that it is consistent with the N</w:t>
      </w:r>
      <w:r>
        <w:t xml:space="preserve">GO </w:t>
      </w:r>
      <w:r w:rsidRPr="001B4071">
        <w:t>and the N</w:t>
      </w:r>
      <w:r>
        <w:t>GR</w:t>
      </w:r>
      <w:r w:rsidRPr="001B4071">
        <w:t>.</w:t>
      </w:r>
      <w:r>
        <w:rPr>
          <w:rStyle w:val="FootnoteReference"/>
        </w:rPr>
        <w:footnoteReference w:id="36"/>
      </w:r>
      <w:r w:rsidRPr="001B4071">
        <w:t xml:space="preserve"> </w:t>
      </w:r>
    </w:p>
    <w:p w:rsidR="0085249B" w:rsidRDefault="0085249B" w:rsidP="0085249B">
      <w:pPr>
        <w:pStyle w:val="AERbodytext"/>
      </w:pPr>
      <w:r>
        <w:t xml:space="preserve">Submissions from Delta Electricity and Orica sought clarification on JGN's proposal to </w:t>
      </w:r>
      <w:r w:rsidRPr="0085249B">
        <w:t>split the first block of its demand capacity rates</w:t>
      </w:r>
      <w:r>
        <w:t>.</w:t>
      </w:r>
      <w:r w:rsidR="003668AB">
        <w:rPr>
          <w:rStyle w:val="FootnoteReference"/>
        </w:rPr>
        <w:footnoteReference w:id="37"/>
      </w:r>
      <w:r>
        <w:t xml:space="preserve"> </w:t>
      </w:r>
    </w:p>
    <w:p w:rsidR="000B0C71" w:rsidRDefault="0085249B" w:rsidP="000B0C71">
      <w:pPr>
        <w:pStyle w:val="AERbodytext"/>
      </w:pPr>
      <w:r>
        <w:t xml:space="preserve">We have sought clarification from JGN and accept its </w:t>
      </w:r>
      <w:r w:rsidR="00A37F0F">
        <w:t>advice that splitting block sizes and charge levels for capacity charges is warranted</w:t>
      </w:r>
      <w:r>
        <w:t xml:space="preserve">. We </w:t>
      </w:r>
      <w:r w:rsidR="00A37F0F">
        <w:t xml:space="preserve">consider </w:t>
      </w:r>
      <w:r>
        <w:t xml:space="preserve">that a pricing </w:t>
      </w:r>
      <w:r w:rsidRPr="0085249B">
        <w:t xml:space="preserve">strategy </w:t>
      </w:r>
      <w:r>
        <w:t xml:space="preserve">should </w:t>
      </w:r>
      <w:r w:rsidRPr="0085249B">
        <w:t>ensure that similar types of customers pay similar prices and support efficient utilisation of the network.</w:t>
      </w:r>
      <w:r w:rsidR="000B0C71">
        <w:t xml:space="preserve"> </w:t>
      </w:r>
      <w:r w:rsidR="005311F1">
        <w:t xml:space="preserve">JGN stated that </w:t>
      </w:r>
      <w:r w:rsidR="000B0C71" w:rsidRPr="000B0C71">
        <w:t xml:space="preserve">a large volume customer </w:t>
      </w:r>
      <w:r w:rsidR="005311F1">
        <w:t xml:space="preserve">with an annual consumption of </w:t>
      </w:r>
      <w:r w:rsidR="000B0C71" w:rsidRPr="000B0C71">
        <w:t>9.5 TJ pays around $60,000 p</w:t>
      </w:r>
      <w:r w:rsidR="005311F1">
        <w:t xml:space="preserve">er </w:t>
      </w:r>
      <w:r w:rsidR="000B0C71" w:rsidRPr="000B0C71">
        <w:t>a</w:t>
      </w:r>
      <w:r w:rsidR="005311F1">
        <w:t>nnum</w:t>
      </w:r>
      <w:r w:rsidR="000B0C71" w:rsidRPr="000B0C71">
        <w:t xml:space="preserve"> in network charges</w:t>
      </w:r>
      <w:r w:rsidR="007B5D8B">
        <w:t>; by contrast</w:t>
      </w:r>
      <w:r w:rsidR="000B0C71" w:rsidRPr="000B0C71">
        <w:t xml:space="preserve"> a small demand customer 10.5 TJ pa pays as low as $20,000</w:t>
      </w:r>
      <w:r w:rsidR="005311F1">
        <w:t xml:space="preserve"> </w:t>
      </w:r>
      <w:r w:rsidR="007B5D8B">
        <w:t>annually</w:t>
      </w:r>
      <w:r w:rsidR="005311F1">
        <w:t xml:space="preserve"> in network charges</w:t>
      </w:r>
      <w:r w:rsidR="000B0C71" w:rsidRPr="000B0C71">
        <w:t xml:space="preserve">. As </w:t>
      </w:r>
      <w:r w:rsidR="005311F1">
        <w:t>such, a small demand customer who</w:t>
      </w:r>
      <w:r w:rsidR="000B0C71" w:rsidRPr="000B0C71">
        <w:t xml:space="preserve"> invest</w:t>
      </w:r>
      <w:r w:rsidR="005311F1">
        <w:t>s</w:t>
      </w:r>
      <w:r w:rsidR="000B0C71" w:rsidRPr="000B0C71">
        <w:t xml:space="preserve"> in plant efficiency to reduce energy consumption may face a material increase</w:t>
      </w:r>
      <w:r w:rsidR="005311F1">
        <w:t>s</w:t>
      </w:r>
      <w:r w:rsidR="000B0C71" w:rsidRPr="000B0C71">
        <w:t xml:space="preserve"> in their gas charges </w:t>
      </w:r>
      <w:r w:rsidR="005311F1">
        <w:t xml:space="preserve">when transitioning </w:t>
      </w:r>
      <w:r w:rsidR="000B0C71" w:rsidRPr="000B0C71">
        <w:t xml:space="preserve">to become a large volume customer. </w:t>
      </w:r>
      <w:r w:rsidR="005311F1">
        <w:t xml:space="preserve">The </w:t>
      </w:r>
      <w:r w:rsidR="000B0C71" w:rsidRPr="000B0C71">
        <w:t xml:space="preserve">materiality of this step increase (up to $4/GJ) is </w:t>
      </w:r>
      <w:r w:rsidR="007B5D8B">
        <w:t xml:space="preserve">considered </w:t>
      </w:r>
      <w:r w:rsidR="000B0C71" w:rsidRPr="000B0C71">
        <w:t xml:space="preserve">too high </w:t>
      </w:r>
      <w:r w:rsidR="007B5D8B">
        <w:t xml:space="preserve">by JGN </w:t>
      </w:r>
      <w:r w:rsidR="000B0C71" w:rsidRPr="000B0C71">
        <w:t>and creates incentives for inefficient network utilisation.</w:t>
      </w:r>
      <w:r w:rsidR="005311F1">
        <w:t xml:space="preserve"> Addi</w:t>
      </w:r>
      <w:r w:rsidR="007B5D8B">
        <w:t>ng in an additional first block</w:t>
      </w:r>
      <w:r w:rsidR="004D3B47">
        <w:t xml:space="preserve"> will </w:t>
      </w:r>
      <w:r w:rsidR="000B0C71" w:rsidRPr="000B0C71">
        <w:t xml:space="preserve">progressively address this discrepancy over the long term through a stable and predictable pricing </w:t>
      </w:r>
      <w:r w:rsidR="007B5D8B">
        <w:t>path</w:t>
      </w:r>
      <w:r w:rsidR="000B0C71" w:rsidRPr="000B0C71">
        <w:t>.</w:t>
      </w:r>
      <w:r w:rsidR="003668AB">
        <w:rPr>
          <w:rStyle w:val="FootnoteReference"/>
        </w:rPr>
        <w:footnoteReference w:id="38"/>
      </w:r>
    </w:p>
    <w:p w:rsidR="00274E61" w:rsidRPr="00274E61" w:rsidRDefault="00274E61" w:rsidP="00274E61">
      <w:pPr>
        <w:pStyle w:val="HeadingBoldBlue"/>
      </w:pPr>
      <w:r w:rsidRPr="00274E61">
        <w:t>First Response category</w:t>
      </w:r>
    </w:p>
    <w:p w:rsidR="003668AB" w:rsidRDefault="00A37F0F" w:rsidP="00A37F0F">
      <w:pPr>
        <w:pStyle w:val="AERbodytext"/>
      </w:pPr>
      <w:r w:rsidRPr="00A37F0F">
        <w:t xml:space="preserve">We </w:t>
      </w:r>
      <w:r w:rsidR="00705F01">
        <w:t xml:space="preserve">approve </w:t>
      </w:r>
      <w:r w:rsidRPr="00A37F0F">
        <w:t xml:space="preserve">JGN's proposal </w:t>
      </w:r>
      <w:r>
        <w:t>close the first response tariff classes DCFR1 to DCFR11 and DMTFR1 to DMTFR5 to new customers</w:t>
      </w:r>
      <w:r w:rsidR="003668AB">
        <w:t xml:space="preserve">, grandfather DCFR6 and DMTFR3 which have eligible customers and remove the first response tariffs </w:t>
      </w:r>
      <w:r w:rsidR="00D31E37">
        <w:t xml:space="preserve">which have no </w:t>
      </w:r>
      <w:r w:rsidR="003668AB">
        <w:t>customers</w:t>
      </w:r>
      <w:r w:rsidR="00D31E37">
        <w:t xml:space="preserve"> assign</w:t>
      </w:r>
      <w:r w:rsidR="00920432">
        <w:t>e</w:t>
      </w:r>
      <w:r w:rsidR="00D31E37">
        <w:t>d to them</w:t>
      </w:r>
      <w:r w:rsidR="003668AB">
        <w:t>.</w:t>
      </w:r>
      <w:r w:rsidR="003668AB">
        <w:rPr>
          <w:rStyle w:val="FootnoteReference"/>
        </w:rPr>
        <w:footnoteReference w:id="39"/>
      </w:r>
      <w:r w:rsidR="003668AB">
        <w:t xml:space="preserve"> </w:t>
      </w:r>
    </w:p>
    <w:p w:rsidR="004D3B47" w:rsidRPr="004D3B47" w:rsidRDefault="004D3B47" w:rsidP="004D3B47">
      <w:pPr>
        <w:pStyle w:val="AERbodytext"/>
      </w:pPr>
      <w:proofErr w:type="spellStart"/>
      <w:r>
        <w:lastRenderedPageBreak/>
        <w:t>Qenos</w:t>
      </w:r>
      <w:proofErr w:type="spellEnd"/>
      <w:r>
        <w:t xml:space="preserve"> and the EMRF submitted that the first response category should not be grandfathered and that the terms many need review</w:t>
      </w:r>
      <w:r w:rsidR="00D31E37">
        <w:t>,</w:t>
      </w:r>
      <w:r>
        <w:t xml:space="preserve"> to enable more large customers to respond to the incentive to curtail demand.</w:t>
      </w:r>
      <w:r w:rsidR="003668AB">
        <w:rPr>
          <w:rStyle w:val="FootnoteReference"/>
        </w:rPr>
        <w:footnoteReference w:id="40"/>
      </w:r>
    </w:p>
    <w:p w:rsidR="00274E61" w:rsidRDefault="005D594C" w:rsidP="009F6E3A">
      <w:pPr>
        <w:pStyle w:val="AERbodytext"/>
        <w:numPr>
          <w:ilvl w:val="0"/>
          <w:numId w:val="0"/>
        </w:numPr>
      </w:pPr>
      <w:r>
        <w:t>We consider that it is up to JGN to decide on the terms and conditions of its first response category.</w:t>
      </w:r>
      <w:r w:rsidR="009F6E3A">
        <w:t xml:space="preserve"> In our discussions with JGN, </w:t>
      </w:r>
      <w:r w:rsidR="001F2038">
        <w:t>it</w:t>
      </w:r>
      <w:r w:rsidR="009F6E3A">
        <w:t xml:space="preserve"> stated it was in d</w:t>
      </w:r>
      <w:r w:rsidR="009F6E3A" w:rsidRPr="009F6E3A">
        <w:t>iscussion</w:t>
      </w:r>
      <w:r w:rsidR="001F2038">
        <w:t>s</w:t>
      </w:r>
      <w:r w:rsidR="009F6E3A">
        <w:t xml:space="preserve"> with </w:t>
      </w:r>
      <w:proofErr w:type="spellStart"/>
      <w:r w:rsidR="009F6E3A">
        <w:t>Qenos</w:t>
      </w:r>
      <w:proofErr w:type="spellEnd"/>
      <w:r w:rsidR="009F6E3A" w:rsidRPr="009F6E3A">
        <w:t xml:space="preserve"> </w:t>
      </w:r>
      <w:r w:rsidR="00D31E37">
        <w:t xml:space="preserve">to </w:t>
      </w:r>
      <w:r w:rsidR="009F6E3A" w:rsidRPr="009F6E3A">
        <w:t xml:space="preserve">develop a curtailment plan </w:t>
      </w:r>
      <w:r w:rsidR="003668AB">
        <w:t xml:space="preserve">that would allow </w:t>
      </w:r>
      <w:proofErr w:type="spellStart"/>
      <w:r w:rsidR="009F6E3A">
        <w:t>Qenos</w:t>
      </w:r>
      <w:proofErr w:type="spellEnd"/>
      <w:r w:rsidR="009F6E3A" w:rsidRPr="009F6E3A">
        <w:t xml:space="preserve"> </w:t>
      </w:r>
      <w:r w:rsidR="003668AB">
        <w:t xml:space="preserve">to </w:t>
      </w:r>
      <w:r w:rsidR="009F6E3A" w:rsidRPr="009F6E3A">
        <w:t>be assigned to the DMTFR tariff.</w:t>
      </w:r>
      <w:r w:rsidR="009F6E3A">
        <w:rPr>
          <w:rStyle w:val="FootnoteReference"/>
        </w:rPr>
        <w:footnoteReference w:id="41"/>
      </w:r>
      <w:r>
        <w:t xml:space="preserve"> </w:t>
      </w:r>
    </w:p>
    <w:p w:rsidR="009F6E3A" w:rsidRDefault="009F6E3A" w:rsidP="009F6E3A">
      <w:pPr>
        <w:pStyle w:val="HeadingBoldBlue"/>
      </w:pPr>
      <w:r>
        <w:t xml:space="preserve">Disconnection and </w:t>
      </w:r>
      <w:r w:rsidR="003C0C81">
        <w:t>decommissioning</w:t>
      </w:r>
      <w:r>
        <w:t xml:space="preserve"> rates</w:t>
      </w:r>
    </w:p>
    <w:p w:rsidR="003668AB" w:rsidRDefault="003668AB" w:rsidP="003668AB">
      <w:pPr>
        <w:pStyle w:val="AERbodytext"/>
      </w:pPr>
      <w:r w:rsidRPr="003668AB">
        <w:t>We are satisfied that JGN's proposed charge for large customer temporary disconnection and decommissioning are consistent with the NGR requirements.</w:t>
      </w:r>
      <w:r>
        <w:rPr>
          <w:rStyle w:val="FootnoteReference"/>
        </w:rPr>
        <w:footnoteReference w:id="42"/>
      </w:r>
    </w:p>
    <w:p w:rsidR="009F6E3A" w:rsidRDefault="009F6E3A" w:rsidP="005D1F46">
      <w:pPr>
        <w:pStyle w:val="AERbodytext"/>
      </w:pPr>
      <w:proofErr w:type="spellStart"/>
      <w:r>
        <w:t>Lumo</w:t>
      </w:r>
      <w:proofErr w:type="spellEnd"/>
      <w:r>
        <w:t xml:space="preserve"> believes that the $150 charge for large customer temporary disconnection is excessive and is</w:t>
      </w:r>
      <w:r w:rsidR="003668AB">
        <w:t xml:space="preserve"> </w:t>
      </w:r>
      <w:r>
        <w:t xml:space="preserve">not reflective of the charges of other network businesses. </w:t>
      </w:r>
      <w:r w:rsidR="00D31E37">
        <w:t xml:space="preserve">Similarly </w:t>
      </w:r>
      <w:r w:rsidR="005D1F46">
        <w:t xml:space="preserve">Mr </w:t>
      </w:r>
      <w:r w:rsidR="005D1F46" w:rsidRPr="005D1F46">
        <w:t xml:space="preserve">Peter </w:t>
      </w:r>
      <w:proofErr w:type="spellStart"/>
      <w:r w:rsidR="005D1F46" w:rsidRPr="005D1F46">
        <w:t>Kardashinsky</w:t>
      </w:r>
      <w:r w:rsidR="007B5D8B">
        <w:t>'s</w:t>
      </w:r>
      <w:proofErr w:type="spellEnd"/>
      <w:r w:rsidR="005D1F46">
        <w:t xml:space="preserve"> </w:t>
      </w:r>
      <w:r w:rsidR="007B5D8B">
        <w:t>submission commented</w:t>
      </w:r>
      <w:r w:rsidR="005D1F46">
        <w:t xml:space="preserve"> that the </w:t>
      </w:r>
      <w:r w:rsidR="007B5D8B">
        <w:t xml:space="preserve">proposed </w:t>
      </w:r>
      <w:r w:rsidR="003C0C81">
        <w:t>meter decommissioning</w:t>
      </w:r>
      <w:r w:rsidR="005D1F46">
        <w:t xml:space="preserve"> charge </w:t>
      </w:r>
      <w:r w:rsidR="007B5D8B">
        <w:t xml:space="preserve">was </w:t>
      </w:r>
      <w:r w:rsidR="005D1F46">
        <w:t>excessive</w:t>
      </w:r>
      <w:r w:rsidR="007B5D8B">
        <w:t>,</w:t>
      </w:r>
      <w:r w:rsidR="005D1F46">
        <w:t xml:space="preserve"> </w:t>
      </w:r>
      <w:r w:rsidR="005D1F46" w:rsidRPr="005D1F46">
        <w:t>not</w:t>
      </w:r>
      <w:r w:rsidR="007B5D8B">
        <w:t xml:space="preserve"> justified by the work involved</w:t>
      </w:r>
      <w:r w:rsidR="005D1F46" w:rsidRPr="005D1F46">
        <w:t xml:space="preserve"> and should be reduced, not increased</w:t>
      </w:r>
      <w:r w:rsidR="005D1F46">
        <w:t>.</w:t>
      </w:r>
      <w:r w:rsidR="000E689D">
        <w:rPr>
          <w:rStyle w:val="FootnoteReference"/>
        </w:rPr>
        <w:footnoteReference w:id="43"/>
      </w:r>
    </w:p>
    <w:p w:rsidR="00D21A6A" w:rsidRPr="00D21A6A" w:rsidRDefault="003668AB" w:rsidP="00D21A6A">
      <w:pPr>
        <w:pStyle w:val="AERbodytext"/>
      </w:pPr>
      <w:r>
        <w:t>We consider that w</w:t>
      </w:r>
      <w:r w:rsidR="00D21A6A" w:rsidRPr="00D21A6A">
        <w:t>hen comparing JGN’s</w:t>
      </w:r>
      <w:r w:rsidR="00D21A6A">
        <w:t xml:space="preserve"> </w:t>
      </w:r>
      <w:r w:rsidR="00D21A6A" w:rsidRPr="00D21A6A">
        <w:t>proposed ancillary charges with those of other distributors it is important to recognise differences in:</w:t>
      </w:r>
    </w:p>
    <w:p w:rsidR="00D21A6A" w:rsidRPr="00D21A6A" w:rsidRDefault="00D21A6A" w:rsidP="00D21A6A">
      <w:pPr>
        <w:pStyle w:val="AERbulletlistfirststyle"/>
      </w:pPr>
      <w:r w:rsidRPr="00D21A6A">
        <w:t>the scope of individual activities, despite a charge having a similar name</w:t>
      </w:r>
    </w:p>
    <w:p w:rsidR="00D21A6A" w:rsidRPr="00D21A6A" w:rsidRDefault="00D21A6A" w:rsidP="00D21A6A">
      <w:pPr>
        <w:pStyle w:val="AERbulletlistfirststyle"/>
      </w:pPr>
      <w:r w:rsidRPr="00D21A6A">
        <w:t>the pricing objectives of distributors, which influences</w:t>
      </w:r>
      <w:r w:rsidR="003C0C81">
        <w:t xml:space="preserve"> </w:t>
      </w:r>
      <w:r w:rsidRPr="00D21A6A">
        <w:t>whether the costs of the activity are recovered in a user-pays manner</w:t>
      </w:r>
    </w:p>
    <w:p w:rsidR="00D21A6A" w:rsidRDefault="00D21A6A" w:rsidP="00D21A6A">
      <w:pPr>
        <w:pStyle w:val="AERbulletlistfirststyle"/>
      </w:pPr>
      <w:proofErr w:type="gramStart"/>
      <w:r w:rsidRPr="00D21A6A">
        <w:t>the</w:t>
      </w:r>
      <w:proofErr w:type="gramEnd"/>
      <w:r w:rsidRPr="00D21A6A">
        <w:t xml:space="preserve"> price level of the activity.</w:t>
      </w:r>
    </w:p>
    <w:p w:rsidR="00B36C53" w:rsidRPr="009C17AC" w:rsidRDefault="000E689D" w:rsidP="009C17AC">
      <w:r w:rsidRPr="009C17AC">
        <w:t>T</w:t>
      </w:r>
      <w:r w:rsidR="00B36C53" w:rsidRPr="009C17AC">
        <w:t>emporary disconnection for large customers cover</w:t>
      </w:r>
      <w:r w:rsidR="003C0C81" w:rsidRPr="009C17AC">
        <w:t>s</w:t>
      </w:r>
      <w:r w:rsidR="00B36C53" w:rsidRPr="009C17AC">
        <w:t xml:space="preserve"> </w:t>
      </w:r>
      <w:r w:rsidR="003668AB" w:rsidRPr="009C17AC">
        <w:t>dis</w:t>
      </w:r>
      <w:r w:rsidR="00B36C53" w:rsidRPr="009C17AC">
        <w:t>connection</w:t>
      </w:r>
      <w:r w:rsidR="003668AB" w:rsidRPr="009C17AC">
        <w:t>s,</w:t>
      </w:r>
      <w:r w:rsidR="00B36C53" w:rsidRPr="009C17AC">
        <w:t xml:space="preserve"> reconnection</w:t>
      </w:r>
      <w:r w:rsidR="003668AB" w:rsidRPr="009C17AC">
        <w:t xml:space="preserve"> and permanent </w:t>
      </w:r>
      <w:r w:rsidR="0033654C" w:rsidRPr="009C17AC">
        <w:t>dis</w:t>
      </w:r>
      <w:r w:rsidR="003668AB" w:rsidRPr="009C17AC">
        <w:t>connection</w:t>
      </w:r>
      <w:r w:rsidR="0033654C" w:rsidRPr="009C17AC">
        <w:t>s services. Taking into account the above principles and the wide scope of work conducted by JGN we do not believe the charge to be excessive</w:t>
      </w:r>
      <w:r w:rsidR="003C0C81" w:rsidRPr="009C17AC">
        <w:t>.</w:t>
      </w:r>
    </w:p>
    <w:p w:rsidR="00ED08EA" w:rsidRPr="009C17AC" w:rsidRDefault="000E689D" w:rsidP="009C17AC">
      <w:pPr>
        <w:rPr>
          <w:rStyle w:val="AERbody"/>
        </w:rPr>
      </w:pPr>
      <w:r w:rsidRPr="009C17AC">
        <w:rPr>
          <w:rStyle w:val="AERbody"/>
        </w:rPr>
        <w:t xml:space="preserve">We do not consider JGN's charge for decommissioning excessive because of the above principles. We also reviewed the decommissioning </w:t>
      </w:r>
      <w:r w:rsidR="00ED08EA" w:rsidRPr="009C17AC">
        <w:rPr>
          <w:rStyle w:val="AERbody"/>
        </w:rPr>
        <w:t>prices from a number of has business and found that:</w:t>
      </w:r>
    </w:p>
    <w:p w:rsidR="00ED08EA" w:rsidRDefault="00ED08EA" w:rsidP="00705F01">
      <w:pPr>
        <w:pStyle w:val="AERbulletlistfirststyle"/>
      </w:pPr>
      <w:proofErr w:type="gramStart"/>
      <w:r>
        <w:t>the</w:t>
      </w:r>
      <w:proofErr w:type="gramEnd"/>
      <w:r>
        <w:t xml:space="preserve"> </w:t>
      </w:r>
      <w:r w:rsidR="00B36C53">
        <w:t>charge</w:t>
      </w:r>
      <w:r>
        <w:t>s</w:t>
      </w:r>
      <w:r w:rsidR="00B36C53">
        <w:t xml:space="preserve"> </w:t>
      </w:r>
      <w:r w:rsidR="00B36C53" w:rsidRPr="00B36C53">
        <w:t xml:space="preserve">for </w:t>
      </w:r>
      <w:proofErr w:type="spellStart"/>
      <w:r w:rsidR="00B36C53" w:rsidRPr="00B36C53">
        <w:t>Multinet</w:t>
      </w:r>
      <w:proofErr w:type="spellEnd"/>
      <w:r w:rsidR="00927984">
        <w:rPr>
          <w:rStyle w:val="FootnoteReference"/>
        </w:rPr>
        <w:footnoteReference w:id="44"/>
      </w:r>
      <w:r w:rsidR="00B36C53" w:rsidRPr="00B36C53">
        <w:t xml:space="preserve"> and </w:t>
      </w:r>
      <w:proofErr w:type="spellStart"/>
      <w:r w:rsidR="00B36C53" w:rsidRPr="00B36C53">
        <w:t>Envestra</w:t>
      </w:r>
      <w:proofErr w:type="spellEnd"/>
      <w:r w:rsidR="00B36C53" w:rsidRPr="00B36C53">
        <w:t xml:space="preserve"> appear to apply only for</w:t>
      </w:r>
      <w:r w:rsidR="00B36C53">
        <w:t xml:space="preserve"> </w:t>
      </w:r>
      <w:r w:rsidR="00B36C53" w:rsidRPr="00B36C53">
        <w:t xml:space="preserve">meter removal, which is not the same scope as JGN’s charge. </w:t>
      </w:r>
    </w:p>
    <w:p w:rsidR="00ED08EA" w:rsidRDefault="00ED08EA" w:rsidP="00705F01">
      <w:pPr>
        <w:pStyle w:val="AERbulletlistfirststyle"/>
      </w:pPr>
      <w:proofErr w:type="gramStart"/>
      <w:r>
        <w:t>the</w:t>
      </w:r>
      <w:proofErr w:type="gramEnd"/>
      <w:r>
        <w:t xml:space="preserve"> charge for </w:t>
      </w:r>
      <w:r w:rsidR="00B36C53" w:rsidRPr="00B36C53">
        <w:t>SP</w:t>
      </w:r>
      <w:r w:rsidR="00D60821">
        <w:t xml:space="preserve"> </w:t>
      </w:r>
      <w:proofErr w:type="spellStart"/>
      <w:r w:rsidR="009C17AC">
        <w:t>AusNet'</w:t>
      </w:r>
      <w:r w:rsidR="009C17AC" w:rsidRPr="00B36C53">
        <w:t>s</w:t>
      </w:r>
      <w:proofErr w:type="spellEnd"/>
      <w:r w:rsidR="00B36C53" w:rsidRPr="00B36C53">
        <w:t xml:space="preserve"> appears to use a number of</w:t>
      </w:r>
      <w:r w:rsidR="00B36C53">
        <w:t xml:space="preserve"> </w:t>
      </w:r>
      <w:r w:rsidR="00B36C53" w:rsidRPr="00B36C53">
        <w:t>separate activities to achieve the same scope</w:t>
      </w:r>
      <w:r w:rsidR="001F2038">
        <w:t>.</w:t>
      </w:r>
      <w:r w:rsidR="00B36C53" w:rsidRPr="00B36C53">
        <w:t xml:space="preserve"> </w:t>
      </w:r>
      <w:r w:rsidR="001F2038">
        <w:t>B</w:t>
      </w:r>
      <w:r w:rsidR="00B36C53" w:rsidRPr="00B36C53">
        <w:t>ut</w:t>
      </w:r>
      <w:r w:rsidR="001F2038">
        <w:t>,</w:t>
      </w:r>
      <w:r w:rsidR="00B36C53" w:rsidRPr="00B36C53">
        <w:t xml:space="preserve"> each separate activity is treated as a “non-reference service</w:t>
      </w:r>
      <w:r w:rsidR="00B36C53">
        <w:t xml:space="preserve"> </w:t>
      </w:r>
      <w:r w:rsidR="00B36C53" w:rsidRPr="00B36C53">
        <w:t xml:space="preserve">charged at recoverable rates”. </w:t>
      </w:r>
    </w:p>
    <w:p w:rsidR="00B36C53" w:rsidRPr="00B36C53" w:rsidRDefault="00B36C53" w:rsidP="009C17AC">
      <w:r w:rsidRPr="00B36C53">
        <w:t>Hence it is not possible to compare JGN’s charge with approved charges of other</w:t>
      </w:r>
      <w:r>
        <w:t xml:space="preserve"> </w:t>
      </w:r>
      <w:r w:rsidRPr="00B36C53">
        <w:t>distributors.</w:t>
      </w:r>
      <w:r>
        <w:t xml:space="preserve"> We have also reviewed JGN's cost build up for decommissioning and found that the charge</w:t>
      </w:r>
      <w:r w:rsidR="00927984">
        <w:t xml:space="preserve"> levied </w:t>
      </w:r>
      <w:r w:rsidR="003C0C81">
        <w:t xml:space="preserve">by JGN </w:t>
      </w:r>
      <w:r w:rsidR="00D31E37">
        <w:lastRenderedPageBreak/>
        <w:t>does not cover</w:t>
      </w:r>
      <w:r w:rsidR="00927984">
        <w:t xml:space="preserve"> JGN's costs.</w:t>
      </w:r>
      <w:r w:rsidR="00927984">
        <w:rPr>
          <w:rStyle w:val="FootnoteReference"/>
        </w:rPr>
        <w:footnoteReference w:id="45"/>
      </w:r>
      <w:r w:rsidR="00927984">
        <w:t xml:space="preserve"> </w:t>
      </w:r>
      <w:r w:rsidR="0033654C">
        <w:t>Consequently, we do not consider JGN's decommissioning charge to be excessive when taking the above principles into account.</w:t>
      </w:r>
    </w:p>
    <w:p w:rsidR="0000077D" w:rsidRDefault="0000077D" w:rsidP="0000077D">
      <w:pPr>
        <w:pStyle w:val="HeadingBoldBlue"/>
      </w:pPr>
      <w:r w:rsidRPr="0000077D">
        <w:t>Long run marginal cost</w:t>
      </w:r>
    </w:p>
    <w:p w:rsidR="0046605D" w:rsidRPr="009C17AC" w:rsidRDefault="00351732" w:rsidP="009C17AC">
      <w:r w:rsidRPr="009C17AC">
        <w:t>W</w:t>
      </w:r>
      <w:r w:rsidR="0046605D" w:rsidRPr="009C17AC">
        <w:t xml:space="preserve">e </w:t>
      </w:r>
      <w:r w:rsidRPr="009C17AC">
        <w:t xml:space="preserve">consider that </w:t>
      </w:r>
      <w:r w:rsidR="0046605D" w:rsidRPr="009C17AC">
        <w:t>JGN has taken into account the long run marginal cost when setting tariffs.</w:t>
      </w:r>
      <w:r w:rsidR="0046605D" w:rsidRPr="009C17AC">
        <w:footnoteReference w:id="46"/>
      </w:r>
      <w:r w:rsidR="0046605D" w:rsidRPr="009C17AC">
        <w:t xml:space="preserve"> We </w:t>
      </w:r>
      <w:r w:rsidRPr="009C17AC">
        <w:t xml:space="preserve">also </w:t>
      </w:r>
      <w:r w:rsidR="0046605D" w:rsidRPr="009C17AC">
        <w:t xml:space="preserve">consider that JGN's charging parameters reflects the economic principle that prices should reflect the underlying costs of providing the service. </w:t>
      </w:r>
    </w:p>
    <w:p w:rsidR="00A9309D" w:rsidRDefault="0000077D" w:rsidP="009C17AC">
      <w:r w:rsidRPr="0000077D">
        <w:t xml:space="preserve">In its analysis of avoidable and standalone costs, </w:t>
      </w:r>
      <w:r w:rsidR="00AC48A1">
        <w:t>JGN</w:t>
      </w:r>
      <w:r w:rsidRPr="0000077D">
        <w:t xml:space="preserve"> used the Average Incremental Cost</w:t>
      </w:r>
      <w:r w:rsidR="00D31E37">
        <w:t xml:space="preserve"> </w:t>
      </w:r>
      <w:r w:rsidRPr="0000077D">
        <w:t>approach to calculate the long run marginal cost (LRMC).</w:t>
      </w:r>
      <w:r w:rsidR="00093E0D">
        <w:t xml:space="preserve"> </w:t>
      </w:r>
      <w:r w:rsidR="00093E0D" w:rsidRPr="00A9309D">
        <w:t>JGN has calculated LRMC for each of its volume tariff classes using the average incremental approach.</w:t>
      </w:r>
      <w:r w:rsidR="001F2038">
        <w:rPr>
          <w:rStyle w:val="FootnoteReference"/>
        </w:rPr>
        <w:footnoteReference w:id="47"/>
      </w:r>
      <w:r w:rsidR="00093E0D" w:rsidRPr="00A9309D">
        <w:t xml:space="preserve"> JGN’s</w:t>
      </w:r>
      <w:r w:rsidR="00093E0D">
        <w:t xml:space="preserve"> </w:t>
      </w:r>
      <w:r w:rsidR="00093E0D" w:rsidRPr="00A9309D">
        <w:t>model has produced LRMC values of zero for the demand market as there is no growth in this market during the</w:t>
      </w:r>
      <w:r w:rsidR="00093E0D">
        <w:t xml:space="preserve"> </w:t>
      </w:r>
      <w:r w:rsidR="00093E0D" w:rsidRPr="00A9309D">
        <w:t>forecast horizon.</w:t>
      </w:r>
      <w:r w:rsidR="001F2038">
        <w:rPr>
          <w:rStyle w:val="FootnoteReference"/>
        </w:rPr>
        <w:footnoteReference w:id="48"/>
      </w:r>
      <w:r w:rsidR="00093E0D">
        <w:t xml:space="preserve"> </w:t>
      </w:r>
      <w:r w:rsidR="00AC48A1">
        <w:t>We</w:t>
      </w:r>
      <w:r w:rsidRPr="0000077D">
        <w:t xml:space="preserve"> reviewed the assumptions that </w:t>
      </w:r>
      <w:r w:rsidR="00AC48A1">
        <w:t xml:space="preserve">JGN </w:t>
      </w:r>
      <w:r w:rsidRPr="0000077D">
        <w:t xml:space="preserve">made to derive the LRMC. </w:t>
      </w:r>
      <w:r w:rsidR="00AC48A1">
        <w:t>We</w:t>
      </w:r>
      <w:r w:rsidRPr="0000077D">
        <w:t xml:space="preserve"> consider that the approach to derive the LRMC and the underlying assumptions are acceptable based on </w:t>
      </w:r>
      <w:r w:rsidR="00AC48A1">
        <w:t>our</w:t>
      </w:r>
      <w:r w:rsidRPr="0000077D">
        <w:t xml:space="preserve"> review of the access arrangement information </w:t>
      </w:r>
      <w:r w:rsidR="00D31E37">
        <w:t xml:space="preserve">in </w:t>
      </w:r>
      <w:r w:rsidR="00A9309D">
        <w:t xml:space="preserve">chapter 13 and </w:t>
      </w:r>
      <w:r w:rsidR="00AC48A1">
        <w:t>appendix</w:t>
      </w:r>
      <w:r w:rsidR="00A9309D">
        <w:t xml:space="preserve"> </w:t>
      </w:r>
      <w:r w:rsidR="00AC48A1">
        <w:t>13.1</w:t>
      </w:r>
      <w:r w:rsidRPr="0000077D">
        <w:t xml:space="preserve">. </w:t>
      </w:r>
      <w:r w:rsidR="00093E0D">
        <w:t>JGN</w:t>
      </w:r>
      <w:r w:rsidR="00093E0D" w:rsidRPr="00093E0D">
        <w:t xml:space="preserve"> stated that the calculated values of LRMC are sensitive to the assumptions that it made around a number of different variables. As such, these should only be used as a guide when assessing price levels and structures.</w:t>
      </w:r>
      <w:r w:rsidR="0046605D">
        <w:rPr>
          <w:rStyle w:val="FootnoteReference"/>
        </w:rPr>
        <w:footnoteReference w:id="49"/>
      </w:r>
    </w:p>
    <w:p w:rsidR="00093E0D" w:rsidRDefault="007335FD" w:rsidP="009C17AC">
      <w:r>
        <w:t>T</w:t>
      </w:r>
      <w:r w:rsidR="00093E0D" w:rsidRPr="00093E0D">
        <w:t>he NGR requires that a tariff, if it consists of two or more charging parameters, be determined having regard to transaction costs and whether customers are able to or likely to respond to price signals.</w:t>
      </w:r>
      <w:r>
        <w:rPr>
          <w:rStyle w:val="FootnoteReference"/>
        </w:rPr>
        <w:footnoteReference w:id="50"/>
      </w:r>
      <w:r w:rsidR="00093E0D" w:rsidRPr="00093E0D">
        <w:t xml:space="preserve"> </w:t>
      </w:r>
      <w:r w:rsidR="00093E0D">
        <w:t xml:space="preserve">JGN </w:t>
      </w:r>
      <w:r w:rsidR="00093E0D" w:rsidRPr="00093E0D">
        <w:t xml:space="preserve">stated that its current tariffs are structured </w:t>
      </w:r>
      <w:r w:rsidR="00093E0D">
        <w:t xml:space="preserve">provide </w:t>
      </w:r>
      <w:r w:rsidR="00093E0D" w:rsidRPr="00093E0D">
        <w:t>the correct balance</w:t>
      </w:r>
      <w:r w:rsidR="00093E0D">
        <w:t xml:space="preserve"> </w:t>
      </w:r>
      <w:r w:rsidR="00093E0D" w:rsidRPr="00093E0D">
        <w:t>between minimising transaction costs and ensuring that customers have incentives to respond to pricing</w:t>
      </w:r>
      <w:r w:rsidR="00093E0D">
        <w:t xml:space="preserve"> </w:t>
      </w:r>
      <w:r w:rsidR="00093E0D" w:rsidRPr="00093E0D">
        <w:t>signals.</w:t>
      </w:r>
      <w:r w:rsidR="00093E0D">
        <w:t xml:space="preserve"> We consider th</w:t>
      </w:r>
      <w:r w:rsidR="00352941">
        <w:t xml:space="preserve">at </w:t>
      </w:r>
      <w:r w:rsidR="00093E0D">
        <w:t xml:space="preserve">JGN </w:t>
      </w:r>
      <w:r w:rsidR="00352941">
        <w:t xml:space="preserve">has </w:t>
      </w:r>
      <w:r w:rsidR="00093E0D">
        <w:t>compl</w:t>
      </w:r>
      <w:r w:rsidR="00352941">
        <w:t>ied</w:t>
      </w:r>
      <w:r w:rsidR="00093E0D">
        <w:t xml:space="preserve"> with </w:t>
      </w:r>
      <w:r w:rsidR="00093E0D" w:rsidRPr="00093E0D">
        <w:t>the NGR</w:t>
      </w:r>
      <w:r>
        <w:t xml:space="preserve"> because it has taken into account the charging parameters</w:t>
      </w:r>
      <w:r w:rsidR="00093E0D" w:rsidRPr="00093E0D">
        <w:t>.</w:t>
      </w:r>
      <w:r>
        <w:rPr>
          <w:rStyle w:val="FootnoteReference"/>
        </w:rPr>
        <w:footnoteReference w:id="51"/>
      </w:r>
    </w:p>
    <w:p w:rsidR="00A9309D" w:rsidRDefault="00AA4CC1" w:rsidP="00AA4CC1">
      <w:pPr>
        <w:pStyle w:val="Heading3"/>
      </w:pPr>
      <w:bookmarkStart w:id="15" w:name="_Toc404173781"/>
      <w:r>
        <w:t>Other i</w:t>
      </w:r>
      <w:r w:rsidR="00271281">
        <w:t>ssues raised by retailers</w:t>
      </w:r>
      <w:bookmarkEnd w:id="15"/>
    </w:p>
    <w:p w:rsidR="00A9309D" w:rsidRDefault="00AA4CC1" w:rsidP="00AA4CC1">
      <w:pPr>
        <w:pStyle w:val="HeadingBoldBlue"/>
      </w:pPr>
      <w:r>
        <w:t>Expressing all network tariffs on a daily basis</w:t>
      </w:r>
    </w:p>
    <w:p w:rsidR="00A9309D" w:rsidRDefault="00AA4CC1" w:rsidP="0000077D">
      <w:r>
        <w:t xml:space="preserve">AGL, </w:t>
      </w:r>
      <w:proofErr w:type="spellStart"/>
      <w:r>
        <w:t>Lumo</w:t>
      </w:r>
      <w:proofErr w:type="spellEnd"/>
      <w:r>
        <w:t xml:space="preserve">, Origin Energy and </w:t>
      </w:r>
      <w:proofErr w:type="spellStart"/>
      <w:r>
        <w:t>EnergyAustralia</w:t>
      </w:r>
      <w:proofErr w:type="spellEnd"/>
      <w:r>
        <w:t xml:space="preserve"> submitted that JGN should review its tariff component with a view to expressing some of them on a daily rather than a quarterly basis.</w:t>
      </w:r>
      <w:r w:rsidR="0046605D">
        <w:rPr>
          <w:rStyle w:val="FootnoteReference"/>
        </w:rPr>
        <w:footnoteReference w:id="52"/>
      </w:r>
    </w:p>
    <w:p w:rsidR="00194744" w:rsidRPr="00194744" w:rsidRDefault="00AA4CC1" w:rsidP="00194744">
      <w:r>
        <w:t xml:space="preserve">We accept that moving network tariffs </w:t>
      </w:r>
      <w:r w:rsidR="008B262C">
        <w:t>to</w:t>
      </w:r>
      <w:r>
        <w:t xml:space="preserve"> a daily basis may be beneficial to retailers</w:t>
      </w:r>
      <w:r w:rsidR="00410517">
        <w:t>'</w:t>
      </w:r>
      <w:r w:rsidR="00D31E37">
        <w:t xml:space="preserve"> commercial interests</w:t>
      </w:r>
      <w:r w:rsidR="00410517">
        <w:t>.</w:t>
      </w:r>
      <w:r>
        <w:t xml:space="preserve"> </w:t>
      </w:r>
      <w:r w:rsidR="00410517">
        <w:t>B</w:t>
      </w:r>
      <w:r>
        <w:t xml:space="preserve">ut </w:t>
      </w:r>
      <w:r w:rsidR="00410517">
        <w:t>we are not satisfied</w:t>
      </w:r>
      <w:r w:rsidR="00194744">
        <w:t xml:space="preserve"> that it </w:t>
      </w:r>
      <w:r w:rsidR="00410517">
        <w:t xml:space="preserve">would be </w:t>
      </w:r>
      <w:r w:rsidR="00194744">
        <w:t xml:space="preserve">in </w:t>
      </w:r>
      <w:r w:rsidR="00410517">
        <w:t xml:space="preserve">the </w:t>
      </w:r>
      <w:r w:rsidR="00194744">
        <w:t>long term interests of consumers</w:t>
      </w:r>
      <w:r w:rsidR="00410517">
        <w:t xml:space="preserve"> in this instance</w:t>
      </w:r>
      <w:r w:rsidR="00194744">
        <w:t xml:space="preserve">. </w:t>
      </w:r>
      <w:r w:rsidR="00194744" w:rsidRPr="00194744">
        <w:t xml:space="preserve">JGN expresses </w:t>
      </w:r>
      <w:r w:rsidR="00194744">
        <w:t xml:space="preserve">its charges in different formats </w:t>
      </w:r>
      <w:r w:rsidR="00194744" w:rsidRPr="00194744">
        <w:t>because of IT system</w:t>
      </w:r>
      <w:r w:rsidR="002242A6">
        <w:t>s</w:t>
      </w:r>
      <w:r w:rsidR="00194744" w:rsidRPr="00194744">
        <w:t xml:space="preserve"> design. Changing these systems to take </w:t>
      </w:r>
      <w:r w:rsidR="002242A6">
        <w:t xml:space="preserve">into account </w:t>
      </w:r>
      <w:r w:rsidR="00194744" w:rsidRPr="00194744">
        <w:t>daily</w:t>
      </w:r>
      <w:r w:rsidR="00194744">
        <w:t xml:space="preserve"> </w:t>
      </w:r>
      <w:r w:rsidR="00194744" w:rsidRPr="00194744">
        <w:t>charges would require changes to charge algorithms and subsequent system and</w:t>
      </w:r>
      <w:r w:rsidR="00194744">
        <w:t xml:space="preserve"> </w:t>
      </w:r>
      <w:r w:rsidR="00194744" w:rsidRPr="00194744">
        <w:t xml:space="preserve">code changes. </w:t>
      </w:r>
      <w:r w:rsidR="00ED08EA">
        <w:t>W</w:t>
      </w:r>
      <w:r w:rsidR="00194744" w:rsidRPr="00194744">
        <w:t>e do not see any net benefit for customers from the additional costs that</w:t>
      </w:r>
      <w:r w:rsidR="00194744">
        <w:t xml:space="preserve"> </w:t>
      </w:r>
      <w:r w:rsidR="00194744" w:rsidRPr="00194744">
        <w:t>would be incurred to make these fundamental changes</w:t>
      </w:r>
      <w:r w:rsidR="0046605D">
        <w:t xml:space="preserve"> to JGN's IT system</w:t>
      </w:r>
      <w:r w:rsidR="00ED08EA">
        <w:t>.</w:t>
      </w:r>
    </w:p>
    <w:p w:rsidR="00194744" w:rsidRDefault="00194744" w:rsidP="00194744">
      <w:r w:rsidRPr="00194744">
        <w:lastRenderedPageBreak/>
        <w:t>Whether charges are expressed as daily rates</w:t>
      </w:r>
      <w:r w:rsidR="00C1324E">
        <w:t>, quarterly</w:t>
      </w:r>
      <w:r w:rsidRPr="00194744">
        <w:t xml:space="preserve"> or annual rates, the charges will still be pro-rated in billing</w:t>
      </w:r>
      <w:r>
        <w:t xml:space="preserve"> </w:t>
      </w:r>
      <w:r w:rsidRPr="00194744">
        <w:t xml:space="preserve">systems to the appropriate number of days relevant to each actual charge calculation and </w:t>
      </w:r>
      <w:r w:rsidR="00C1324E">
        <w:t xml:space="preserve">any </w:t>
      </w:r>
      <w:r w:rsidRPr="00194744">
        <w:t>methods</w:t>
      </w:r>
      <w:r>
        <w:t xml:space="preserve"> </w:t>
      </w:r>
      <w:r w:rsidRPr="00194744">
        <w:t xml:space="preserve">will give a correct calculated result. </w:t>
      </w:r>
      <w:r w:rsidR="00410517">
        <w:t>W</w:t>
      </w:r>
      <w:r w:rsidRPr="00194744">
        <w:t>e acknowledge that other distributors express their tariffs as</w:t>
      </w:r>
      <w:r>
        <w:t xml:space="preserve"> </w:t>
      </w:r>
      <w:r w:rsidRPr="00194744">
        <w:t xml:space="preserve">daily charges and </w:t>
      </w:r>
      <w:proofErr w:type="gramStart"/>
      <w:r w:rsidRPr="00194744">
        <w:t>that retailers</w:t>
      </w:r>
      <w:proofErr w:type="gramEnd"/>
      <w:r w:rsidRPr="00194744">
        <w:t xml:space="preserve"> consider that a daily format makes it easier to them to make their own</w:t>
      </w:r>
      <w:r>
        <w:t xml:space="preserve"> </w:t>
      </w:r>
      <w:r w:rsidRPr="00194744">
        <w:t>calculations</w:t>
      </w:r>
      <w:r w:rsidR="00410517">
        <w:t>. However</w:t>
      </w:r>
      <w:r w:rsidRPr="00194744">
        <w:t xml:space="preserve"> it is equally true that retailers are familiar and successfully working with JGN’s existing</w:t>
      </w:r>
      <w:r>
        <w:t xml:space="preserve"> </w:t>
      </w:r>
      <w:r w:rsidRPr="00194744">
        <w:t>charge structures and calculations.</w:t>
      </w:r>
      <w:r w:rsidR="0046605D">
        <w:rPr>
          <w:rStyle w:val="FootnoteReference"/>
        </w:rPr>
        <w:footnoteReference w:id="53"/>
      </w:r>
    </w:p>
    <w:p w:rsidR="005715BC" w:rsidRDefault="00194744" w:rsidP="00194744">
      <w:r>
        <w:t>Additionally, any changes should be</w:t>
      </w:r>
      <w:r w:rsidRPr="00194744">
        <w:t xml:space="preserve"> considered in light of the</w:t>
      </w:r>
      <w:r>
        <w:t xml:space="preserve"> </w:t>
      </w:r>
      <w:r w:rsidRPr="00194744">
        <w:t>current discussions between JGN, retailers and AEMO regarding JGN’s business systems and processes</w:t>
      </w:r>
      <w:r>
        <w:t xml:space="preserve"> </w:t>
      </w:r>
      <w:r w:rsidRPr="00194744">
        <w:t>as part of potential B2B harmonisation initiatives.</w:t>
      </w:r>
      <w:r w:rsidR="0046605D">
        <w:rPr>
          <w:rStyle w:val="FootnoteReference"/>
        </w:rPr>
        <w:footnoteReference w:id="54"/>
      </w:r>
      <w:r w:rsidRPr="00194744">
        <w:t xml:space="preserve"> </w:t>
      </w:r>
    </w:p>
    <w:p w:rsidR="00C1324E" w:rsidRDefault="00D834B7" w:rsidP="00D834B7">
      <w:pPr>
        <w:pStyle w:val="HeadingBoldBlue"/>
      </w:pPr>
      <w:r>
        <w:t>Charging for special meter reads on a per visit rather than a per meter basis</w:t>
      </w:r>
    </w:p>
    <w:p w:rsidR="00194744" w:rsidRDefault="008B262C" w:rsidP="00194744">
      <w:proofErr w:type="spellStart"/>
      <w:r>
        <w:t>Lumo</w:t>
      </w:r>
      <w:proofErr w:type="spellEnd"/>
      <w:r>
        <w:t xml:space="preserve"> Energy noted that other gas distributors charge </w:t>
      </w:r>
      <w:r w:rsidR="00410517">
        <w:t xml:space="preserve">for </w:t>
      </w:r>
      <w:r>
        <w:t>special meter read</w:t>
      </w:r>
      <w:r w:rsidR="00410517">
        <w:t>s</w:t>
      </w:r>
      <w:r>
        <w:t xml:space="preserve"> on a per visit </w:t>
      </w:r>
      <w:r w:rsidR="00410517">
        <w:t xml:space="preserve">basis </w:t>
      </w:r>
      <w:r>
        <w:t xml:space="preserve">while JGN does not. </w:t>
      </w:r>
      <w:proofErr w:type="spellStart"/>
      <w:r>
        <w:t>Lumo</w:t>
      </w:r>
      <w:proofErr w:type="spellEnd"/>
      <w:r>
        <w:t xml:space="preserve"> Energy also questioned the efficient pricing of JGN</w:t>
      </w:r>
      <w:r w:rsidR="0085593A">
        <w:t>'s</w:t>
      </w:r>
      <w:r>
        <w:t xml:space="preserve"> special meter reads being on a per meter basis.</w:t>
      </w:r>
      <w:r w:rsidR="0046605D">
        <w:rPr>
          <w:rStyle w:val="FootnoteReference"/>
        </w:rPr>
        <w:footnoteReference w:id="55"/>
      </w:r>
    </w:p>
    <w:p w:rsidR="002242A6" w:rsidRPr="002242A6" w:rsidRDefault="002242A6" w:rsidP="002242A6">
      <w:r>
        <w:t>On balance we consider that JGN has correctly applied the NGR in establishing it</w:t>
      </w:r>
      <w:r w:rsidR="007D1665">
        <w:t>s</w:t>
      </w:r>
      <w:r>
        <w:t xml:space="preserve"> charges for special meter reads. We consider that a charge should </w:t>
      </w:r>
      <w:r w:rsidR="00C272B4">
        <w:t xml:space="preserve">be </w:t>
      </w:r>
      <w:r>
        <w:t xml:space="preserve">cost reflective, that is, if </w:t>
      </w:r>
      <w:r w:rsidRPr="002242A6">
        <w:t xml:space="preserve">additional time and work </w:t>
      </w:r>
      <w:r>
        <w:t>are required</w:t>
      </w:r>
      <w:r w:rsidR="00C272B4">
        <w:t xml:space="preserve">, </w:t>
      </w:r>
      <w:r>
        <w:t>then</w:t>
      </w:r>
      <w:r w:rsidR="00C272B4">
        <w:t xml:space="preserve"> the charge</w:t>
      </w:r>
      <w:r>
        <w:t xml:space="preserve"> should reflect </w:t>
      </w:r>
      <w:r w:rsidR="00C272B4">
        <w:t>this</w:t>
      </w:r>
      <w:r w:rsidRPr="002242A6">
        <w:t>.</w:t>
      </w:r>
      <w:r w:rsidR="007D1665">
        <w:rPr>
          <w:rStyle w:val="FootnoteReference"/>
        </w:rPr>
        <w:footnoteReference w:id="56"/>
      </w:r>
      <w:r>
        <w:t xml:space="preserve">  </w:t>
      </w:r>
    </w:p>
    <w:p w:rsidR="002242A6" w:rsidRDefault="002242A6" w:rsidP="002242A6">
      <w:r w:rsidRPr="002242A6">
        <w:t xml:space="preserve">Importantly, </w:t>
      </w:r>
      <w:r w:rsidR="00E47128">
        <w:t>we note that special meter reads are charged on a per meter basis in the current access arrangement and that no submissions were made on this issue in our last determination</w:t>
      </w:r>
      <w:r w:rsidR="00091E13">
        <w:t>. JGN proposed to reduce the charge for special meter reads from $40 to $14.80</w:t>
      </w:r>
      <w:r w:rsidR="00ED08EA">
        <w:t xml:space="preserve"> in 2015–20 and</w:t>
      </w:r>
      <w:r w:rsidR="00091E13">
        <w:t xml:space="preserve"> </w:t>
      </w:r>
      <w:r w:rsidR="00ED08EA">
        <w:t>a</w:t>
      </w:r>
      <w:r w:rsidR="00091E13">
        <w:t xml:space="preserve">ny </w:t>
      </w:r>
      <w:r w:rsidRPr="002242A6">
        <w:t xml:space="preserve">change to JGN’s charge structure would have flow on effects </w:t>
      </w:r>
      <w:r w:rsidR="003F55FC">
        <w:t>on</w:t>
      </w:r>
      <w:r w:rsidRPr="002242A6">
        <w:t xml:space="preserve"> </w:t>
      </w:r>
      <w:r w:rsidR="007D1665">
        <w:t>the charge for special meter reads.</w:t>
      </w:r>
      <w:r w:rsidR="00C272B4">
        <w:t xml:space="preserve"> </w:t>
      </w:r>
      <w:r w:rsidR="00410517">
        <w:t xml:space="preserve">We do not have any evidence of a net benefit resulting from such a change. Therefore, we are not </w:t>
      </w:r>
      <w:r w:rsidR="003F55FC">
        <w:t>convinced</w:t>
      </w:r>
      <w:r w:rsidR="00410517">
        <w:t xml:space="preserve"> that</w:t>
      </w:r>
      <w:r w:rsidR="00C272B4">
        <w:t xml:space="preserve"> it would be efficient to make </w:t>
      </w:r>
      <w:proofErr w:type="spellStart"/>
      <w:r w:rsidR="00C272B4">
        <w:t>Lumo's</w:t>
      </w:r>
      <w:proofErr w:type="spellEnd"/>
      <w:r w:rsidR="00C272B4">
        <w:t xml:space="preserve"> amendment.</w:t>
      </w:r>
    </w:p>
    <w:p w:rsidR="00091E13" w:rsidRDefault="00091E13" w:rsidP="00091E13">
      <w:pPr>
        <w:pStyle w:val="HeadingBoldBlue"/>
      </w:pPr>
      <w:r>
        <w:t>Other issues</w:t>
      </w:r>
    </w:p>
    <w:p w:rsidR="002242A6" w:rsidRDefault="00091E13" w:rsidP="00194744">
      <w:r>
        <w:t xml:space="preserve">We note the following issues raised by </w:t>
      </w:r>
      <w:proofErr w:type="spellStart"/>
      <w:r>
        <w:t>EnergyAustralia</w:t>
      </w:r>
      <w:proofErr w:type="spellEnd"/>
      <w:r>
        <w:t>:</w:t>
      </w:r>
      <w:r w:rsidR="007D1665">
        <w:rPr>
          <w:rStyle w:val="FootnoteReference"/>
        </w:rPr>
        <w:footnoteReference w:id="57"/>
      </w:r>
    </w:p>
    <w:p w:rsidR="00091E13" w:rsidRDefault="007D1665" w:rsidP="00091E13">
      <w:r>
        <w:t>JGN should not restrict</w:t>
      </w:r>
      <w:r w:rsidR="00091E13">
        <w:t xml:space="preserve"> who can initiate special meter reads</w:t>
      </w:r>
      <w:r>
        <w:t>. W</w:t>
      </w:r>
      <w:r w:rsidR="00091E13">
        <w:t>e consider</w:t>
      </w:r>
      <w:r w:rsidR="00091E13" w:rsidRPr="00091E13">
        <w:t xml:space="preserve"> that improvements in retail customer transfers are best addressed in retail market</w:t>
      </w:r>
      <w:r w:rsidR="00091E13">
        <w:t xml:space="preserve"> </w:t>
      </w:r>
      <w:r w:rsidR="00091E13" w:rsidRPr="00091E13">
        <w:t>procedures</w:t>
      </w:r>
      <w:r w:rsidR="00C272B4">
        <w:t>,</w:t>
      </w:r>
      <w:r w:rsidR="00091E13">
        <w:t xml:space="preserve"> not in </w:t>
      </w:r>
      <w:r w:rsidR="00BD2A5A">
        <w:t>a</w:t>
      </w:r>
      <w:r w:rsidR="00091E13">
        <w:t xml:space="preserve">ccess </w:t>
      </w:r>
      <w:r w:rsidR="00BD2A5A">
        <w:t>a</w:t>
      </w:r>
      <w:r w:rsidR="00091E13">
        <w:t>rrangement</w:t>
      </w:r>
      <w:r w:rsidR="00C272B4">
        <w:t>s</w:t>
      </w:r>
      <w:r>
        <w:t>.</w:t>
      </w:r>
      <w:r w:rsidR="00091E13">
        <w:t xml:space="preserve"> </w:t>
      </w:r>
    </w:p>
    <w:p w:rsidR="00091E13" w:rsidRDefault="00091E13" w:rsidP="00091E13">
      <w:r w:rsidRPr="00091E13">
        <w:t>JGN has increased the notice period required for special meter reads from 2 days to 5 days</w:t>
      </w:r>
      <w:r w:rsidR="007D1665">
        <w:t xml:space="preserve">. </w:t>
      </w:r>
      <w:r>
        <w:t xml:space="preserve">We </w:t>
      </w:r>
      <w:r w:rsidR="009A73F2">
        <w:t xml:space="preserve">are not aware of </w:t>
      </w:r>
      <w:r w:rsidRPr="00091E13">
        <w:t>any practical change to special meter reads</w:t>
      </w:r>
      <w:r w:rsidR="009A73F2">
        <w:t xml:space="preserve"> from the current access arrangement period</w:t>
      </w:r>
      <w:r w:rsidR="005C5D3E">
        <w:t xml:space="preserve">, that is, </w:t>
      </w:r>
      <w:r w:rsidR="007D1665">
        <w:t xml:space="preserve">the </w:t>
      </w:r>
      <w:r w:rsidR="005C5D3E">
        <w:t>e</w:t>
      </w:r>
      <w:r w:rsidRPr="00091E13">
        <w:t>xisting notice period</w:t>
      </w:r>
      <w:r>
        <w:t xml:space="preserve"> </w:t>
      </w:r>
      <w:r w:rsidRPr="00091E13">
        <w:t>in the description of special meter reads is 5 days.</w:t>
      </w:r>
      <w:r w:rsidR="005C5D3E">
        <w:rPr>
          <w:rStyle w:val="FootnoteReference"/>
        </w:rPr>
        <w:footnoteReference w:id="58"/>
      </w:r>
      <w:r w:rsidRPr="00091E13">
        <w:t xml:space="preserve"> </w:t>
      </w:r>
    </w:p>
    <w:p w:rsidR="002242A6" w:rsidRDefault="005C5D3E" w:rsidP="005C5D3E">
      <w:proofErr w:type="spellStart"/>
      <w:r>
        <w:t>EnergyAustralia</w:t>
      </w:r>
      <w:proofErr w:type="spellEnd"/>
      <w:r>
        <w:t xml:space="preserve"> would like to see an AM/PM appointment service</w:t>
      </w:r>
      <w:r w:rsidR="007D1665">
        <w:t xml:space="preserve"> for special meter reads</w:t>
      </w:r>
      <w:r w:rsidR="00681367">
        <w:t>.</w:t>
      </w:r>
      <w:r>
        <w:t xml:space="preserve"> </w:t>
      </w:r>
      <w:r w:rsidRPr="005C5D3E">
        <w:t>JGN has already planned to explore changes to business processes to make this improvement in</w:t>
      </w:r>
      <w:r>
        <w:t xml:space="preserve"> </w:t>
      </w:r>
      <w:r w:rsidRPr="005C5D3E">
        <w:t xml:space="preserve">customer service. A contingency amount to reflect this potential has been </w:t>
      </w:r>
      <w:r w:rsidR="00C272B4">
        <w:t>included</w:t>
      </w:r>
      <w:r w:rsidRPr="005C5D3E">
        <w:t xml:space="preserve"> </w:t>
      </w:r>
      <w:r w:rsidR="00C272B4">
        <w:t xml:space="preserve">in the </w:t>
      </w:r>
      <w:r w:rsidR="00C272B4" w:rsidRPr="005C5D3E">
        <w:t xml:space="preserve">proposed </w:t>
      </w:r>
      <w:r w:rsidRPr="005C5D3E">
        <w:t>special meter</w:t>
      </w:r>
      <w:r>
        <w:t xml:space="preserve"> </w:t>
      </w:r>
      <w:r w:rsidRPr="005C5D3E">
        <w:t>read charge.</w:t>
      </w:r>
      <w:r>
        <w:t xml:space="preserve"> </w:t>
      </w:r>
      <w:r w:rsidR="00C272B4">
        <w:t>Our view is that</w:t>
      </w:r>
      <w:r>
        <w:t xml:space="preserve"> this arrangement should be addressed </w:t>
      </w:r>
      <w:r w:rsidRPr="005C5D3E">
        <w:t>in</w:t>
      </w:r>
      <w:r>
        <w:t xml:space="preserve"> </w:t>
      </w:r>
      <w:r w:rsidRPr="005C5D3E">
        <w:t>operational guidelines and manuals for business to busin</w:t>
      </w:r>
      <w:r w:rsidR="007D1665">
        <w:t xml:space="preserve">ess systems rather than in the </w:t>
      </w:r>
      <w:r w:rsidR="00BD2A5A">
        <w:t>a</w:t>
      </w:r>
      <w:r w:rsidRPr="005C5D3E">
        <w:t>ccess</w:t>
      </w:r>
      <w:r>
        <w:t xml:space="preserve"> </w:t>
      </w:r>
      <w:r w:rsidR="00BD2A5A">
        <w:t>a</w:t>
      </w:r>
      <w:r w:rsidRPr="005C5D3E">
        <w:t>rrangement.</w:t>
      </w:r>
      <w:r w:rsidR="000A1730">
        <w:rPr>
          <w:rStyle w:val="FootnoteReference"/>
        </w:rPr>
        <w:footnoteReference w:id="59"/>
      </w:r>
    </w:p>
    <w:p w:rsidR="008216A9" w:rsidRDefault="005C5D3E" w:rsidP="00854AEE">
      <w:pPr>
        <w:pStyle w:val="AERbodytext"/>
      </w:pPr>
      <w:proofErr w:type="spellStart"/>
      <w:r w:rsidRPr="00854AEE">
        <w:rPr>
          <w:rStyle w:val="AERbody"/>
        </w:rPr>
        <w:lastRenderedPageBreak/>
        <w:t>EnergyAustralia</w:t>
      </w:r>
      <w:proofErr w:type="spellEnd"/>
      <w:r w:rsidRPr="00854AEE">
        <w:rPr>
          <w:rStyle w:val="AERbody"/>
        </w:rPr>
        <w:t xml:space="preserve"> recommended additional prescription to clauses 4.1 and 4.2 of the </w:t>
      </w:r>
      <w:r w:rsidR="003F55FC">
        <w:rPr>
          <w:rStyle w:val="AERbody"/>
        </w:rPr>
        <w:t>a</w:t>
      </w:r>
      <w:r w:rsidRPr="00854AEE">
        <w:rPr>
          <w:rStyle w:val="AERbody"/>
        </w:rPr>
        <w:t xml:space="preserve">ccess </w:t>
      </w:r>
      <w:r w:rsidR="003F55FC">
        <w:rPr>
          <w:rStyle w:val="AERbody"/>
        </w:rPr>
        <w:t>a</w:t>
      </w:r>
      <w:r w:rsidRPr="00854AEE">
        <w:rPr>
          <w:rStyle w:val="AERbody"/>
        </w:rPr>
        <w:t>rrangement to include timeframes for notification of tariff assignments.</w:t>
      </w:r>
      <w:r w:rsidR="008216A9" w:rsidRPr="00854AEE">
        <w:rPr>
          <w:rStyle w:val="AERbody"/>
        </w:rPr>
        <w:t xml:space="preserve"> We do not </w:t>
      </w:r>
      <w:r w:rsidR="007D1665" w:rsidRPr="00854AEE">
        <w:rPr>
          <w:rStyle w:val="AERbody"/>
        </w:rPr>
        <w:t xml:space="preserve">consider </w:t>
      </w:r>
      <w:r w:rsidR="008216A9" w:rsidRPr="00854AEE">
        <w:rPr>
          <w:rStyle w:val="AERbody"/>
        </w:rPr>
        <w:t xml:space="preserve">it necessary to include more prescription to the </w:t>
      </w:r>
      <w:r w:rsidR="003F55FC">
        <w:rPr>
          <w:rStyle w:val="AERbody"/>
        </w:rPr>
        <w:t>a</w:t>
      </w:r>
      <w:r w:rsidR="008216A9" w:rsidRPr="00854AEE">
        <w:rPr>
          <w:rStyle w:val="AERbody"/>
        </w:rPr>
        <w:t xml:space="preserve">ccess </w:t>
      </w:r>
      <w:r w:rsidR="003F55FC">
        <w:rPr>
          <w:rStyle w:val="AERbody"/>
        </w:rPr>
        <w:t>a</w:t>
      </w:r>
      <w:r w:rsidR="008216A9" w:rsidRPr="00854AEE">
        <w:rPr>
          <w:rStyle w:val="AERbody"/>
        </w:rPr>
        <w:t>rrangement</w:t>
      </w:r>
      <w:r w:rsidR="009A73F2" w:rsidRPr="00854AEE">
        <w:rPr>
          <w:rStyle w:val="AERbody"/>
        </w:rPr>
        <w:t xml:space="preserve"> because </w:t>
      </w:r>
      <w:r w:rsidR="00C85F9A" w:rsidRPr="00854AEE">
        <w:rPr>
          <w:rStyle w:val="AERbody"/>
        </w:rPr>
        <w:t>we are not aware of any</w:t>
      </w:r>
      <w:r w:rsidR="00C85F9A" w:rsidRPr="007D1665">
        <w:rPr>
          <w:rStyle w:val="AERbody"/>
        </w:rPr>
        <w:t xml:space="preserve"> </w:t>
      </w:r>
      <w:r w:rsidR="00C85F9A">
        <w:rPr>
          <w:rStyle w:val="AERbody"/>
        </w:rPr>
        <w:t xml:space="preserve">substantive </w:t>
      </w:r>
      <w:r w:rsidR="00C85F9A" w:rsidRPr="007D1665">
        <w:rPr>
          <w:rStyle w:val="AERbody"/>
        </w:rPr>
        <w:t xml:space="preserve">past problems occurring due to </w:t>
      </w:r>
      <w:r w:rsidR="00C85F9A">
        <w:rPr>
          <w:rStyle w:val="AERbody"/>
        </w:rPr>
        <w:t xml:space="preserve">inadequate </w:t>
      </w:r>
      <w:r w:rsidR="00C85F9A" w:rsidRPr="007D1665">
        <w:rPr>
          <w:rStyle w:val="AERbody"/>
        </w:rPr>
        <w:t xml:space="preserve">notifications </w:t>
      </w:r>
      <w:r w:rsidR="00C85F9A">
        <w:rPr>
          <w:rStyle w:val="AERbody"/>
        </w:rPr>
        <w:t>of</w:t>
      </w:r>
      <w:r w:rsidR="00C85F9A" w:rsidRPr="007D1665">
        <w:rPr>
          <w:rStyle w:val="AERbody"/>
        </w:rPr>
        <w:t xml:space="preserve"> tariff assignment. As such we are not convince</w:t>
      </w:r>
      <w:r w:rsidR="00C85F9A">
        <w:rPr>
          <w:rStyle w:val="AERbody"/>
        </w:rPr>
        <w:t>d</w:t>
      </w:r>
      <w:r w:rsidR="00C85F9A" w:rsidRPr="007D1665">
        <w:rPr>
          <w:rStyle w:val="AERbody"/>
        </w:rPr>
        <w:t xml:space="preserve"> that adding additional </w:t>
      </w:r>
      <w:r w:rsidR="00C85F9A">
        <w:rPr>
          <w:rStyle w:val="AERbody"/>
        </w:rPr>
        <w:t>procedures to the</w:t>
      </w:r>
      <w:r w:rsidR="00C85F9A" w:rsidRPr="007D1665">
        <w:rPr>
          <w:rStyle w:val="AERbody"/>
        </w:rPr>
        <w:t xml:space="preserve"> </w:t>
      </w:r>
      <w:r w:rsidR="003F55FC">
        <w:rPr>
          <w:rStyle w:val="AERbody"/>
        </w:rPr>
        <w:t>a</w:t>
      </w:r>
      <w:r w:rsidR="00C85F9A" w:rsidRPr="007D1665">
        <w:rPr>
          <w:rStyle w:val="AERbody"/>
        </w:rPr>
        <w:t xml:space="preserve">ccess </w:t>
      </w:r>
      <w:r w:rsidR="003F55FC">
        <w:rPr>
          <w:rStyle w:val="AERbody"/>
        </w:rPr>
        <w:t>a</w:t>
      </w:r>
      <w:r w:rsidR="00C85F9A" w:rsidRPr="007D1665">
        <w:rPr>
          <w:rStyle w:val="AERbody"/>
        </w:rPr>
        <w:t xml:space="preserve">rrangement will provide any </w:t>
      </w:r>
      <w:r w:rsidR="00C85F9A">
        <w:rPr>
          <w:rStyle w:val="AERbody"/>
        </w:rPr>
        <w:t>tangible</w:t>
      </w:r>
      <w:r w:rsidR="00C85F9A" w:rsidRPr="007D1665">
        <w:rPr>
          <w:rStyle w:val="AERbody"/>
        </w:rPr>
        <w:t xml:space="preserve"> </w:t>
      </w:r>
      <w:r w:rsidR="00C85F9A">
        <w:rPr>
          <w:rStyle w:val="AERbody"/>
        </w:rPr>
        <w:t xml:space="preserve">customer </w:t>
      </w:r>
      <w:r w:rsidR="00C85F9A" w:rsidRPr="007D1665">
        <w:rPr>
          <w:rStyle w:val="AERbody"/>
        </w:rPr>
        <w:t>benefit</w:t>
      </w:r>
      <w:r w:rsidR="00C85F9A">
        <w:rPr>
          <w:rStyle w:val="AERbody"/>
        </w:rPr>
        <w:t>s</w:t>
      </w:r>
      <w:r w:rsidR="00C85F9A" w:rsidRPr="007D1665">
        <w:rPr>
          <w:rStyle w:val="AERbody"/>
        </w:rPr>
        <w:t xml:space="preserve">. </w:t>
      </w:r>
    </w:p>
    <w:p w:rsidR="00F27FD7" w:rsidRPr="007D1665" w:rsidRDefault="008216A9" w:rsidP="007D1665">
      <w:pPr>
        <w:rPr>
          <w:rStyle w:val="AERbody"/>
        </w:rPr>
      </w:pPr>
      <w:r w:rsidRPr="007D1665">
        <w:rPr>
          <w:rStyle w:val="AERbody"/>
        </w:rPr>
        <w:t>Regarding tariff assignment</w:t>
      </w:r>
      <w:r w:rsidR="00C85F9A" w:rsidRPr="00C85F9A">
        <w:rPr>
          <w:rStyle w:val="AERbody"/>
        </w:rPr>
        <w:t xml:space="preserve"> </w:t>
      </w:r>
      <w:r w:rsidR="00C85F9A" w:rsidRPr="007D1665">
        <w:rPr>
          <w:rStyle w:val="AERbody"/>
        </w:rPr>
        <w:t>dispute</w:t>
      </w:r>
      <w:r w:rsidR="00C85F9A">
        <w:rPr>
          <w:rStyle w:val="AERbody"/>
        </w:rPr>
        <w:t>s</w:t>
      </w:r>
      <w:r w:rsidRPr="007D1665">
        <w:rPr>
          <w:rStyle w:val="AERbody"/>
        </w:rPr>
        <w:t xml:space="preserve">, </w:t>
      </w:r>
      <w:r w:rsidR="009A73F2">
        <w:rPr>
          <w:rStyle w:val="AERbody"/>
        </w:rPr>
        <w:t xml:space="preserve">we consider that </w:t>
      </w:r>
      <w:r w:rsidR="007D1665">
        <w:rPr>
          <w:rStyle w:val="AERbody"/>
        </w:rPr>
        <w:t xml:space="preserve">there </w:t>
      </w:r>
      <w:r w:rsidRPr="007D1665">
        <w:rPr>
          <w:rStyle w:val="AERbody"/>
        </w:rPr>
        <w:t xml:space="preserve">are sufficient mechanisms which would apply to </w:t>
      </w:r>
      <w:r w:rsidR="00BD2A5A">
        <w:rPr>
          <w:rStyle w:val="AERbody"/>
        </w:rPr>
        <w:t>a</w:t>
      </w:r>
      <w:r w:rsidRPr="007D1665">
        <w:rPr>
          <w:rStyle w:val="AERbody"/>
        </w:rPr>
        <w:t xml:space="preserve">ccess </w:t>
      </w:r>
      <w:r w:rsidR="00BD2A5A">
        <w:rPr>
          <w:rStyle w:val="AERbody"/>
        </w:rPr>
        <w:t>a</w:t>
      </w:r>
      <w:r w:rsidRPr="007D1665">
        <w:rPr>
          <w:rStyle w:val="AERbody"/>
        </w:rPr>
        <w:t>rrangement disputes under the NGL and NGR, or those mechanisms that apply to payment disputes under the Retail Service Agreement or the NGR.</w:t>
      </w:r>
      <w:r w:rsidR="007D1665">
        <w:rPr>
          <w:rStyle w:val="FootnoteReference"/>
        </w:rPr>
        <w:footnoteReference w:id="60"/>
      </w:r>
      <w:r w:rsidRPr="007D1665">
        <w:rPr>
          <w:rStyle w:val="AERbody"/>
        </w:rPr>
        <w:t xml:space="preserve"> </w:t>
      </w:r>
    </w:p>
    <w:p w:rsidR="00F27FD7" w:rsidRDefault="00F27FD7" w:rsidP="00F27FD7">
      <w:pPr>
        <w:pStyle w:val="Heading3"/>
      </w:pPr>
      <w:bookmarkStart w:id="16" w:name="_Toc404173782"/>
      <w:r w:rsidRPr="00F27FD7">
        <w:t>Introduction and withdrawal of reference tariffs</w:t>
      </w:r>
      <w:bookmarkEnd w:id="16"/>
    </w:p>
    <w:p w:rsidR="00F27FD7" w:rsidRDefault="00F27FD7" w:rsidP="00F27FD7">
      <w:pPr>
        <w:pStyle w:val="AERbodytext"/>
      </w:pPr>
      <w:r>
        <w:t xml:space="preserve">We </w:t>
      </w:r>
      <w:r w:rsidR="00351732">
        <w:t xml:space="preserve">do not </w:t>
      </w:r>
      <w:r w:rsidR="00705F01">
        <w:t xml:space="preserve">approve </w:t>
      </w:r>
      <w:r>
        <w:t xml:space="preserve">the introduction or withdrawal of haulage reference tariffs through the tariff variation mechanism because </w:t>
      </w:r>
      <w:r w:rsidR="00410517">
        <w:t xml:space="preserve">we are not satisfied that </w:t>
      </w:r>
      <w:r>
        <w:t>it is in accordance with NGR.</w:t>
      </w:r>
      <w:r>
        <w:rPr>
          <w:rStyle w:val="FootnoteReference"/>
        </w:rPr>
        <w:footnoteReference w:id="61"/>
      </w:r>
      <w:r>
        <w:t xml:space="preserve"> We consider that the introduction or withdrawal or haulage reference tariffs should be conducted via r. 65 of the NGR.</w:t>
      </w:r>
    </w:p>
    <w:p w:rsidR="00E95DF8" w:rsidRDefault="00933484" w:rsidP="00404222">
      <w:pPr>
        <w:pStyle w:val="AERbodytext"/>
        <w:numPr>
          <w:ilvl w:val="0"/>
          <w:numId w:val="0"/>
        </w:numPr>
      </w:pPr>
      <w:r>
        <w:t>R</w:t>
      </w:r>
      <w:r w:rsidR="00F27FD7" w:rsidRPr="00F27FD7">
        <w:t>eference tariffs</w:t>
      </w:r>
      <w:r w:rsidR="009D02E8">
        <w:t>—what customers actually pay—</w:t>
      </w:r>
      <w:r w:rsidR="00F27FD7" w:rsidRPr="00F27FD7">
        <w:t xml:space="preserve"> </w:t>
      </w:r>
      <w:r w:rsidR="00C277B2">
        <w:t>are</w:t>
      </w:r>
      <w:r w:rsidR="00C277B2" w:rsidRPr="00F27FD7">
        <w:t xml:space="preserve"> </w:t>
      </w:r>
      <w:r w:rsidR="00F27FD7" w:rsidRPr="00F27FD7">
        <w:t>a fundamental</w:t>
      </w:r>
      <w:r w:rsidR="00F27FD7">
        <w:t xml:space="preserve"> </w:t>
      </w:r>
      <w:r w:rsidR="00F27FD7" w:rsidRPr="00F27FD7">
        <w:t>feature of an</w:t>
      </w:r>
      <w:r w:rsidR="009D02E8">
        <w:t>y</w:t>
      </w:r>
      <w:r w:rsidR="00F27FD7" w:rsidRPr="00F27FD7">
        <w:t xml:space="preserve"> </w:t>
      </w:r>
      <w:r w:rsidR="003F55FC">
        <w:t>a</w:t>
      </w:r>
      <w:r w:rsidR="00F27FD7" w:rsidRPr="00F27FD7">
        <w:t xml:space="preserve">ccess </w:t>
      </w:r>
      <w:r w:rsidR="003F55FC">
        <w:t>a</w:t>
      </w:r>
      <w:r w:rsidR="00F27FD7" w:rsidRPr="00F27FD7">
        <w:t>rrangement</w:t>
      </w:r>
      <w:r w:rsidR="00410517">
        <w:t>. Therefore,</w:t>
      </w:r>
      <w:r w:rsidR="009D02E8">
        <w:t xml:space="preserve"> any</w:t>
      </w:r>
      <w:r w:rsidR="00F27FD7" w:rsidRPr="00F27FD7">
        <w:t xml:space="preserve"> and changes to these over the </w:t>
      </w:r>
      <w:r w:rsidR="003F55FC">
        <w:t>a</w:t>
      </w:r>
      <w:r w:rsidR="00F27FD7" w:rsidRPr="00F27FD7">
        <w:t>ccess</w:t>
      </w:r>
      <w:r w:rsidR="00F27FD7">
        <w:t xml:space="preserve"> </w:t>
      </w:r>
      <w:r w:rsidR="003F55FC">
        <w:t>a</w:t>
      </w:r>
      <w:r w:rsidR="00F27FD7" w:rsidRPr="00F27FD7">
        <w:t xml:space="preserve">rrangement period warrant </w:t>
      </w:r>
      <w:r w:rsidR="00404222">
        <w:t xml:space="preserve">our further </w:t>
      </w:r>
      <w:r w:rsidR="00F27FD7" w:rsidRPr="00F27FD7">
        <w:t>consideration and review.</w:t>
      </w:r>
      <w:r w:rsidR="00404222">
        <w:t xml:space="preserve"> Foremost </w:t>
      </w:r>
      <w:r w:rsidR="00F27FD7" w:rsidRPr="00F27FD7">
        <w:t>any new reference tariffs</w:t>
      </w:r>
      <w:r w:rsidR="00F27FD7">
        <w:t xml:space="preserve"> </w:t>
      </w:r>
      <w:r w:rsidR="00F27FD7" w:rsidRPr="00F27FD7">
        <w:t xml:space="preserve">proposed </w:t>
      </w:r>
      <w:r w:rsidR="00404222">
        <w:t>must</w:t>
      </w:r>
      <w:r w:rsidR="00F27FD7" w:rsidRPr="00F27FD7">
        <w:t xml:space="preserve"> comply with the requirements of the NGR</w:t>
      </w:r>
      <w:r w:rsidR="00410517">
        <w:t>. These rules</w:t>
      </w:r>
      <w:r w:rsidR="00F27FD7" w:rsidRPr="00F27FD7">
        <w:t xml:space="preserve"> requires that the total revenue calculated</w:t>
      </w:r>
      <w:r w:rsidR="00F27FD7">
        <w:t xml:space="preserve"> </w:t>
      </w:r>
      <w:r w:rsidR="00F27FD7" w:rsidRPr="00F27FD7">
        <w:t>using the building blocks equals the present value of expected revenue over the terms</w:t>
      </w:r>
      <w:r w:rsidR="00F27FD7">
        <w:t xml:space="preserve"> </w:t>
      </w:r>
      <w:r w:rsidR="00F27FD7" w:rsidRPr="00F27FD7">
        <w:t>of the access arrangement period.</w:t>
      </w:r>
      <w:r w:rsidR="00410517">
        <w:rPr>
          <w:rStyle w:val="FootnoteReference"/>
        </w:rPr>
        <w:footnoteReference w:id="62"/>
      </w:r>
      <w:r w:rsidR="00F27FD7" w:rsidRPr="00F27FD7">
        <w:t xml:space="preserve"> </w:t>
      </w:r>
      <w:r w:rsidR="00410517">
        <w:t>W</w:t>
      </w:r>
      <w:r w:rsidR="0018578C">
        <w:t xml:space="preserve">e </w:t>
      </w:r>
      <w:r w:rsidR="00E95DF8">
        <w:t xml:space="preserve">have approved </w:t>
      </w:r>
      <w:r w:rsidR="00410517">
        <w:t xml:space="preserve">somewhat </w:t>
      </w:r>
      <w:r w:rsidR="00E95DF8">
        <w:t>similar clauses for</w:t>
      </w:r>
      <w:r w:rsidR="0018578C">
        <w:t xml:space="preserve"> Victorian services providers</w:t>
      </w:r>
      <w:r w:rsidR="00410517">
        <w:t>. However,</w:t>
      </w:r>
      <w:r w:rsidR="0018578C">
        <w:t xml:space="preserve"> we consider that the level of discretion afforded to Victorian services providers </w:t>
      </w:r>
      <w:r w:rsidR="00410517">
        <w:t>is</w:t>
      </w:r>
      <w:r w:rsidR="0018578C">
        <w:t xml:space="preserve"> not as extensive as JGN</w:t>
      </w:r>
      <w:r w:rsidR="004005EB">
        <w:t>'s proposal</w:t>
      </w:r>
      <w:r w:rsidR="0018578C">
        <w:t xml:space="preserve">. </w:t>
      </w:r>
    </w:p>
    <w:p w:rsidR="00F27FD7" w:rsidRDefault="00404222" w:rsidP="00404222">
      <w:pPr>
        <w:pStyle w:val="AERbodytext"/>
        <w:numPr>
          <w:ilvl w:val="0"/>
          <w:numId w:val="0"/>
        </w:numPr>
      </w:pPr>
      <w:r>
        <w:t>Consequently</w:t>
      </w:r>
      <w:r w:rsidR="00F27FD7" w:rsidRPr="00F27FD7">
        <w:t xml:space="preserve">, </w:t>
      </w:r>
      <w:r w:rsidR="0018578C">
        <w:t xml:space="preserve">we consider that </w:t>
      </w:r>
      <w:r w:rsidR="00F27FD7" w:rsidRPr="00F27FD7">
        <w:t>the impact of the removal or</w:t>
      </w:r>
      <w:r w:rsidR="00F27FD7">
        <w:t xml:space="preserve"> </w:t>
      </w:r>
      <w:r w:rsidR="00F27FD7" w:rsidRPr="00F27FD7">
        <w:t xml:space="preserve">inclusion of reference tariffs on expected revenue needs to be reviewed. </w:t>
      </w:r>
      <w:r>
        <w:t xml:space="preserve">Additionally, </w:t>
      </w:r>
      <w:r w:rsidR="00F27FD7" w:rsidRPr="00F27FD7">
        <w:t xml:space="preserve">JGN </w:t>
      </w:r>
      <w:r>
        <w:t>has</w:t>
      </w:r>
      <w:r w:rsidR="00F27FD7" w:rsidRPr="00F27FD7">
        <w:t xml:space="preserve"> not demonstrate</w:t>
      </w:r>
      <w:r>
        <w:t>d</w:t>
      </w:r>
      <w:r w:rsidR="00F27FD7" w:rsidRPr="00F27FD7">
        <w:t xml:space="preserve"> that the tariff structure (due to the</w:t>
      </w:r>
      <w:r w:rsidR="00F27FD7">
        <w:t xml:space="preserve"> </w:t>
      </w:r>
      <w:r w:rsidR="00F27FD7" w:rsidRPr="00F27FD7">
        <w:t>inclusion or withdrawal of tariffs) will result in an</w:t>
      </w:r>
      <w:r w:rsidR="00F27FD7">
        <w:t xml:space="preserve"> efficient tariff structure.</w:t>
      </w:r>
      <w:r>
        <w:t xml:space="preserve"> </w:t>
      </w:r>
      <w:r w:rsidRPr="00404222">
        <w:t xml:space="preserve">Therefore, </w:t>
      </w:r>
      <w:r>
        <w:t xml:space="preserve">we </w:t>
      </w:r>
      <w:r w:rsidRPr="00404222">
        <w:t>consider</w:t>
      </w:r>
      <w:r>
        <w:t xml:space="preserve"> that the proposed ability for JGN to </w:t>
      </w:r>
      <w:r w:rsidRPr="00404222">
        <w:t xml:space="preserve">introduce and </w:t>
      </w:r>
      <w:r w:rsidR="0018578C">
        <w:t>withdraw tariffs must be limited</w:t>
      </w:r>
      <w:r w:rsidR="00351732">
        <w:t xml:space="preserve"> </w:t>
      </w:r>
      <w:r w:rsidR="00DA76E6">
        <w:t>– see</w:t>
      </w:r>
      <w:r w:rsidR="0018578C">
        <w:t xml:space="preserve"> </w:t>
      </w:r>
      <w:r w:rsidR="003B6BFA">
        <w:t>revision 10.1</w:t>
      </w:r>
      <w:r w:rsidR="008E630D">
        <w:t xml:space="preserve"> below</w:t>
      </w:r>
      <w:r w:rsidRPr="00404222">
        <w:t>.</w:t>
      </w:r>
    </w:p>
    <w:p w:rsidR="00CF6994" w:rsidRDefault="00CF6994" w:rsidP="00CF6994">
      <w:pPr>
        <w:pStyle w:val="Heading3"/>
      </w:pPr>
      <w:bookmarkStart w:id="17" w:name="_Toc404173783"/>
      <w:r>
        <w:t>Prudent discount</w:t>
      </w:r>
      <w:bookmarkEnd w:id="17"/>
    </w:p>
    <w:p w:rsidR="00D85B90" w:rsidRDefault="00D85B90" w:rsidP="00D85B90">
      <w:pPr>
        <w:pStyle w:val="AERbodytext"/>
      </w:pPr>
      <w:r>
        <w:t xml:space="preserve">We consider that </w:t>
      </w:r>
      <w:r w:rsidRPr="00D85B90">
        <w:t>the prudent discount</w:t>
      </w:r>
      <w:r>
        <w:rPr>
          <w:rStyle w:val="FootnoteReference"/>
        </w:rPr>
        <w:footnoteReference w:id="63"/>
      </w:r>
      <w:r w:rsidRPr="00D85B90">
        <w:t xml:space="preserve"> </w:t>
      </w:r>
      <w:r>
        <w:t>JGN</w:t>
      </w:r>
      <w:r w:rsidRPr="00D85B90">
        <w:t xml:space="preserve"> currently </w:t>
      </w:r>
      <w:r w:rsidR="00DA76E6">
        <w:t>offers</w:t>
      </w:r>
      <w:r w:rsidR="00DA76E6" w:rsidRPr="00D85B90">
        <w:t xml:space="preserve"> </w:t>
      </w:r>
      <w:r w:rsidR="00DA76E6">
        <w:t>is</w:t>
      </w:r>
      <w:r w:rsidR="00DA76E6" w:rsidRPr="00D85B90">
        <w:t xml:space="preserve"> </w:t>
      </w:r>
      <w:r w:rsidRPr="00D85B90">
        <w:t xml:space="preserve">necessary to respond to competition from other providers of pipeline services or alternative energy sources and </w:t>
      </w:r>
      <w:r w:rsidR="00DA76E6">
        <w:t>to ensure the ongoing</w:t>
      </w:r>
      <w:r w:rsidR="00D60821">
        <w:t xml:space="preserve"> </w:t>
      </w:r>
      <w:r w:rsidRPr="00D85B90">
        <w:t xml:space="preserve">efficient use of </w:t>
      </w:r>
      <w:r w:rsidR="00DA76E6">
        <w:t>its</w:t>
      </w:r>
      <w:r w:rsidR="00DA76E6" w:rsidRPr="00D85B90">
        <w:t xml:space="preserve"> </w:t>
      </w:r>
      <w:r w:rsidRPr="00D85B90">
        <w:t>pipeline. Further, J</w:t>
      </w:r>
      <w:r>
        <w:t>GN</w:t>
      </w:r>
      <w:r w:rsidRPr="00D85B90">
        <w:t xml:space="preserve"> has demonstrated that the negotiated revenue from each prudent discount services</w:t>
      </w:r>
      <w:r w:rsidR="00DA76E6">
        <w:t xml:space="preserve"> exceeds</w:t>
      </w:r>
      <w:r w:rsidRPr="00D85B90">
        <w:t xml:space="preserve"> the estimate of the avoidable costs. Without </w:t>
      </w:r>
      <w:r w:rsidR="005E56FE">
        <w:t>a</w:t>
      </w:r>
      <w:r w:rsidR="005E56FE" w:rsidRPr="00D85B90">
        <w:t xml:space="preserve"> </w:t>
      </w:r>
      <w:r w:rsidRPr="00D85B90">
        <w:t>prudent discount</w:t>
      </w:r>
      <w:r w:rsidR="005E56FE">
        <w:t xml:space="preserve"> a custo</w:t>
      </w:r>
      <w:r w:rsidR="00D60821">
        <w:t>m</w:t>
      </w:r>
      <w:r w:rsidR="005E56FE">
        <w:t>er may by-pass the netw</w:t>
      </w:r>
      <w:r w:rsidR="00D60821">
        <w:t>o</w:t>
      </w:r>
      <w:r w:rsidR="005E56FE">
        <w:t>rk with the consequence that</w:t>
      </w:r>
      <w:r w:rsidR="005E56FE" w:rsidRPr="00D85B90">
        <w:t xml:space="preserve"> </w:t>
      </w:r>
      <w:r w:rsidRPr="00D85B90">
        <w:t xml:space="preserve">tariffs would be higher for </w:t>
      </w:r>
      <w:r w:rsidRPr="00D60821">
        <w:rPr>
          <w:rStyle w:val="AERtextitalic"/>
        </w:rPr>
        <w:t>all</w:t>
      </w:r>
      <w:r w:rsidRPr="00D85B90">
        <w:t xml:space="preserve"> </w:t>
      </w:r>
      <w:r w:rsidR="00DA76E6">
        <w:t>rema</w:t>
      </w:r>
      <w:r w:rsidR="00D60821">
        <w:t>i</w:t>
      </w:r>
      <w:r w:rsidR="00DA76E6">
        <w:t>ning</w:t>
      </w:r>
      <w:r w:rsidR="00DA76E6" w:rsidRPr="00D85B90">
        <w:t xml:space="preserve"> </w:t>
      </w:r>
      <w:r w:rsidRPr="00D85B90">
        <w:t>users</w:t>
      </w:r>
      <w:r w:rsidR="004005EB">
        <w:t>.</w:t>
      </w:r>
      <w:r w:rsidRPr="00D85B90">
        <w:t xml:space="preserve"> </w:t>
      </w:r>
      <w:r w:rsidR="004005EB">
        <w:t>T</w:t>
      </w:r>
      <w:r w:rsidRPr="00D85B90">
        <w:t xml:space="preserve">herefore </w:t>
      </w:r>
      <w:r w:rsidR="004005EB">
        <w:t xml:space="preserve">we are satisfied that </w:t>
      </w:r>
      <w:r w:rsidRPr="00D85B90">
        <w:t>the proposed prudent discounts are consistent with of the NGR.</w:t>
      </w:r>
      <w:r w:rsidR="00D60821">
        <w:rPr>
          <w:rStyle w:val="FootnoteReference"/>
        </w:rPr>
        <w:footnoteReference w:id="64"/>
      </w:r>
    </w:p>
    <w:p w:rsidR="00D85B90" w:rsidRDefault="00D85B90" w:rsidP="009C17AC">
      <w:r w:rsidRPr="00D85B90">
        <w:t>J</w:t>
      </w:r>
      <w:r>
        <w:t xml:space="preserve">GN </w:t>
      </w:r>
      <w:r w:rsidR="005E56FE">
        <w:t>wants to contin</w:t>
      </w:r>
      <w:r w:rsidR="00D60821">
        <w:t>u</w:t>
      </w:r>
      <w:r w:rsidR="005E56FE">
        <w:t xml:space="preserve">e with the three pre-existing </w:t>
      </w:r>
      <w:r>
        <w:t xml:space="preserve">prudent discounts </w:t>
      </w:r>
      <w:r w:rsidRPr="00D85B90">
        <w:t>during the next access arrangement. For each current prudent discount J</w:t>
      </w:r>
      <w:r>
        <w:t>GN</w:t>
      </w:r>
      <w:r w:rsidRPr="00D85B90">
        <w:t xml:space="preserve"> provide</w:t>
      </w:r>
      <w:r>
        <w:t>d</w:t>
      </w:r>
      <w:r w:rsidRPr="00D85B90">
        <w:t xml:space="preserve"> justification, and why the discount is </w:t>
      </w:r>
      <w:r w:rsidRPr="00D85B90">
        <w:lastRenderedPageBreak/>
        <w:t>necessary to respond to competition or maintain efficient use of the pipeline.</w:t>
      </w:r>
      <w:r>
        <w:rPr>
          <w:rStyle w:val="FootnoteReference"/>
        </w:rPr>
        <w:footnoteReference w:id="65"/>
      </w:r>
      <w:r w:rsidR="004005EB">
        <w:t xml:space="preserve"> We </w:t>
      </w:r>
      <w:r w:rsidR="00705F01">
        <w:t xml:space="preserve">approve </w:t>
      </w:r>
      <w:r w:rsidR="004005EB">
        <w:t>JGN's proposal to continue with the existing discounts.</w:t>
      </w:r>
    </w:p>
    <w:p w:rsidR="00291950" w:rsidRPr="008476D1" w:rsidRDefault="00291950" w:rsidP="00291950">
      <w:pPr>
        <w:pStyle w:val="Heading3"/>
      </w:pPr>
      <w:bookmarkStart w:id="18" w:name="_Toc334608555"/>
      <w:bookmarkStart w:id="19" w:name="_Toc334608791"/>
      <w:bookmarkStart w:id="20" w:name="_Toc404173784"/>
      <w:r w:rsidRPr="008476D1">
        <w:t>Revisions</w:t>
      </w:r>
      <w:bookmarkEnd w:id="18"/>
      <w:bookmarkEnd w:id="19"/>
      <w:bookmarkEnd w:id="20"/>
    </w:p>
    <w:p w:rsidR="00291950" w:rsidRPr="008476D1" w:rsidRDefault="00291950" w:rsidP="00291950">
      <w:pPr>
        <w:pStyle w:val="AERbodytext"/>
      </w:pPr>
      <w:r>
        <w:t xml:space="preserve">We </w:t>
      </w:r>
      <w:r w:rsidRPr="008476D1">
        <w:t>require the following revisions to make the access arrangement proposal acceptable:</w:t>
      </w:r>
    </w:p>
    <w:p w:rsidR="00291950" w:rsidRDefault="00291950" w:rsidP="00291950">
      <w:pPr>
        <w:pStyle w:val="AERrevisionbox"/>
        <w:rPr>
          <w:rStyle w:val="AERtextbold"/>
        </w:rPr>
      </w:pPr>
      <w:bookmarkStart w:id="21" w:name="_Ref403742744"/>
      <w:r w:rsidRPr="001E1E37">
        <w:rPr>
          <w:rStyle w:val="AERtextbold"/>
        </w:rPr>
        <w:t xml:space="preserve">Revision </w:t>
      </w:r>
      <w:r w:rsidR="006962A0">
        <w:rPr>
          <w:rStyle w:val="AERtextbold"/>
        </w:rPr>
        <w:t>1</w:t>
      </w:r>
      <w:r w:rsidR="00C122F8">
        <w:rPr>
          <w:rStyle w:val="AERtextbold"/>
        </w:rPr>
        <w:t>0.1</w:t>
      </w:r>
      <w:r w:rsidRPr="00467A59">
        <w:rPr>
          <w:rStyle w:val="AERtextbold"/>
        </w:rPr>
        <w:t xml:space="preserve">: </w:t>
      </w:r>
      <w:r>
        <w:rPr>
          <w:rStyle w:val="AERtextbold"/>
        </w:rPr>
        <w:t>Section 3.</w:t>
      </w:r>
      <w:r w:rsidR="009E0833">
        <w:rPr>
          <w:rStyle w:val="AERtextbold"/>
        </w:rPr>
        <w:t>1</w:t>
      </w:r>
      <w:r>
        <w:rPr>
          <w:rStyle w:val="AERtextbold"/>
        </w:rPr>
        <w:t xml:space="preserve"> (b) of the </w:t>
      </w:r>
      <w:r w:rsidR="00BD2A5A">
        <w:rPr>
          <w:rStyle w:val="AERtextbold"/>
        </w:rPr>
        <w:t>a</w:t>
      </w:r>
      <w:r>
        <w:rPr>
          <w:rStyle w:val="AERtextbold"/>
        </w:rPr>
        <w:t>ssess arrangement proposal:</w:t>
      </w:r>
      <w:bookmarkEnd w:id="21"/>
    </w:p>
    <w:p w:rsidR="00291950" w:rsidRPr="009E0833" w:rsidRDefault="009E0833" w:rsidP="00291950">
      <w:pPr>
        <w:pStyle w:val="AERrevisionbox"/>
        <w:rPr>
          <w:rStyle w:val="AERtextbold"/>
          <w:b w:val="0"/>
        </w:rPr>
      </w:pPr>
      <w:r>
        <w:rPr>
          <w:rStyle w:val="AERtextbold"/>
        </w:rPr>
        <w:t>Delete clause 3.1(b) and replace it with</w:t>
      </w:r>
      <w:r w:rsidR="00291950">
        <w:rPr>
          <w:rStyle w:val="AERtextbold"/>
        </w:rPr>
        <w:t>:</w:t>
      </w:r>
      <w:r>
        <w:rPr>
          <w:rStyle w:val="AERtextbold"/>
        </w:rPr>
        <w:t xml:space="preserve"> </w:t>
      </w:r>
    </w:p>
    <w:p w:rsidR="009E0833" w:rsidRDefault="009E0833" w:rsidP="009E0833">
      <w:pPr>
        <w:pStyle w:val="AERrevisionbox"/>
        <w:numPr>
          <w:ilvl w:val="0"/>
          <w:numId w:val="0"/>
        </w:numPr>
        <w:rPr>
          <w:rStyle w:val="AERbody"/>
        </w:rPr>
      </w:pPr>
      <w:r>
        <w:rPr>
          <w:rStyle w:val="AERbody"/>
        </w:rPr>
        <w:t>Clause 3.1(b</w:t>
      </w:r>
      <w:proofErr w:type="gramStart"/>
      <w:r>
        <w:rPr>
          <w:rStyle w:val="AERbody"/>
        </w:rPr>
        <w:t>)(</w:t>
      </w:r>
      <w:proofErr w:type="gramEnd"/>
      <w:r>
        <w:rPr>
          <w:rStyle w:val="AERbody"/>
        </w:rPr>
        <w:t xml:space="preserve">v): The Service Provider may vary an existing Reference Tariff for application to Users at any time during the Access Arrangement period in accordance with clause 3 and the approval of the AER. Such Variation may be affected to: </w:t>
      </w:r>
    </w:p>
    <w:p w:rsidR="009E0833" w:rsidRDefault="009E0833" w:rsidP="009E0833">
      <w:pPr>
        <w:pStyle w:val="AERrevisionbox"/>
        <w:numPr>
          <w:ilvl w:val="0"/>
          <w:numId w:val="0"/>
        </w:numPr>
        <w:rPr>
          <w:rStyle w:val="AERbody"/>
        </w:rPr>
      </w:pPr>
      <w:r>
        <w:rPr>
          <w:rStyle w:val="AERbody"/>
        </w:rPr>
        <w:t>(</w:t>
      </w:r>
      <w:proofErr w:type="spellStart"/>
      <w:r>
        <w:rPr>
          <w:rStyle w:val="AERbody"/>
        </w:rPr>
        <w:t>i</w:t>
      </w:r>
      <w:proofErr w:type="spellEnd"/>
      <w:r>
        <w:rPr>
          <w:rStyle w:val="AERbody"/>
        </w:rPr>
        <w:t>)</w:t>
      </w:r>
      <w:r w:rsidR="0031732A">
        <w:rPr>
          <w:rStyle w:val="AERbody"/>
        </w:rPr>
        <w:tab/>
      </w:r>
      <w:r>
        <w:rPr>
          <w:rStyle w:val="AERbody"/>
        </w:rPr>
        <w:t>Reference Tariff components, elements or variables comprised within any Reference Tariff;</w:t>
      </w:r>
    </w:p>
    <w:p w:rsidR="009E0833" w:rsidRDefault="0031732A" w:rsidP="009E0833">
      <w:pPr>
        <w:pStyle w:val="AERrevisionbox"/>
        <w:numPr>
          <w:ilvl w:val="0"/>
          <w:numId w:val="0"/>
        </w:numPr>
        <w:rPr>
          <w:rStyle w:val="AERbody"/>
        </w:rPr>
      </w:pPr>
      <w:r>
        <w:rPr>
          <w:rStyle w:val="AERbody"/>
        </w:rPr>
        <w:t>(ii)</w:t>
      </w:r>
      <w:r>
        <w:rPr>
          <w:rStyle w:val="AERbody"/>
        </w:rPr>
        <w:tab/>
      </w:r>
      <w:r w:rsidR="009E0833">
        <w:rPr>
          <w:rStyle w:val="AERbody"/>
        </w:rPr>
        <w:t>The intr</w:t>
      </w:r>
      <w:r>
        <w:rPr>
          <w:rStyle w:val="AERbody"/>
        </w:rPr>
        <w:t>odu</w:t>
      </w:r>
      <w:r w:rsidR="009E0833">
        <w:rPr>
          <w:rStyle w:val="AERbody"/>
        </w:rPr>
        <w:t>ction of a new Reference Tariff (to apply in place of any pre</w:t>
      </w:r>
      <w:r w:rsidR="00D60821">
        <w:rPr>
          <w:rStyle w:val="AERbody"/>
        </w:rPr>
        <w:t>-</w:t>
      </w:r>
      <w:r w:rsidR="009E0833">
        <w:rPr>
          <w:rStyle w:val="AERbody"/>
        </w:rPr>
        <w:t>existing Ref</w:t>
      </w:r>
      <w:r>
        <w:rPr>
          <w:rStyle w:val="AERbody"/>
        </w:rPr>
        <w:t>e</w:t>
      </w:r>
      <w:r w:rsidR="009E0833">
        <w:rPr>
          <w:rStyle w:val="AERbody"/>
        </w:rPr>
        <w:t>rence Tariff);</w:t>
      </w:r>
    </w:p>
    <w:p w:rsidR="009E0833" w:rsidRDefault="0031732A" w:rsidP="009E0833">
      <w:pPr>
        <w:pStyle w:val="AERrevisionbox"/>
        <w:numPr>
          <w:ilvl w:val="0"/>
          <w:numId w:val="0"/>
        </w:numPr>
        <w:rPr>
          <w:rStyle w:val="AERbody"/>
        </w:rPr>
      </w:pPr>
      <w:r>
        <w:rPr>
          <w:rStyle w:val="AERbody"/>
        </w:rPr>
        <w:t>(iii)</w:t>
      </w:r>
      <w:r>
        <w:rPr>
          <w:rStyle w:val="AERbody"/>
        </w:rPr>
        <w:tab/>
      </w:r>
      <w:r w:rsidR="009E0833">
        <w:rPr>
          <w:rStyle w:val="AERbody"/>
        </w:rPr>
        <w:t xml:space="preserve">The withdrawal of any Reference Tariff; or </w:t>
      </w:r>
    </w:p>
    <w:p w:rsidR="009E0833" w:rsidRDefault="0031732A" w:rsidP="009E0833">
      <w:pPr>
        <w:pStyle w:val="AERrevisionbox"/>
        <w:numPr>
          <w:ilvl w:val="0"/>
          <w:numId w:val="0"/>
        </w:numPr>
        <w:rPr>
          <w:rStyle w:val="AERbody"/>
        </w:rPr>
      </w:pPr>
      <w:proofErr w:type="gramStart"/>
      <w:r>
        <w:rPr>
          <w:rStyle w:val="AERbody"/>
        </w:rPr>
        <w:t>(iv)</w:t>
      </w:r>
      <w:r>
        <w:rPr>
          <w:rStyle w:val="AERbody"/>
        </w:rPr>
        <w:tab/>
      </w:r>
      <w:r w:rsidR="009E0833">
        <w:rPr>
          <w:rStyle w:val="AERbody"/>
        </w:rPr>
        <w:t>Any</w:t>
      </w:r>
      <w:proofErr w:type="gramEnd"/>
      <w:r w:rsidR="009E0833">
        <w:rPr>
          <w:rStyle w:val="AERbody"/>
        </w:rPr>
        <w:t xml:space="preserve"> combination of these changes.</w:t>
      </w:r>
    </w:p>
    <w:p w:rsidR="006962A0" w:rsidRDefault="006962A0" w:rsidP="006962A0">
      <w:pPr>
        <w:pStyle w:val="AERrevisionbox"/>
        <w:rPr>
          <w:rStyle w:val="AERtextbold"/>
        </w:rPr>
      </w:pPr>
      <w:r w:rsidRPr="001E1E37">
        <w:rPr>
          <w:rStyle w:val="AERtextbold"/>
        </w:rPr>
        <w:t xml:space="preserve">Revision </w:t>
      </w:r>
      <w:r w:rsidR="00C122F8">
        <w:rPr>
          <w:rStyle w:val="AERtextbold"/>
        </w:rPr>
        <w:t>10.2</w:t>
      </w:r>
      <w:r w:rsidRPr="00467A59">
        <w:rPr>
          <w:rStyle w:val="AERtextbold"/>
        </w:rPr>
        <w:t xml:space="preserve">: </w:t>
      </w:r>
      <w:r>
        <w:rPr>
          <w:rStyle w:val="AERtextbold"/>
        </w:rPr>
        <w:t>Schedule 2 of the Assess arrangement proposal:</w:t>
      </w:r>
    </w:p>
    <w:p w:rsidR="009E0833" w:rsidRDefault="006962A0" w:rsidP="009E0833">
      <w:pPr>
        <w:pStyle w:val="AERrevisionbox"/>
        <w:numPr>
          <w:ilvl w:val="0"/>
          <w:numId w:val="0"/>
        </w:numPr>
        <w:rPr>
          <w:rStyle w:val="AERbody"/>
        </w:rPr>
      </w:pPr>
      <w:r w:rsidRPr="006962A0">
        <w:rPr>
          <w:rStyle w:val="AERbody"/>
        </w:rPr>
        <w:t xml:space="preserve">Amend </w:t>
      </w:r>
      <w:r>
        <w:rPr>
          <w:rStyle w:val="AERbody"/>
        </w:rPr>
        <w:t xml:space="preserve">Schedule 2 section 4 </w:t>
      </w:r>
      <w:r w:rsidRPr="006962A0">
        <w:rPr>
          <w:rStyle w:val="AERbody"/>
        </w:rPr>
        <w:t xml:space="preserve">of the </w:t>
      </w:r>
      <w:r w:rsidR="00C122F8">
        <w:rPr>
          <w:rStyle w:val="AERbody"/>
        </w:rPr>
        <w:t>A</w:t>
      </w:r>
      <w:r w:rsidRPr="006962A0">
        <w:rPr>
          <w:rStyle w:val="AERbody"/>
        </w:rPr>
        <w:t xml:space="preserve">ccess </w:t>
      </w:r>
      <w:r w:rsidR="00C122F8">
        <w:rPr>
          <w:rStyle w:val="AERbody"/>
        </w:rPr>
        <w:t>A</w:t>
      </w:r>
      <w:r w:rsidRPr="006962A0">
        <w:rPr>
          <w:rStyle w:val="AERbody"/>
        </w:rPr>
        <w:t xml:space="preserve">rrangement proposal as indicated in revision </w:t>
      </w:r>
      <w:r w:rsidR="00C122F8">
        <w:rPr>
          <w:rStyle w:val="AERbody"/>
        </w:rPr>
        <w:t>11.9</w:t>
      </w:r>
      <w:r w:rsidRPr="006962A0">
        <w:rPr>
          <w:rStyle w:val="AERbody"/>
        </w:rPr>
        <w:t xml:space="preserve"> of </w:t>
      </w:r>
      <w:r>
        <w:rPr>
          <w:rStyle w:val="AERbody"/>
        </w:rPr>
        <w:t xml:space="preserve">the tariff variation mechanism </w:t>
      </w:r>
      <w:r w:rsidRPr="006962A0">
        <w:rPr>
          <w:rStyle w:val="AERbody"/>
        </w:rPr>
        <w:t>attachmen</w:t>
      </w:r>
      <w:r>
        <w:rPr>
          <w:rStyle w:val="AERbody"/>
        </w:rPr>
        <w:t>t.</w:t>
      </w:r>
    </w:p>
    <w:sectPr w:rsidR="009E0833" w:rsidSect="003D1269">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010" w:rsidRPr="00AB4345" w:rsidRDefault="00CD1010" w:rsidP="00AB4345">
      <w:r>
        <w:separator/>
      </w:r>
    </w:p>
  </w:endnote>
  <w:endnote w:type="continuationSeparator" w:id="0">
    <w:p w:rsidR="00CD1010" w:rsidRPr="00AB4345" w:rsidRDefault="00CD1010"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CD1010" w:rsidRPr="00824CC8" w:rsidRDefault="00CD1010" w:rsidP="00824CC8">
        <w:pPr>
          <w:pStyle w:val="Footer"/>
        </w:pPr>
        <w:r w:rsidRPr="00824CC8">
          <w:fldChar w:fldCharType="begin"/>
        </w:r>
        <w:r w:rsidRPr="00824CC8">
          <w:instrText xml:space="preserve"> PAGE   \* MERGEFORMAT </w:instrText>
        </w:r>
        <w:r w:rsidRPr="00824CC8">
          <w:fldChar w:fldCharType="separate"/>
        </w:r>
        <w:r w:rsidR="00C60FC4">
          <w:rPr>
            <w:noProof/>
          </w:rPr>
          <w:t>10-18</w:t>
        </w:r>
        <w:r w:rsidRPr="00824CC8">
          <w:fldChar w:fldCharType="end"/>
        </w:r>
        <w:r w:rsidRPr="00824CC8">
          <w:tab/>
        </w:r>
        <w:r w:rsidRPr="00824CC8">
          <w:rPr>
            <w:rStyle w:val="AERbody"/>
          </w:rPr>
          <w:t xml:space="preserve">Attachment </w:t>
        </w:r>
        <w:r>
          <w:rPr>
            <w:rStyle w:val="AERbody"/>
          </w:rPr>
          <w:t>10 Reference tariff setting</w:t>
        </w:r>
        <w:r w:rsidRPr="00824CC8">
          <w:rPr>
            <w:rStyle w:val="AERbody"/>
          </w:rPr>
          <w:t xml:space="preserve"> | </w:t>
        </w:r>
        <w:r>
          <w:rPr>
            <w:rStyle w:val="AERbody"/>
          </w:rPr>
          <w:t>Jemena Gas Networks 2015–20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10" w:rsidRPr="00824CC8" w:rsidRDefault="00CD1010" w:rsidP="00824CC8">
    <w:pPr>
      <w:pStyle w:val="Footer"/>
      <w:rPr>
        <w:rStyle w:val="AERbody"/>
      </w:rPr>
    </w:pPr>
    <w:r>
      <w:rPr>
        <w:rStyle w:val="AERbody"/>
      </w:rPr>
      <w:t>Jemena Gas Networks 2015–20</w:t>
    </w:r>
    <w:r w:rsidRPr="00210880">
      <w:rPr>
        <w:rStyle w:val="AERbody"/>
      </w:rPr>
      <w:t xml:space="preserve"> | </w:t>
    </w:r>
    <w:r w:rsidRPr="00824CC8">
      <w:rPr>
        <w:rStyle w:val="AERbody"/>
      </w:rPr>
      <w:t xml:space="preserve">Attachment </w:t>
    </w:r>
    <w:r>
      <w:rPr>
        <w:rStyle w:val="AERbody"/>
      </w:rPr>
      <w:t>10 Reference tariff setting</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C60FC4">
      <w:rPr>
        <w:rStyle w:val="AERbody"/>
        <w:noProof/>
      </w:rPr>
      <w:t>10-1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010" w:rsidRPr="00AB4345" w:rsidRDefault="00CD1010" w:rsidP="00AB4345">
      <w:r>
        <w:separator/>
      </w:r>
    </w:p>
  </w:footnote>
  <w:footnote w:type="continuationSeparator" w:id="0">
    <w:p w:rsidR="00CD1010" w:rsidRPr="00AB4345" w:rsidRDefault="00CD1010" w:rsidP="00AB4345">
      <w:r>
        <w:continuationSeparator/>
      </w:r>
    </w:p>
  </w:footnote>
  <w:footnote w:id="1">
    <w:p w:rsidR="00CD1010" w:rsidRDefault="00CD1010">
      <w:pPr>
        <w:pStyle w:val="FootnoteText"/>
      </w:pPr>
      <w:r>
        <w:rPr>
          <w:rStyle w:val="FootnoteReference"/>
        </w:rPr>
        <w:footnoteRef/>
      </w:r>
      <w:r>
        <w:t xml:space="preserve"> </w:t>
      </w:r>
      <w:r>
        <w:tab/>
      </w:r>
      <w:proofErr w:type="gramStart"/>
      <w:r>
        <w:t xml:space="preserve">National Gas Law, </w:t>
      </w:r>
      <w:r w:rsidRPr="006049FB">
        <w:t>ss. 24(2) and 24(5)</w:t>
      </w:r>
      <w:r>
        <w:t>.</w:t>
      </w:r>
      <w:proofErr w:type="gramEnd"/>
    </w:p>
  </w:footnote>
  <w:footnote w:id="2">
    <w:p w:rsidR="00CD1010" w:rsidRDefault="00CD1010">
      <w:pPr>
        <w:pStyle w:val="FootnoteText"/>
      </w:pPr>
      <w:r>
        <w:rPr>
          <w:rStyle w:val="FootnoteReference"/>
        </w:rPr>
        <w:footnoteRef/>
      </w:r>
      <w:r>
        <w:t xml:space="preserve"> </w:t>
      </w:r>
      <w:r>
        <w:tab/>
      </w:r>
      <w:r w:rsidRPr="00213992">
        <w:t xml:space="preserve">NGR, </w:t>
      </w:r>
      <w:proofErr w:type="spellStart"/>
      <w:proofErr w:type="gramStart"/>
      <w:r w:rsidRPr="00213992">
        <w:t>rr</w:t>
      </w:r>
      <w:proofErr w:type="spellEnd"/>
      <w:proofErr w:type="gramEnd"/>
      <w:r w:rsidRPr="00213992">
        <w:t xml:space="preserve">. </w:t>
      </w:r>
      <w:proofErr w:type="gramStart"/>
      <w:r w:rsidRPr="00213992">
        <w:t>93 and 94</w:t>
      </w:r>
      <w:r w:rsidR="0084155C">
        <w:t>.</w:t>
      </w:r>
      <w:proofErr w:type="gramEnd"/>
    </w:p>
  </w:footnote>
  <w:footnote w:id="3">
    <w:p w:rsidR="00CD1010" w:rsidRDefault="00CD1010">
      <w:pPr>
        <w:pStyle w:val="FootnoteText"/>
      </w:pPr>
      <w:r>
        <w:rPr>
          <w:rStyle w:val="FootnoteReference"/>
        </w:rPr>
        <w:footnoteRef/>
      </w:r>
      <w:r>
        <w:t xml:space="preserve"> </w:t>
      </w:r>
      <w:r>
        <w:tab/>
      </w:r>
      <w:r w:rsidRPr="00E97CFD">
        <w:t xml:space="preserve">JGN, </w:t>
      </w:r>
      <w:r w:rsidRPr="005A733C">
        <w:rPr>
          <w:rStyle w:val="AERtextitalic"/>
        </w:rPr>
        <w:t>Access Arrangement Information 2015–20</w:t>
      </w:r>
      <w:r w:rsidRPr="00E97CFD">
        <w:t xml:space="preserve">, June 2014, p. </w:t>
      </w:r>
      <w:r>
        <w:t>106</w:t>
      </w:r>
      <w:r w:rsidRPr="00E97CFD">
        <w:t>.</w:t>
      </w:r>
    </w:p>
  </w:footnote>
  <w:footnote w:id="4">
    <w:p w:rsidR="00CD1010" w:rsidRDefault="00CD1010">
      <w:pPr>
        <w:pStyle w:val="FootnoteText"/>
      </w:pPr>
      <w:r>
        <w:rPr>
          <w:rStyle w:val="FootnoteReference"/>
        </w:rPr>
        <w:footnoteRef/>
      </w:r>
      <w:r>
        <w:t xml:space="preserve"> </w:t>
      </w:r>
      <w:r>
        <w:tab/>
      </w:r>
      <w:r w:rsidRPr="00E244E4">
        <w:t>NGR, r. 48(1</w:t>
      </w:r>
      <w:proofErr w:type="gramStart"/>
      <w:r w:rsidRPr="00E244E4">
        <w:t>)(</w:t>
      </w:r>
      <w:proofErr w:type="gramEnd"/>
      <w:r w:rsidRPr="00E244E4">
        <w:t>d)(</w:t>
      </w:r>
      <w:proofErr w:type="spellStart"/>
      <w:r w:rsidRPr="00E244E4">
        <w:t>i</w:t>
      </w:r>
      <w:proofErr w:type="spellEnd"/>
      <w:r w:rsidRPr="00E244E4">
        <w:t>); 72(1)(j)(</w:t>
      </w:r>
      <w:proofErr w:type="spellStart"/>
      <w:r w:rsidRPr="00E244E4">
        <w:t>i</w:t>
      </w:r>
      <w:proofErr w:type="spellEnd"/>
      <w:r w:rsidRPr="00E244E4">
        <w:t>); 72(1)(j)(ii)</w:t>
      </w:r>
      <w:r>
        <w:t>.</w:t>
      </w:r>
    </w:p>
  </w:footnote>
  <w:footnote w:id="5">
    <w:p w:rsidR="00CD1010" w:rsidRDefault="00CD1010">
      <w:pPr>
        <w:pStyle w:val="FootnoteText"/>
      </w:pPr>
      <w:r>
        <w:rPr>
          <w:rStyle w:val="FootnoteReference"/>
        </w:rPr>
        <w:footnoteRef/>
      </w:r>
      <w:r>
        <w:t xml:space="preserve"> </w:t>
      </w:r>
      <w:r>
        <w:tab/>
      </w:r>
      <w:r w:rsidRPr="00E244E4">
        <w:t>NGR, r. 93(1)–(2)</w:t>
      </w:r>
      <w:r w:rsidR="0084155C">
        <w:t>.</w:t>
      </w:r>
    </w:p>
  </w:footnote>
  <w:footnote w:id="6">
    <w:p w:rsidR="00CD1010" w:rsidRDefault="00CD1010">
      <w:pPr>
        <w:pStyle w:val="FootnoteText"/>
      </w:pPr>
      <w:r>
        <w:rPr>
          <w:rStyle w:val="FootnoteReference"/>
        </w:rPr>
        <w:footnoteRef/>
      </w:r>
      <w:r>
        <w:t xml:space="preserve"> </w:t>
      </w:r>
      <w:r>
        <w:tab/>
      </w:r>
      <w:r w:rsidRPr="00E244E4">
        <w:t>NGR r. 94(1)–(2)</w:t>
      </w:r>
      <w:r>
        <w:t>.</w:t>
      </w:r>
    </w:p>
  </w:footnote>
  <w:footnote w:id="7">
    <w:p w:rsidR="00CD1010" w:rsidRDefault="00CD1010">
      <w:pPr>
        <w:pStyle w:val="FootnoteText"/>
      </w:pPr>
      <w:r>
        <w:rPr>
          <w:rStyle w:val="FootnoteReference"/>
        </w:rPr>
        <w:footnoteRef/>
      </w:r>
      <w:r>
        <w:t xml:space="preserve"> </w:t>
      </w:r>
      <w:r>
        <w:tab/>
      </w:r>
      <w:proofErr w:type="gramStart"/>
      <w:r w:rsidRPr="00E244E4">
        <w:t>NGR, r. 94(3)</w:t>
      </w:r>
      <w:r>
        <w:t>.</w:t>
      </w:r>
      <w:proofErr w:type="gramEnd"/>
    </w:p>
  </w:footnote>
  <w:footnote w:id="8">
    <w:p w:rsidR="00CD1010" w:rsidRDefault="00CD1010">
      <w:pPr>
        <w:pStyle w:val="FootnoteText"/>
      </w:pPr>
      <w:r>
        <w:rPr>
          <w:rStyle w:val="FootnoteReference"/>
        </w:rPr>
        <w:footnoteRef/>
      </w:r>
      <w:r>
        <w:t xml:space="preserve"> </w:t>
      </w:r>
      <w:r>
        <w:tab/>
      </w:r>
      <w:r w:rsidRPr="00E244E4">
        <w:t>NGR, r. 94(3)–(4)</w:t>
      </w:r>
      <w:r>
        <w:t>.</w:t>
      </w:r>
    </w:p>
  </w:footnote>
  <w:footnote w:id="9">
    <w:p w:rsidR="00CD1010" w:rsidRDefault="00CD1010" w:rsidP="00C90B93">
      <w:pPr>
        <w:pStyle w:val="FootnoteText"/>
      </w:pPr>
      <w:r>
        <w:rPr>
          <w:rStyle w:val="FootnoteReference"/>
        </w:rPr>
        <w:footnoteRef/>
      </w:r>
      <w:r>
        <w:t xml:space="preserve"> </w:t>
      </w:r>
      <w:r>
        <w:tab/>
      </w:r>
      <w:r w:rsidRPr="00E244E4">
        <w:t xml:space="preserve">NGR, </w:t>
      </w:r>
      <w:proofErr w:type="spellStart"/>
      <w:proofErr w:type="gramStart"/>
      <w:r w:rsidRPr="00E244E4">
        <w:t>rr</w:t>
      </w:r>
      <w:proofErr w:type="spellEnd"/>
      <w:proofErr w:type="gramEnd"/>
      <w:r w:rsidRPr="00E244E4">
        <w:t>. 48(1</w:t>
      </w:r>
      <w:proofErr w:type="gramStart"/>
      <w:r w:rsidRPr="00E244E4">
        <w:t>)(</w:t>
      </w:r>
      <w:proofErr w:type="gramEnd"/>
      <w:r w:rsidRPr="00E244E4">
        <w:t>d)(</w:t>
      </w:r>
      <w:proofErr w:type="spellStart"/>
      <w:r w:rsidRPr="00E244E4">
        <w:t>i</w:t>
      </w:r>
      <w:proofErr w:type="spellEnd"/>
      <w:r w:rsidRPr="00E244E4">
        <w:t>); 72(1)(j)(</w:t>
      </w:r>
      <w:proofErr w:type="spellStart"/>
      <w:r w:rsidRPr="00E244E4">
        <w:t>i</w:t>
      </w:r>
      <w:proofErr w:type="spellEnd"/>
      <w:r w:rsidRPr="00E244E4">
        <w:t>); 72(1)(j)(ii)</w:t>
      </w:r>
      <w:r>
        <w:t>.</w:t>
      </w:r>
    </w:p>
  </w:footnote>
  <w:footnote w:id="10">
    <w:p w:rsidR="00CD1010" w:rsidRDefault="00CD1010">
      <w:pPr>
        <w:pStyle w:val="FootnoteText"/>
      </w:pPr>
      <w:r>
        <w:rPr>
          <w:rStyle w:val="FootnoteReference"/>
        </w:rPr>
        <w:footnoteRef/>
      </w:r>
      <w:r>
        <w:t xml:space="preserve"> </w:t>
      </w:r>
      <w:r>
        <w:tab/>
      </w:r>
      <w:proofErr w:type="gramStart"/>
      <w:r w:rsidRPr="00564677">
        <w:t xml:space="preserve">JGN, </w:t>
      </w:r>
      <w:r w:rsidRPr="005A733C">
        <w:rPr>
          <w:rStyle w:val="AERtextitalic"/>
        </w:rPr>
        <w:t>2015–20</w:t>
      </w:r>
      <w:r>
        <w:rPr>
          <w:rStyle w:val="AERtextitalic"/>
        </w:rPr>
        <w:t xml:space="preserve"> </w:t>
      </w:r>
      <w:r w:rsidRPr="005A733C">
        <w:rPr>
          <w:rStyle w:val="AERtextitalic"/>
        </w:rPr>
        <w:t>Access Arrangement Information</w:t>
      </w:r>
      <w:r w:rsidRPr="00564677">
        <w:t xml:space="preserve">, 30 June 2014, </w:t>
      </w:r>
      <w:r>
        <w:t xml:space="preserve">chapter 13 and </w:t>
      </w:r>
      <w:r w:rsidRPr="00564677">
        <w:t>Appendix 1</w:t>
      </w:r>
      <w:r>
        <w:t>3.</w:t>
      </w:r>
      <w:proofErr w:type="gramEnd"/>
    </w:p>
  </w:footnote>
  <w:footnote w:id="11">
    <w:p w:rsidR="00CD1010" w:rsidRDefault="00CD1010">
      <w:pPr>
        <w:pStyle w:val="FootnoteText"/>
      </w:pPr>
      <w:r>
        <w:rPr>
          <w:rStyle w:val="FootnoteReference"/>
        </w:rPr>
        <w:footnoteRef/>
      </w:r>
      <w:r>
        <w:t xml:space="preserve"> </w:t>
      </w:r>
      <w:r>
        <w:tab/>
      </w:r>
      <w:r w:rsidRPr="00564677">
        <w:t xml:space="preserve">JGN, </w:t>
      </w:r>
      <w:r w:rsidRPr="005A733C">
        <w:rPr>
          <w:rStyle w:val="AERtextitalic"/>
        </w:rPr>
        <w:t>2015–20</w:t>
      </w:r>
      <w:r>
        <w:rPr>
          <w:rStyle w:val="AERtextitalic"/>
        </w:rPr>
        <w:t xml:space="preserve"> </w:t>
      </w:r>
      <w:r w:rsidRPr="00E25F1E">
        <w:rPr>
          <w:rStyle w:val="AERtextitalic"/>
        </w:rPr>
        <w:t>Access Arrangement</w:t>
      </w:r>
      <w:r w:rsidRPr="005A733C">
        <w:t xml:space="preserve"> </w:t>
      </w:r>
      <w:r w:rsidRPr="005A733C">
        <w:rPr>
          <w:rStyle w:val="AERtextitalic"/>
        </w:rPr>
        <w:t>Information</w:t>
      </w:r>
      <w:r w:rsidRPr="00564677">
        <w:t xml:space="preserve">, 30 June 2014, </w:t>
      </w:r>
      <w:r>
        <w:t>section, schedules 2 and 3.</w:t>
      </w:r>
    </w:p>
  </w:footnote>
  <w:footnote w:id="12">
    <w:p w:rsidR="00CD1010" w:rsidRDefault="00CD1010">
      <w:pPr>
        <w:pStyle w:val="FootnoteText"/>
      </w:pPr>
      <w:r>
        <w:rPr>
          <w:rStyle w:val="FootnoteReference"/>
        </w:rPr>
        <w:footnoteRef/>
      </w:r>
      <w:r>
        <w:t xml:space="preserve"> </w:t>
      </w:r>
      <w:r>
        <w:tab/>
      </w:r>
      <w:r w:rsidRPr="00564677">
        <w:t xml:space="preserve">JGN, </w:t>
      </w:r>
      <w:r w:rsidRPr="005A733C">
        <w:rPr>
          <w:rStyle w:val="AERtextitalic"/>
        </w:rPr>
        <w:t>2015–20</w:t>
      </w:r>
      <w:r>
        <w:rPr>
          <w:rStyle w:val="AERtextitalic"/>
        </w:rPr>
        <w:t xml:space="preserve"> </w:t>
      </w:r>
      <w:r w:rsidRPr="005A733C">
        <w:rPr>
          <w:rStyle w:val="AERtextitalic"/>
        </w:rPr>
        <w:t xml:space="preserve">Access </w:t>
      </w:r>
      <w:r>
        <w:rPr>
          <w:rStyle w:val="AERtextitalic"/>
        </w:rPr>
        <w:t>A</w:t>
      </w:r>
      <w:r w:rsidRPr="005A733C">
        <w:rPr>
          <w:rStyle w:val="AERtextitalic"/>
        </w:rPr>
        <w:t>rrangement</w:t>
      </w:r>
      <w:r w:rsidR="00E25F1E">
        <w:rPr>
          <w:rStyle w:val="AERtextitalic"/>
        </w:rPr>
        <w:t xml:space="preserve"> Information</w:t>
      </w:r>
      <w:r w:rsidRPr="00564677">
        <w:t>, 30 June 2014, Appendix 1.</w:t>
      </w:r>
      <w:r>
        <w:t>8.</w:t>
      </w:r>
    </w:p>
  </w:footnote>
  <w:footnote w:id="13">
    <w:p w:rsidR="00CD1010" w:rsidRDefault="00CD1010">
      <w:pPr>
        <w:pStyle w:val="FootnoteText"/>
      </w:pPr>
      <w:r>
        <w:rPr>
          <w:rStyle w:val="FootnoteReference"/>
        </w:rPr>
        <w:footnoteRef/>
      </w:r>
      <w:r>
        <w:t xml:space="preserve"> </w:t>
      </w:r>
      <w:r>
        <w:tab/>
      </w:r>
      <w:r w:rsidRPr="00564677">
        <w:t xml:space="preserve">JGN, </w:t>
      </w:r>
      <w:r w:rsidRPr="005A733C">
        <w:rPr>
          <w:rStyle w:val="AERtextitalic"/>
        </w:rPr>
        <w:t>2015–20</w:t>
      </w:r>
      <w:r>
        <w:rPr>
          <w:rStyle w:val="AERtextitalic"/>
        </w:rPr>
        <w:t xml:space="preserve"> </w:t>
      </w:r>
      <w:r w:rsidRPr="005A733C">
        <w:rPr>
          <w:rStyle w:val="AERtextitalic"/>
        </w:rPr>
        <w:t>Access Arrangement</w:t>
      </w:r>
      <w:r w:rsidR="00E25F1E">
        <w:rPr>
          <w:rStyle w:val="AERtextitalic"/>
        </w:rPr>
        <w:t xml:space="preserve"> Information</w:t>
      </w:r>
      <w:r w:rsidRPr="00564677">
        <w:t>, 30 June 2014, Appendix 1.</w:t>
      </w:r>
      <w:r>
        <w:t>1.</w:t>
      </w:r>
    </w:p>
  </w:footnote>
  <w:footnote w:id="14">
    <w:p w:rsidR="00CD1010" w:rsidRDefault="00CD1010">
      <w:pPr>
        <w:pStyle w:val="FootnoteText"/>
      </w:pPr>
      <w:r>
        <w:rPr>
          <w:rStyle w:val="FootnoteReference"/>
        </w:rPr>
        <w:footnoteRef/>
      </w:r>
      <w:r>
        <w:t xml:space="preserve"> </w:t>
      </w:r>
      <w:r>
        <w:tab/>
        <w:t xml:space="preserve">JGN's, </w:t>
      </w:r>
      <w:r w:rsidRPr="005A733C">
        <w:rPr>
          <w:rStyle w:val="AERtextitalic"/>
        </w:rPr>
        <w:t>Response to AER's information requests no. 14, 19, 25a and 25b</w:t>
      </w:r>
      <w:r>
        <w:t>.</w:t>
      </w:r>
    </w:p>
  </w:footnote>
  <w:footnote w:id="15">
    <w:p w:rsidR="00CD1010" w:rsidRDefault="00CD1010">
      <w:pPr>
        <w:pStyle w:val="FootnoteText"/>
      </w:pPr>
      <w:r>
        <w:rPr>
          <w:rStyle w:val="FootnoteReference"/>
        </w:rPr>
        <w:footnoteRef/>
      </w:r>
      <w:r>
        <w:t xml:space="preserve"> </w:t>
      </w:r>
      <w:r>
        <w:tab/>
      </w:r>
      <w:proofErr w:type="gramStart"/>
      <w:r>
        <w:t xml:space="preserve">NGR, </w:t>
      </w:r>
      <w:r w:rsidRPr="0097658F">
        <w:t xml:space="preserve">r. </w:t>
      </w:r>
      <w:r>
        <w:t>59.</w:t>
      </w:r>
      <w:proofErr w:type="gramEnd"/>
    </w:p>
  </w:footnote>
  <w:footnote w:id="16">
    <w:p w:rsidR="00CD1010" w:rsidRDefault="00CD1010">
      <w:pPr>
        <w:pStyle w:val="FootnoteText"/>
      </w:pPr>
      <w:r>
        <w:rPr>
          <w:rStyle w:val="FootnoteReference"/>
        </w:rPr>
        <w:footnoteRef/>
      </w:r>
      <w:r>
        <w:t xml:space="preserve"> </w:t>
      </w:r>
      <w:r>
        <w:tab/>
      </w:r>
      <w:proofErr w:type="gramStart"/>
      <w:r w:rsidRPr="00564677">
        <w:t xml:space="preserve">JGN, </w:t>
      </w:r>
      <w:r w:rsidRPr="005A733C">
        <w:rPr>
          <w:rStyle w:val="AERtextitalic"/>
        </w:rPr>
        <w:t>Access arrangement 2015–20</w:t>
      </w:r>
      <w:r w:rsidRPr="00564677">
        <w:t xml:space="preserve">, 30 June 2014, </w:t>
      </w:r>
      <w:r>
        <w:t>p. 3.</w:t>
      </w:r>
      <w:proofErr w:type="gramEnd"/>
    </w:p>
  </w:footnote>
  <w:footnote w:id="17">
    <w:p w:rsidR="00CD1010" w:rsidRDefault="00CD1010">
      <w:pPr>
        <w:pStyle w:val="FootnoteText"/>
      </w:pPr>
      <w:r>
        <w:rPr>
          <w:rStyle w:val="FootnoteReference"/>
        </w:rPr>
        <w:footnoteRef/>
      </w:r>
      <w:r>
        <w:t xml:space="preserve"> </w:t>
      </w:r>
      <w:r>
        <w:tab/>
        <w:t xml:space="preserve">NGR, </w:t>
      </w:r>
      <w:proofErr w:type="spellStart"/>
      <w:proofErr w:type="gramStart"/>
      <w:r w:rsidRPr="00E244E4">
        <w:t>rr</w:t>
      </w:r>
      <w:proofErr w:type="spellEnd"/>
      <w:proofErr w:type="gramEnd"/>
      <w:r w:rsidRPr="00E244E4">
        <w:t xml:space="preserve">. </w:t>
      </w:r>
      <w:proofErr w:type="gramStart"/>
      <w:r w:rsidRPr="00E244E4">
        <w:t>93 and 94</w:t>
      </w:r>
      <w:r>
        <w:t>.</w:t>
      </w:r>
      <w:proofErr w:type="gramEnd"/>
    </w:p>
  </w:footnote>
  <w:footnote w:id="18">
    <w:p w:rsidR="00CD1010" w:rsidRDefault="00CD1010">
      <w:pPr>
        <w:pStyle w:val="FootnoteText"/>
      </w:pPr>
      <w:r>
        <w:rPr>
          <w:rStyle w:val="FootnoteReference"/>
        </w:rPr>
        <w:footnoteRef/>
      </w:r>
      <w:r>
        <w:t xml:space="preserve"> </w:t>
      </w:r>
      <w:r>
        <w:tab/>
      </w:r>
      <w:proofErr w:type="gramStart"/>
      <w:r w:rsidRPr="00D82184">
        <w:t xml:space="preserve">NGR, </w:t>
      </w:r>
      <w:r>
        <w:t xml:space="preserve">r. </w:t>
      </w:r>
      <w:r w:rsidRPr="00D82184">
        <w:t>93</w:t>
      </w:r>
      <w:r>
        <w:t>.</w:t>
      </w:r>
      <w:proofErr w:type="gramEnd"/>
    </w:p>
  </w:footnote>
  <w:footnote w:id="19">
    <w:p w:rsidR="00CD1010" w:rsidRDefault="00CD1010">
      <w:pPr>
        <w:pStyle w:val="FootnoteText"/>
      </w:pPr>
      <w:r>
        <w:rPr>
          <w:rStyle w:val="FootnoteReference"/>
        </w:rPr>
        <w:footnoteRef/>
      </w:r>
      <w:r>
        <w:t xml:space="preserve"> </w:t>
      </w:r>
      <w:r>
        <w:tab/>
      </w:r>
      <w:r w:rsidRPr="003676B7">
        <w:t>NGR,</w:t>
      </w:r>
      <w:r>
        <w:t xml:space="preserve"> r.</w:t>
      </w:r>
      <w:r w:rsidRPr="003676B7">
        <w:t xml:space="preserve"> 94(1)-(2)</w:t>
      </w:r>
      <w:r>
        <w:t>.</w:t>
      </w:r>
    </w:p>
  </w:footnote>
  <w:footnote w:id="20">
    <w:p w:rsidR="00CD1010" w:rsidRDefault="00CD1010">
      <w:pPr>
        <w:pStyle w:val="FootnoteText"/>
      </w:pPr>
      <w:r>
        <w:rPr>
          <w:rStyle w:val="FootnoteReference"/>
        </w:rPr>
        <w:footnoteRef/>
      </w:r>
      <w:r>
        <w:t xml:space="preserve"> </w:t>
      </w:r>
      <w:r>
        <w:tab/>
        <w:t xml:space="preserve">NGR, </w:t>
      </w:r>
      <w:r w:rsidRPr="0065014D">
        <w:t>r. 94(3)-(4</w:t>
      </w:r>
      <w:r>
        <w:t>).</w:t>
      </w:r>
    </w:p>
  </w:footnote>
  <w:footnote w:id="21">
    <w:p w:rsidR="00CD1010" w:rsidRDefault="00CD1010">
      <w:pPr>
        <w:pStyle w:val="FootnoteText"/>
      </w:pPr>
      <w:r>
        <w:rPr>
          <w:rStyle w:val="FootnoteReference"/>
        </w:rPr>
        <w:footnoteRef/>
      </w:r>
      <w:r>
        <w:t xml:space="preserve"> </w:t>
      </w:r>
      <w:r>
        <w:tab/>
        <w:t xml:space="preserve">NGR, </w:t>
      </w:r>
      <w:proofErr w:type="spellStart"/>
      <w:proofErr w:type="gramStart"/>
      <w:r w:rsidRPr="0022766D">
        <w:t>rr</w:t>
      </w:r>
      <w:proofErr w:type="spellEnd"/>
      <w:proofErr w:type="gramEnd"/>
      <w:r w:rsidRPr="0022766D">
        <w:t xml:space="preserve">. </w:t>
      </w:r>
      <w:proofErr w:type="gramStart"/>
      <w:r w:rsidRPr="0022766D">
        <w:t>93 and 94</w:t>
      </w:r>
      <w:r>
        <w:t>.</w:t>
      </w:r>
      <w:proofErr w:type="gramEnd"/>
    </w:p>
  </w:footnote>
  <w:footnote w:id="22">
    <w:p w:rsidR="00CD1010" w:rsidRDefault="00CD1010">
      <w:pPr>
        <w:pStyle w:val="FootnoteText"/>
      </w:pPr>
      <w:r>
        <w:rPr>
          <w:rStyle w:val="FootnoteReference"/>
        </w:rPr>
        <w:footnoteRef/>
      </w:r>
      <w:r>
        <w:t xml:space="preserve"> </w:t>
      </w:r>
      <w:r>
        <w:tab/>
      </w:r>
      <w:proofErr w:type="gramStart"/>
      <w:r>
        <w:t xml:space="preserve">NGR, </w:t>
      </w:r>
      <w:r w:rsidRPr="00213992">
        <w:t>r. 93(1) (2)</w:t>
      </w:r>
      <w:r>
        <w:t>.</w:t>
      </w:r>
      <w:proofErr w:type="gramEnd"/>
    </w:p>
  </w:footnote>
  <w:footnote w:id="23">
    <w:p w:rsidR="00CD1010" w:rsidRDefault="00CD1010">
      <w:pPr>
        <w:pStyle w:val="FootnoteText"/>
      </w:pPr>
      <w:r>
        <w:rPr>
          <w:rStyle w:val="FootnoteReference"/>
        </w:rPr>
        <w:footnoteRef/>
      </w:r>
      <w:r>
        <w:t xml:space="preserve"> </w:t>
      </w:r>
      <w:r>
        <w:tab/>
        <w:t xml:space="preserve">JGN, </w:t>
      </w:r>
      <w:r w:rsidRPr="005A733C">
        <w:rPr>
          <w:rStyle w:val="AERtextitalic"/>
        </w:rPr>
        <w:t>2015–20</w:t>
      </w:r>
      <w:r>
        <w:rPr>
          <w:rStyle w:val="AERtextitalic"/>
        </w:rPr>
        <w:t xml:space="preserve"> </w:t>
      </w:r>
      <w:r w:rsidRPr="005A733C">
        <w:rPr>
          <w:rStyle w:val="AERtextitalic"/>
        </w:rPr>
        <w:t>Access Arrangement Information</w:t>
      </w:r>
      <w:r>
        <w:t>, 30 June 2014, p. 118.</w:t>
      </w:r>
    </w:p>
  </w:footnote>
  <w:footnote w:id="24">
    <w:p w:rsidR="00CD1010" w:rsidRDefault="00CD1010">
      <w:pPr>
        <w:pStyle w:val="FootnoteText"/>
      </w:pPr>
      <w:r>
        <w:rPr>
          <w:rStyle w:val="FootnoteReference"/>
        </w:rPr>
        <w:footnoteRef/>
      </w:r>
      <w:r>
        <w:t xml:space="preserve"> </w:t>
      </w:r>
      <w:r>
        <w:tab/>
      </w:r>
      <w:proofErr w:type="gramStart"/>
      <w:r w:rsidRPr="00305716">
        <w:t xml:space="preserve">JGN, </w:t>
      </w:r>
      <w:r w:rsidRPr="005A733C">
        <w:rPr>
          <w:rStyle w:val="AERtextitalic"/>
        </w:rPr>
        <w:t>2015–20</w:t>
      </w:r>
      <w:r>
        <w:rPr>
          <w:rStyle w:val="AERtextitalic"/>
        </w:rPr>
        <w:t xml:space="preserve"> </w:t>
      </w:r>
      <w:r w:rsidRPr="005A733C">
        <w:rPr>
          <w:rStyle w:val="AERtextitalic"/>
        </w:rPr>
        <w:t>Access Arrangement Information</w:t>
      </w:r>
      <w:r w:rsidRPr="00305716">
        <w:t xml:space="preserve">, 30 June 2014, </w:t>
      </w:r>
      <w:r>
        <w:t xml:space="preserve">Chapter 13 and </w:t>
      </w:r>
      <w:r w:rsidRPr="00305716">
        <w:t>Appendix 13</w:t>
      </w:r>
      <w:r>
        <w:t>.1 (confidential)</w:t>
      </w:r>
      <w:r w:rsidRPr="00305716">
        <w:t>.</w:t>
      </w:r>
      <w:proofErr w:type="gramEnd"/>
    </w:p>
  </w:footnote>
  <w:footnote w:id="25">
    <w:p w:rsidR="00CD1010" w:rsidRDefault="00CD1010">
      <w:pPr>
        <w:pStyle w:val="FootnoteText"/>
      </w:pPr>
      <w:r>
        <w:rPr>
          <w:rStyle w:val="FootnoteReference"/>
        </w:rPr>
        <w:footnoteRef/>
      </w:r>
      <w:r>
        <w:t xml:space="preserve"> </w:t>
      </w:r>
      <w:r>
        <w:tab/>
      </w:r>
      <w:r w:rsidRPr="00305716">
        <w:t xml:space="preserve">JGN, </w:t>
      </w:r>
      <w:proofErr w:type="gramStart"/>
      <w:r w:rsidRPr="005A733C">
        <w:rPr>
          <w:rStyle w:val="AERtextitalic"/>
        </w:rPr>
        <w:t>2015–20</w:t>
      </w:r>
      <w:r>
        <w:rPr>
          <w:rStyle w:val="AERtextitalic"/>
        </w:rPr>
        <w:t xml:space="preserve"> </w:t>
      </w:r>
      <w:r w:rsidRPr="005A733C">
        <w:rPr>
          <w:rStyle w:val="AERtextitalic"/>
        </w:rPr>
        <w:t xml:space="preserve">Access </w:t>
      </w:r>
      <w:r>
        <w:rPr>
          <w:rStyle w:val="AERtextitalic"/>
        </w:rPr>
        <w:t>A</w:t>
      </w:r>
      <w:r w:rsidRPr="005A733C">
        <w:rPr>
          <w:rStyle w:val="AERtextitalic"/>
        </w:rPr>
        <w:t xml:space="preserve">rrangement </w:t>
      </w:r>
      <w:r>
        <w:rPr>
          <w:rStyle w:val="AERtextitalic"/>
        </w:rPr>
        <w:t>I</w:t>
      </w:r>
      <w:r w:rsidRPr="005A733C">
        <w:rPr>
          <w:rStyle w:val="AERtextitalic"/>
        </w:rPr>
        <w:t>nformation</w:t>
      </w:r>
      <w:r w:rsidRPr="00305716">
        <w:t>, 30 June 2014, Appendix 13.1 (confidential)</w:t>
      </w:r>
      <w:proofErr w:type="gramEnd"/>
      <w:r w:rsidRPr="00305716">
        <w:t>.</w:t>
      </w:r>
    </w:p>
  </w:footnote>
  <w:footnote w:id="26">
    <w:p w:rsidR="00CD1010" w:rsidRDefault="00CD1010">
      <w:pPr>
        <w:pStyle w:val="FootnoteText"/>
      </w:pPr>
      <w:r>
        <w:rPr>
          <w:rStyle w:val="FootnoteReference"/>
        </w:rPr>
        <w:footnoteRef/>
      </w:r>
      <w:r>
        <w:t xml:space="preserve"> </w:t>
      </w:r>
      <w:r>
        <w:tab/>
      </w:r>
      <w:proofErr w:type="gramStart"/>
      <w:r>
        <w:t>NGR, r.</w:t>
      </w:r>
      <w:r w:rsidRPr="00D04377">
        <w:t xml:space="preserve"> 94(3)</w:t>
      </w:r>
      <w:r>
        <w:t>.</w:t>
      </w:r>
      <w:proofErr w:type="gramEnd"/>
    </w:p>
  </w:footnote>
  <w:footnote w:id="27">
    <w:p w:rsidR="00CD1010" w:rsidRDefault="00CD1010" w:rsidP="00872448">
      <w:pPr>
        <w:pStyle w:val="FootnoteText"/>
      </w:pPr>
      <w:r>
        <w:rPr>
          <w:rStyle w:val="FootnoteReference"/>
        </w:rPr>
        <w:footnoteRef/>
      </w:r>
      <w:r>
        <w:t xml:space="preserve"> </w:t>
      </w:r>
      <w:r>
        <w:tab/>
        <w:t xml:space="preserve">Consumer Challenge Panel, </w:t>
      </w:r>
      <w:r w:rsidRPr="005A733C">
        <w:rPr>
          <w:rStyle w:val="AERtextitalic"/>
        </w:rPr>
        <w:t>Advice to AER from Consumer Challenge Panel sub-panel 7</w:t>
      </w:r>
      <w:r>
        <w:t>,</w:t>
      </w:r>
      <w:r w:rsidRPr="00305716">
        <w:t xml:space="preserve"> 3 Sep 2014</w:t>
      </w:r>
      <w:r>
        <w:t xml:space="preserve">; </w:t>
      </w:r>
      <w:r w:rsidRPr="00305716">
        <w:t>Delta Electricity</w:t>
      </w:r>
      <w:r>
        <w:t>,</w:t>
      </w:r>
      <w:r w:rsidRPr="00305716">
        <w:t xml:space="preserve"> </w:t>
      </w:r>
      <w:r w:rsidRPr="005A733C">
        <w:rPr>
          <w:rStyle w:val="AERtextitalic"/>
        </w:rPr>
        <w:t>Submission on JGN's revised AA proposal</w:t>
      </w:r>
      <w:r>
        <w:t>,</w:t>
      </w:r>
      <w:r w:rsidRPr="00305716">
        <w:t xml:space="preserve"> 25 August 2014</w:t>
      </w:r>
      <w:r>
        <w:t xml:space="preserve">; </w:t>
      </w:r>
      <w:r w:rsidRPr="00305716">
        <w:t>EMRF</w:t>
      </w:r>
      <w:r>
        <w:t xml:space="preserve">, </w:t>
      </w:r>
      <w:r w:rsidRPr="005A733C">
        <w:rPr>
          <w:rStyle w:val="AERtextitalic"/>
        </w:rPr>
        <w:t>Submission on JGN's revised AA proposal</w:t>
      </w:r>
      <w:r>
        <w:t xml:space="preserve">, 1 Sept 2014, pp. 100–103; </w:t>
      </w:r>
      <w:r w:rsidRPr="00305716">
        <w:t>Orica</w:t>
      </w:r>
      <w:r>
        <w:t>,</w:t>
      </w:r>
      <w:r w:rsidRPr="00305716">
        <w:t xml:space="preserve"> </w:t>
      </w:r>
      <w:r w:rsidRPr="005A733C">
        <w:rPr>
          <w:rStyle w:val="AERtextitalic"/>
        </w:rPr>
        <w:t>Submission on JGN's revised AA proposal</w:t>
      </w:r>
      <w:r>
        <w:t xml:space="preserve">, 19 August 2014; </w:t>
      </w:r>
      <w:r w:rsidRPr="00305716">
        <w:t>PIAC</w:t>
      </w:r>
      <w:r>
        <w:t>,</w:t>
      </w:r>
      <w:r w:rsidRPr="00305716">
        <w:t xml:space="preserve"> </w:t>
      </w:r>
      <w:r w:rsidRPr="005A733C">
        <w:rPr>
          <w:rStyle w:val="AERtextitalic"/>
        </w:rPr>
        <w:t>Submission on JGN's revised AA proposal</w:t>
      </w:r>
      <w:r>
        <w:t xml:space="preserve">, </w:t>
      </w:r>
      <w:r w:rsidRPr="00305716">
        <w:t xml:space="preserve"> 25 August 2014</w:t>
      </w:r>
      <w:r>
        <w:t xml:space="preserve">, pp. 4–5; </w:t>
      </w:r>
      <w:proofErr w:type="spellStart"/>
      <w:r w:rsidRPr="00305716">
        <w:t>Qenos</w:t>
      </w:r>
      <w:proofErr w:type="spellEnd"/>
      <w:r>
        <w:t xml:space="preserve">, </w:t>
      </w:r>
      <w:r w:rsidRPr="005A733C">
        <w:rPr>
          <w:rStyle w:val="AERtextitalic"/>
        </w:rPr>
        <w:t>Submission on JGN's revised AA proposal</w:t>
      </w:r>
      <w:r>
        <w:t xml:space="preserve">,  12 August 2014.   </w:t>
      </w:r>
    </w:p>
  </w:footnote>
  <w:footnote w:id="28">
    <w:p w:rsidR="00CD1010" w:rsidRDefault="00CD1010" w:rsidP="00872448">
      <w:pPr>
        <w:pStyle w:val="FootnoteText"/>
      </w:pPr>
      <w:r>
        <w:rPr>
          <w:rStyle w:val="FootnoteReference"/>
        </w:rPr>
        <w:footnoteRef/>
      </w:r>
      <w:r>
        <w:t xml:space="preserve"> </w:t>
      </w:r>
      <w:r>
        <w:tab/>
        <w:t xml:space="preserve">JGN, </w:t>
      </w:r>
      <w:r w:rsidRPr="005A733C">
        <w:rPr>
          <w:rStyle w:val="AERtextitalic"/>
        </w:rPr>
        <w:t>Response to proposed tariff changes questions Information request 019</w:t>
      </w:r>
      <w:r>
        <w:t>, August 2014, pp. 4–6.</w:t>
      </w:r>
    </w:p>
  </w:footnote>
  <w:footnote w:id="29">
    <w:p w:rsidR="00CD1010" w:rsidRDefault="00CD1010" w:rsidP="00872448">
      <w:pPr>
        <w:pStyle w:val="FootnoteText"/>
      </w:pPr>
      <w:r>
        <w:rPr>
          <w:rStyle w:val="FootnoteReference"/>
        </w:rPr>
        <w:footnoteRef/>
      </w:r>
      <w:r>
        <w:t xml:space="preserve"> </w:t>
      </w:r>
      <w:r>
        <w:tab/>
      </w:r>
      <w:r w:rsidRPr="00C21585">
        <w:t xml:space="preserve">JGN, </w:t>
      </w:r>
      <w:r w:rsidRPr="005A733C">
        <w:rPr>
          <w:rStyle w:val="AERtextitalic"/>
        </w:rPr>
        <w:t>Response to proposed tariff changes questions Information request 019</w:t>
      </w:r>
      <w:r w:rsidRPr="00C21585">
        <w:t>, August 2014, p. 4.</w:t>
      </w:r>
    </w:p>
  </w:footnote>
  <w:footnote w:id="30">
    <w:p w:rsidR="00CD1010" w:rsidRDefault="00CD1010" w:rsidP="00872448">
      <w:pPr>
        <w:pStyle w:val="FootnoteText"/>
      </w:pPr>
      <w:r>
        <w:rPr>
          <w:rStyle w:val="FootnoteReference"/>
        </w:rPr>
        <w:footnoteRef/>
      </w:r>
      <w:r>
        <w:t xml:space="preserve"> </w:t>
      </w:r>
      <w:r>
        <w:tab/>
        <w:t xml:space="preserve">JGN, </w:t>
      </w:r>
      <w:r w:rsidRPr="005A733C">
        <w:rPr>
          <w:rStyle w:val="AERtextitalic"/>
        </w:rPr>
        <w:t>Information request 25a - follow-up AA questions</w:t>
      </w:r>
      <w:r>
        <w:t xml:space="preserve">, September 2014, pp. 2–5; JGN, </w:t>
      </w:r>
      <w:r w:rsidRPr="005A733C">
        <w:rPr>
          <w:rStyle w:val="AERtextitalic"/>
        </w:rPr>
        <w:t>Letter to Orica KI - submission on JGN AA proposal (confidential)</w:t>
      </w:r>
      <w:r>
        <w:t>, September 2014, pp. 3–4.</w:t>
      </w:r>
    </w:p>
  </w:footnote>
  <w:footnote w:id="31">
    <w:p w:rsidR="00CD1010" w:rsidRDefault="00CD1010" w:rsidP="00AB3BE9">
      <w:pPr>
        <w:pStyle w:val="FootnoteText"/>
      </w:pPr>
      <w:r>
        <w:rPr>
          <w:rStyle w:val="FootnoteReference"/>
        </w:rPr>
        <w:footnoteRef/>
      </w:r>
      <w:r>
        <w:t xml:space="preserve"> </w:t>
      </w:r>
      <w:r>
        <w:tab/>
      </w:r>
      <w:r w:rsidRPr="00C21585">
        <w:t xml:space="preserve">JGN, </w:t>
      </w:r>
      <w:r w:rsidRPr="005A733C">
        <w:rPr>
          <w:rStyle w:val="AERtextitalic"/>
        </w:rPr>
        <w:t>Response to proposed tariff changes questions Information request 019</w:t>
      </w:r>
      <w:r w:rsidRPr="00C21585">
        <w:t>, August 2014, p. 4.</w:t>
      </w:r>
    </w:p>
  </w:footnote>
  <w:footnote w:id="32">
    <w:p w:rsidR="00CD1010" w:rsidRDefault="00CD1010" w:rsidP="006B319B">
      <w:pPr>
        <w:pStyle w:val="FootnoteText"/>
      </w:pPr>
      <w:r>
        <w:rPr>
          <w:rStyle w:val="FootnoteReference"/>
        </w:rPr>
        <w:footnoteRef/>
      </w:r>
      <w:r>
        <w:t xml:space="preserve"> </w:t>
      </w:r>
      <w:r>
        <w:tab/>
        <w:t xml:space="preserve">NGR, </w:t>
      </w:r>
      <w:proofErr w:type="spellStart"/>
      <w:proofErr w:type="gramStart"/>
      <w:r w:rsidRPr="00022493">
        <w:t>rr</w:t>
      </w:r>
      <w:proofErr w:type="spellEnd"/>
      <w:proofErr w:type="gramEnd"/>
      <w:r w:rsidRPr="00022493">
        <w:t xml:space="preserve">. </w:t>
      </w:r>
      <w:proofErr w:type="gramStart"/>
      <w:r w:rsidRPr="00022493">
        <w:t>93 and 94</w:t>
      </w:r>
      <w:r>
        <w:t>.</w:t>
      </w:r>
      <w:proofErr w:type="gramEnd"/>
    </w:p>
  </w:footnote>
  <w:footnote w:id="33">
    <w:p w:rsidR="00CD1010" w:rsidRDefault="00CD1010">
      <w:pPr>
        <w:pStyle w:val="FootnoteText"/>
      </w:pPr>
      <w:r>
        <w:rPr>
          <w:rStyle w:val="FootnoteReference"/>
        </w:rPr>
        <w:footnoteRef/>
      </w:r>
      <w:r>
        <w:t xml:space="preserve"> </w:t>
      </w:r>
      <w:r>
        <w:tab/>
      </w:r>
      <w:proofErr w:type="gramStart"/>
      <w:r w:rsidRPr="007B3B61">
        <w:t xml:space="preserve">JGN, </w:t>
      </w:r>
      <w:r w:rsidRPr="005A733C">
        <w:rPr>
          <w:rStyle w:val="AERtextitalic"/>
        </w:rPr>
        <w:t>Access arrangement information 2015–20</w:t>
      </w:r>
      <w:r w:rsidRPr="007B3B61">
        <w:t xml:space="preserve">, 30 June 2014, </w:t>
      </w:r>
      <w:r>
        <w:t>clause 113</w:t>
      </w:r>
      <w:r w:rsidRPr="007B3B61">
        <w:t>.</w:t>
      </w:r>
      <w:proofErr w:type="gramEnd"/>
    </w:p>
  </w:footnote>
  <w:footnote w:id="34">
    <w:p w:rsidR="00CD1010" w:rsidRDefault="00CD1010">
      <w:pPr>
        <w:pStyle w:val="FootnoteText"/>
      </w:pPr>
      <w:r>
        <w:rPr>
          <w:rStyle w:val="FootnoteReference"/>
        </w:rPr>
        <w:footnoteRef/>
      </w:r>
      <w:r>
        <w:t xml:space="preserve"> </w:t>
      </w:r>
      <w:r>
        <w:tab/>
      </w:r>
      <w:r w:rsidRPr="007B3B61">
        <w:t xml:space="preserve">AGL, </w:t>
      </w:r>
      <w:r w:rsidRPr="005A733C">
        <w:rPr>
          <w:rStyle w:val="AERtextitalic"/>
        </w:rPr>
        <w:t>Submission on JGN's revised AA proposal</w:t>
      </w:r>
      <w:r>
        <w:t>,</w:t>
      </w:r>
      <w:r w:rsidRPr="007B3B61">
        <w:t xml:space="preserve"> 27 August 2014</w:t>
      </w:r>
      <w:r>
        <w:t>, p. 9</w:t>
      </w:r>
      <w:r w:rsidRPr="007B3B61">
        <w:t>; Energy Australia</w:t>
      </w:r>
      <w:r>
        <w:t xml:space="preserve">, </w:t>
      </w:r>
      <w:r w:rsidRPr="005A733C">
        <w:rPr>
          <w:rStyle w:val="AERtextitalic"/>
        </w:rPr>
        <w:t>Submission on JGN's revised AA proposa</w:t>
      </w:r>
      <w:r w:rsidRPr="007B3B61">
        <w:t>l</w:t>
      </w:r>
      <w:r>
        <w:t>,</w:t>
      </w:r>
      <w:r w:rsidRPr="007B3B61">
        <w:t xml:space="preserve"> 25 August 2014</w:t>
      </w:r>
      <w:r>
        <w:t xml:space="preserve">, p. 7; </w:t>
      </w:r>
      <w:proofErr w:type="spellStart"/>
      <w:r w:rsidRPr="007B3B61">
        <w:t>Lumo</w:t>
      </w:r>
      <w:proofErr w:type="spellEnd"/>
      <w:r w:rsidRPr="007B3B61">
        <w:t xml:space="preserve"> Energy</w:t>
      </w:r>
      <w:r>
        <w:t>,</w:t>
      </w:r>
      <w:r w:rsidRPr="007B3B61">
        <w:t xml:space="preserve"> </w:t>
      </w:r>
      <w:r w:rsidRPr="005A733C">
        <w:rPr>
          <w:rStyle w:val="AERtextitalic"/>
        </w:rPr>
        <w:t>Submission on JGN's revised AA proposal</w:t>
      </w:r>
      <w:r>
        <w:t>,</w:t>
      </w:r>
      <w:r w:rsidRPr="007B3B61">
        <w:t xml:space="preserve"> 28 August 2014</w:t>
      </w:r>
      <w:r>
        <w:t xml:space="preserve">, p. 6; </w:t>
      </w:r>
      <w:r w:rsidRPr="007B3B61">
        <w:t>Origin</w:t>
      </w:r>
      <w:r>
        <w:t xml:space="preserve">, </w:t>
      </w:r>
      <w:r w:rsidRPr="004D3FDE">
        <w:rPr>
          <w:rStyle w:val="AERtextitalic"/>
        </w:rPr>
        <w:t>Submission on JGN's revised AA proposal</w:t>
      </w:r>
      <w:r>
        <w:t xml:space="preserve">, </w:t>
      </w:r>
      <w:r w:rsidRPr="007B3B61">
        <w:t xml:space="preserve"> 25 August 2014</w:t>
      </w:r>
      <w:r>
        <w:t>, pp. 10–11.</w:t>
      </w:r>
    </w:p>
  </w:footnote>
  <w:footnote w:id="35">
    <w:p w:rsidR="00CD1010" w:rsidRDefault="00CD1010">
      <w:pPr>
        <w:pStyle w:val="FootnoteText"/>
      </w:pPr>
      <w:r>
        <w:rPr>
          <w:rStyle w:val="FootnoteReference"/>
        </w:rPr>
        <w:footnoteRef/>
      </w:r>
      <w:r>
        <w:t xml:space="preserve"> </w:t>
      </w:r>
      <w:r>
        <w:tab/>
      </w:r>
      <w:proofErr w:type="gramStart"/>
      <w:r>
        <w:t xml:space="preserve">JGN, </w:t>
      </w:r>
      <w:r w:rsidRPr="009C17AC">
        <w:rPr>
          <w:rStyle w:val="AERtextitalic"/>
        </w:rPr>
        <w:t>JGN response to AER's information request No. 25a</w:t>
      </w:r>
      <w:r>
        <w:t>, September 2014, p. 2.</w:t>
      </w:r>
      <w:proofErr w:type="gramEnd"/>
    </w:p>
  </w:footnote>
  <w:footnote w:id="36">
    <w:p w:rsidR="00CD1010" w:rsidRDefault="00CD1010" w:rsidP="00A37F0F">
      <w:pPr>
        <w:pStyle w:val="FootnoteText"/>
      </w:pPr>
      <w:r>
        <w:rPr>
          <w:rStyle w:val="FootnoteReference"/>
        </w:rPr>
        <w:footnoteRef/>
      </w:r>
      <w:r>
        <w:t xml:space="preserve"> </w:t>
      </w:r>
      <w:r>
        <w:tab/>
        <w:t xml:space="preserve">NGR, </w:t>
      </w:r>
      <w:proofErr w:type="spellStart"/>
      <w:proofErr w:type="gramStart"/>
      <w:r>
        <w:t>r</w:t>
      </w:r>
      <w:r w:rsidRPr="00914BD7">
        <w:t>r</w:t>
      </w:r>
      <w:proofErr w:type="spellEnd"/>
      <w:proofErr w:type="gramEnd"/>
      <w:r w:rsidRPr="00914BD7">
        <w:t xml:space="preserve">. </w:t>
      </w:r>
      <w:proofErr w:type="gramStart"/>
      <w:r>
        <w:t>93 and 94</w:t>
      </w:r>
      <w:r w:rsidRPr="00914BD7">
        <w:t>)</w:t>
      </w:r>
      <w:r w:rsidR="001B21EC">
        <w:t>.</w:t>
      </w:r>
      <w:proofErr w:type="gramEnd"/>
    </w:p>
  </w:footnote>
  <w:footnote w:id="37">
    <w:p w:rsidR="00CD1010" w:rsidRDefault="00CD1010">
      <w:pPr>
        <w:pStyle w:val="FootnoteText"/>
      </w:pPr>
      <w:r>
        <w:rPr>
          <w:rStyle w:val="FootnoteReference"/>
        </w:rPr>
        <w:footnoteRef/>
      </w:r>
      <w:r>
        <w:t xml:space="preserve"> </w:t>
      </w:r>
      <w:r>
        <w:tab/>
        <w:t xml:space="preserve">Delta Electricity, </w:t>
      </w:r>
      <w:r w:rsidRPr="009C17AC">
        <w:rPr>
          <w:rStyle w:val="AERtextitalic"/>
        </w:rPr>
        <w:t>Submission on JGN's revised AA proposal</w:t>
      </w:r>
      <w:r>
        <w:t>,</w:t>
      </w:r>
      <w:r w:rsidRPr="000A1730">
        <w:t xml:space="preserve"> August 2014</w:t>
      </w:r>
      <w:r>
        <w:t>, p. 2</w:t>
      </w:r>
      <w:r w:rsidRPr="000A1730">
        <w:t xml:space="preserve">; Orica, </w:t>
      </w:r>
      <w:r w:rsidRPr="009C17AC">
        <w:rPr>
          <w:rStyle w:val="AERtextitalic"/>
        </w:rPr>
        <w:t>Submission on JGN's revised AA proposal</w:t>
      </w:r>
      <w:r>
        <w:t>,</w:t>
      </w:r>
      <w:r w:rsidRPr="000A1730">
        <w:t xml:space="preserve"> 19 August 2014</w:t>
      </w:r>
      <w:r>
        <w:t>, p. 1.</w:t>
      </w:r>
    </w:p>
  </w:footnote>
  <w:footnote w:id="38">
    <w:p w:rsidR="00CD1010" w:rsidRDefault="00CD1010">
      <w:pPr>
        <w:pStyle w:val="FootnoteText"/>
      </w:pPr>
      <w:r>
        <w:rPr>
          <w:rStyle w:val="FootnoteReference"/>
        </w:rPr>
        <w:footnoteRef/>
      </w:r>
      <w:r>
        <w:t xml:space="preserve"> </w:t>
      </w:r>
      <w:r>
        <w:tab/>
      </w:r>
      <w:r w:rsidRPr="00920432">
        <w:t xml:space="preserve">JGN, </w:t>
      </w:r>
      <w:r w:rsidRPr="009C17AC">
        <w:rPr>
          <w:rStyle w:val="AERtextitalic"/>
        </w:rPr>
        <w:t>JGN response to AER's information request No.19</w:t>
      </w:r>
      <w:r w:rsidRPr="00920432">
        <w:t xml:space="preserve">, September 2014, p. </w:t>
      </w:r>
      <w:r>
        <w:t>3</w:t>
      </w:r>
      <w:r w:rsidRPr="00920432">
        <w:t>.</w:t>
      </w:r>
    </w:p>
  </w:footnote>
  <w:footnote w:id="39">
    <w:p w:rsidR="00CD1010" w:rsidRDefault="00CD1010">
      <w:pPr>
        <w:pStyle w:val="FootnoteText"/>
      </w:pPr>
      <w:r>
        <w:rPr>
          <w:rStyle w:val="FootnoteReference"/>
        </w:rPr>
        <w:footnoteRef/>
      </w:r>
      <w:r>
        <w:t xml:space="preserve"> </w:t>
      </w:r>
      <w:r>
        <w:tab/>
      </w:r>
      <w:proofErr w:type="gramStart"/>
      <w:r w:rsidRPr="00920432">
        <w:t xml:space="preserve">JGN, </w:t>
      </w:r>
      <w:r w:rsidRPr="009C17AC">
        <w:rPr>
          <w:rStyle w:val="AERtextitalic"/>
        </w:rPr>
        <w:t>2015–20</w:t>
      </w:r>
      <w:r>
        <w:rPr>
          <w:rStyle w:val="AERtextitalic"/>
        </w:rPr>
        <w:t xml:space="preserve"> </w:t>
      </w:r>
      <w:r w:rsidRPr="009C17AC">
        <w:rPr>
          <w:rStyle w:val="AERtextitalic"/>
        </w:rPr>
        <w:t>Access arrangement information</w:t>
      </w:r>
      <w:r w:rsidRPr="00920432">
        <w:t xml:space="preserve">, </w:t>
      </w:r>
      <w:r>
        <w:t xml:space="preserve">30 </w:t>
      </w:r>
      <w:r w:rsidRPr="00920432">
        <w:t>June 2014, p. 108.</w:t>
      </w:r>
      <w:proofErr w:type="gramEnd"/>
    </w:p>
  </w:footnote>
  <w:footnote w:id="40">
    <w:p w:rsidR="00CD1010" w:rsidRDefault="00CD1010">
      <w:pPr>
        <w:pStyle w:val="FootnoteText"/>
      </w:pPr>
      <w:r>
        <w:rPr>
          <w:rStyle w:val="FootnoteReference"/>
        </w:rPr>
        <w:footnoteRef/>
      </w:r>
      <w:r>
        <w:t xml:space="preserve"> </w:t>
      </w:r>
      <w:r>
        <w:tab/>
      </w:r>
      <w:r w:rsidRPr="00920432">
        <w:t xml:space="preserve">EMRF, </w:t>
      </w:r>
      <w:r w:rsidRPr="009C17AC">
        <w:rPr>
          <w:rStyle w:val="AERtextitalic"/>
        </w:rPr>
        <w:t>submission on JGN's revised AA proposal</w:t>
      </w:r>
      <w:r>
        <w:t>,</w:t>
      </w:r>
      <w:r w:rsidRPr="00920432">
        <w:t xml:space="preserve"> 1 Sept 2014, pp. 10</w:t>
      </w:r>
      <w:r>
        <w:t>3</w:t>
      </w:r>
      <w:r w:rsidRPr="00920432">
        <w:t>–10</w:t>
      </w:r>
      <w:r>
        <w:t xml:space="preserve">4; </w:t>
      </w:r>
      <w:proofErr w:type="spellStart"/>
      <w:r>
        <w:t>Qenos</w:t>
      </w:r>
      <w:proofErr w:type="spellEnd"/>
      <w:r>
        <w:t xml:space="preserve">, </w:t>
      </w:r>
      <w:r w:rsidRPr="009C17AC">
        <w:rPr>
          <w:rStyle w:val="AERtextitalic"/>
        </w:rPr>
        <w:t>Submission on JGN's revised AA proposal</w:t>
      </w:r>
      <w:r>
        <w:t>,</w:t>
      </w:r>
      <w:r w:rsidRPr="00920432">
        <w:t xml:space="preserve"> 12 August 2014</w:t>
      </w:r>
      <w:r>
        <w:t xml:space="preserve">, p. 3. </w:t>
      </w:r>
    </w:p>
  </w:footnote>
  <w:footnote w:id="41">
    <w:p w:rsidR="00CD1010" w:rsidRDefault="00CD1010">
      <w:pPr>
        <w:pStyle w:val="FootnoteText"/>
      </w:pPr>
      <w:r>
        <w:rPr>
          <w:rStyle w:val="FootnoteReference"/>
        </w:rPr>
        <w:footnoteRef/>
      </w:r>
      <w:r>
        <w:t xml:space="preserve"> </w:t>
      </w:r>
      <w:r>
        <w:tab/>
      </w:r>
      <w:proofErr w:type="gramStart"/>
      <w:r w:rsidRPr="00512D17">
        <w:t xml:space="preserve">JGN, </w:t>
      </w:r>
      <w:r w:rsidRPr="009C17AC">
        <w:rPr>
          <w:rStyle w:val="AERtextitalic"/>
        </w:rPr>
        <w:t>JGN response to AER's information request No. 25</w:t>
      </w:r>
      <w:r>
        <w:t>,</w:t>
      </w:r>
      <w:r w:rsidRPr="00512D17">
        <w:t xml:space="preserve"> September 2014, p</w:t>
      </w:r>
      <w:r>
        <w:t>p</w:t>
      </w:r>
      <w:r w:rsidRPr="00512D17">
        <w:t xml:space="preserve">. </w:t>
      </w:r>
      <w:r>
        <w:t>4–5</w:t>
      </w:r>
      <w:r w:rsidRPr="00512D17">
        <w:t>.</w:t>
      </w:r>
      <w:proofErr w:type="gramEnd"/>
    </w:p>
  </w:footnote>
  <w:footnote w:id="42">
    <w:p w:rsidR="00CD1010" w:rsidRDefault="00CD1010">
      <w:pPr>
        <w:pStyle w:val="FootnoteText"/>
      </w:pPr>
      <w:r>
        <w:rPr>
          <w:rStyle w:val="FootnoteReference"/>
        </w:rPr>
        <w:footnoteRef/>
      </w:r>
      <w:r>
        <w:t xml:space="preserve"> </w:t>
      </w:r>
      <w:r>
        <w:tab/>
        <w:t>NGR</w:t>
      </w:r>
      <w:proofErr w:type="gramStart"/>
      <w:r>
        <w:t xml:space="preserve">, </w:t>
      </w:r>
      <w:r w:rsidRPr="001F2038">
        <w:t xml:space="preserve"> </w:t>
      </w:r>
      <w:proofErr w:type="spellStart"/>
      <w:r w:rsidRPr="001F2038">
        <w:t>rr</w:t>
      </w:r>
      <w:proofErr w:type="spellEnd"/>
      <w:proofErr w:type="gramEnd"/>
      <w:r w:rsidRPr="001F2038">
        <w:t xml:space="preserve">. </w:t>
      </w:r>
      <w:proofErr w:type="gramStart"/>
      <w:r w:rsidRPr="001F2038">
        <w:t>93 and 94</w:t>
      </w:r>
      <w:r w:rsidR="001B21EC">
        <w:t>.</w:t>
      </w:r>
      <w:proofErr w:type="gramEnd"/>
    </w:p>
  </w:footnote>
  <w:footnote w:id="43">
    <w:p w:rsidR="00CD1010" w:rsidRDefault="00CD1010">
      <w:pPr>
        <w:pStyle w:val="FootnoteText"/>
      </w:pPr>
      <w:r>
        <w:rPr>
          <w:rStyle w:val="FootnoteReference"/>
        </w:rPr>
        <w:footnoteRef/>
      </w:r>
      <w:r>
        <w:t xml:space="preserve"> </w:t>
      </w:r>
      <w:r>
        <w:tab/>
      </w:r>
      <w:r w:rsidRPr="000E689D">
        <w:t xml:space="preserve">Peter </w:t>
      </w:r>
      <w:proofErr w:type="spellStart"/>
      <w:r w:rsidRPr="000E689D">
        <w:t>Kardashinsky</w:t>
      </w:r>
      <w:proofErr w:type="spellEnd"/>
      <w:r>
        <w:t xml:space="preserve">, </w:t>
      </w:r>
      <w:r w:rsidRPr="009C17AC">
        <w:rPr>
          <w:rStyle w:val="AERtextitalic"/>
        </w:rPr>
        <w:t>Submission on JGN's revised AA proposal</w:t>
      </w:r>
      <w:r>
        <w:t>,</w:t>
      </w:r>
      <w:r w:rsidRPr="000E689D">
        <w:t xml:space="preserve"> 25 August 2014</w:t>
      </w:r>
      <w:r>
        <w:t xml:space="preserve">; </w:t>
      </w:r>
      <w:proofErr w:type="spellStart"/>
      <w:r w:rsidRPr="007B3B61">
        <w:t>Lumo</w:t>
      </w:r>
      <w:proofErr w:type="spellEnd"/>
      <w:r w:rsidRPr="007B3B61">
        <w:t xml:space="preserve"> Energy</w:t>
      </w:r>
      <w:r>
        <w:t>,</w:t>
      </w:r>
      <w:r w:rsidRPr="007B3B61">
        <w:t xml:space="preserve"> </w:t>
      </w:r>
      <w:r w:rsidRPr="009C17AC">
        <w:rPr>
          <w:rStyle w:val="AERtextitalic"/>
        </w:rPr>
        <w:t>Submission on JGN's revised AA proposal</w:t>
      </w:r>
      <w:r>
        <w:t>,</w:t>
      </w:r>
      <w:r w:rsidRPr="007B3B61">
        <w:t xml:space="preserve"> 28 August 2014</w:t>
      </w:r>
      <w:r>
        <w:t>, p. 6.</w:t>
      </w:r>
    </w:p>
  </w:footnote>
  <w:footnote w:id="44">
    <w:p w:rsidR="00CD1010" w:rsidRDefault="00CD1010">
      <w:pPr>
        <w:pStyle w:val="FootnoteText"/>
      </w:pPr>
      <w:r>
        <w:rPr>
          <w:rStyle w:val="FootnoteReference"/>
        </w:rPr>
        <w:footnoteRef/>
      </w:r>
      <w:r>
        <w:t xml:space="preserve"> </w:t>
      </w:r>
      <w:r>
        <w:tab/>
      </w:r>
      <w:proofErr w:type="spellStart"/>
      <w:r>
        <w:t>Multinet</w:t>
      </w:r>
      <w:proofErr w:type="spellEnd"/>
      <w:r>
        <w:t xml:space="preserve"> indicated to the AER that the charge levied will depend on the </w:t>
      </w:r>
      <w:r w:rsidRPr="00927984">
        <w:t xml:space="preserve">supply arrangements </w:t>
      </w:r>
      <w:r>
        <w:t xml:space="preserve">and the work conducted.  </w:t>
      </w:r>
    </w:p>
  </w:footnote>
  <w:footnote w:id="45">
    <w:p w:rsidR="00CD1010" w:rsidRDefault="00CD1010" w:rsidP="00927984">
      <w:pPr>
        <w:pStyle w:val="FootnoteText"/>
      </w:pPr>
      <w:r>
        <w:rPr>
          <w:rStyle w:val="FootnoteReference"/>
        </w:rPr>
        <w:footnoteRef/>
      </w:r>
      <w:r>
        <w:t xml:space="preserve"> </w:t>
      </w:r>
      <w:r>
        <w:tab/>
      </w:r>
      <w:r w:rsidRPr="00927984">
        <w:t>The principal activities performed in relation to the decommissioning and meter removal charge and estimated</w:t>
      </w:r>
      <w:r>
        <w:t xml:space="preserve"> f</w:t>
      </w:r>
      <w:r w:rsidRPr="00927984">
        <w:t>or a typical customer are</w:t>
      </w:r>
      <w:r>
        <w:t xml:space="preserve">: </w:t>
      </w:r>
    </w:p>
    <w:p w:rsidR="00CD1010" w:rsidRPr="00927984" w:rsidRDefault="00CD1010" w:rsidP="00927984">
      <w:pPr>
        <w:pStyle w:val="FootnoteText"/>
      </w:pPr>
      <w:r>
        <w:t>-</w:t>
      </w:r>
      <w:r>
        <w:tab/>
      </w:r>
      <w:r w:rsidRPr="00927984">
        <w:t>contractor costs and materials to disconnect the customer service at the gas main and remove the meter</w:t>
      </w:r>
      <w:r>
        <w:t xml:space="preserve"> </w:t>
      </w:r>
      <w:r w:rsidRPr="00927984">
        <w:t>from the customer’s premises, including traffic control, temporary and permanent restorations of roads,</w:t>
      </w:r>
      <w:r>
        <w:t xml:space="preserve"> </w:t>
      </w:r>
      <w:r w:rsidRPr="00927984">
        <w:t>footpaths</w:t>
      </w:r>
    </w:p>
    <w:p w:rsidR="00CD1010" w:rsidRDefault="00CD1010" w:rsidP="00927984">
      <w:pPr>
        <w:pStyle w:val="FootnoteText"/>
      </w:pPr>
      <w:proofErr w:type="gramStart"/>
      <w:r>
        <w:t>-</w:t>
      </w:r>
      <w:r>
        <w:tab/>
      </w:r>
      <w:r w:rsidRPr="00927984">
        <w:t>support activities to manage retailer requests, contractor and customer issues, field audits, stores, and</w:t>
      </w:r>
      <w:r>
        <w:t xml:space="preserve"> </w:t>
      </w:r>
      <w:r w:rsidRPr="00927984">
        <w:t>supporting systems and enterprise functions</w:t>
      </w:r>
      <w:r>
        <w:t>.</w:t>
      </w:r>
      <w:proofErr w:type="gramEnd"/>
    </w:p>
  </w:footnote>
  <w:footnote w:id="46">
    <w:p w:rsidR="00CD1010" w:rsidRDefault="00CD1010">
      <w:pPr>
        <w:pStyle w:val="FootnoteText"/>
      </w:pPr>
      <w:r>
        <w:rPr>
          <w:rStyle w:val="FootnoteReference"/>
        </w:rPr>
        <w:footnoteRef/>
      </w:r>
      <w:r>
        <w:t xml:space="preserve"> </w:t>
      </w:r>
      <w:r>
        <w:tab/>
      </w:r>
      <w:proofErr w:type="gramStart"/>
      <w:r>
        <w:t>NGR, r 94(4)</w:t>
      </w:r>
      <w:r w:rsidR="001B21EC">
        <w:t>.</w:t>
      </w:r>
      <w:proofErr w:type="gramEnd"/>
    </w:p>
  </w:footnote>
  <w:footnote w:id="47">
    <w:p w:rsidR="00CD1010" w:rsidRDefault="00CD1010">
      <w:pPr>
        <w:pStyle w:val="FootnoteText"/>
      </w:pPr>
      <w:r>
        <w:rPr>
          <w:rStyle w:val="FootnoteReference"/>
        </w:rPr>
        <w:footnoteRef/>
      </w:r>
      <w:r>
        <w:t xml:space="preserve"> </w:t>
      </w:r>
      <w:r>
        <w:tab/>
      </w:r>
      <w:r w:rsidRPr="007335FD">
        <w:t xml:space="preserve">JGN, </w:t>
      </w:r>
      <w:proofErr w:type="gramStart"/>
      <w:r w:rsidRPr="009C17AC">
        <w:rPr>
          <w:rStyle w:val="AERtextitalic"/>
        </w:rPr>
        <w:t>2015–20</w:t>
      </w:r>
      <w:r>
        <w:rPr>
          <w:rStyle w:val="AERtextitalic"/>
        </w:rPr>
        <w:t xml:space="preserve"> </w:t>
      </w:r>
      <w:r w:rsidRPr="009C17AC">
        <w:rPr>
          <w:rStyle w:val="AERtextitalic"/>
        </w:rPr>
        <w:t>Access Arrangement Information</w:t>
      </w:r>
      <w:r w:rsidRPr="007335FD">
        <w:t xml:space="preserve">, </w:t>
      </w:r>
      <w:r>
        <w:t xml:space="preserve">30 </w:t>
      </w:r>
      <w:r w:rsidRPr="007335FD">
        <w:t xml:space="preserve">June 2014, </w:t>
      </w:r>
      <w:r>
        <w:t>appendix 13.1 (confidential), pp. 6–8</w:t>
      </w:r>
      <w:proofErr w:type="gramEnd"/>
      <w:r>
        <w:t>.</w:t>
      </w:r>
    </w:p>
  </w:footnote>
  <w:footnote w:id="48">
    <w:p w:rsidR="00CD1010" w:rsidRDefault="00CD1010">
      <w:pPr>
        <w:pStyle w:val="FootnoteText"/>
      </w:pPr>
      <w:r>
        <w:rPr>
          <w:rStyle w:val="FootnoteReference"/>
        </w:rPr>
        <w:footnoteRef/>
      </w:r>
      <w:r>
        <w:t xml:space="preserve"> </w:t>
      </w:r>
      <w:r>
        <w:tab/>
      </w:r>
      <w:proofErr w:type="gramStart"/>
      <w:r w:rsidRPr="007335FD">
        <w:t xml:space="preserve">JGN, </w:t>
      </w:r>
      <w:r w:rsidRPr="009C17AC">
        <w:rPr>
          <w:rStyle w:val="AERtextitalic"/>
        </w:rPr>
        <w:t>2015–20</w:t>
      </w:r>
      <w:r>
        <w:rPr>
          <w:rStyle w:val="AERtextitalic"/>
        </w:rPr>
        <w:t xml:space="preserve"> </w:t>
      </w:r>
      <w:r w:rsidRPr="009C17AC">
        <w:rPr>
          <w:rStyle w:val="AERtextitalic"/>
        </w:rPr>
        <w:t>Access Arrangement Information</w:t>
      </w:r>
      <w:r w:rsidRPr="007335FD">
        <w:t xml:space="preserve">, </w:t>
      </w:r>
      <w:r>
        <w:t xml:space="preserve">30 </w:t>
      </w:r>
      <w:r w:rsidRPr="007335FD">
        <w:t>June 2014, pp.</w:t>
      </w:r>
      <w:r>
        <w:t>118</w:t>
      </w:r>
      <w:r w:rsidRPr="007335FD">
        <w:t>–</w:t>
      </w:r>
      <w:r>
        <w:t>119</w:t>
      </w:r>
      <w:r w:rsidRPr="007335FD">
        <w:t>.</w:t>
      </w:r>
      <w:proofErr w:type="gramEnd"/>
    </w:p>
  </w:footnote>
  <w:footnote w:id="49">
    <w:p w:rsidR="00CD1010" w:rsidRDefault="00CD1010">
      <w:pPr>
        <w:pStyle w:val="FootnoteText"/>
      </w:pPr>
      <w:r>
        <w:rPr>
          <w:rStyle w:val="FootnoteReference"/>
        </w:rPr>
        <w:footnoteRef/>
      </w:r>
      <w:r>
        <w:t xml:space="preserve"> </w:t>
      </w:r>
      <w:r>
        <w:tab/>
      </w:r>
      <w:r w:rsidRPr="007335FD">
        <w:t xml:space="preserve">JGN, </w:t>
      </w:r>
      <w:proofErr w:type="gramStart"/>
      <w:r w:rsidRPr="009C17AC">
        <w:rPr>
          <w:rStyle w:val="AERtextitalic"/>
        </w:rPr>
        <w:t>2015–20</w:t>
      </w:r>
      <w:r>
        <w:rPr>
          <w:rStyle w:val="AERtextitalic"/>
        </w:rPr>
        <w:t xml:space="preserve"> </w:t>
      </w:r>
      <w:r w:rsidRPr="009C17AC">
        <w:rPr>
          <w:rStyle w:val="AERtextitalic"/>
        </w:rPr>
        <w:t>Access Arrangement Information</w:t>
      </w:r>
      <w:r w:rsidRPr="007335FD">
        <w:t xml:space="preserve">, </w:t>
      </w:r>
      <w:r>
        <w:t xml:space="preserve">30 </w:t>
      </w:r>
      <w:r w:rsidRPr="007335FD">
        <w:t>June 2014</w:t>
      </w:r>
      <w:proofErr w:type="gramEnd"/>
      <w:r w:rsidRPr="007335FD">
        <w:t xml:space="preserve">, </w:t>
      </w:r>
      <w:r>
        <w:t>A</w:t>
      </w:r>
      <w:r w:rsidRPr="007335FD">
        <w:t xml:space="preserve">ppendix 13.1 (confidential), pp. </w:t>
      </w:r>
      <w:r>
        <w:t>7</w:t>
      </w:r>
      <w:r w:rsidRPr="007335FD">
        <w:t>–8.</w:t>
      </w:r>
    </w:p>
  </w:footnote>
  <w:footnote w:id="50">
    <w:p w:rsidR="00CD1010" w:rsidRDefault="00CD1010">
      <w:pPr>
        <w:pStyle w:val="FootnoteText"/>
      </w:pPr>
      <w:r>
        <w:rPr>
          <w:rStyle w:val="FootnoteReference"/>
        </w:rPr>
        <w:footnoteRef/>
      </w:r>
      <w:r>
        <w:t xml:space="preserve"> </w:t>
      </w:r>
      <w:r>
        <w:tab/>
        <w:t>NGR, r 94(4</w:t>
      </w:r>
      <w:proofErr w:type="gramStart"/>
      <w:r>
        <w:t>)(</w:t>
      </w:r>
      <w:proofErr w:type="gramEnd"/>
      <w:r>
        <w:t>b)</w:t>
      </w:r>
      <w:r w:rsidR="001B21EC">
        <w:t>.</w:t>
      </w:r>
    </w:p>
  </w:footnote>
  <w:footnote w:id="51">
    <w:p w:rsidR="00CD1010" w:rsidRDefault="00CD1010">
      <w:pPr>
        <w:pStyle w:val="FootnoteText"/>
      </w:pPr>
      <w:r>
        <w:rPr>
          <w:rStyle w:val="FootnoteReference"/>
        </w:rPr>
        <w:footnoteRef/>
      </w:r>
      <w:r>
        <w:t xml:space="preserve"> </w:t>
      </w:r>
      <w:r>
        <w:tab/>
      </w:r>
      <w:r w:rsidRPr="007335FD">
        <w:t xml:space="preserve">JGN, </w:t>
      </w:r>
      <w:proofErr w:type="gramStart"/>
      <w:r w:rsidR="009D013F" w:rsidRPr="009C17AC">
        <w:rPr>
          <w:rStyle w:val="AERtextitalic"/>
        </w:rPr>
        <w:t>2015–20</w:t>
      </w:r>
      <w:r w:rsidR="009D013F">
        <w:rPr>
          <w:rStyle w:val="AERtextitalic"/>
        </w:rPr>
        <w:t xml:space="preserve"> </w:t>
      </w:r>
      <w:r w:rsidRPr="009C17AC">
        <w:rPr>
          <w:rStyle w:val="AERtextitalic"/>
        </w:rPr>
        <w:t>Access Arrangement Information</w:t>
      </w:r>
      <w:r w:rsidRPr="007335FD">
        <w:t xml:space="preserve">, </w:t>
      </w:r>
      <w:r>
        <w:t xml:space="preserve">30 </w:t>
      </w:r>
      <w:r w:rsidRPr="007335FD">
        <w:t xml:space="preserve">June 2014, appendix 13.1 (confidential), p. </w:t>
      </w:r>
      <w:r>
        <w:t>8</w:t>
      </w:r>
      <w:proofErr w:type="gramEnd"/>
      <w:r w:rsidRPr="007335FD">
        <w:t>.</w:t>
      </w:r>
    </w:p>
  </w:footnote>
  <w:footnote w:id="52">
    <w:p w:rsidR="00CD1010" w:rsidRDefault="00CD1010">
      <w:pPr>
        <w:pStyle w:val="FootnoteText"/>
      </w:pPr>
      <w:r>
        <w:rPr>
          <w:rStyle w:val="FootnoteReference"/>
        </w:rPr>
        <w:footnoteRef/>
      </w:r>
      <w:r>
        <w:t xml:space="preserve"> </w:t>
      </w:r>
      <w:r>
        <w:tab/>
      </w:r>
      <w:r w:rsidRPr="00D470CA">
        <w:t xml:space="preserve">AGL, </w:t>
      </w:r>
      <w:r w:rsidRPr="009C17AC">
        <w:rPr>
          <w:rStyle w:val="AERtextitalic"/>
        </w:rPr>
        <w:t>Submission on JGN's revised AA proposal</w:t>
      </w:r>
      <w:r w:rsidRPr="00D470CA">
        <w:t xml:space="preserve">, 27 August 2014, p. 9; Energy Australia, </w:t>
      </w:r>
      <w:r w:rsidRPr="009C17AC">
        <w:rPr>
          <w:rStyle w:val="AERtextitalic"/>
        </w:rPr>
        <w:t>Submission on JGN's revised AA proposa</w:t>
      </w:r>
      <w:r w:rsidRPr="00D470CA">
        <w:t xml:space="preserve">l, 25 August 2014, p. 7; </w:t>
      </w:r>
      <w:proofErr w:type="spellStart"/>
      <w:r w:rsidRPr="00D470CA">
        <w:t>Lumo</w:t>
      </w:r>
      <w:proofErr w:type="spellEnd"/>
      <w:r w:rsidRPr="00D470CA">
        <w:t xml:space="preserve"> Energy, </w:t>
      </w:r>
      <w:r w:rsidRPr="009C17AC">
        <w:rPr>
          <w:rStyle w:val="AERtextitalic"/>
        </w:rPr>
        <w:t>Submission on JGN's revised AA proposal</w:t>
      </w:r>
      <w:r w:rsidRPr="00D470CA">
        <w:t>,</w:t>
      </w:r>
      <w:r>
        <w:t xml:space="preserve"> 28 August 2014, p. 6; Origin, </w:t>
      </w:r>
      <w:r w:rsidRPr="009C17AC">
        <w:rPr>
          <w:rStyle w:val="AERtextitalic"/>
        </w:rPr>
        <w:t>Submission on JGN's revised AA proposal</w:t>
      </w:r>
      <w:r w:rsidRPr="00D470CA">
        <w:t>,  25 August 2014, pp. 10–11.</w:t>
      </w:r>
    </w:p>
  </w:footnote>
  <w:footnote w:id="53">
    <w:p w:rsidR="00CD1010" w:rsidRDefault="00CD1010">
      <w:pPr>
        <w:pStyle w:val="FootnoteText"/>
      </w:pPr>
      <w:r>
        <w:rPr>
          <w:rStyle w:val="FootnoteReference"/>
        </w:rPr>
        <w:footnoteRef/>
      </w:r>
      <w:r>
        <w:t xml:space="preserve"> </w:t>
      </w:r>
      <w:r>
        <w:tab/>
      </w:r>
      <w:proofErr w:type="gramStart"/>
      <w:r w:rsidRPr="00201D22">
        <w:t xml:space="preserve">JGN, </w:t>
      </w:r>
      <w:r w:rsidRPr="009C17AC">
        <w:rPr>
          <w:rStyle w:val="AERtextitalic"/>
        </w:rPr>
        <w:t>JGN response to AER's information request No. 25a</w:t>
      </w:r>
      <w:r w:rsidRPr="00201D22">
        <w:t>, September 2014, p</w:t>
      </w:r>
      <w:r>
        <w:t>. 10.</w:t>
      </w:r>
      <w:proofErr w:type="gramEnd"/>
    </w:p>
  </w:footnote>
  <w:footnote w:id="54">
    <w:p w:rsidR="00CD1010" w:rsidRDefault="00CD1010">
      <w:pPr>
        <w:pStyle w:val="FootnoteText"/>
      </w:pPr>
      <w:r>
        <w:rPr>
          <w:rStyle w:val="FootnoteReference"/>
        </w:rPr>
        <w:footnoteRef/>
      </w:r>
      <w:r>
        <w:t xml:space="preserve"> </w:t>
      </w:r>
      <w:r>
        <w:tab/>
      </w:r>
      <w:proofErr w:type="gramStart"/>
      <w:r w:rsidRPr="00201D22">
        <w:t xml:space="preserve">JGN, </w:t>
      </w:r>
      <w:r w:rsidRPr="009C17AC">
        <w:rPr>
          <w:rStyle w:val="AERtextitalic"/>
        </w:rPr>
        <w:t>JGN response to AER's information request No. 25a</w:t>
      </w:r>
      <w:r w:rsidRPr="00201D22">
        <w:t>, September 2014, p. 10.</w:t>
      </w:r>
      <w:proofErr w:type="gramEnd"/>
    </w:p>
  </w:footnote>
  <w:footnote w:id="55">
    <w:p w:rsidR="00CD1010" w:rsidRDefault="00CD1010">
      <w:pPr>
        <w:pStyle w:val="FootnoteText"/>
      </w:pPr>
      <w:r>
        <w:rPr>
          <w:rStyle w:val="FootnoteReference"/>
        </w:rPr>
        <w:footnoteRef/>
      </w:r>
      <w:r>
        <w:t xml:space="preserve"> </w:t>
      </w:r>
      <w:r>
        <w:tab/>
      </w:r>
      <w:proofErr w:type="spellStart"/>
      <w:r>
        <w:t>Lumo</w:t>
      </w:r>
      <w:proofErr w:type="spellEnd"/>
      <w:r>
        <w:t xml:space="preserve"> Energy, </w:t>
      </w:r>
      <w:r w:rsidRPr="009C17AC">
        <w:rPr>
          <w:rStyle w:val="AERtextitalic"/>
        </w:rPr>
        <w:t>Submission on JGN's revised AA proposal</w:t>
      </w:r>
      <w:r w:rsidRPr="00201D22">
        <w:t>, 28 August 2014, p. 6</w:t>
      </w:r>
      <w:r>
        <w:t>.</w:t>
      </w:r>
    </w:p>
  </w:footnote>
  <w:footnote w:id="56">
    <w:p w:rsidR="00CD1010" w:rsidRDefault="00CD1010">
      <w:pPr>
        <w:pStyle w:val="FootnoteText"/>
      </w:pPr>
      <w:r>
        <w:rPr>
          <w:rStyle w:val="FootnoteReference"/>
        </w:rPr>
        <w:footnoteRef/>
      </w:r>
      <w:r>
        <w:t xml:space="preserve"> </w:t>
      </w:r>
      <w:r>
        <w:tab/>
      </w:r>
      <w:proofErr w:type="gramStart"/>
      <w:r w:rsidRPr="00201D22">
        <w:t xml:space="preserve">JGN, </w:t>
      </w:r>
      <w:r w:rsidRPr="009C17AC">
        <w:rPr>
          <w:rStyle w:val="AERtextitalic"/>
        </w:rPr>
        <w:t xml:space="preserve">JGN </w:t>
      </w:r>
      <w:r>
        <w:rPr>
          <w:rStyle w:val="AERtextitalic"/>
        </w:rPr>
        <w:t>r</w:t>
      </w:r>
      <w:r w:rsidRPr="009C17AC">
        <w:rPr>
          <w:rStyle w:val="AERtextitalic"/>
        </w:rPr>
        <w:t>esponse to AER's information request No. 25a</w:t>
      </w:r>
      <w:r w:rsidRPr="00201D22">
        <w:t>, September 2014, p. 10.</w:t>
      </w:r>
      <w:proofErr w:type="gramEnd"/>
    </w:p>
  </w:footnote>
  <w:footnote w:id="57">
    <w:p w:rsidR="00CD1010" w:rsidRDefault="00CD1010">
      <w:pPr>
        <w:pStyle w:val="FootnoteText"/>
      </w:pPr>
      <w:r>
        <w:rPr>
          <w:rStyle w:val="FootnoteReference"/>
        </w:rPr>
        <w:footnoteRef/>
      </w:r>
      <w:r>
        <w:t xml:space="preserve"> </w:t>
      </w:r>
      <w:r>
        <w:tab/>
      </w:r>
      <w:r w:rsidRPr="00201D22">
        <w:t xml:space="preserve">Energy Australia, </w:t>
      </w:r>
      <w:r w:rsidRPr="009C17AC">
        <w:rPr>
          <w:rStyle w:val="AERtextitalic"/>
        </w:rPr>
        <w:t>Submission on JGN's revised AA proposal</w:t>
      </w:r>
      <w:r w:rsidRPr="00201D22">
        <w:t>, 25 August 2014, p</w:t>
      </w:r>
      <w:r>
        <w:t xml:space="preserve">p. 6–14. </w:t>
      </w:r>
    </w:p>
  </w:footnote>
  <w:footnote w:id="58">
    <w:p w:rsidR="00CD1010" w:rsidRDefault="00CD1010" w:rsidP="005C5D3E">
      <w:pPr>
        <w:pStyle w:val="FootnoteText"/>
      </w:pPr>
      <w:r>
        <w:rPr>
          <w:rStyle w:val="FootnoteReference"/>
        </w:rPr>
        <w:footnoteRef/>
      </w:r>
      <w:r>
        <w:t xml:space="preserve"> </w:t>
      </w:r>
      <w:r>
        <w:tab/>
      </w:r>
      <w:r w:rsidRPr="005C5D3E">
        <w:t>J</w:t>
      </w:r>
      <w:r>
        <w:t xml:space="preserve">GN, </w:t>
      </w:r>
      <w:r w:rsidRPr="009C17AC">
        <w:rPr>
          <w:rStyle w:val="AERtextitalic"/>
        </w:rPr>
        <w:t>NSW Gas Network Schedule of reference tariffs and charges effective 1 July 2014</w:t>
      </w:r>
      <w:r>
        <w:t>, p. 18.</w:t>
      </w:r>
    </w:p>
  </w:footnote>
  <w:footnote w:id="59">
    <w:p w:rsidR="00CD1010" w:rsidRDefault="00CD1010">
      <w:pPr>
        <w:pStyle w:val="FootnoteText"/>
      </w:pPr>
      <w:r>
        <w:rPr>
          <w:rStyle w:val="FootnoteReference"/>
        </w:rPr>
        <w:footnoteRef/>
      </w:r>
      <w:r>
        <w:t xml:space="preserve"> </w:t>
      </w:r>
      <w:r>
        <w:tab/>
      </w:r>
      <w:proofErr w:type="gramStart"/>
      <w:r w:rsidRPr="00201D22">
        <w:t xml:space="preserve">JGN, </w:t>
      </w:r>
      <w:r w:rsidRPr="009C17AC">
        <w:rPr>
          <w:rStyle w:val="AERtextitalic"/>
        </w:rPr>
        <w:t>JGN response to AER's information request No. 25a</w:t>
      </w:r>
      <w:r w:rsidRPr="00201D22">
        <w:t>, September 2014, p.</w:t>
      </w:r>
      <w:r>
        <w:t xml:space="preserve"> </w:t>
      </w:r>
      <w:r w:rsidRPr="00201D22">
        <w:t>1</w:t>
      </w:r>
      <w:r>
        <w:t>1</w:t>
      </w:r>
      <w:r w:rsidRPr="00201D22">
        <w:t>.</w:t>
      </w:r>
      <w:proofErr w:type="gramEnd"/>
    </w:p>
  </w:footnote>
  <w:footnote w:id="60">
    <w:p w:rsidR="00CD1010" w:rsidRDefault="00CD1010">
      <w:pPr>
        <w:pStyle w:val="FootnoteText"/>
      </w:pPr>
      <w:r>
        <w:rPr>
          <w:rStyle w:val="FootnoteReference"/>
        </w:rPr>
        <w:footnoteRef/>
      </w:r>
      <w:r>
        <w:t xml:space="preserve"> </w:t>
      </w:r>
      <w:r>
        <w:tab/>
      </w:r>
      <w:proofErr w:type="gramStart"/>
      <w:r>
        <w:t>NGR, r 510.</w:t>
      </w:r>
      <w:proofErr w:type="gramEnd"/>
    </w:p>
  </w:footnote>
  <w:footnote w:id="61">
    <w:p w:rsidR="00CD1010" w:rsidRDefault="00CD1010">
      <w:pPr>
        <w:pStyle w:val="FootnoteText"/>
      </w:pPr>
      <w:r>
        <w:rPr>
          <w:rStyle w:val="FootnoteReference"/>
        </w:rPr>
        <w:footnoteRef/>
      </w:r>
      <w:r>
        <w:t xml:space="preserve"> </w:t>
      </w:r>
      <w:r>
        <w:tab/>
      </w:r>
      <w:r w:rsidRPr="00F27FD7">
        <w:t>NGR</w:t>
      </w:r>
      <w:proofErr w:type="gramStart"/>
      <w:r w:rsidRPr="00F27FD7">
        <w:t xml:space="preserve">,  </w:t>
      </w:r>
      <w:proofErr w:type="spellStart"/>
      <w:r w:rsidRPr="00F27FD7">
        <w:t>r</w:t>
      </w:r>
      <w:r>
        <w:t>r</w:t>
      </w:r>
      <w:proofErr w:type="spellEnd"/>
      <w:proofErr w:type="gramEnd"/>
      <w:r w:rsidRPr="00F27FD7">
        <w:t xml:space="preserve">. </w:t>
      </w:r>
      <w:proofErr w:type="gramStart"/>
      <w:r>
        <w:t>92(2), 94, 97(3) and 97(4).</w:t>
      </w:r>
      <w:proofErr w:type="gramEnd"/>
    </w:p>
  </w:footnote>
  <w:footnote w:id="62">
    <w:p w:rsidR="00CD1010" w:rsidRDefault="00CD1010">
      <w:pPr>
        <w:pStyle w:val="FootnoteText"/>
      </w:pPr>
      <w:r>
        <w:rPr>
          <w:rStyle w:val="FootnoteReference"/>
        </w:rPr>
        <w:footnoteRef/>
      </w:r>
      <w:r>
        <w:t xml:space="preserve"> </w:t>
      </w:r>
      <w:r>
        <w:tab/>
      </w:r>
      <w:proofErr w:type="gramStart"/>
      <w:r>
        <w:t>NGR, r 92.</w:t>
      </w:r>
      <w:proofErr w:type="gramEnd"/>
    </w:p>
  </w:footnote>
  <w:footnote w:id="63">
    <w:p w:rsidR="00CD1010" w:rsidRDefault="00CD1010">
      <w:pPr>
        <w:pStyle w:val="FootnoteText"/>
      </w:pPr>
      <w:r>
        <w:rPr>
          <w:rStyle w:val="FootnoteReference"/>
        </w:rPr>
        <w:footnoteRef/>
      </w:r>
      <w:r>
        <w:t xml:space="preserve"> </w:t>
      </w:r>
      <w:r>
        <w:tab/>
      </w:r>
      <w:r w:rsidRPr="00D85B90">
        <w:t>Service providers offer prudent discount to users in order to respond to competition from other providers of pipeline services or other services of energy. Alternatively, the service provider may offer prudent discounts in order to maintain the efficient use of the pipeline.</w:t>
      </w:r>
    </w:p>
  </w:footnote>
  <w:footnote w:id="64">
    <w:p w:rsidR="00CD1010" w:rsidRDefault="00CD1010">
      <w:pPr>
        <w:pStyle w:val="FootnoteText"/>
      </w:pPr>
      <w:r>
        <w:rPr>
          <w:rStyle w:val="FootnoteReference"/>
        </w:rPr>
        <w:footnoteRef/>
      </w:r>
      <w:r>
        <w:t xml:space="preserve"> </w:t>
      </w:r>
      <w:r>
        <w:tab/>
        <w:t xml:space="preserve">NGR, </w:t>
      </w:r>
      <w:r w:rsidRPr="00D60821">
        <w:t>r. 96(2</w:t>
      </w:r>
      <w:proofErr w:type="gramStart"/>
      <w:r w:rsidRPr="00D60821">
        <w:t>)(</w:t>
      </w:r>
      <w:proofErr w:type="gramEnd"/>
      <w:r w:rsidRPr="00D60821">
        <w:t>b)</w:t>
      </w:r>
      <w:r>
        <w:t>.</w:t>
      </w:r>
    </w:p>
  </w:footnote>
  <w:footnote w:id="65">
    <w:p w:rsidR="00CD1010" w:rsidRDefault="00CD1010">
      <w:pPr>
        <w:pStyle w:val="FootnoteText"/>
      </w:pPr>
      <w:r>
        <w:rPr>
          <w:rStyle w:val="FootnoteReference"/>
        </w:rPr>
        <w:footnoteRef/>
      </w:r>
      <w:r>
        <w:t xml:space="preserve"> </w:t>
      </w:r>
      <w:r>
        <w:tab/>
      </w:r>
      <w:proofErr w:type="gramStart"/>
      <w:r w:rsidRPr="00D85B90">
        <w:t>J</w:t>
      </w:r>
      <w:r>
        <w:t>GN</w:t>
      </w:r>
      <w:r w:rsidRPr="00D85B90">
        <w:t xml:space="preserve">, </w:t>
      </w:r>
      <w:r w:rsidR="009D013F" w:rsidRPr="009C17AC">
        <w:rPr>
          <w:rStyle w:val="AERtextitalic"/>
        </w:rPr>
        <w:t>2015–20</w:t>
      </w:r>
      <w:r w:rsidR="009D013F">
        <w:rPr>
          <w:rStyle w:val="AERtextitalic"/>
        </w:rPr>
        <w:t xml:space="preserve"> </w:t>
      </w:r>
      <w:r w:rsidRPr="009C17AC">
        <w:rPr>
          <w:rStyle w:val="AERtextitalic"/>
        </w:rPr>
        <w:t>Access arrangement information</w:t>
      </w:r>
      <w:r w:rsidRPr="00D85B90">
        <w:t xml:space="preserve">, </w:t>
      </w:r>
      <w:r>
        <w:t xml:space="preserve">30 </w:t>
      </w:r>
      <w:r w:rsidRPr="00D85B90">
        <w:t>June 2014, Appendix 13.1</w:t>
      </w:r>
      <w:r>
        <w:t xml:space="preserve"> (confidential)</w:t>
      </w:r>
      <w:r w:rsidRPr="00D85B90">
        <w:t>, p. 9.</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0"/>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AAC6DD7"/>
    <w:multiLevelType w:val="multilevel"/>
    <w:tmpl w:val="950A1C52"/>
    <w:numStyleLink w:val="AERHeadings"/>
  </w:abstractNum>
  <w:abstractNum w:abstractNumId="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8"/>
  </w:num>
  <w:num w:numId="5">
    <w:abstractNumId w:val="0"/>
  </w:num>
  <w:num w:numId="6">
    <w:abstractNumId w:val="6"/>
  </w:num>
  <w:num w:numId="7">
    <w:abstractNumId w:val="3"/>
  </w:num>
  <w:num w:numId="8">
    <w:abstractNumId w:val="7"/>
  </w:num>
  <w:num w:numId="9">
    <w:abstractNumId w:val="5"/>
    <w:lvlOverride w:ilvl="0">
      <w:startOverride w:val="1"/>
    </w:lvlOverride>
  </w:num>
  <w:num w:numId="10">
    <w:abstractNumId w:val="4"/>
  </w:num>
  <w:num w:numId="11">
    <w:abstractNumId w:val="7"/>
  </w:num>
  <w:num w:numId="12">
    <w:abstractNumId w:val="7"/>
  </w:num>
  <w:num w:numId="13">
    <w:abstractNumId w:val="7"/>
  </w:num>
  <w:num w:numId="14">
    <w:abstractNumId w:val="7"/>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documentProtection w:formatting="1" w:enforcement="1" w:cryptProviderType="rsaFull" w:cryptAlgorithmClass="hash" w:cryptAlgorithmType="typeAny" w:cryptAlgorithmSid="4" w:cryptSpinCount="100000" w:hash="4ikuqGtefTjUR8Nv3Sl+DsHmjx4=" w:salt="4Rt9MgJmQIQyiFa33xwHhg=="/>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Offline Records (AC)\Jemena Gas 2014 - Incentive mechanisms (EBSS) - Draft decision.docx"/>
  </w:docVars>
  <w:rsids>
    <w:rsidRoot w:val="000C052F"/>
    <w:rsid w:val="0000077D"/>
    <w:rsid w:val="00011129"/>
    <w:rsid w:val="00022493"/>
    <w:rsid w:val="00022606"/>
    <w:rsid w:val="00040599"/>
    <w:rsid w:val="00040749"/>
    <w:rsid w:val="00067A6E"/>
    <w:rsid w:val="000722CB"/>
    <w:rsid w:val="00091E13"/>
    <w:rsid w:val="00093E0D"/>
    <w:rsid w:val="000A1730"/>
    <w:rsid w:val="000A1CC2"/>
    <w:rsid w:val="000A333F"/>
    <w:rsid w:val="000A5342"/>
    <w:rsid w:val="000B0C71"/>
    <w:rsid w:val="000B15CA"/>
    <w:rsid w:val="000C052F"/>
    <w:rsid w:val="000C2CC6"/>
    <w:rsid w:val="000C3430"/>
    <w:rsid w:val="000C5F5D"/>
    <w:rsid w:val="000C6D71"/>
    <w:rsid w:val="000D03C2"/>
    <w:rsid w:val="000D04B1"/>
    <w:rsid w:val="000D1496"/>
    <w:rsid w:val="000D401F"/>
    <w:rsid w:val="000E1A25"/>
    <w:rsid w:val="000E6418"/>
    <w:rsid w:val="000E689D"/>
    <w:rsid w:val="000F3A6A"/>
    <w:rsid w:val="001033B3"/>
    <w:rsid w:val="00105636"/>
    <w:rsid w:val="00106F84"/>
    <w:rsid w:val="00111B01"/>
    <w:rsid w:val="001168DE"/>
    <w:rsid w:val="001215CC"/>
    <w:rsid w:val="00121FBC"/>
    <w:rsid w:val="0013022D"/>
    <w:rsid w:val="00142E50"/>
    <w:rsid w:val="00147A4A"/>
    <w:rsid w:val="001543D2"/>
    <w:rsid w:val="001708CC"/>
    <w:rsid w:val="00174026"/>
    <w:rsid w:val="001836BF"/>
    <w:rsid w:val="001856EE"/>
    <w:rsid w:val="0018578C"/>
    <w:rsid w:val="00194744"/>
    <w:rsid w:val="00194C3C"/>
    <w:rsid w:val="00196100"/>
    <w:rsid w:val="001B21EC"/>
    <w:rsid w:val="001B6619"/>
    <w:rsid w:val="001C12E5"/>
    <w:rsid w:val="001D0C6B"/>
    <w:rsid w:val="001F2038"/>
    <w:rsid w:val="001F5BE2"/>
    <w:rsid w:val="001F67AF"/>
    <w:rsid w:val="00201D22"/>
    <w:rsid w:val="002023C1"/>
    <w:rsid w:val="0020711E"/>
    <w:rsid w:val="00210880"/>
    <w:rsid w:val="00212B7E"/>
    <w:rsid w:val="00213992"/>
    <w:rsid w:val="002242A6"/>
    <w:rsid w:val="002257B9"/>
    <w:rsid w:val="0022766D"/>
    <w:rsid w:val="0023137D"/>
    <w:rsid w:val="00256C61"/>
    <w:rsid w:val="00266710"/>
    <w:rsid w:val="00271281"/>
    <w:rsid w:val="00274E61"/>
    <w:rsid w:val="002805B8"/>
    <w:rsid w:val="00291950"/>
    <w:rsid w:val="002938CE"/>
    <w:rsid w:val="00296327"/>
    <w:rsid w:val="002B5813"/>
    <w:rsid w:val="002B6640"/>
    <w:rsid w:val="002D61AC"/>
    <w:rsid w:val="002E4720"/>
    <w:rsid w:val="00303452"/>
    <w:rsid w:val="00305716"/>
    <w:rsid w:val="00311EE2"/>
    <w:rsid w:val="003153DD"/>
    <w:rsid w:val="0031732A"/>
    <w:rsid w:val="003324F7"/>
    <w:rsid w:val="00334F88"/>
    <w:rsid w:val="0033654C"/>
    <w:rsid w:val="0034264C"/>
    <w:rsid w:val="00351732"/>
    <w:rsid w:val="00352941"/>
    <w:rsid w:val="0035558A"/>
    <w:rsid w:val="003668AB"/>
    <w:rsid w:val="003676B7"/>
    <w:rsid w:val="003707DB"/>
    <w:rsid w:val="003719B5"/>
    <w:rsid w:val="00375AEC"/>
    <w:rsid w:val="00376236"/>
    <w:rsid w:val="0037652C"/>
    <w:rsid w:val="003800E4"/>
    <w:rsid w:val="00380FF5"/>
    <w:rsid w:val="003841CE"/>
    <w:rsid w:val="00384D85"/>
    <w:rsid w:val="00391596"/>
    <w:rsid w:val="003A4BAC"/>
    <w:rsid w:val="003A6174"/>
    <w:rsid w:val="003A7C8A"/>
    <w:rsid w:val="003A7EE5"/>
    <w:rsid w:val="003B6BFA"/>
    <w:rsid w:val="003C0C81"/>
    <w:rsid w:val="003D1269"/>
    <w:rsid w:val="003E411D"/>
    <w:rsid w:val="003E6299"/>
    <w:rsid w:val="003F55FC"/>
    <w:rsid w:val="004005EB"/>
    <w:rsid w:val="004030AB"/>
    <w:rsid w:val="00404222"/>
    <w:rsid w:val="00404EAB"/>
    <w:rsid w:val="00410517"/>
    <w:rsid w:val="00412282"/>
    <w:rsid w:val="004256BA"/>
    <w:rsid w:val="00431999"/>
    <w:rsid w:val="00433475"/>
    <w:rsid w:val="00435682"/>
    <w:rsid w:val="00436C61"/>
    <w:rsid w:val="00444D60"/>
    <w:rsid w:val="00456081"/>
    <w:rsid w:val="00464F5D"/>
    <w:rsid w:val="00465C62"/>
    <w:rsid w:val="0046605D"/>
    <w:rsid w:val="004708F5"/>
    <w:rsid w:val="00474FBD"/>
    <w:rsid w:val="0047790E"/>
    <w:rsid w:val="00491D7D"/>
    <w:rsid w:val="004964DB"/>
    <w:rsid w:val="004B2F8D"/>
    <w:rsid w:val="004C115A"/>
    <w:rsid w:val="004C2A2F"/>
    <w:rsid w:val="004C3F45"/>
    <w:rsid w:val="004D2E88"/>
    <w:rsid w:val="004D3B47"/>
    <w:rsid w:val="004D3FDE"/>
    <w:rsid w:val="004E40EF"/>
    <w:rsid w:val="004E73F7"/>
    <w:rsid w:val="004F0195"/>
    <w:rsid w:val="004F76A0"/>
    <w:rsid w:val="00500E7F"/>
    <w:rsid w:val="00501919"/>
    <w:rsid w:val="00510278"/>
    <w:rsid w:val="00512D17"/>
    <w:rsid w:val="00520094"/>
    <w:rsid w:val="0052179D"/>
    <w:rsid w:val="00525604"/>
    <w:rsid w:val="005311F1"/>
    <w:rsid w:val="005456A9"/>
    <w:rsid w:val="00555D52"/>
    <w:rsid w:val="005566D7"/>
    <w:rsid w:val="00561F7F"/>
    <w:rsid w:val="00564677"/>
    <w:rsid w:val="00566B35"/>
    <w:rsid w:val="005715BC"/>
    <w:rsid w:val="005732CC"/>
    <w:rsid w:val="00575422"/>
    <w:rsid w:val="005938C6"/>
    <w:rsid w:val="005A0431"/>
    <w:rsid w:val="005A733C"/>
    <w:rsid w:val="005B2DD0"/>
    <w:rsid w:val="005B3752"/>
    <w:rsid w:val="005B61C2"/>
    <w:rsid w:val="005C5D3E"/>
    <w:rsid w:val="005D1F46"/>
    <w:rsid w:val="005D26B7"/>
    <w:rsid w:val="005D4AA1"/>
    <w:rsid w:val="005D594C"/>
    <w:rsid w:val="005E3E0C"/>
    <w:rsid w:val="005E56FE"/>
    <w:rsid w:val="0060146C"/>
    <w:rsid w:val="0060207D"/>
    <w:rsid w:val="006039F2"/>
    <w:rsid w:val="006049FB"/>
    <w:rsid w:val="006061B0"/>
    <w:rsid w:val="0060732E"/>
    <w:rsid w:val="006076A9"/>
    <w:rsid w:val="00614D8E"/>
    <w:rsid w:val="00622AE3"/>
    <w:rsid w:val="006346A7"/>
    <w:rsid w:val="00635671"/>
    <w:rsid w:val="0065014D"/>
    <w:rsid w:val="0065125A"/>
    <w:rsid w:val="006544EA"/>
    <w:rsid w:val="0066569F"/>
    <w:rsid w:val="00665CAE"/>
    <w:rsid w:val="00666F46"/>
    <w:rsid w:val="00681367"/>
    <w:rsid w:val="0069004B"/>
    <w:rsid w:val="006962A0"/>
    <w:rsid w:val="006B08EB"/>
    <w:rsid w:val="006B319B"/>
    <w:rsid w:val="006B481F"/>
    <w:rsid w:val="006C10BB"/>
    <w:rsid w:val="006D7DC9"/>
    <w:rsid w:val="006F638E"/>
    <w:rsid w:val="00703E42"/>
    <w:rsid w:val="00705F01"/>
    <w:rsid w:val="00713058"/>
    <w:rsid w:val="007335FD"/>
    <w:rsid w:val="007368AD"/>
    <w:rsid w:val="00751D2A"/>
    <w:rsid w:val="00754DC8"/>
    <w:rsid w:val="00755095"/>
    <w:rsid w:val="007550E1"/>
    <w:rsid w:val="00791A78"/>
    <w:rsid w:val="00796A07"/>
    <w:rsid w:val="007B0BB0"/>
    <w:rsid w:val="007B3B61"/>
    <w:rsid w:val="007B5D8B"/>
    <w:rsid w:val="007C3B99"/>
    <w:rsid w:val="007C5E48"/>
    <w:rsid w:val="007D1665"/>
    <w:rsid w:val="007E1B95"/>
    <w:rsid w:val="007F06C1"/>
    <w:rsid w:val="007F10E3"/>
    <w:rsid w:val="007F212D"/>
    <w:rsid w:val="007F2C0E"/>
    <w:rsid w:val="007F6B32"/>
    <w:rsid w:val="00804AEB"/>
    <w:rsid w:val="008216A9"/>
    <w:rsid w:val="00824CC8"/>
    <w:rsid w:val="00831491"/>
    <w:rsid w:val="00836D17"/>
    <w:rsid w:val="00840A55"/>
    <w:rsid w:val="0084155C"/>
    <w:rsid w:val="00841E25"/>
    <w:rsid w:val="0084378B"/>
    <w:rsid w:val="008464CD"/>
    <w:rsid w:val="008515EE"/>
    <w:rsid w:val="0085249B"/>
    <w:rsid w:val="00854AEE"/>
    <w:rsid w:val="0085593A"/>
    <w:rsid w:val="0086160E"/>
    <w:rsid w:val="00861C4E"/>
    <w:rsid w:val="00866D21"/>
    <w:rsid w:val="00872448"/>
    <w:rsid w:val="00872D85"/>
    <w:rsid w:val="00880D0C"/>
    <w:rsid w:val="00883DDA"/>
    <w:rsid w:val="00883F67"/>
    <w:rsid w:val="00891FF9"/>
    <w:rsid w:val="00893367"/>
    <w:rsid w:val="00893D07"/>
    <w:rsid w:val="008B262C"/>
    <w:rsid w:val="008B4932"/>
    <w:rsid w:val="008B7956"/>
    <w:rsid w:val="008C3722"/>
    <w:rsid w:val="008C3B67"/>
    <w:rsid w:val="008C3F48"/>
    <w:rsid w:val="008D1473"/>
    <w:rsid w:val="008D49B4"/>
    <w:rsid w:val="008D7498"/>
    <w:rsid w:val="008E43EB"/>
    <w:rsid w:val="008E630D"/>
    <w:rsid w:val="00920432"/>
    <w:rsid w:val="00927984"/>
    <w:rsid w:val="00932E96"/>
    <w:rsid w:val="00933484"/>
    <w:rsid w:val="009418E6"/>
    <w:rsid w:val="0094235F"/>
    <w:rsid w:val="0094279F"/>
    <w:rsid w:val="009429FF"/>
    <w:rsid w:val="00946B98"/>
    <w:rsid w:val="0095052A"/>
    <w:rsid w:val="009516DF"/>
    <w:rsid w:val="00957F1D"/>
    <w:rsid w:val="00963AFA"/>
    <w:rsid w:val="009658F0"/>
    <w:rsid w:val="00971655"/>
    <w:rsid w:val="00971C63"/>
    <w:rsid w:val="00972175"/>
    <w:rsid w:val="0097658F"/>
    <w:rsid w:val="00980D9B"/>
    <w:rsid w:val="00983C6C"/>
    <w:rsid w:val="00985A25"/>
    <w:rsid w:val="009A4AE9"/>
    <w:rsid w:val="009A73F2"/>
    <w:rsid w:val="009B0639"/>
    <w:rsid w:val="009C17AC"/>
    <w:rsid w:val="009C71D5"/>
    <w:rsid w:val="009D013F"/>
    <w:rsid w:val="009D02E8"/>
    <w:rsid w:val="009D5F52"/>
    <w:rsid w:val="009E0833"/>
    <w:rsid w:val="009F6E3A"/>
    <w:rsid w:val="009F7CE4"/>
    <w:rsid w:val="00A03483"/>
    <w:rsid w:val="00A036EE"/>
    <w:rsid w:val="00A11162"/>
    <w:rsid w:val="00A1253E"/>
    <w:rsid w:val="00A3053C"/>
    <w:rsid w:val="00A37F0F"/>
    <w:rsid w:val="00A43227"/>
    <w:rsid w:val="00A46CCD"/>
    <w:rsid w:val="00A5047C"/>
    <w:rsid w:val="00A62D21"/>
    <w:rsid w:val="00A65133"/>
    <w:rsid w:val="00A652C5"/>
    <w:rsid w:val="00A73A0F"/>
    <w:rsid w:val="00A7774C"/>
    <w:rsid w:val="00A831F6"/>
    <w:rsid w:val="00A85C5A"/>
    <w:rsid w:val="00A9309D"/>
    <w:rsid w:val="00A96A08"/>
    <w:rsid w:val="00AA0161"/>
    <w:rsid w:val="00AA4CC1"/>
    <w:rsid w:val="00AB1D08"/>
    <w:rsid w:val="00AB23AC"/>
    <w:rsid w:val="00AB3BE9"/>
    <w:rsid w:val="00AB4345"/>
    <w:rsid w:val="00AB472F"/>
    <w:rsid w:val="00AB5BD7"/>
    <w:rsid w:val="00AC0135"/>
    <w:rsid w:val="00AC070D"/>
    <w:rsid w:val="00AC1B94"/>
    <w:rsid w:val="00AC48A1"/>
    <w:rsid w:val="00AD0616"/>
    <w:rsid w:val="00AD34FF"/>
    <w:rsid w:val="00AD4DE6"/>
    <w:rsid w:val="00AE6DBC"/>
    <w:rsid w:val="00AE7BE2"/>
    <w:rsid w:val="00AE7C53"/>
    <w:rsid w:val="00AF3E95"/>
    <w:rsid w:val="00AF7C67"/>
    <w:rsid w:val="00B14C33"/>
    <w:rsid w:val="00B15FE9"/>
    <w:rsid w:val="00B2004B"/>
    <w:rsid w:val="00B2412C"/>
    <w:rsid w:val="00B26B38"/>
    <w:rsid w:val="00B36C53"/>
    <w:rsid w:val="00B44BC6"/>
    <w:rsid w:val="00B51883"/>
    <w:rsid w:val="00B60D45"/>
    <w:rsid w:val="00B61FD4"/>
    <w:rsid w:val="00B62AFF"/>
    <w:rsid w:val="00B674DB"/>
    <w:rsid w:val="00B82E8D"/>
    <w:rsid w:val="00B8622C"/>
    <w:rsid w:val="00B9264D"/>
    <w:rsid w:val="00B94D99"/>
    <w:rsid w:val="00BB3FA1"/>
    <w:rsid w:val="00BB62BB"/>
    <w:rsid w:val="00BB6419"/>
    <w:rsid w:val="00BC05C5"/>
    <w:rsid w:val="00BC4779"/>
    <w:rsid w:val="00BC57A6"/>
    <w:rsid w:val="00BC5B1F"/>
    <w:rsid w:val="00BD04BE"/>
    <w:rsid w:val="00BD203B"/>
    <w:rsid w:val="00BD2A5A"/>
    <w:rsid w:val="00BE6F28"/>
    <w:rsid w:val="00BF1CAF"/>
    <w:rsid w:val="00BF29FA"/>
    <w:rsid w:val="00C03E5F"/>
    <w:rsid w:val="00C04D2B"/>
    <w:rsid w:val="00C122F8"/>
    <w:rsid w:val="00C1324E"/>
    <w:rsid w:val="00C21585"/>
    <w:rsid w:val="00C272B4"/>
    <w:rsid w:val="00C277B2"/>
    <w:rsid w:val="00C557F2"/>
    <w:rsid w:val="00C60FC4"/>
    <w:rsid w:val="00C737C5"/>
    <w:rsid w:val="00C85F9A"/>
    <w:rsid w:val="00C90B93"/>
    <w:rsid w:val="00C91879"/>
    <w:rsid w:val="00CA0B34"/>
    <w:rsid w:val="00CA3540"/>
    <w:rsid w:val="00CA6DED"/>
    <w:rsid w:val="00CC49D4"/>
    <w:rsid w:val="00CD1010"/>
    <w:rsid w:val="00CE00A3"/>
    <w:rsid w:val="00CE6F5A"/>
    <w:rsid w:val="00CF2AD4"/>
    <w:rsid w:val="00CF42CF"/>
    <w:rsid w:val="00CF6994"/>
    <w:rsid w:val="00D04377"/>
    <w:rsid w:val="00D102E9"/>
    <w:rsid w:val="00D14AA4"/>
    <w:rsid w:val="00D1688F"/>
    <w:rsid w:val="00D20390"/>
    <w:rsid w:val="00D2117F"/>
    <w:rsid w:val="00D21A6A"/>
    <w:rsid w:val="00D25317"/>
    <w:rsid w:val="00D31E37"/>
    <w:rsid w:val="00D470CA"/>
    <w:rsid w:val="00D603A4"/>
    <w:rsid w:val="00D60821"/>
    <w:rsid w:val="00D62997"/>
    <w:rsid w:val="00D66E8B"/>
    <w:rsid w:val="00D81B53"/>
    <w:rsid w:val="00D82184"/>
    <w:rsid w:val="00D834B7"/>
    <w:rsid w:val="00D85715"/>
    <w:rsid w:val="00D85B90"/>
    <w:rsid w:val="00D85DF1"/>
    <w:rsid w:val="00D8706C"/>
    <w:rsid w:val="00DA4C62"/>
    <w:rsid w:val="00DA76E6"/>
    <w:rsid w:val="00DA7967"/>
    <w:rsid w:val="00DB6A17"/>
    <w:rsid w:val="00DD4E84"/>
    <w:rsid w:val="00DD5520"/>
    <w:rsid w:val="00DE22F1"/>
    <w:rsid w:val="00DF16C2"/>
    <w:rsid w:val="00E00F76"/>
    <w:rsid w:val="00E21E75"/>
    <w:rsid w:val="00E244E4"/>
    <w:rsid w:val="00E25F1E"/>
    <w:rsid w:val="00E30377"/>
    <w:rsid w:val="00E41CD5"/>
    <w:rsid w:val="00E47128"/>
    <w:rsid w:val="00E519DC"/>
    <w:rsid w:val="00E649AC"/>
    <w:rsid w:val="00E6571F"/>
    <w:rsid w:val="00E807DA"/>
    <w:rsid w:val="00E82908"/>
    <w:rsid w:val="00E84E3A"/>
    <w:rsid w:val="00E868CF"/>
    <w:rsid w:val="00E902E6"/>
    <w:rsid w:val="00E91F70"/>
    <w:rsid w:val="00E95DF8"/>
    <w:rsid w:val="00E97CFD"/>
    <w:rsid w:val="00EA05AF"/>
    <w:rsid w:val="00EA5036"/>
    <w:rsid w:val="00EA50CD"/>
    <w:rsid w:val="00EB5CDF"/>
    <w:rsid w:val="00EC43B9"/>
    <w:rsid w:val="00ED08EA"/>
    <w:rsid w:val="00ED4963"/>
    <w:rsid w:val="00ED4D69"/>
    <w:rsid w:val="00ED6FB9"/>
    <w:rsid w:val="00EE0E2F"/>
    <w:rsid w:val="00EE362F"/>
    <w:rsid w:val="00EF0E19"/>
    <w:rsid w:val="00F01C9D"/>
    <w:rsid w:val="00F05478"/>
    <w:rsid w:val="00F06EA7"/>
    <w:rsid w:val="00F114AE"/>
    <w:rsid w:val="00F27FD7"/>
    <w:rsid w:val="00F43CA0"/>
    <w:rsid w:val="00F54216"/>
    <w:rsid w:val="00F55030"/>
    <w:rsid w:val="00F636D6"/>
    <w:rsid w:val="00F63E70"/>
    <w:rsid w:val="00F66FFC"/>
    <w:rsid w:val="00F7696F"/>
    <w:rsid w:val="00F8209B"/>
    <w:rsid w:val="00F97CD9"/>
    <w:rsid w:val="00FA0576"/>
    <w:rsid w:val="00FB4C7F"/>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0" w:qFormat="1"/>
    <w:lsdException w:name="Closing" w:locked="0"/>
    <w:lsdException w:name="Signature" w:locked="0"/>
    <w:lsdException w:name="Default Paragraph Font" w:locked="0" w:uiPriority="1"/>
    <w:lsdException w:name="Message Header" w:locked="0"/>
    <w:lsdException w:name="Subtitle" w:locked="0" w:uiPriority="0"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81B53"/>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5"/>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EndnoteText">
    <w:name w:val="endnote text"/>
    <w:basedOn w:val="Normal"/>
    <w:link w:val="EndnoteTextChar"/>
    <w:uiPriority w:val="99"/>
    <w:semiHidden/>
    <w:unhideWhenUsed/>
    <w:rsid w:val="00D20390"/>
    <w:pPr>
      <w:spacing w:after="0" w:line="240" w:lineRule="auto"/>
    </w:pPr>
  </w:style>
  <w:style w:type="character" w:customStyle="1" w:styleId="EndnoteTextChar">
    <w:name w:val="Endnote Text Char"/>
    <w:basedOn w:val="DefaultParagraphFont"/>
    <w:link w:val="EndnoteText"/>
    <w:uiPriority w:val="99"/>
    <w:semiHidden/>
    <w:rsid w:val="00D20390"/>
    <w:rPr>
      <w:lang w:eastAsia="en-US"/>
    </w:rPr>
  </w:style>
  <w:style w:type="character" w:styleId="EndnoteReference">
    <w:name w:val="endnote reference"/>
    <w:basedOn w:val="DefaultParagraphFont"/>
    <w:uiPriority w:val="99"/>
    <w:semiHidden/>
    <w:unhideWhenUsed/>
    <w:rsid w:val="00D20390"/>
    <w:rPr>
      <w:vertAlign w:val="superscript"/>
    </w:rPr>
  </w:style>
  <w:style w:type="paragraph" w:styleId="Title">
    <w:name w:val="Title"/>
    <w:next w:val="Subtitle"/>
    <w:link w:val="TitleChar"/>
    <w:qFormat/>
    <w:rsid w:val="00D85B90"/>
    <w:pPr>
      <w:spacing w:before="2400" w:after="1920"/>
      <w:jc w:val="center"/>
    </w:pPr>
    <w:rPr>
      <w:rFonts w:ascii="Arial" w:eastAsia="Times New Roman" w:hAnsi="Arial" w:cs="Arial"/>
      <w:b/>
      <w:bCs/>
      <w:kern w:val="28"/>
      <w:sz w:val="36"/>
      <w:szCs w:val="32"/>
      <w:lang w:eastAsia="en-US"/>
    </w:rPr>
  </w:style>
  <w:style w:type="character" w:customStyle="1" w:styleId="TitleChar">
    <w:name w:val="Title Char"/>
    <w:basedOn w:val="DefaultParagraphFont"/>
    <w:link w:val="Title"/>
    <w:rsid w:val="00D85B90"/>
    <w:rPr>
      <w:rFonts w:ascii="Arial" w:eastAsia="Times New Roman" w:hAnsi="Arial" w:cs="Arial"/>
      <w:b/>
      <w:bCs/>
      <w:kern w:val="28"/>
      <w:sz w:val="36"/>
      <w:szCs w:val="32"/>
      <w:lang w:eastAsia="en-US"/>
    </w:rPr>
  </w:style>
  <w:style w:type="paragraph" w:styleId="Subtitle">
    <w:name w:val="Subtitle"/>
    <w:link w:val="SubtitleChar"/>
    <w:qFormat/>
    <w:rsid w:val="00D85B90"/>
    <w:pPr>
      <w:spacing w:after="60"/>
      <w:jc w:val="center"/>
      <w:outlineLvl w:val="1"/>
    </w:pPr>
    <w:rPr>
      <w:rFonts w:ascii="Arial" w:eastAsia="Times New Roman" w:hAnsi="Arial" w:cs="Arial"/>
      <w:sz w:val="28"/>
      <w:szCs w:val="24"/>
      <w:lang w:eastAsia="en-US"/>
    </w:rPr>
  </w:style>
  <w:style w:type="character" w:customStyle="1" w:styleId="SubtitleChar">
    <w:name w:val="Subtitle Char"/>
    <w:basedOn w:val="DefaultParagraphFont"/>
    <w:link w:val="Subtitle"/>
    <w:rsid w:val="00D85B90"/>
    <w:rPr>
      <w:rFonts w:ascii="Arial" w:eastAsia="Times New Roman" w:hAnsi="Arial" w:cs="Arial"/>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4520">
      <w:bodyDiv w:val="1"/>
      <w:marLeft w:val="0"/>
      <w:marRight w:val="0"/>
      <w:marTop w:val="0"/>
      <w:marBottom w:val="0"/>
      <w:divBdr>
        <w:top w:val="none" w:sz="0" w:space="0" w:color="auto"/>
        <w:left w:val="none" w:sz="0" w:space="0" w:color="auto"/>
        <w:bottom w:val="none" w:sz="0" w:space="0" w:color="auto"/>
        <w:right w:val="none" w:sz="0" w:space="0" w:color="auto"/>
      </w:divBdr>
    </w:div>
    <w:div w:id="306857222">
      <w:bodyDiv w:val="1"/>
      <w:marLeft w:val="0"/>
      <w:marRight w:val="0"/>
      <w:marTop w:val="0"/>
      <w:marBottom w:val="0"/>
      <w:divBdr>
        <w:top w:val="none" w:sz="0" w:space="0" w:color="auto"/>
        <w:left w:val="none" w:sz="0" w:space="0" w:color="auto"/>
        <w:bottom w:val="none" w:sz="0" w:space="0" w:color="auto"/>
        <w:right w:val="none" w:sz="0" w:space="0" w:color="auto"/>
      </w:divBdr>
    </w:div>
    <w:div w:id="74160573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61979677">
      <w:bodyDiv w:val="1"/>
      <w:marLeft w:val="0"/>
      <w:marRight w:val="0"/>
      <w:marTop w:val="0"/>
      <w:marBottom w:val="0"/>
      <w:divBdr>
        <w:top w:val="none" w:sz="0" w:space="0" w:color="auto"/>
        <w:left w:val="none" w:sz="0" w:space="0" w:color="auto"/>
        <w:bottom w:val="none" w:sz="0" w:space="0" w:color="auto"/>
        <w:right w:val="none" w:sz="0" w:space="0" w:color="auto"/>
      </w:divBdr>
    </w:div>
    <w:div w:id="1540052541">
      <w:bodyDiv w:val="1"/>
      <w:marLeft w:val="0"/>
      <w:marRight w:val="0"/>
      <w:marTop w:val="0"/>
      <w:marBottom w:val="0"/>
      <w:divBdr>
        <w:top w:val="none" w:sz="0" w:space="0" w:color="auto"/>
        <w:left w:val="none" w:sz="0" w:space="0" w:color="auto"/>
        <w:bottom w:val="none" w:sz="0" w:space="0" w:color="auto"/>
        <w:right w:val="none" w:sz="0" w:space="0" w:color="auto"/>
      </w:divBdr>
    </w:div>
    <w:div w:id="20196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8FEE5D41.dotm</Template>
  <TotalTime>0</TotalTime>
  <Pages>19</Pages>
  <Words>5072</Words>
  <Characters>28916</Characters>
  <Application>Microsoft Office Word</Application>
  <DocSecurity>0</DocSecurity>
  <Lines>240</Lines>
  <Paragraphs>67</Paragraphs>
  <ScaleCrop>false</ScaleCrop>
  <Company/>
  <LinksUpToDate>false</LinksUpToDate>
  <CharactersWithSpaces>33921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2014-11-26T04:15:00Z</dcterms:created>
  <dcterms:modified xsi:type="dcterms:W3CDTF">2014-11-26T04:16:00Z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8257681</vt:lpwstr>
  </property>
</Properties>
</file>