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97" w:rsidRDefault="00240997" w:rsidP="00240997">
      <w:pPr>
        <w:pStyle w:val="HeadingOrange"/>
      </w:pPr>
      <w:bookmarkStart w:id="0" w:name="_Toc396839255"/>
      <w:bookmarkStart w:id="1" w:name="_GoBack"/>
      <w:bookmarkEnd w:id="1"/>
      <w:r w:rsidRPr="00240997">
        <w:rPr>
          <w:noProof/>
          <w:lang w:eastAsia="en-AU"/>
        </w:rPr>
        <w:drawing>
          <wp:anchor distT="0" distB="0" distL="114300" distR="114300" simplePos="0" relativeHeight="251660288" behindDoc="1" locked="0" layoutInCell="1" allowOverlap="1" wp14:anchorId="1CF4B954" wp14:editId="73768FEC">
            <wp:simplePos x="0" y="0"/>
            <wp:positionH relativeFrom="column">
              <wp:posOffset>-1014730</wp:posOffset>
            </wp:positionH>
            <wp:positionV relativeFrom="paragraph">
              <wp:posOffset>-944245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Pr="00240997">
        <w:rPr>
          <w:noProof/>
          <w:lang w:eastAsia="en-AU"/>
        </w:rPr>
        <w:drawing>
          <wp:anchor distT="0" distB="0" distL="114300" distR="114300" simplePos="0" relativeHeight="251659264" behindDoc="1" locked="0" layoutInCell="1" allowOverlap="1" wp14:anchorId="267C4AB8" wp14:editId="094B4399">
            <wp:simplePos x="0" y="0"/>
            <wp:positionH relativeFrom="column">
              <wp:posOffset>8280400</wp:posOffset>
            </wp:positionH>
            <wp:positionV relativeFrom="paragraph">
              <wp:posOffset>-946150</wp:posOffset>
            </wp:positionV>
            <wp:extent cx="7635875" cy="10784205"/>
            <wp:effectExtent l="19050" t="0" r="3175"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240997" w:rsidRDefault="00240997" w:rsidP="00240997">
      <w:pPr>
        <w:pStyle w:val="AERtitle1"/>
      </w:pPr>
    </w:p>
    <w:p w:rsidR="00240997" w:rsidRDefault="00240997" w:rsidP="00240997">
      <w:pPr>
        <w:pStyle w:val="AERtitle1"/>
      </w:pPr>
    </w:p>
    <w:p w:rsidR="00240997" w:rsidRDefault="00240997" w:rsidP="00240997">
      <w:pPr>
        <w:pStyle w:val="AERtitle1"/>
      </w:pPr>
    </w:p>
    <w:p w:rsidR="00240997" w:rsidRDefault="00240997" w:rsidP="00240997">
      <w:pPr>
        <w:pStyle w:val="AERtitle1"/>
      </w:pPr>
    </w:p>
    <w:p w:rsidR="00240997" w:rsidRDefault="00240997" w:rsidP="00240997">
      <w:pPr>
        <w:pStyle w:val="AERtitle1"/>
      </w:pPr>
    </w:p>
    <w:p w:rsidR="00240997" w:rsidRDefault="00240997" w:rsidP="00240997">
      <w:pPr>
        <w:pStyle w:val="AERtitle1"/>
      </w:pPr>
    </w:p>
    <w:p w:rsidR="00240997" w:rsidRDefault="00240997" w:rsidP="00240997">
      <w:pPr>
        <w:pStyle w:val="AERtitle1"/>
      </w:pPr>
      <w:r>
        <w:t>Draft decision</w:t>
      </w:r>
    </w:p>
    <w:p w:rsidR="00240997" w:rsidRDefault="00240997" w:rsidP="00240997">
      <w:pPr>
        <w:pStyle w:val="AERtitle1"/>
      </w:pPr>
      <w:r>
        <w:t>Directlink transmission determination</w:t>
      </w:r>
    </w:p>
    <w:p w:rsidR="00240997" w:rsidRDefault="00240997" w:rsidP="00240997">
      <w:pPr>
        <w:pStyle w:val="AERtitle1"/>
      </w:pPr>
      <w:r>
        <w:t>2015-16 to 2019-20</w:t>
      </w:r>
    </w:p>
    <w:p w:rsidR="00240997" w:rsidRDefault="00240997" w:rsidP="00240997">
      <w:pPr>
        <w:pStyle w:val="AERtitle1"/>
      </w:pPr>
      <w:r>
        <w:t>Attachment 12: Pricing methodology and negotiated services</w:t>
      </w:r>
    </w:p>
    <w:p w:rsidR="00240997" w:rsidRDefault="00240997" w:rsidP="00240997"/>
    <w:p w:rsidR="00240997" w:rsidRDefault="00240997" w:rsidP="00240997"/>
    <w:p w:rsidR="00240997" w:rsidRPr="00F6235D" w:rsidRDefault="00240997" w:rsidP="00240997"/>
    <w:p w:rsidR="00240997" w:rsidRPr="00F6235D" w:rsidRDefault="00240997" w:rsidP="00240997">
      <w:pPr>
        <w:pStyle w:val="AERtitle2"/>
      </w:pPr>
      <w:r>
        <w:t>November 2014</w:t>
      </w:r>
    </w:p>
    <w:p w:rsidR="00240997" w:rsidRPr="00F6235D" w:rsidRDefault="00240997" w:rsidP="00240997">
      <w:r w:rsidRPr="00F6235D">
        <w:t xml:space="preserve"> </w:t>
      </w:r>
    </w:p>
    <w:p w:rsidR="00240997" w:rsidRPr="00EF0E19" w:rsidRDefault="00240997" w:rsidP="00240997">
      <w:pPr>
        <w:rPr>
          <w:rStyle w:val="AERtextbold"/>
        </w:rPr>
      </w:pPr>
      <w:r>
        <w:rPr>
          <w:rStyle w:val="AERtextbold"/>
        </w:rPr>
        <w:br w:type="page"/>
      </w:r>
    </w:p>
    <w:p w:rsidR="00240997" w:rsidRPr="00B06FB7" w:rsidRDefault="00240997" w:rsidP="00240997">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240997" w:rsidRPr="00B06FB7" w:rsidRDefault="00240997" w:rsidP="00240997">
      <w:r w:rsidRPr="00B06FB7">
        <w:t>This work is copyright. In addition to any use permitted under the Copyright Act 1968, all material contained within this work is provided under a Creative Commons Attribution 3.0 Australia licence, with the exception of:</w:t>
      </w:r>
    </w:p>
    <w:p w:rsidR="00240997" w:rsidRPr="00B06FB7" w:rsidRDefault="00240997" w:rsidP="00240997">
      <w:pPr>
        <w:pStyle w:val="AERbulletlistfirststyle"/>
      </w:pPr>
      <w:r w:rsidRPr="00B06FB7">
        <w:t>the Commonwealth Coat of Arms</w:t>
      </w:r>
    </w:p>
    <w:p w:rsidR="00240997" w:rsidRPr="00B06FB7" w:rsidRDefault="00240997" w:rsidP="00240997">
      <w:pPr>
        <w:pStyle w:val="AERbulletlistfirststyle"/>
      </w:pPr>
      <w:r w:rsidRPr="00B06FB7">
        <w:t>the ACCC and AER logos</w:t>
      </w:r>
    </w:p>
    <w:p w:rsidR="00240997" w:rsidRPr="00E750B2" w:rsidRDefault="00240997" w:rsidP="00240997">
      <w:r w:rsidRPr="00B06FB7">
        <w:t>any illustration, diagram, photograph or graphic over which the Australian Competition and Consumer Commission does not hold copyright, but which may be part of or contained within this publication.</w:t>
      </w:r>
    </w:p>
    <w:p w:rsidR="00240997" w:rsidRPr="00B06FB7" w:rsidRDefault="00240997" w:rsidP="00240997">
      <w:r w:rsidRPr="00B06FB7">
        <w:t>The details of the relevant licence conditions are available on the Creative Commons website, as is the full legal code for the CC BY 3.0 AU licence.</w:t>
      </w:r>
    </w:p>
    <w:p w:rsidR="00240997" w:rsidRPr="00B06FB7" w:rsidRDefault="00240997" w:rsidP="00B74FB1">
      <w:pPr>
        <w:numPr>
          <w:ilvl w:val="0"/>
          <w:numId w:val="6"/>
        </w:numPr>
      </w:pPr>
      <w:r w:rsidRPr="00B06FB7">
        <w:t>Requests and inquiries concerning reproduction and rights should be addressed to the Director, Corporate Communications, ACCC, GPO Box 3131, Canberra ACT 2601, or</w:t>
      </w:r>
    </w:p>
    <w:p w:rsidR="00240997" w:rsidRPr="00B06FB7" w:rsidRDefault="00240997" w:rsidP="00B74FB1">
      <w:pPr>
        <w:numPr>
          <w:ilvl w:val="0"/>
          <w:numId w:val="6"/>
        </w:numPr>
      </w:pPr>
      <w:r w:rsidRPr="00B06FB7">
        <w:t xml:space="preserve"> </w:t>
      </w:r>
      <w:hyperlink r:id="rId10" w:history="1">
        <w:r w:rsidRPr="00B06FB7">
          <w:t>publishing.unit@accc.gov.au</w:t>
        </w:r>
      </w:hyperlink>
      <w:r w:rsidRPr="00B06FB7">
        <w:t>.</w:t>
      </w:r>
    </w:p>
    <w:p w:rsidR="00240997" w:rsidRDefault="00240997" w:rsidP="00240997">
      <w:r>
        <w:t>Inquiries about this document should be addressed to:</w:t>
      </w:r>
    </w:p>
    <w:p w:rsidR="00240997" w:rsidRDefault="00240997" w:rsidP="00240997">
      <w:pPr>
        <w:pStyle w:val="AERbodytextnospace"/>
      </w:pPr>
      <w:r>
        <w:t>Australian Energy Regulator</w:t>
      </w:r>
    </w:p>
    <w:p w:rsidR="00240997" w:rsidRDefault="00240997" w:rsidP="00240997">
      <w:pPr>
        <w:pStyle w:val="AERbodytextnospace"/>
      </w:pPr>
      <w:r>
        <w:t>GPO Box 520</w:t>
      </w:r>
    </w:p>
    <w:p w:rsidR="00240997" w:rsidRDefault="00240997" w:rsidP="00240997">
      <w:pPr>
        <w:pStyle w:val="AERbodytextnospace"/>
      </w:pPr>
      <w:r>
        <w:t>Melbourne  Vic  3001</w:t>
      </w:r>
    </w:p>
    <w:p w:rsidR="00240997" w:rsidRDefault="00240997" w:rsidP="00240997">
      <w:pPr>
        <w:pStyle w:val="AERbodytextnospace"/>
      </w:pPr>
      <w:r>
        <w:t>Tel: (03) 9290 1444</w:t>
      </w:r>
    </w:p>
    <w:p w:rsidR="00240997" w:rsidRDefault="00240997" w:rsidP="00240997">
      <w:pPr>
        <w:pStyle w:val="AERbodytextnospace"/>
      </w:pPr>
      <w:r>
        <w:t>Fax: (03) 9290 1457</w:t>
      </w:r>
    </w:p>
    <w:p w:rsidR="00240997" w:rsidRDefault="00240997" w:rsidP="00240997">
      <w:pPr>
        <w:pStyle w:val="AERbodytextnospace"/>
      </w:pPr>
      <w:r>
        <w:t xml:space="preserve">Email: </w:t>
      </w:r>
      <w:hyperlink r:id="rId11" w:history="1">
        <w:r w:rsidRPr="003E184A">
          <w:rPr>
            <w:rStyle w:val="Hyperlink"/>
          </w:rPr>
          <w:t>AERInquiry@aer.gov.au</w:t>
        </w:r>
      </w:hyperlink>
    </w:p>
    <w:p w:rsidR="00240997" w:rsidRPr="008F1A4A" w:rsidRDefault="00240997" w:rsidP="00240997"/>
    <w:p w:rsidR="009A78D7" w:rsidRDefault="00240997" w:rsidP="00240997">
      <w:r>
        <w:t>AER reference: 53446</w:t>
      </w:r>
    </w:p>
    <w:p w:rsidR="009A78D7" w:rsidRDefault="009A78D7">
      <w:pPr>
        <w:spacing w:after="0" w:line="240" w:lineRule="auto"/>
        <w:jc w:val="left"/>
      </w:pPr>
      <w:r>
        <w:br w:type="page"/>
      </w:r>
    </w:p>
    <w:p w:rsidR="009A78D7" w:rsidRPr="009134B1" w:rsidRDefault="009A78D7" w:rsidP="009A78D7">
      <w:pPr>
        <w:pStyle w:val="UnnumberedHeading"/>
      </w:pPr>
      <w:bookmarkStart w:id="2" w:name="_Toc404153950"/>
      <w:bookmarkStart w:id="3" w:name="_Toc404155330"/>
      <w:bookmarkStart w:id="4" w:name="_Toc404191369"/>
      <w:r w:rsidRPr="009134B1">
        <w:lastRenderedPageBreak/>
        <w:t>Note</w:t>
      </w:r>
      <w:bookmarkEnd w:id="2"/>
      <w:bookmarkEnd w:id="3"/>
      <w:bookmarkEnd w:id="4"/>
    </w:p>
    <w:p w:rsidR="009A78D7" w:rsidRPr="009134B1" w:rsidRDefault="009A78D7" w:rsidP="009A78D7">
      <w:pPr>
        <w:pStyle w:val="AERbodytext"/>
      </w:pPr>
      <w:r w:rsidRPr="009134B1">
        <w:t xml:space="preserve">This attachment forms part of the AER's draft decision on </w:t>
      </w:r>
      <w:r>
        <w:t>Directlink'</w:t>
      </w:r>
      <w:r w:rsidRPr="009134B1">
        <w:t>s revenue proposal 2015–</w:t>
      </w:r>
      <w:r>
        <w:t>20</w:t>
      </w:r>
      <w:r w:rsidRPr="009134B1">
        <w:t>. It should be read with other parts of the draft decision.</w:t>
      </w:r>
    </w:p>
    <w:p w:rsidR="009A78D7" w:rsidRPr="009134B1" w:rsidRDefault="009A78D7" w:rsidP="009A78D7">
      <w:pPr>
        <w:pStyle w:val="AERbodytext"/>
      </w:pPr>
      <w:r w:rsidRPr="009134B1">
        <w:t>The draft decision includes the following documents:</w:t>
      </w:r>
    </w:p>
    <w:p w:rsidR="009A78D7" w:rsidRPr="009134B1" w:rsidRDefault="009A78D7" w:rsidP="009A78D7">
      <w:pPr>
        <w:pStyle w:val="AERbodytext"/>
      </w:pPr>
      <w:r w:rsidRPr="009134B1">
        <w:t>Overview</w:t>
      </w:r>
    </w:p>
    <w:p w:rsidR="009A78D7" w:rsidRPr="009134B1" w:rsidRDefault="009A78D7" w:rsidP="009A78D7">
      <w:pPr>
        <w:pStyle w:val="AERbodytext"/>
      </w:pPr>
      <w:r w:rsidRPr="009134B1">
        <w:t>Attachment 1 – maximum allowed revenue</w:t>
      </w:r>
    </w:p>
    <w:p w:rsidR="009A78D7" w:rsidRPr="009134B1" w:rsidRDefault="009A78D7" w:rsidP="009A78D7">
      <w:pPr>
        <w:pStyle w:val="AERbodytext"/>
      </w:pPr>
      <w:r w:rsidRPr="009134B1">
        <w:t>Attachment 2 – regulatory asset base</w:t>
      </w:r>
    </w:p>
    <w:p w:rsidR="009A78D7" w:rsidRPr="009134B1" w:rsidRDefault="009A78D7" w:rsidP="009A78D7">
      <w:pPr>
        <w:pStyle w:val="AERbodytext"/>
      </w:pPr>
      <w:r w:rsidRPr="009134B1">
        <w:t>Attachment 3 – rate of return</w:t>
      </w:r>
    </w:p>
    <w:p w:rsidR="009A78D7" w:rsidRPr="009134B1" w:rsidRDefault="009A78D7" w:rsidP="009A78D7">
      <w:pPr>
        <w:pStyle w:val="AERbodytext"/>
      </w:pPr>
      <w:r w:rsidRPr="009134B1">
        <w:t>Attachment 4 – value of imputation credits</w:t>
      </w:r>
    </w:p>
    <w:p w:rsidR="009A78D7" w:rsidRPr="009134B1" w:rsidRDefault="009A78D7" w:rsidP="009A78D7">
      <w:pPr>
        <w:pStyle w:val="AERbodytext"/>
      </w:pPr>
      <w:r w:rsidRPr="009134B1">
        <w:t>Attachment 5 – regulatory depreciation</w:t>
      </w:r>
    </w:p>
    <w:p w:rsidR="009A78D7" w:rsidRPr="009134B1" w:rsidRDefault="009A78D7" w:rsidP="009A78D7">
      <w:pPr>
        <w:pStyle w:val="AERbodytext"/>
      </w:pPr>
      <w:r w:rsidRPr="009134B1">
        <w:t xml:space="preserve">Attachment 6 – capital expenditure </w:t>
      </w:r>
    </w:p>
    <w:p w:rsidR="009A78D7" w:rsidRPr="009134B1" w:rsidRDefault="009A78D7" w:rsidP="009A78D7">
      <w:pPr>
        <w:pStyle w:val="AERbodytext"/>
      </w:pPr>
      <w:r w:rsidRPr="009134B1">
        <w:t>Attachment 7 – operating expenditure</w:t>
      </w:r>
    </w:p>
    <w:p w:rsidR="009A78D7" w:rsidRPr="009134B1" w:rsidRDefault="009A78D7" w:rsidP="009A78D7">
      <w:pPr>
        <w:pStyle w:val="AERbodytext"/>
      </w:pPr>
      <w:r w:rsidRPr="009134B1">
        <w:t>Attachment 8 – corporate income tax</w:t>
      </w:r>
    </w:p>
    <w:p w:rsidR="009A78D7" w:rsidRPr="009134B1" w:rsidRDefault="009A78D7" w:rsidP="009A78D7">
      <w:pPr>
        <w:pStyle w:val="AERbodytext"/>
      </w:pPr>
      <w:r w:rsidRPr="009134B1">
        <w:t>Attachment 9 – efficiency benefit sharing scheme</w:t>
      </w:r>
    </w:p>
    <w:p w:rsidR="009A78D7" w:rsidRPr="009134B1" w:rsidRDefault="009A78D7" w:rsidP="009A78D7">
      <w:pPr>
        <w:pStyle w:val="AERbodytext"/>
      </w:pPr>
      <w:r w:rsidRPr="009134B1">
        <w:t>Attachment 10 – capital expenditure sharing scheme</w:t>
      </w:r>
    </w:p>
    <w:p w:rsidR="009A78D7" w:rsidRPr="009134B1" w:rsidRDefault="009A78D7" w:rsidP="009A78D7">
      <w:pPr>
        <w:pStyle w:val="AERbodytext"/>
      </w:pPr>
      <w:r w:rsidRPr="009134B1">
        <w:t>Attachment 11 – service target performance incentive scheme</w:t>
      </w:r>
    </w:p>
    <w:p w:rsidR="009A78D7" w:rsidRPr="009134B1" w:rsidRDefault="009A78D7" w:rsidP="009A78D7">
      <w:pPr>
        <w:pStyle w:val="AERbodytext"/>
      </w:pPr>
      <w:r w:rsidRPr="009134B1">
        <w:t>Attachment 12 – pricing methodology</w:t>
      </w:r>
      <w:r>
        <w:t xml:space="preserve"> and negotiated services</w:t>
      </w:r>
    </w:p>
    <w:p w:rsidR="009A78D7" w:rsidRPr="009134B1" w:rsidRDefault="009A78D7" w:rsidP="009A78D7">
      <w:pPr>
        <w:pStyle w:val="AERbodytext"/>
      </w:pPr>
      <w:r w:rsidRPr="009134B1">
        <w:t>Attachment 13 – pass through events</w:t>
      </w:r>
    </w:p>
    <w:p w:rsidR="00240997" w:rsidRDefault="00240997" w:rsidP="00240997"/>
    <w:p w:rsidR="00240997" w:rsidRDefault="00240997" w:rsidP="00240997">
      <w:pPr>
        <w:pStyle w:val="UnnumberedHeading"/>
      </w:pPr>
      <w:bookmarkStart w:id="5" w:name="_Toc404191370"/>
      <w:r>
        <w:lastRenderedPageBreak/>
        <w:t>Contents</w:t>
      </w:r>
      <w:bookmarkEnd w:id="5"/>
    </w:p>
    <w:sdt>
      <w:sdtPr>
        <w:rPr>
          <w:rFonts w:ascii="Gautami" w:eastAsia="Calibri" w:hAnsi="Gautami"/>
          <w:b w:val="0"/>
          <w:bCs w:val="0"/>
          <w:color w:val="auto"/>
          <w:sz w:val="20"/>
          <w:szCs w:val="20"/>
          <w:lang w:val="en-AU"/>
        </w:rPr>
        <w:id w:val="1247461416"/>
        <w:docPartObj>
          <w:docPartGallery w:val="Table of Contents"/>
          <w:docPartUnique/>
        </w:docPartObj>
      </w:sdtPr>
      <w:sdtEndPr/>
      <w:sdtContent>
        <w:p w:rsidR="00240997" w:rsidRPr="00F0258A" w:rsidRDefault="00240997" w:rsidP="00240997">
          <w:pPr>
            <w:pStyle w:val="TOCHeading"/>
          </w:pPr>
        </w:p>
        <w:p w:rsidR="002D75F0" w:rsidRDefault="00240997">
          <w:pPr>
            <w:pStyle w:val="TOC1"/>
            <w:tabs>
              <w:tab w:val="right" w:leader="dot" w:pos="9016"/>
            </w:tabs>
            <w:rPr>
              <w:rFonts w:asciiTheme="minorHAnsi" w:eastAsiaTheme="minorEastAsia" w:hAnsiTheme="minorHAnsi" w:cstheme="minorBidi"/>
              <w:b w:val="0"/>
              <w:bCs w:val="0"/>
              <w:noProof/>
              <w:sz w:val="22"/>
              <w:szCs w:val="22"/>
              <w:lang w:eastAsia="en-AU"/>
            </w:rPr>
          </w:pPr>
          <w:r w:rsidRPr="00F0258A">
            <w:fldChar w:fldCharType="begin"/>
          </w:r>
          <w:r w:rsidRPr="00240997">
            <w:instrText xml:space="preserve"> TOC \o "1-3" \h \z \u </w:instrText>
          </w:r>
          <w:r w:rsidRPr="00F0258A">
            <w:fldChar w:fldCharType="separate"/>
          </w:r>
        </w:p>
        <w:p w:rsidR="002D75F0" w:rsidRDefault="001734FD">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91370" w:history="1">
            <w:r w:rsidR="002D75F0" w:rsidRPr="00AF1015">
              <w:rPr>
                <w:rStyle w:val="Hyperlink"/>
                <w:noProof/>
              </w:rPr>
              <w:t>Contents</w:t>
            </w:r>
            <w:r w:rsidR="002D75F0">
              <w:rPr>
                <w:noProof/>
                <w:webHidden/>
              </w:rPr>
              <w:tab/>
            </w:r>
            <w:r w:rsidR="002D75F0">
              <w:rPr>
                <w:noProof/>
                <w:webHidden/>
              </w:rPr>
              <w:fldChar w:fldCharType="begin"/>
            </w:r>
            <w:r w:rsidR="002D75F0">
              <w:rPr>
                <w:noProof/>
                <w:webHidden/>
              </w:rPr>
              <w:instrText xml:space="preserve"> PAGEREF _Toc404191370 \h </w:instrText>
            </w:r>
            <w:r w:rsidR="002D75F0">
              <w:rPr>
                <w:noProof/>
                <w:webHidden/>
              </w:rPr>
            </w:r>
            <w:r w:rsidR="002D75F0">
              <w:rPr>
                <w:noProof/>
                <w:webHidden/>
              </w:rPr>
              <w:fldChar w:fldCharType="separate"/>
            </w:r>
            <w:r w:rsidR="00A61700">
              <w:rPr>
                <w:noProof/>
                <w:webHidden/>
              </w:rPr>
              <w:t>12-4</w:t>
            </w:r>
            <w:r w:rsidR="002D75F0">
              <w:rPr>
                <w:noProof/>
                <w:webHidden/>
              </w:rPr>
              <w:fldChar w:fldCharType="end"/>
            </w:r>
          </w:hyperlink>
        </w:p>
        <w:p w:rsidR="002D75F0" w:rsidRDefault="001734FD">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91371" w:history="1">
            <w:r w:rsidR="002D75F0" w:rsidRPr="00AF1015">
              <w:rPr>
                <w:rStyle w:val="Hyperlink"/>
                <w:noProof/>
              </w:rPr>
              <w:t>Shortened forms</w:t>
            </w:r>
            <w:r w:rsidR="002D75F0">
              <w:rPr>
                <w:noProof/>
                <w:webHidden/>
              </w:rPr>
              <w:tab/>
            </w:r>
            <w:r w:rsidR="002D75F0">
              <w:rPr>
                <w:noProof/>
                <w:webHidden/>
              </w:rPr>
              <w:fldChar w:fldCharType="begin"/>
            </w:r>
            <w:r w:rsidR="002D75F0">
              <w:rPr>
                <w:noProof/>
                <w:webHidden/>
              </w:rPr>
              <w:instrText xml:space="preserve"> PAGEREF _Toc404191371 \h </w:instrText>
            </w:r>
            <w:r w:rsidR="002D75F0">
              <w:rPr>
                <w:noProof/>
                <w:webHidden/>
              </w:rPr>
            </w:r>
            <w:r w:rsidR="002D75F0">
              <w:rPr>
                <w:noProof/>
                <w:webHidden/>
              </w:rPr>
              <w:fldChar w:fldCharType="separate"/>
            </w:r>
            <w:r w:rsidR="00A61700">
              <w:rPr>
                <w:noProof/>
                <w:webHidden/>
              </w:rPr>
              <w:t>12-5</w:t>
            </w:r>
            <w:r w:rsidR="002D75F0">
              <w:rPr>
                <w:noProof/>
                <w:webHidden/>
              </w:rPr>
              <w:fldChar w:fldCharType="end"/>
            </w:r>
          </w:hyperlink>
        </w:p>
        <w:p w:rsidR="002D75F0" w:rsidRDefault="001734FD">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191372" w:history="1">
            <w:r w:rsidR="002D75F0" w:rsidRPr="00AF1015">
              <w:rPr>
                <w:rStyle w:val="Hyperlink"/>
                <w:noProof/>
              </w:rPr>
              <w:t>12</w:t>
            </w:r>
            <w:r w:rsidR="002D75F0">
              <w:rPr>
                <w:rFonts w:asciiTheme="minorHAnsi" w:eastAsiaTheme="minorEastAsia" w:hAnsiTheme="minorHAnsi" w:cstheme="minorBidi"/>
                <w:b w:val="0"/>
                <w:bCs w:val="0"/>
                <w:noProof/>
                <w:sz w:val="22"/>
                <w:szCs w:val="22"/>
                <w:lang w:eastAsia="en-AU"/>
              </w:rPr>
              <w:tab/>
            </w:r>
            <w:r w:rsidR="002D75F0" w:rsidRPr="00AF1015">
              <w:rPr>
                <w:rStyle w:val="Hyperlink"/>
                <w:noProof/>
              </w:rPr>
              <w:t>Pricing methodology and negotiated services</w:t>
            </w:r>
            <w:r w:rsidR="002D75F0">
              <w:rPr>
                <w:noProof/>
                <w:webHidden/>
              </w:rPr>
              <w:tab/>
            </w:r>
            <w:r w:rsidR="002D75F0">
              <w:rPr>
                <w:noProof/>
                <w:webHidden/>
              </w:rPr>
              <w:fldChar w:fldCharType="begin"/>
            </w:r>
            <w:r w:rsidR="002D75F0">
              <w:rPr>
                <w:noProof/>
                <w:webHidden/>
              </w:rPr>
              <w:instrText xml:space="preserve"> PAGEREF _Toc404191372 \h </w:instrText>
            </w:r>
            <w:r w:rsidR="002D75F0">
              <w:rPr>
                <w:noProof/>
                <w:webHidden/>
              </w:rPr>
            </w:r>
            <w:r w:rsidR="002D75F0">
              <w:rPr>
                <w:noProof/>
                <w:webHidden/>
              </w:rPr>
              <w:fldChar w:fldCharType="separate"/>
            </w:r>
            <w:r w:rsidR="00A61700">
              <w:rPr>
                <w:noProof/>
                <w:webHidden/>
              </w:rPr>
              <w:t>12-7</w:t>
            </w:r>
            <w:r w:rsidR="002D75F0">
              <w:rPr>
                <w:noProof/>
                <w:webHidden/>
              </w:rPr>
              <w:fldChar w:fldCharType="end"/>
            </w:r>
          </w:hyperlink>
        </w:p>
        <w:p w:rsidR="002D75F0" w:rsidRDefault="001734F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91373" w:history="1">
            <w:r w:rsidR="002D75F0" w:rsidRPr="00AF1015">
              <w:rPr>
                <w:rStyle w:val="Hyperlink"/>
                <w:noProof/>
              </w:rPr>
              <w:t>12.1</w:t>
            </w:r>
            <w:r w:rsidR="002D75F0">
              <w:rPr>
                <w:rFonts w:asciiTheme="minorHAnsi" w:eastAsiaTheme="minorEastAsia" w:hAnsiTheme="minorHAnsi" w:cstheme="minorBidi"/>
                <w:iCs w:val="0"/>
                <w:noProof/>
                <w:sz w:val="22"/>
                <w:szCs w:val="22"/>
                <w:lang w:eastAsia="en-AU"/>
              </w:rPr>
              <w:tab/>
            </w:r>
            <w:r w:rsidR="002D75F0" w:rsidRPr="00AF1015">
              <w:rPr>
                <w:rStyle w:val="Hyperlink"/>
                <w:noProof/>
              </w:rPr>
              <w:t>Draft decision</w:t>
            </w:r>
            <w:r w:rsidR="002D75F0">
              <w:rPr>
                <w:noProof/>
                <w:webHidden/>
              </w:rPr>
              <w:tab/>
            </w:r>
            <w:r w:rsidR="002D75F0">
              <w:rPr>
                <w:noProof/>
                <w:webHidden/>
              </w:rPr>
              <w:fldChar w:fldCharType="begin"/>
            </w:r>
            <w:r w:rsidR="002D75F0">
              <w:rPr>
                <w:noProof/>
                <w:webHidden/>
              </w:rPr>
              <w:instrText xml:space="preserve"> PAGEREF _Toc404191373 \h </w:instrText>
            </w:r>
            <w:r w:rsidR="002D75F0">
              <w:rPr>
                <w:noProof/>
                <w:webHidden/>
              </w:rPr>
            </w:r>
            <w:r w:rsidR="002D75F0">
              <w:rPr>
                <w:noProof/>
                <w:webHidden/>
              </w:rPr>
              <w:fldChar w:fldCharType="separate"/>
            </w:r>
            <w:r w:rsidR="00A61700">
              <w:rPr>
                <w:noProof/>
                <w:webHidden/>
              </w:rPr>
              <w:t>12-7</w:t>
            </w:r>
            <w:r w:rsidR="002D75F0">
              <w:rPr>
                <w:noProof/>
                <w:webHidden/>
              </w:rPr>
              <w:fldChar w:fldCharType="end"/>
            </w:r>
          </w:hyperlink>
        </w:p>
        <w:p w:rsidR="002D75F0" w:rsidRDefault="001734F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91374" w:history="1">
            <w:r w:rsidR="002D75F0" w:rsidRPr="00AF1015">
              <w:rPr>
                <w:rStyle w:val="Hyperlink"/>
                <w:noProof/>
              </w:rPr>
              <w:t>12.2</w:t>
            </w:r>
            <w:r w:rsidR="002D75F0">
              <w:rPr>
                <w:rFonts w:asciiTheme="minorHAnsi" w:eastAsiaTheme="minorEastAsia" w:hAnsiTheme="minorHAnsi" w:cstheme="minorBidi"/>
                <w:iCs w:val="0"/>
                <w:noProof/>
                <w:sz w:val="22"/>
                <w:szCs w:val="22"/>
                <w:lang w:eastAsia="en-AU"/>
              </w:rPr>
              <w:tab/>
            </w:r>
            <w:r w:rsidR="002D75F0" w:rsidRPr="00AF1015">
              <w:rPr>
                <w:rStyle w:val="Hyperlink"/>
                <w:noProof/>
              </w:rPr>
              <w:t>Directlink's proposal</w:t>
            </w:r>
            <w:r w:rsidR="002D75F0">
              <w:rPr>
                <w:noProof/>
                <w:webHidden/>
              </w:rPr>
              <w:tab/>
            </w:r>
            <w:r w:rsidR="002D75F0">
              <w:rPr>
                <w:noProof/>
                <w:webHidden/>
              </w:rPr>
              <w:fldChar w:fldCharType="begin"/>
            </w:r>
            <w:r w:rsidR="002D75F0">
              <w:rPr>
                <w:noProof/>
                <w:webHidden/>
              </w:rPr>
              <w:instrText xml:space="preserve"> PAGEREF _Toc404191374 \h </w:instrText>
            </w:r>
            <w:r w:rsidR="002D75F0">
              <w:rPr>
                <w:noProof/>
                <w:webHidden/>
              </w:rPr>
            </w:r>
            <w:r w:rsidR="002D75F0">
              <w:rPr>
                <w:noProof/>
                <w:webHidden/>
              </w:rPr>
              <w:fldChar w:fldCharType="separate"/>
            </w:r>
            <w:r w:rsidR="00A61700">
              <w:rPr>
                <w:noProof/>
                <w:webHidden/>
              </w:rPr>
              <w:t>12-7</w:t>
            </w:r>
            <w:r w:rsidR="002D75F0">
              <w:rPr>
                <w:noProof/>
                <w:webHidden/>
              </w:rPr>
              <w:fldChar w:fldCharType="end"/>
            </w:r>
          </w:hyperlink>
        </w:p>
        <w:p w:rsidR="002D75F0" w:rsidRDefault="001734F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91375" w:history="1">
            <w:r w:rsidR="002D75F0" w:rsidRPr="00AF1015">
              <w:rPr>
                <w:rStyle w:val="Hyperlink"/>
                <w:noProof/>
              </w:rPr>
              <w:t>12.3</w:t>
            </w:r>
            <w:r w:rsidR="002D75F0">
              <w:rPr>
                <w:rFonts w:asciiTheme="minorHAnsi" w:eastAsiaTheme="minorEastAsia" w:hAnsiTheme="minorHAnsi" w:cstheme="minorBidi"/>
                <w:iCs w:val="0"/>
                <w:noProof/>
                <w:sz w:val="22"/>
                <w:szCs w:val="22"/>
                <w:lang w:eastAsia="en-AU"/>
              </w:rPr>
              <w:tab/>
            </w:r>
            <w:r w:rsidR="002D75F0" w:rsidRPr="00AF1015">
              <w:rPr>
                <w:rStyle w:val="Hyperlink"/>
                <w:noProof/>
              </w:rPr>
              <w:t>Assessment approach</w:t>
            </w:r>
            <w:r w:rsidR="002D75F0">
              <w:rPr>
                <w:noProof/>
                <w:webHidden/>
              </w:rPr>
              <w:tab/>
            </w:r>
            <w:r w:rsidR="002D75F0">
              <w:rPr>
                <w:noProof/>
                <w:webHidden/>
              </w:rPr>
              <w:fldChar w:fldCharType="begin"/>
            </w:r>
            <w:r w:rsidR="002D75F0">
              <w:rPr>
                <w:noProof/>
                <w:webHidden/>
              </w:rPr>
              <w:instrText xml:space="preserve"> PAGEREF _Toc404191375 \h </w:instrText>
            </w:r>
            <w:r w:rsidR="002D75F0">
              <w:rPr>
                <w:noProof/>
                <w:webHidden/>
              </w:rPr>
            </w:r>
            <w:r w:rsidR="002D75F0">
              <w:rPr>
                <w:noProof/>
                <w:webHidden/>
              </w:rPr>
              <w:fldChar w:fldCharType="separate"/>
            </w:r>
            <w:r w:rsidR="00A61700">
              <w:rPr>
                <w:noProof/>
                <w:webHidden/>
              </w:rPr>
              <w:t>12-8</w:t>
            </w:r>
            <w:r w:rsidR="002D75F0">
              <w:rPr>
                <w:noProof/>
                <w:webHidden/>
              </w:rPr>
              <w:fldChar w:fldCharType="end"/>
            </w:r>
          </w:hyperlink>
        </w:p>
        <w:p w:rsidR="002D75F0" w:rsidRDefault="001734F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91376" w:history="1">
            <w:r w:rsidR="002D75F0" w:rsidRPr="00AF1015">
              <w:rPr>
                <w:rStyle w:val="Hyperlink"/>
                <w:noProof/>
              </w:rPr>
              <w:t>12.4</w:t>
            </w:r>
            <w:r w:rsidR="002D75F0">
              <w:rPr>
                <w:rFonts w:asciiTheme="minorHAnsi" w:eastAsiaTheme="minorEastAsia" w:hAnsiTheme="minorHAnsi" w:cstheme="minorBidi"/>
                <w:iCs w:val="0"/>
                <w:noProof/>
                <w:sz w:val="22"/>
                <w:szCs w:val="22"/>
                <w:lang w:eastAsia="en-AU"/>
              </w:rPr>
              <w:tab/>
            </w:r>
            <w:r w:rsidR="002D75F0" w:rsidRPr="00AF1015">
              <w:rPr>
                <w:rStyle w:val="Hyperlink"/>
                <w:noProof/>
              </w:rPr>
              <w:t>Reasons for draft decision</w:t>
            </w:r>
            <w:r w:rsidR="002D75F0">
              <w:rPr>
                <w:noProof/>
                <w:webHidden/>
              </w:rPr>
              <w:tab/>
            </w:r>
            <w:r w:rsidR="002D75F0">
              <w:rPr>
                <w:noProof/>
                <w:webHidden/>
              </w:rPr>
              <w:fldChar w:fldCharType="begin"/>
            </w:r>
            <w:r w:rsidR="002D75F0">
              <w:rPr>
                <w:noProof/>
                <w:webHidden/>
              </w:rPr>
              <w:instrText xml:space="preserve"> PAGEREF _Toc404191376 \h </w:instrText>
            </w:r>
            <w:r w:rsidR="002D75F0">
              <w:rPr>
                <w:noProof/>
                <w:webHidden/>
              </w:rPr>
            </w:r>
            <w:r w:rsidR="002D75F0">
              <w:rPr>
                <w:noProof/>
                <w:webHidden/>
              </w:rPr>
              <w:fldChar w:fldCharType="separate"/>
            </w:r>
            <w:r w:rsidR="00A61700">
              <w:rPr>
                <w:noProof/>
                <w:webHidden/>
              </w:rPr>
              <w:t>12-8</w:t>
            </w:r>
            <w:r w:rsidR="002D75F0">
              <w:rPr>
                <w:noProof/>
                <w:webHidden/>
              </w:rPr>
              <w:fldChar w:fldCharType="end"/>
            </w:r>
          </w:hyperlink>
        </w:p>
        <w:p w:rsidR="002D75F0" w:rsidRDefault="001734F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91377" w:history="1">
            <w:r w:rsidR="002D75F0" w:rsidRPr="00AF1015">
              <w:rPr>
                <w:rStyle w:val="Hyperlink"/>
                <w:noProof/>
              </w:rPr>
              <w:t>12.4.1</w:t>
            </w:r>
            <w:r w:rsidR="002D75F0">
              <w:rPr>
                <w:rFonts w:asciiTheme="minorHAnsi" w:eastAsiaTheme="minorEastAsia" w:hAnsiTheme="minorHAnsi" w:cstheme="minorBidi"/>
                <w:noProof/>
                <w:sz w:val="22"/>
                <w:szCs w:val="22"/>
                <w:lang w:eastAsia="en-AU"/>
              </w:rPr>
              <w:tab/>
            </w:r>
            <w:r w:rsidR="002D75F0" w:rsidRPr="00AF1015">
              <w:rPr>
                <w:rStyle w:val="Hyperlink"/>
                <w:noProof/>
              </w:rPr>
              <w:t>Pricing methodology</w:t>
            </w:r>
            <w:r w:rsidR="002D75F0">
              <w:rPr>
                <w:noProof/>
                <w:webHidden/>
              </w:rPr>
              <w:tab/>
            </w:r>
            <w:r w:rsidR="002D75F0">
              <w:rPr>
                <w:noProof/>
                <w:webHidden/>
              </w:rPr>
              <w:fldChar w:fldCharType="begin"/>
            </w:r>
            <w:r w:rsidR="002D75F0">
              <w:rPr>
                <w:noProof/>
                <w:webHidden/>
              </w:rPr>
              <w:instrText xml:space="preserve"> PAGEREF _Toc404191377 \h </w:instrText>
            </w:r>
            <w:r w:rsidR="002D75F0">
              <w:rPr>
                <w:noProof/>
                <w:webHidden/>
              </w:rPr>
            </w:r>
            <w:r w:rsidR="002D75F0">
              <w:rPr>
                <w:noProof/>
                <w:webHidden/>
              </w:rPr>
              <w:fldChar w:fldCharType="separate"/>
            </w:r>
            <w:r w:rsidR="00A61700">
              <w:rPr>
                <w:noProof/>
                <w:webHidden/>
              </w:rPr>
              <w:t>12-8</w:t>
            </w:r>
            <w:r w:rsidR="002D75F0">
              <w:rPr>
                <w:noProof/>
                <w:webHidden/>
              </w:rPr>
              <w:fldChar w:fldCharType="end"/>
            </w:r>
          </w:hyperlink>
        </w:p>
        <w:p w:rsidR="002D75F0" w:rsidRDefault="001734F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91378" w:history="1">
            <w:r w:rsidR="002D75F0" w:rsidRPr="00AF1015">
              <w:rPr>
                <w:rStyle w:val="Hyperlink"/>
                <w:noProof/>
              </w:rPr>
              <w:t>12.4.2</w:t>
            </w:r>
            <w:r w:rsidR="002D75F0">
              <w:rPr>
                <w:rFonts w:asciiTheme="minorHAnsi" w:eastAsiaTheme="minorEastAsia" w:hAnsiTheme="minorHAnsi" w:cstheme="minorBidi"/>
                <w:noProof/>
                <w:sz w:val="22"/>
                <w:szCs w:val="22"/>
                <w:lang w:eastAsia="en-AU"/>
              </w:rPr>
              <w:tab/>
            </w:r>
            <w:r w:rsidR="002D75F0" w:rsidRPr="00AF1015">
              <w:rPr>
                <w:rStyle w:val="Hyperlink"/>
                <w:noProof/>
              </w:rPr>
              <w:t>Negotiating framework</w:t>
            </w:r>
            <w:r w:rsidR="002D75F0">
              <w:rPr>
                <w:noProof/>
                <w:webHidden/>
              </w:rPr>
              <w:tab/>
            </w:r>
            <w:r w:rsidR="002D75F0">
              <w:rPr>
                <w:noProof/>
                <w:webHidden/>
              </w:rPr>
              <w:fldChar w:fldCharType="begin"/>
            </w:r>
            <w:r w:rsidR="002D75F0">
              <w:rPr>
                <w:noProof/>
                <w:webHidden/>
              </w:rPr>
              <w:instrText xml:space="preserve"> PAGEREF _Toc404191378 \h </w:instrText>
            </w:r>
            <w:r w:rsidR="002D75F0">
              <w:rPr>
                <w:noProof/>
                <w:webHidden/>
              </w:rPr>
            </w:r>
            <w:r w:rsidR="002D75F0">
              <w:rPr>
                <w:noProof/>
                <w:webHidden/>
              </w:rPr>
              <w:fldChar w:fldCharType="separate"/>
            </w:r>
            <w:r w:rsidR="00A61700">
              <w:rPr>
                <w:noProof/>
                <w:webHidden/>
              </w:rPr>
              <w:t>12-9</w:t>
            </w:r>
            <w:r w:rsidR="002D75F0">
              <w:rPr>
                <w:noProof/>
                <w:webHidden/>
              </w:rPr>
              <w:fldChar w:fldCharType="end"/>
            </w:r>
          </w:hyperlink>
        </w:p>
        <w:p w:rsidR="002D75F0" w:rsidRDefault="001734F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91379" w:history="1">
            <w:r w:rsidR="002D75F0" w:rsidRPr="00AF1015">
              <w:rPr>
                <w:rStyle w:val="Hyperlink"/>
                <w:noProof/>
              </w:rPr>
              <w:t>12.5</w:t>
            </w:r>
            <w:r w:rsidR="002D75F0">
              <w:rPr>
                <w:rFonts w:asciiTheme="minorHAnsi" w:eastAsiaTheme="minorEastAsia" w:hAnsiTheme="minorHAnsi" w:cstheme="minorBidi"/>
                <w:iCs w:val="0"/>
                <w:noProof/>
                <w:sz w:val="22"/>
                <w:szCs w:val="22"/>
                <w:lang w:eastAsia="en-AU"/>
              </w:rPr>
              <w:tab/>
            </w:r>
            <w:r w:rsidR="002D75F0" w:rsidRPr="00AF1015">
              <w:rPr>
                <w:rStyle w:val="Hyperlink"/>
                <w:noProof/>
              </w:rPr>
              <w:t>Negotiated transmission service criteria</w:t>
            </w:r>
            <w:r w:rsidR="002D75F0">
              <w:rPr>
                <w:noProof/>
                <w:webHidden/>
              </w:rPr>
              <w:tab/>
            </w:r>
            <w:r w:rsidR="002D75F0">
              <w:rPr>
                <w:noProof/>
                <w:webHidden/>
              </w:rPr>
              <w:fldChar w:fldCharType="begin"/>
            </w:r>
            <w:r w:rsidR="002D75F0">
              <w:rPr>
                <w:noProof/>
                <w:webHidden/>
              </w:rPr>
              <w:instrText xml:space="preserve"> PAGEREF _Toc404191379 \h </w:instrText>
            </w:r>
            <w:r w:rsidR="002D75F0">
              <w:rPr>
                <w:noProof/>
                <w:webHidden/>
              </w:rPr>
            </w:r>
            <w:r w:rsidR="002D75F0">
              <w:rPr>
                <w:noProof/>
                <w:webHidden/>
              </w:rPr>
              <w:fldChar w:fldCharType="separate"/>
            </w:r>
            <w:r w:rsidR="00A61700">
              <w:rPr>
                <w:noProof/>
                <w:webHidden/>
              </w:rPr>
              <w:t>12-10</w:t>
            </w:r>
            <w:r w:rsidR="002D75F0">
              <w:rPr>
                <w:noProof/>
                <w:webHidden/>
              </w:rPr>
              <w:fldChar w:fldCharType="end"/>
            </w:r>
          </w:hyperlink>
        </w:p>
        <w:p w:rsidR="00240997" w:rsidRPr="00F0258A" w:rsidRDefault="00240997" w:rsidP="00240997">
          <w:r w:rsidRPr="00F0258A">
            <w:fldChar w:fldCharType="end"/>
          </w:r>
        </w:p>
      </w:sdtContent>
    </w:sdt>
    <w:p w:rsidR="00240997" w:rsidRDefault="00240997" w:rsidP="00240997">
      <w:pPr>
        <w:pStyle w:val="UnnumberedHeading"/>
      </w:pPr>
      <w:bookmarkStart w:id="6" w:name="_Toc404191371"/>
      <w:r>
        <w:lastRenderedPageBreak/>
        <w:t>Shortened forms</w:t>
      </w:r>
      <w:bookmarkEnd w:id="6"/>
    </w:p>
    <w:tbl>
      <w:tblPr>
        <w:tblStyle w:val="AERtable-numbers"/>
        <w:tblW w:w="0" w:type="auto"/>
        <w:tblLook w:val="04A0" w:firstRow="1" w:lastRow="0" w:firstColumn="1" w:lastColumn="0" w:noHBand="0" w:noVBand="1"/>
      </w:tblPr>
      <w:tblGrid>
        <w:gridCol w:w="4621"/>
        <w:gridCol w:w="4621"/>
      </w:tblGrid>
      <w:tr w:rsidR="00307E24" w:rsidRPr="00307E24" w:rsidTr="008752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Shortened form</w:t>
            </w:r>
          </w:p>
        </w:tc>
        <w:tc>
          <w:tcPr>
            <w:tcW w:w="4621" w:type="dxa"/>
          </w:tcPr>
          <w:p w:rsidR="00307E24" w:rsidRPr="00307E24" w:rsidRDefault="00307E24" w:rsidP="00B74FB1">
            <w:pPr>
              <w:numPr>
                <w:ilvl w:val="0"/>
                <w:numId w:val="6"/>
              </w:numPr>
              <w:cnfStyle w:val="100000000000" w:firstRow="1" w:lastRow="0" w:firstColumn="0" w:lastColumn="0" w:oddVBand="0" w:evenVBand="0" w:oddHBand="0" w:evenHBand="0" w:firstRowFirstColumn="0" w:firstRowLastColumn="0" w:lastRowFirstColumn="0" w:lastRowLastColumn="0"/>
            </w:pPr>
            <w:r w:rsidRPr="00307E24">
              <w:t>Extended form</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AARR</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307E24" w:rsidRPr="00307E24" w:rsidTr="00307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AEMC</w:t>
            </w:r>
          </w:p>
        </w:tc>
        <w:tc>
          <w:tcPr>
            <w:tcW w:w="4621" w:type="dxa"/>
          </w:tcPr>
          <w:p w:rsidR="00307E24" w:rsidRPr="00307E24" w:rsidRDefault="00307E24" w:rsidP="00B74FB1">
            <w:pPr>
              <w:numPr>
                <w:ilvl w:val="0"/>
                <w:numId w:val="6"/>
              </w:numPr>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AEMO</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307E24" w:rsidRPr="00307E24" w:rsidTr="00307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AER</w:t>
            </w:r>
          </w:p>
        </w:tc>
        <w:tc>
          <w:tcPr>
            <w:tcW w:w="4621" w:type="dxa"/>
          </w:tcPr>
          <w:p w:rsidR="00307E24" w:rsidRPr="00307E24" w:rsidRDefault="00307E24" w:rsidP="00B74FB1">
            <w:pPr>
              <w:numPr>
                <w:ilvl w:val="0"/>
                <w:numId w:val="6"/>
              </w:numPr>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ASRR</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aggregate service revenue requirement</w:t>
            </w:r>
          </w:p>
        </w:tc>
      </w:tr>
      <w:tr w:rsidR="00307E24" w:rsidRPr="00307E24" w:rsidTr="00307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augex</w:t>
            </w:r>
          </w:p>
        </w:tc>
        <w:tc>
          <w:tcPr>
            <w:tcW w:w="4621" w:type="dxa"/>
          </w:tcPr>
          <w:p w:rsidR="00307E24" w:rsidRPr="00307E24" w:rsidRDefault="00307E24" w:rsidP="00B74FB1">
            <w:pPr>
              <w:numPr>
                <w:ilvl w:val="0"/>
                <w:numId w:val="6"/>
              </w:numPr>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capex</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307E24" w:rsidRPr="00307E24" w:rsidTr="00307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CCP</w:t>
            </w:r>
          </w:p>
        </w:tc>
        <w:tc>
          <w:tcPr>
            <w:tcW w:w="4621" w:type="dxa"/>
          </w:tcPr>
          <w:p w:rsidR="00307E24" w:rsidRPr="00307E24" w:rsidRDefault="00307E24" w:rsidP="00B74FB1">
            <w:pPr>
              <w:numPr>
                <w:ilvl w:val="0"/>
                <w:numId w:val="6"/>
              </w:numPr>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CESS</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307E24" w:rsidRPr="00307E24" w:rsidTr="00307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CPI</w:t>
            </w:r>
          </w:p>
        </w:tc>
        <w:tc>
          <w:tcPr>
            <w:tcW w:w="4621" w:type="dxa"/>
          </w:tcPr>
          <w:p w:rsidR="00307E24" w:rsidRPr="00307E24" w:rsidRDefault="00307E24" w:rsidP="00B74FB1">
            <w:pPr>
              <w:numPr>
                <w:ilvl w:val="0"/>
                <w:numId w:val="6"/>
              </w:numPr>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DRP</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debt risk premium</w:t>
            </w:r>
          </w:p>
        </w:tc>
      </w:tr>
      <w:tr w:rsidR="00307E24" w:rsidRPr="00307E24" w:rsidTr="00307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EBSS</w:t>
            </w:r>
          </w:p>
        </w:tc>
        <w:tc>
          <w:tcPr>
            <w:tcW w:w="4621" w:type="dxa"/>
          </w:tcPr>
          <w:p w:rsidR="00307E24" w:rsidRPr="00307E24" w:rsidRDefault="00307E24" w:rsidP="00B74FB1">
            <w:pPr>
              <w:numPr>
                <w:ilvl w:val="0"/>
                <w:numId w:val="6"/>
              </w:numPr>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ERP</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307E24" w:rsidRPr="00307E24" w:rsidTr="00307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MAR</w:t>
            </w:r>
          </w:p>
        </w:tc>
        <w:tc>
          <w:tcPr>
            <w:tcW w:w="4621" w:type="dxa"/>
          </w:tcPr>
          <w:p w:rsidR="00307E24" w:rsidRPr="00307E24" w:rsidRDefault="00307E24" w:rsidP="00B74FB1">
            <w:pPr>
              <w:numPr>
                <w:ilvl w:val="0"/>
                <w:numId w:val="6"/>
              </w:numPr>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MRP</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307E24" w:rsidRPr="00307E24" w:rsidTr="00307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NEL</w:t>
            </w:r>
          </w:p>
        </w:tc>
        <w:tc>
          <w:tcPr>
            <w:tcW w:w="4621" w:type="dxa"/>
          </w:tcPr>
          <w:p w:rsidR="00307E24" w:rsidRPr="00307E24" w:rsidRDefault="00307E24" w:rsidP="00B74FB1">
            <w:pPr>
              <w:numPr>
                <w:ilvl w:val="0"/>
                <w:numId w:val="6"/>
              </w:numPr>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NEM</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307E24" w:rsidRPr="00307E24" w:rsidTr="00307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NEO</w:t>
            </w:r>
          </w:p>
        </w:tc>
        <w:tc>
          <w:tcPr>
            <w:tcW w:w="4621" w:type="dxa"/>
          </w:tcPr>
          <w:p w:rsidR="00307E24" w:rsidRPr="00307E24" w:rsidRDefault="00307E24" w:rsidP="00B74FB1">
            <w:pPr>
              <w:numPr>
                <w:ilvl w:val="0"/>
                <w:numId w:val="6"/>
              </w:numPr>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NER</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307E24" w:rsidRPr="00307E24" w:rsidTr="00307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NSP</w:t>
            </w:r>
          </w:p>
        </w:tc>
        <w:tc>
          <w:tcPr>
            <w:tcW w:w="4621" w:type="dxa"/>
          </w:tcPr>
          <w:p w:rsidR="00307E24" w:rsidRPr="00307E24" w:rsidRDefault="00307E24" w:rsidP="00B74FB1">
            <w:pPr>
              <w:numPr>
                <w:ilvl w:val="0"/>
                <w:numId w:val="6"/>
              </w:numPr>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NTSC</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307E24" w:rsidRPr="00307E24" w:rsidTr="00307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lastRenderedPageBreak/>
              <w:t>opex</w:t>
            </w:r>
          </w:p>
        </w:tc>
        <w:tc>
          <w:tcPr>
            <w:tcW w:w="4621" w:type="dxa"/>
          </w:tcPr>
          <w:p w:rsidR="00307E24" w:rsidRPr="00307E24" w:rsidRDefault="00307E24" w:rsidP="00B74FB1">
            <w:pPr>
              <w:numPr>
                <w:ilvl w:val="0"/>
                <w:numId w:val="6"/>
              </w:numPr>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PPI</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307E24" w:rsidRPr="00307E24" w:rsidTr="00307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PTRM</w:t>
            </w:r>
          </w:p>
        </w:tc>
        <w:tc>
          <w:tcPr>
            <w:tcW w:w="4621" w:type="dxa"/>
          </w:tcPr>
          <w:p w:rsidR="00307E24" w:rsidRPr="00307E24" w:rsidRDefault="00307E24" w:rsidP="00B74FB1">
            <w:pPr>
              <w:numPr>
                <w:ilvl w:val="0"/>
                <w:numId w:val="6"/>
              </w:numPr>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RAB</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307E24" w:rsidRPr="00307E24" w:rsidTr="00307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RBA</w:t>
            </w:r>
          </w:p>
        </w:tc>
        <w:tc>
          <w:tcPr>
            <w:tcW w:w="4621" w:type="dxa"/>
          </w:tcPr>
          <w:p w:rsidR="00307E24" w:rsidRPr="00307E24" w:rsidRDefault="00307E24" w:rsidP="00B74FB1">
            <w:pPr>
              <w:numPr>
                <w:ilvl w:val="0"/>
                <w:numId w:val="6"/>
              </w:numPr>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repex</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307E24" w:rsidRPr="00307E24" w:rsidTr="00307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RFM</w:t>
            </w:r>
          </w:p>
        </w:tc>
        <w:tc>
          <w:tcPr>
            <w:tcW w:w="4621" w:type="dxa"/>
          </w:tcPr>
          <w:p w:rsidR="00307E24" w:rsidRPr="00307E24" w:rsidRDefault="00307E24" w:rsidP="00B74FB1">
            <w:pPr>
              <w:numPr>
                <w:ilvl w:val="0"/>
                <w:numId w:val="6"/>
              </w:numPr>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RIN</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307E24" w:rsidRPr="00307E24" w:rsidTr="00307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RPP</w:t>
            </w:r>
          </w:p>
        </w:tc>
        <w:tc>
          <w:tcPr>
            <w:tcW w:w="4621" w:type="dxa"/>
          </w:tcPr>
          <w:p w:rsidR="00307E24" w:rsidRPr="00307E24" w:rsidRDefault="00307E24" w:rsidP="00B74FB1">
            <w:pPr>
              <w:numPr>
                <w:ilvl w:val="0"/>
                <w:numId w:val="6"/>
              </w:numPr>
              <w:cnfStyle w:val="000000010000" w:firstRow="0" w:lastRow="0" w:firstColumn="0" w:lastColumn="0" w:oddVBand="0" w:evenVBand="0" w:oddHBand="0" w:evenHBand="1" w:firstRowFirstColumn="0" w:firstRowLastColumn="0" w:lastRowFirstColumn="0" w:lastRowLastColumn="0"/>
            </w:pPr>
            <w:r w:rsidRPr="00307E24">
              <w:t>revenue pricing principles</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SLCAPM</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307E24" w:rsidRPr="00307E24" w:rsidTr="00307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STPIS</w:t>
            </w:r>
          </w:p>
        </w:tc>
        <w:tc>
          <w:tcPr>
            <w:tcW w:w="4621" w:type="dxa"/>
          </w:tcPr>
          <w:p w:rsidR="00307E24" w:rsidRPr="00307E24" w:rsidRDefault="00307E24" w:rsidP="00B74FB1">
            <w:pPr>
              <w:numPr>
                <w:ilvl w:val="0"/>
                <w:numId w:val="6"/>
              </w:numPr>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TNSP</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307E24" w:rsidRPr="00307E24" w:rsidTr="00307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TUoS</w:t>
            </w:r>
          </w:p>
        </w:tc>
        <w:tc>
          <w:tcPr>
            <w:tcW w:w="4621" w:type="dxa"/>
          </w:tcPr>
          <w:p w:rsidR="00307E24" w:rsidRPr="00307E24" w:rsidRDefault="00307E24" w:rsidP="00B74FB1">
            <w:pPr>
              <w:numPr>
                <w:ilvl w:val="0"/>
                <w:numId w:val="6"/>
              </w:numPr>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307E24" w:rsidRPr="00307E24" w:rsidTr="00307E24">
        <w:tc>
          <w:tcPr>
            <w:cnfStyle w:val="001000000000" w:firstRow="0" w:lastRow="0" w:firstColumn="1" w:lastColumn="0" w:oddVBand="0" w:evenVBand="0" w:oddHBand="0" w:evenHBand="0" w:firstRowFirstColumn="0" w:firstRowLastColumn="0" w:lastRowFirstColumn="0" w:lastRowLastColumn="0"/>
            <w:tcW w:w="4621" w:type="dxa"/>
          </w:tcPr>
          <w:p w:rsidR="00307E24" w:rsidRPr="00307E24" w:rsidRDefault="00307E24" w:rsidP="00B74FB1">
            <w:pPr>
              <w:numPr>
                <w:ilvl w:val="0"/>
                <w:numId w:val="6"/>
              </w:numPr>
            </w:pPr>
            <w:r w:rsidRPr="00307E24">
              <w:t>WACC</w:t>
            </w:r>
          </w:p>
        </w:tc>
        <w:tc>
          <w:tcPr>
            <w:tcW w:w="4621" w:type="dxa"/>
          </w:tcPr>
          <w:p w:rsidR="00307E24" w:rsidRPr="00307E24" w:rsidRDefault="00307E24" w:rsidP="00B74FB1">
            <w:pPr>
              <w:numPr>
                <w:ilvl w:val="0"/>
                <w:numId w:val="6"/>
              </w:numPr>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240997" w:rsidRDefault="00240997" w:rsidP="00240997">
      <w:pPr>
        <w:pStyle w:val="AERbodytext"/>
      </w:pPr>
    </w:p>
    <w:p w:rsidR="00240997" w:rsidRDefault="00240997" w:rsidP="00240997">
      <w:pPr>
        <w:pStyle w:val="AERbodytext"/>
      </w:pPr>
    </w:p>
    <w:p w:rsidR="00240997" w:rsidRDefault="00240997">
      <w:pPr>
        <w:spacing w:after="0" w:line="240" w:lineRule="auto"/>
        <w:jc w:val="left"/>
        <w:rPr>
          <w:rFonts w:eastAsia="Times New Roman"/>
          <w:b/>
          <w:bCs/>
          <w:color w:val="E36C0A"/>
          <w:sz w:val="36"/>
          <w:szCs w:val="28"/>
        </w:rPr>
      </w:pPr>
      <w:r>
        <w:br w:type="page"/>
      </w:r>
    </w:p>
    <w:p w:rsidR="00BE35A6" w:rsidRDefault="00BE35A6" w:rsidP="0034070A">
      <w:pPr>
        <w:pStyle w:val="Heading1"/>
      </w:pPr>
      <w:bookmarkStart w:id="7" w:name="_Toc404191372"/>
      <w:r>
        <w:lastRenderedPageBreak/>
        <w:t>Pricing methodology</w:t>
      </w:r>
      <w:bookmarkEnd w:id="0"/>
      <w:r w:rsidR="00E22E64">
        <w:t xml:space="preserve"> and negotiated services</w:t>
      </w:r>
      <w:bookmarkEnd w:id="7"/>
    </w:p>
    <w:p w:rsidR="000201B2" w:rsidRPr="000062FD" w:rsidRDefault="000201B2" w:rsidP="000201B2">
      <w:pPr>
        <w:pStyle w:val="AERbodytext"/>
      </w:pPr>
      <w:bookmarkStart w:id="8" w:name="_Toc396839267"/>
      <w:r>
        <w:t>This chapter set outs our</w:t>
      </w:r>
      <w:r w:rsidRPr="000062FD">
        <w:t xml:space="preserve"> determination </w:t>
      </w:r>
      <w:r>
        <w:t>on Directlink's</w:t>
      </w:r>
      <w:r w:rsidRPr="000062FD">
        <w:t xml:space="preserve"> </w:t>
      </w:r>
      <w:r>
        <w:t xml:space="preserve">proposed </w:t>
      </w:r>
      <w:r w:rsidRPr="000062FD">
        <w:t>pricing methodology</w:t>
      </w:r>
      <w:r>
        <w:rPr>
          <w:rStyle w:val="FootnoteReference"/>
        </w:rPr>
        <w:footnoteReference w:id="1"/>
      </w:r>
      <w:r w:rsidRPr="000062FD">
        <w:t xml:space="preserve"> </w:t>
      </w:r>
      <w:r w:rsidR="00B8391F">
        <w:t xml:space="preserve">and </w:t>
      </w:r>
      <w:r w:rsidR="00B8391F" w:rsidRPr="000062FD">
        <w:t>negotiating framework</w:t>
      </w:r>
      <w:r w:rsidR="00B8391F">
        <w:rPr>
          <w:rStyle w:val="FootnoteReference"/>
        </w:rPr>
        <w:footnoteReference w:id="2"/>
      </w:r>
      <w:r w:rsidR="00B8391F">
        <w:t xml:space="preserve"> </w:t>
      </w:r>
      <w:r>
        <w:t xml:space="preserve">for the 2015–20 </w:t>
      </w:r>
      <w:r w:rsidRPr="000062FD">
        <w:t>regulatory control period.</w:t>
      </w:r>
      <w:r>
        <w:rPr>
          <w:rStyle w:val="FootnoteReference"/>
        </w:rPr>
        <w:footnoteReference w:id="3"/>
      </w:r>
      <w:r w:rsidRPr="000062FD">
        <w:t xml:space="preserve"> </w:t>
      </w:r>
      <w:r w:rsidR="00405D50">
        <w:t>We</w:t>
      </w:r>
      <w:r>
        <w:t xml:space="preserve"> also specify the negotiated transmission service criteria (NTSC)</w:t>
      </w:r>
      <w:r w:rsidR="00405D50">
        <w:t xml:space="preserve"> that are to apply to Directlink.</w:t>
      </w:r>
      <w:r>
        <w:rPr>
          <w:rStyle w:val="FootnoteReference"/>
        </w:rPr>
        <w:footnoteReference w:id="4"/>
      </w:r>
      <w:r>
        <w:t xml:space="preserve"> </w:t>
      </w:r>
    </w:p>
    <w:p w:rsidR="00B8391F" w:rsidRPr="000062FD" w:rsidRDefault="00B8391F" w:rsidP="00B8391F">
      <w:pPr>
        <w:pStyle w:val="AERbodytext"/>
      </w:pPr>
      <w:r>
        <w:t>Our</w:t>
      </w:r>
      <w:r w:rsidR="00E22E64" w:rsidRPr="00E22E64">
        <w:t xml:space="preserve"> transmission determination imposes control over revenues that a transmission network service provider (TNSP) can recover from the provision of prescribed transmission services. </w:t>
      </w:r>
      <w:r w:rsidRPr="000062FD">
        <w:t>A pricing methodology describes a formula, process or approac</w:t>
      </w:r>
      <w:r>
        <w:t>h</w:t>
      </w:r>
      <w:r w:rsidRPr="000062FD">
        <w:t xml:space="preserve"> that a TNSP uses to allocate the aggregate annual revenue requirement to those categories of prescribed transmission services provided by the TNSP and to transmission network connection points of network users.</w:t>
      </w:r>
      <w:r>
        <w:rPr>
          <w:rStyle w:val="FootnoteReference"/>
        </w:rPr>
        <w:footnoteReference w:id="5"/>
      </w:r>
      <w:r w:rsidRPr="000062FD">
        <w:t xml:space="preserve"> The methodology also determines the structure of the tariffs that a TNSP may charge for each of the categories of prescribed transmission services.</w:t>
      </w:r>
      <w:r>
        <w:rPr>
          <w:rStyle w:val="FootnoteReference"/>
        </w:rPr>
        <w:footnoteReference w:id="6"/>
      </w:r>
      <w:r w:rsidRPr="000062FD">
        <w:t xml:space="preserve"> </w:t>
      </w:r>
    </w:p>
    <w:p w:rsidR="00BA0ACA" w:rsidRPr="00BE633E" w:rsidRDefault="00B8391F" w:rsidP="00353F20">
      <w:pPr>
        <w:pStyle w:val="AERbulletlistfirststyle"/>
        <w:numPr>
          <w:ilvl w:val="0"/>
          <w:numId w:val="0"/>
        </w:numPr>
      </w:pPr>
      <w:r>
        <w:t>By contrast, the provision of n</w:t>
      </w:r>
      <w:r w:rsidR="00E22E64" w:rsidRPr="00E22E64">
        <w:t xml:space="preserve">egotiated transmission services </w:t>
      </w:r>
      <w:r>
        <w:t>is less directly regulated</w:t>
      </w:r>
      <w:r w:rsidR="00E22E64" w:rsidRPr="00E22E64">
        <w:t xml:space="preserve"> by the AER. </w:t>
      </w:r>
      <w:r>
        <w:t>Instead, u</w:t>
      </w:r>
      <w:r w:rsidR="00E22E64" w:rsidRPr="00E22E64">
        <w:t>nder the National Electricity Rules (NER), these services are subject to negotiation between parties, or alternatively arbitration and dispute resolution by a commercial arbitrator.</w:t>
      </w:r>
      <w:r w:rsidR="00E22E64">
        <w:t xml:space="preserve"> </w:t>
      </w:r>
    </w:p>
    <w:p w:rsidR="007178F9" w:rsidRDefault="007178F9" w:rsidP="007178F9">
      <w:bookmarkStart w:id="9" w:name="_Toc340242140"/>
      <w:r w:rsidRPr="00841FE0">
        <w:t xml:space="preserve">For the purpose of facilitating such negotiation and arbitration, a </w:t>
      </w:r>
      <w:r>
        <w:t>transmission business</w:t>
      </w:r>
      <w:r w:rsidRPr="00841FE0">
        <w:t xml:space="preserve"> must prepare, for AER approval, a negotiating framework which sets out procedures for negotiating the terms and conditions of access to a negotiated transmission service.</w:t>
      </w:r>
      <w:r>
        <w:rPr>
          <w:rStyle w:val="FootnoteReference"/>
        </w:rPr>
        <w:footnoteReference w:id="7"/>
      </w:r>
      <w:r w:rsidRPr="00841FE0">
        <w:t xml:space="preserve"> In addition, the AER specifies for each </w:t>
      </w:r>
      <w:r>
        <w:t xml:space="preserve">transmission business the </w:t>
      </w:r>
      <w:r w:rsidRPr="00841FE0">
        <w:t xml:space="preserve">negotiated transmission service criteria (NTSC) that </w:t>
      </w:r>
      <w:r>
        <w:t>it</w:t>
      </w:r>
      <w:r w:rsidRPr="00841FE0">
        <w:t xml:space="preserve"> must apply in negotiating terms and conditions of access, including the prices and access charges for negotiated transmission services.</w:t>
      </w:r>
      <w:r>
        <w:rPr>
          <w:rStyle w:val="FootnoteReference"/>
        </w:rPr>
        <w:footnoteReference w:id="8"/>
      </w:r>
      <w:r w:rsidRPr="00841FE0">
        <w:t xml:space="preserve"> They also contain the criteria that a commercial arbitrator must apply to resolve disputes about such terms and conditions and/or access charges.</w:t>
      </w:r>
      <w:r>
        <w:rPr>
          <w:rStyle w:val="FootnoteReference"/>
        </w:rPr>
        <w:footnoteReference w:id="9"/>
      </w:r>
      <w:r w:rsidRPr="00841FE0">
        <w:t xml:space="preserve"> </w:t>
      </w:r>
    </w:p>
    <w:p w:rsidR="00E22E64" w:rsidRPr="003800E4" w:rsidRDefault="00E22E64">
      <w:pPr>
        <w:pStyle w:val="Heading2"/>
      </w:pPr>
      <w:bookmarkStart w:id="10" w:name="_Toc404191373"/>
      <w:r>
        <w:t>Draft decision</w:t>
      </w:r>
      <w:bookmarkEnd w:id="9"/>
      <w:bookmarkEnd w:id="10"/>
    </w:p>
    <w:p w:rsidR="007178F9" w:rsidRDefault="00E22E64" w:rsidP="007178F9">
      <w:pPr>
        <w:pStyle w:val="AERbulletlistfirststyle"/>
        <w:numPr>
          <w:ilvl w:val="0"/>
          <w:numId w:val="0"/>
        </w:numPr>
        <w:ind w:left="357" w:hanging="357"/>
      </w:pPr>
      <w:r>
        <w:t xml:space="preserve">The AER's draft decision: </w:t>
      </w:r>
    </w:p>
    <w:p w:rsidR="001B7EFA" w:rsidRDefault="00A538E8" w:rsidP="007178F9">
      <w:pPr>
        <w:pStyle w:val="AERbulletlistfirststyle"/>
      </w:pPr>
      <w:r>
        <w:t>does not accept</w:t>
      </w:r>
      <w:r w:rsidR="00E22E64">
        <w:t xml:space="preserve"> Directlink's proposed pricing methodology</w:t>
      </w:r>
    </w:p>
    <w:p w:rsidR="001B7EFA" w:rsidRDefault="001B7EFA" w:rsidP="001B7EFA">
      <w:pPr>
        <w:pStyle w:val="AERbulletlistfirststyle"/>
      </w:pPr>
      <w:r>
        <w:t>approves Directlink's proposed negotiating framework</w:t>
      </w:r>
    </w:p>
    <w:p w:rsidR="00E22E64" w:rsidRDefault="001B7EFA" w:rsidP="001B7EFA">
      <w:pPr>
        <w:pStyle w:val="AERbulletlistfirststyle"/>
      </w:pPr>
      <w:r>
        <w:t>specifies a proposed NTSC.</w:t>
      </w:r>
    </w:p>
    <w:p w:rsidR="00E22E64" w:rsidRPr="008818B4" w:rsidRDefault="00E22E64" w:rsidP="00E22E64">
      <w:pPr>
        <w:pStyle w:val="Heading2"/>
      </w:pPr>
      <w:bookmarkStart w:id="11" w:name="_Toc340242141"/>
      <w:bookmarkStart w:id="12" w:name="_Toc404191374"/>
      <w:r>
        <w:t>Directlink's proposal</w:t>
      </w:r>
      <w:bookmarkEnd w:id="11"/>
      <w:bookmarkEnd w:id="12"/>
    </w:p>
    <w:p w:rsidR="00E22E64" w:rsidRDefault="00E22E64" w:rsidP="00E22E64">
      <w:pPr>
        <w:pStyle w:val="AERbodytext"/>
      </w:pPr>
      <w:r>
        <w:t>I</w:t>
      </w:r>
      <w:r w:rsidRPr="006A714E">
        <w:t xml:space="preserve">n accordance with the </w:t>
      </w:r>
      <w:r>
        <w:t>NER, Directlink submitted its proposed negotiating framework and pricing methodology with its revenue proposal for the 2015–20 regulatory c</w:t>
      </w:r>
      <w:r w:rsidR="007178F9">
        <w:t>o</w:t>
      </w:r>
      <w:r>
        <w:t>ntrol period.</w:t>
      </w:r>
      <w:r w:rsidRPr="006A714E">
        <w:rPr>
          <w:rStyle w:val="FootnoteReference"/>
        </w:rPr>
        <w:footnoteReference w:id="10"/>
      </w:r>
      <w:r>
        <w:t xml:space="preserve"> Concurrently, we published on our website the AER's proposed </w:t>
      </w:r>
      <w:r w:rsidR="007178F9">
        <w:t>NTSC</w:t>
      </w:r>
      <w:r>
        <w:t xml:space="preserve"> that would apply to Directlink (reproduced in section </w:t>
      </w:r>
      <w:r>
        <w:fldChar w:fldCharType="begin"/>
      </w:r>
      <w:r>
        <w:instrText xml:space="preserve"> REF _Ref335985421 \r \h </w:instrText>
      </w:r>
      <w:r>
        <w:fldChar w:fldCharType="separate"/>
      </w:r>
      <w:r w:rsidR="00A61700">
        <w:t>12.4.2</w:t>
      </w:r>
      <w:r>
        <w:fldChar w:fldCharType="end"/>
      </w:r>
      <w:r>
        <w:t>). This is required by clause 6A.11.3 of the NER.</w:t>
      </w:r>
      <w:r>
        <w:rPr>
          <w:rStyle w:val="FootnoteReference"/>
        </w:rPr>
        <w:footnoteReference w:id="11"/>
      </w:r>
      <w:r>
        <w:t xml:space="preserve"> We acknowledge</w:t>
      </w:r>
      <w:r w:rsidRPr="00FC319C">
        <w:t xml:space="preserve"> that there are </w:t>
      </w:r>
      <w:r w:rsidRPr="00FC319C">
        <w:lastRenderedPageBreak/>
        <w:t xml:space="preserve">currently no negotiated services associated with </w:t>
      </w:r>
      <w:r>
        <w:t>Directlink.</w:t>
      </w:r>
      <w:r>
        <w:rPr>
          <w:rStyle w:val="FootnoteReference"/>
        </w:rPr>
        <w:footnoteReference w:id="12"/>
      </w:r>
      <w:r>
        <w:t xml:space="preserve"> </w:t>
      </w:r>
      <w:r w:rsidRPr="00FC319C">
        <w:t xml:space="preserve">Nonetheless, </w:t>
      </w:r>
      <w:r>
        <w:t>Directlink</w:t>
      </w:r>
      <w:r w:rsidRPr="00FC319C">
        <w:t xml:space="preserve"> </w:t>
      </w:r>
      <w:r w:rsidR="009C1702">
        <w:t>must submit</w:t>
      </w:r>
      <w:r w:rsidRPr="00FC319C">
        <w:t xml:space="preserve"> a proposed negotiating framework, </w:t>
      </w:r>
      <w:r w:rsidR="007178F9">
        <w:t>which</w:t>
      </w:r>
      <w:r w:rsidR="00FF3F59">
        <w:t xml:space="preserve"> we either refuse or accept, and we are to </w:t>
      </w:r>
      <w:r w:rsidR="009C1702">
        <w:t>specify</w:t>
      </w:r>
      <w:r w:rsidRPr="00FC319C">
        <w:t xml:space="preserve"> </w:t>
      </w:r>
      <w:r w:rsidR="00E20940">
        <w:t xml:space="preserve">an </w:t>
      </w:r>
      <w:r w:rsidRPr="00FC319C">
        <w:t xml:space="preserve">NTSC. </w:t>
      </w:r>
    </w:p>
    <w:p w:rsidR="00E22E64" w:rsidRPr="00FC319C" w:rsidRDefault="00E22E64" w:rsidP="00E22E64">
      <w:pPr>
        <w:pStyle w:val="Heading2"/>
      </w:pPr>
      <w:bookmarkStart w:id="13" w:name="_Toc340242142"/>
      <w:bookmarkStart w:id="14" w:name="_Toc404191375"/>
      <w:r>
        <w:t>Assessment approach</w:t>
      </w:r>
      <w:bookmarkEnd w:id="13"/>
      <w:bookmarkEnd w:id="14"/>
    </w:p>
    <w:p w:rsidR="00E22E64" w:rsidRPr="00E22E64" w:rsidRDefault="00E22E64" w:rsidP="00E22E64">
      <w:pPr>
        <w:pStyle w:val="AERbulletlistfirststyle"/>
        <w:numPr>
          <w:ilvl w:val="0"/>
          <w:numId w:val="0"/>
        </w:numPr>
        <w:ind w:left="357" w:hanging="357"/>
      </w:pPr>
      <w:r>
        <w:t>In reaching our draft decision, we</w:t>
      </w:r>
      <w:r w:rsidRPr="00E22E64">
        <w:t xml:space="preserve"> considered whether:</w:t>
      </w:r>
    </w:p>
    <w:p w:rsidR="001B7EFA" w:rsidRDefault="001B7EFA" w:rsidP="001B7EFA">
      <w:pPr>
        <w:pStyle w:val="AERbulletlistfirststyle"/>
      </w:pPr>
      <w:r>
        <w:t>the proposed pricing methodology gives effect to the pricing principles for prescribed transmission services and complies with the information requirements of the</w:t>
      </w:r>
      <w:r w:rsidR="007178F9">
        <w:t xml:space="preserve"> pricing methodology guidelines</w:t>
      </w:r>
      <w:r>
        <w:rPr>
          <w:rStyle w:val="FootnoteReference"/>
        </w:rPr>
        <w:footnoteReference w:id="13"/>
      </w:r>
      <w:r>
        <w:t xml:space="preserve"> </w:t>
      </w:r>
    </w:p>
    <w:p w:rsidR="001A0B77" w:rsidRDefault="00FF3F59" w:rsidP="001A0B77">
      <w:pPr>
        <w:pStyle w:val="AERbulletlistfirststyle"/>
      </w:pPr>
      <w:r>
        <w:t xml:space="preserve">the </w:t>
      </w:r>
      <w:r w:rsidR="00E22E64">
        <w:t xml:space="preserve">proposed negotiating framework specified </w:t>
      </w:r>
      <w:r>
        <w:t>the minimum requirements</w:t>
      </w:r>
      <w:r w:rsidR="00E22E64">
        <w:t xml:space="preserve"> in clause 6A.9.5(c) of the NER</w:t>
      </w:r>
      <w:r w:rsidR="00E22E64">
        <w:rPr>
          <w:rStyle w:val="FootnoteReference"/>
        </w:rPr>
        <w:footnoteReference w:id="14"/>
      </w:r>
      <w:r w:rsidR="00E22E64">
        <w:t xml:space="preserve"> </w:t>
      </w:r>
    </w:p>
    <w:p w:rsidR="001A0B77" w:rsidRDefault="00FF3F59" w:rsidP="001A0B77">
      <w:pPr>
        <w:pStyle w:val="AERbulletlistfirststyle"/>
      </w:pPr>
      <w:r>
        <w:t xml:space="preserve">the </w:t>
      </w:r>
      <w:r w:rsidR="00E22E64">
        <w:t xml:space="preserve">NTSC </w:t>
      </w:r>
      <w:r>
        <w:t xml:space="preserve">sets out the required criteria and </w:t>
      </w:r>
      <w:r w:rsidR="00E22E64">
        <w:t>reflects the negotiated transmission service principles in clause 6A.9.1 of the NER</w:t>
      </w:r>
      <w:r w:rsidR="007178F9">
        <w:t>.</w:t>
      </w:r>
      <w:r w:rsidR="00E22E64">
        <w:rPr>
          <w:rStyle w:val="FootnoteReference"/>
        </w:rPr>
        <w:footnoteReference w:id="15"/>
      </w:r>
      <w:bookmarkStart w:id="15" w:name="_Toc340242143"/>
    </w:p>
    <w:p w:rsidR="00E22E64" w:rsidRPr="003800E4" w:rsidRDefault="00E22E64" w:rsidP="001A0B77">
      <w:pPr>
        <w:pStyle w:val="Heading2"/>
      </w:pPr>
      <w:bookmarkStart w:id="16" w:name="_Toc404191376"/>
      <w:r>
        <w:t>Reasons for draft decision</w:t>
      </w:r>
      <w:bookmarkEnd w:id="15"/>
      <w:bookmarkEnd w:id="16"/>
      <w:r>
        <w:t xml:space="preserve"> </w:t>
      </w:r>
    </w:p>
    <w:p w:rsidR="001B7EFA" w:rsidRDefault="001B7EFA" w:rsidP="001B7EFA">
      <w:pPr>
        <w:pStyle w:val="AERbodytext"/>
      </w:pPr>
      <w:r>
        <w:t>We do not approve Directlink's proposed pricing methodology.</w:t>
      </w:r>
    </w:p>
    <w:p w:rsidR="00405D50" w:rsidRDefault="00E22E64" w:rsidP="00E22E64">
      <w:pPr>
        <w:pStyle w:val="AERbodytext"/>
      </w:pPr>
      <w:r>
        <w:t xml:space="preserve">We </w:t>
      </w:r>
      <w:r w:rsidR="00405D50">
        <w:t>approve</w:t>
      </w:r>
      <w:r>
        <w:t xml:space="preserve"> Directlink's proposed negotiating framework</w:t>
      </w:r>
      <w:r w:rsidR="00405D50">
        <w:t>.</w:t>
      </w:r>
      <w:r>
        <w:t xml:space="preserve"> </w:t>
      </w:r>
    </w:p>
    <w:p w:rsidR="00405D50" w:rsidRDefault="00405D50" w:rsidP="00E22E64">
      <w:pPr>
        <w:pStyle w:val="AERbodytext"/>
      </w:pPr>
      <w:r>
        <w:t>T</w:t>
      </w:r>
      <w:r w:rsidR="00E22E64">
        <w:t xml:space="preserve">he NTSC we published on our website in June 2014 </w:t>
      </w:r>
      <w:r w:rsidR="00164FE7">
        <w:t>are</w:t>
      </w:r>
      <w:r w:rsidR="00E22E64" w:rsidRPr="009A20E9">
        <w:t xml:space="preserve"> consistent with the Negotiated Transmission Service Principles</w:t>
      </w:r>
      <w:r w:rsidR="00E20940" w:rsidRPr="00E20940">
        <w:t xml:space="preserve"> </w:t>
      </w:r>
      <w:r>
        <w:t>and will apply to Directlink.</w:t>
      </w:r>
    </w:p>
    <w:p w:rsidR="00E22E64" w:rsidRPr="00164FE7" w:rsidRDefault="00E22E64" w:rsidP="00164FE7">
      <w:pPr>
        <w:pStyle w:val="Heading3"/>
      </w:pPr>
      <w:bookmarkStart w:id="17" w:name="_Toc404191377"/>
      <w:r w:rsidRPr="00164FE7">
        <w:t>Pricing methodology</w:t>
      </w:r>
      <w:bookmarkEnd w:id="17"/>
    </w:p>
    <w:p w:rsidR="009C1702" w:rsidRDefault="00664F73" w:rsidP="00664F73">
      <w:pPr>
        <w:pStyle w:val="AERbulletlistfirststyle"/>
        <w:numPr>
          <w:ilvl w:val="0"/>
          <w:numId w:val="0"/>
        </w:numPr>
      </w:pPr>
      <w:r>
        <w:t xml:space="preserve">We </w:t>
      </w:r>
      <w:r w:rsidR="006A55FB">
        <w:t>do not approve</w:t>
      </w:r>
      <w:r w:rsidR="00E22E64" w:rsidRPr="00FC319C">
        <w:t xml:space="preserve"> </w:t>
      </w:r>
      <w:r w:rsidR="00E22E64">
        <w:t>Directlink</w:t>
      </w:r>
      <w:r w:rsidR="00E22E64" w:rsidRPr="00FC319C">
        <w:t>’s</w:t>
      </w:r>
      <w:r w:rsidR="006A55FB">
        <w:t xml:space="preserve"> proposed pricing methodolog</w:t>
      </w:r>
      <w:r w:rsidR="00631A1B">
        <w:t xml:space="preserve">y. </w:t>
      </w:r>
    </w:p>
    <w:p w:rsidR="00631A1B" w:rsidRDefault="001A0B77" w:rsidP="00664F73">
      <w:pPr>
        <w:pStyle w:val="AERbulletlistfirststyle"/>
        <w:numPr>
          <w:ilvl w:val="0"/>
          <w:numId w:val="0"/>
        </w:numPr>
      </w:pPr>
      <w:r>
        <w:t>Much of</w:t>
      </w:r>
      <w:r w:rsidR="00631A1B">
        <w:t xml:space="preserve"> Directlink's </w:t>
      </w:r>
      <w:r w:rsidR="00A538E8">
        <w:t>proposal</w:t>
      </w:r>
      <w:r w:rsidR="00631A1B">
        <w:t xml:space="preserve"> </w:t>
      </w:r>
      <w:r w:rsidR="009C1702">
        <w:t xml:space="preserve">includes </w:t>
      </w:r>
      <w:r w:rsidR="00631A1B">
        <w:t xml:space="preserve">aspects of the pricing methodology </w:t>
      </w:r>
      <w:r w:rsidR="00A538E8">
        <w:t>TransGrid proposed for its 2015–</w:t>
      </w:r>
      <w:r w:rsidR="00631A1B">
        <w:t>18 regulatory control period. Our draft decision</w:t>
      </w:r>
      <w:r w:rsidR="00A538E8">
        <w:t xml:space="preserve"> for TransGrid</w:t>
      </w:r>
      <w:r w:rsidR="00631A1B">
        <w:t xml:space="preserve"> is not to accept </w:t>
      </w:r>
      <w:r w:rsidR="009C1702">
        <w:t xml:space="preserve">its </w:t>
      </w:r>
      <w:r w:rsidR="00631A1B">
        <w:t>pricing methodology</w:t>
      </w:r>
      <w:r w:rsidR="00A538E8">
        <w:t xml:space="preserve">. </w:t>
      </w:r>
      <w:r w:rsidR="009C1702">
        <w:t>It</w:t>
      </w:r>
      <w:r w:rsidR="00631A1B">
        <w:t xml:space="preserve"> follows that </w:t>
      </w:r>
      <w:r w:rsidR="009C1702">
        <w:t xml:space="preserve">we do not accept </w:t>
      </w:r>
      <w:r w:rsidR="00631A1B">
        <w:t>Directlink's m</w:t>
      </w:r>
      <w:r w:rsidR="00A538E8">
        <w:t xml:space="preserve">ethodology </w:t>
      </w:r>
      <w:r w:rsidR="009C1702">
        <w:t>for the same reasons</w:t>
      </w:r>
      <w:r w:rsidR="00631A1B">
        <w:t>.</w:t>
      </w:r>
      <w:r w:rsidR="00A538E8">
        <w:t xml:space="preserve"> </w:t>
      </w:r>
      <w:r w:rsidR="009C1702">
        <w:t xml:space="preserve">We expect that </w:t>
      </w:r>
      <w:r w:rsidR="00A538E8" w:rsidRPr="00A538E8">
        <w:t xml:space="preserve">Directlink </w:t>
      </w:r>
      <w:r w:rsidR="009C1702">
        <w:t>will</w:t>
      </w:r>
      <w:r w:rsidR="009C1702" w:rsidRPr="00A538E8">
        <w:t xml:space="preserve"> </w:t>
      </w:r>
      <w:r w:rsidR="00A538E8" w:rsidRPr="00A538E8">
        <w:t>engage with TransGrid about the changes it makes</w:t>
      </w:r>
      <w:r w:rsidR="009C1702">
        <w:t xml:space="preserve"> before submitting a revised pricing methodology</w:t>
      </w:r>
      <w:r w:rsidR="00A538E8">
        <w:t>.</w:t>
      </w:r>
    </w:p>
    <w:p w:rsidR="00D61244" w:rsidRPr="001A0B77" w:rsidRDefault="001A0B77" w:rsidP="001A0B77">
      <w:pPr>
        <w:pStyle w:val="AERbulletlistfirststyle"/>
        <w:numPr>
          <w:ilvl w:val="0"/>
          <w:numId w:val="0"/>
        </w:numPr>
      </w:pPr>
      <w:r>
        <w:t>Notwithstanding this, we</w:t>
      </w:r>
      <w:r w:rsidR="009C1702">
        <w:t xml:space="preserve"> accept that it is</w:t>
      </w:r>
      <w:r w:rsidR="00A538E8">
        <w:t xml:space="preserve"> appropriate </w:t>
      </w:r>
      <w:r w:rsidR="009C1702">
        <w:t xml:space="preserve">for </w:t>
      </w:r>
      <w:r w:rsidR="00A538E8">
        <w:t xml:space="preserve">Directlink </w:t>
      </w:r>
      <w:r w:rsidR="009C1702">
        <w:t xml:space="preserve">to adopt </w:t>
      </w:r>
      <w:r w:rsidR="00A538E8">
        <w:t>aspects of TransGrid's pricing methodology</w:t>
      </w:r>
      <w:r>
        <w:t>. W</w:t>
      </w:r>
      <w:r w:rsidRPr="001A0B77">
        <w:t>here there are multiple transmission businesses in a region, those businesses must appoint a co-ordinating network service provider.</w:t>
      </w:r>
      <w:r w:rsidRPr="001A0B77">
        <w:rPr>
          <w:rStyle w:val="FootnoteReference"/>
        </w:rPr>
        <w:footnoteReference w:id="16"/>
      </w:r>
      <w:r w:rsidRPr="001A0B77">
        <w:t xml:space="preserve"> In Directlink's case, it has appointed TransGrid. In accordance with the NER, TransGrid is therefore responsible for allocating all relevant aggregate annual revenue requirement (AARR) in its region (NSW).</w:t>
      </w:r>
      <w:r w:rsidRPr="001A0B77">
        <w:rPr>
          <w:rStyle w:val="FootnoteReference"/>
        </w:rPr>
        <w:footnoteReference w:id="17"/>
      </w:r>
      <w:r w:rsidRPr="001A0B77">
        <w:t xml:space="preserve"> This includes Directlink's AARR.</w:t>
      </w:r>
      <w:r>
        <w:t xml:space="preserve"> </w:t>
      </w:r>
      <w:r w:rsidR="007508CC">
        <w:t>In such circumstances, we consider</w:t>
      </w:r>
      <w:r>
        <w:t xml:space="preserve"> </w:t>
      </w:r>
      <w:r w:rsidR="007508CC">
        <w:t>Directlink's</w:t>
      </w:r>
      <w:r>
        <w:t xml:space="preserve"> adoption of aspects of TransGrid's proposal is appropriate</w:t>
      </w:r>
      <w:r w:rsidR="00D61244">
        <w:t>.</w:t>
      </w:r>
    </w:p>
    <w:p w:rsidR="004E4EF9" w:rsidRDefault="001A0B77" w:rsidP="009C1702">
      <w:pPr>
        <w:pStyle w:val="AERbulletlistfirststyle"/>
        <w:numPr>
          <w:ilvl w:val="0"/>
          <w:numId w:val="0"/>
        </w:numPr>
      </w:pPr>
      <w:r>
        <w:t>We cannot, however, accept</w:t>
      </w:r>
      <w:r w:rsidR="00A538E8">
        <w:t xml:space="preserve"> </w:t>
      </w:r>
      <w:r w:rsidR="0014550D">
        <w:t>Directl</w:t>
      </w:r>
      <w:r w:rsidR="009C1702">
        <w:t>ink</w:t>
      </w:r>
      <w:r w:rsidR="007508CC">
        <w:t>'s proposal</w:t>
      </w:r>
      <w:r>
        <w:t>. It</w:t>
      </w:r>
      <w:r w:rsidR="009C1702">
        <w:t xml:space="preserve"> has adopted </w:t>
      </w:r>
      <w:r w:rsidR="004E4EF9">
        <w:t xml:space="preserve">aspects of TransGrid's proposed pricing methodology which we have not accepted in our draft decision for </w:t>
      </w:r>
      <w:r>
        <w:t>TransGrid</w:t>
      </w:r>
      <w:r w:rsidR="009C1702">
        <w:t xml:space="preserve">.  For the same reasons, we do not accept these in this draft decision for Directlink. </w:t>
      </w:r>
      <w:r w:rsidR="004E4EF9">
        <w:t xml:space="preserve">. These are </w:t>
      </w:r>
      <w:r w:rsidR="009C1702">
        <w:t>as follows</w:t>
      </w:r>
      <w:r w:rsidR="004E4EF9">
        <w:t xml:space="preserve">: </w:t>
      </w:r>
    </w:p>
    <w:p w:rsidR="004E4EF9" w:rsidRPr="001A06A6" w:rsidRDefault="004E4EF9" w:rsidP="004E4EF9">
      <w:pPr>
        <w:pStyle w:val="AERbulletlistfirststyle"/>
      </w:pPr>
      <w:r>
        <w:lastRenderedPageBreak/>
        <w:t xml:space="preserve">to be able to </w:t>
      </w:r>
      <w:r w:rsidRPr="001A06A6">
        <w:t>amend aspects of its approved pricing methodology</w:t>
      </w:r>
      <w:r>
        <w:t xml:space="preserve"> during the regulatory control period</w:t>
      </w:r>
      <w:r w:rsidRPr="001A06A6">
        <w:t xml:space="preserve"> </w:t>
      </w:r>
    </w:p>
    <w:p w:rsidR="00B84ECE" w:rsidRDefault="00B84ECE" w:rsidP="004E4EF9">
      <w:pPr>
        <w:pStyle w:val="AERbulletlistfirststyle"/>
      </w:pPr>
      <w:r>
        <w:t>for locational transmission use of system (TUoS) services, a switch to a 20 day system peak method of cost allocation</w:t>
      </w:r>
    </w:p>
    <w:p w:rsidR="004E4EF9" w:rsidRPr="001A06A6" w:rsidRDefault="004E4EF9" w:rsidP="004E4EF9">
      <w:pPr>
        <w:pStyle w:val="AERbulletlistfirststyle"/>
      </w:pPr>
      <w:r w:rsidRPr="001A06A6">
        <w:t xml:space="preserve">for non–locational TUoS and common transmission services, basing prices on maximum demand and applying a side constraint equal to CPI + 3 per cent </w:t>
      </w:r>
    </w:p>
    <w:p w:rsidR="004E4EF9" w:rsidRDefault="004E4EF9" w:rsidP="00353F20">
      <w:pPr>
        <w:pStyle w:val="AERbulletlistfirststyle"/>
      </w:pPr>
      <w:r w:rsidRPr="001A06A6">
        <w:t xml:space="preserve">the availability to negotiate a fixed price with its </w:t>
      </w:r>
      <w:r w:rsidR="001A0B77">
        <w:t>transmission network customers</w:t>
      </w:r>
      <w:r w:rsidRPr="001A06A6">
        <w:t>.</w:t>
      </w:r>
    </w:p>
    <w:p w:rsidR="001A0B77" w:rsidRDefault="00810042" w:rsidP="00164FE7">
      <w:pPr>
        <w:pStyle w:val="AERbulletlistfirststyle"/>
        <w:numPr>
          <w:ilvl w:val="0"/>
          <w:numId w:val="0"/>
        </w:numPr>
      </w:pPr>
      <w:r>
        <w:t xml:space="preserve">Our reasons for not accepting these aspects of TransGrid's proposed pricing methodology are set out in our draft decision for </w:t>
      </w:r>
      <w:r w:rsidR="0014550D">
        <w:t>TransGrid</w:t>
      </w:r>
      <w:r>
        <w:t>.</w:t>
      </w:r>
      <w:r>
        <w:rPr>
          <w:rStyle w:val="FootnoteReference"/>
        </w:rPr>
        <w:footnoteReference w:id="18"/>
      </w:r>
      <w:r>
        <w:t xml:space="preserve"> We do not consider them to comply with the pricing principles in the NER or the pricing methodology guidelines. </w:t>
      </w:r>
    </w:p>
    <w:p w:rsidR="00810042" w:rsidRDefault="00810042" w:rsidP="00164FE7">
      <w:pPr>
        <w:pStyle w:val="AERbulletlistfirststyle"/>
        <w:numPr>
          <w:ilvl w:val="0"/>
          <w:numId w:val="0"/>
        </w:numPr>
      </w:pPr>
      <w:r>
        <w:t xml:space="preserve">We did not receive any submission on Directlink's proposed pricing methodology. But in our reasoning on TransGrid's </w:t>
      </w:r>
      <w:r w:rsidR="005E7942">
        <w:t xml:space="preserve">proposed </w:t>
      </w:r>
      <w:r>
        <w:t>pricing methodology we did take into account a number of submissions, which are relevant to Directlink's proposal.</w:t>
      </w:r>
      <w:r>
        <w:rPr>
          <w:rStyle w:val="FootnoteReference"/>
        </w:rPr>
        <w:footnoteReference w:id="19"/>
      </w:r>
      <w:r>
        <w:t xml:space="preserve"> Those submissions are discussed in our draft decision for TransGrid.</w:t>
      </w:r>
      <w:r>
        <w:rPr>
          <w:rStyle w:val="FootnoteReference"/>
        </w:rPr>
        <w:footnoteReference w:id="20"/>
      </w:r>
      <w:r>
        <w:t xml:space="preserve"> </w:t>
      </w:r>
    </w:p>
    <w:p w:rsidR="00D61244" w:rsidRDefault="00D61244" w:rsidP="00D61244">
      <w:pPr>
        <w:pStyle w:val="AERbodytext"/>
      </w:pPr>
      <w:r>
        <w:t xml:space="preserve">It is important to clarify how Directlink's and TransGrid's pricing methodologies will interact. We note that the lengths of the two businesses' regulatory control periods are different. Directlink's is from 1 July 2015 to 30 June 2020. TransGrid's regulatory control period has the same commencement date but ends on 30 June 2018. </w:t>
      </w:r>
    </w:p>
    <w:p w:rsidR="00D61244" w:rsidRDefault="00D61244" w:rsidP="00D61244">
      <w:pPr>
        <w:pStyle w:val="AERbodytext"/>
      </w:pPr>
      <w:r>
        <w:t>We confirm that the aspects of TransGrid's 2015–18 pricing methodology which Directlink adopts will apply to Directlink for its entire 2015–20 regulatory control period. To avoid any doubt, if TransGrid submits a modified pricing methodology for its next regulatory control period (2018–19 and beyond), those modification will not apply to Directlink in 2018–20. This is consistent with the NER requirement that the same pricing methodology applies to a business for the duration of its regulatory control period.</w:t>
      </w:r>
      <w:r>
        <w:rPr>
          <w:rStyle w:val="FootnoteReference"/>
        </w:rPr>
        <w:footnoteReference w:id="21"/>
      </w:r>
      <w:r>
        <w:t xml:space="preserve">  </w:t>
      </w:r>
    </w:p>
    <w:p w:rsidR="001B7EFA" w:rsidRDefault="001B7EFA" w:rsidP="001B7EFA">
      <w:pPr>
        <w:pStyle w:val="Heading3"/>
      </w:pPr>
      <w:bookmarkStart w:id="18" w:name="_Toc404191378"/>
      <w:bookmarkStart w:id="19" w:name="_Ref335985421"/>
      <w:bookmarkStart w:id="20" w:name="_Toc340242144"/>
      <w:r>
        <w:t>Negotiating framework</w:t>
      </w:r>
      <w:bookmarkEnd w:id="18"/>
    </w:p>
    <w:p w:rsidR="001B7EFA" w:rsidRDefault="001B7EFA" w:rsidP="001B7EFA">
      <w:pPr>
        <w:pStyle w:val="AERbodytext"/>
      </w:pPr>
      <w:r>
        <w:t xml:space="preserve">The AER approves the proposed negotiating framework because </w:t>
      </w:r>
      <w:r w:rsidRPr="0008730A">
        <w:t xml:space="preserve">it </w:t>
      </w:r>
      <w:r>
        <w:t>satisfies</w:t>
      </w:r>
      <w:r w:rsidRPr="0008730A">
        <w:t xml:space="preserve"> the requirements set out in clause 6A.9.5(c) of the NER. The AER's ass</w:t>
      </w:r>
      <w:r>
        <w:t xml:space="preserve">essment is summarised in </w:t>
      </w:r>
      <w:r w:rsidR="007178F9">
        <w:fldChar w:fldCharType="begin"/>
      </w:r>
      <w:r w:rsidR="007178F9">
        <w:instrText xml:space="preserve"> REF _Ref400702567 \h </w:instrText>
      </w:r>
      <w:r w:rsidR="007178F9">
        <w:fldChar w:fldCharType="separate"/>
      </w:r>
      <w:r w:rsidR="00A61700">
        <w:t xml:space="preserve">Table </w:t>
      </w:r>
      <w:r w:rsidR="00A61700">
        <w:rPr>
          <w:noProof/>
        </w:rPr>
        <w:t>12</w:t>
      </w:r>
      <w:r w:rsidR="00A61700">
        <w:t>.</w:t>
      </w:r>
      <w:r w:rsidR="00A61700">
        <w:rPr>
          <w:noProof/>
        </w:rPr>
        <w:t>1</w:t>
      </w:r>
      <w:r w:rsidR="007178F9">
        <w:fldChar w:fldCharType="end"/>
      </w:r>
      <w:r w:rsidR="007178F9">
        <w:t>.</w:t>
      </w:r>
    </w:p>
    <w:p w:rsidR="001B7EFA" w:rsidRPr="00986A07" w:rsidRDefault="001B7EFA" w:rsidP="00353F20">
      <w:pPr>
        <w:pStyle w:val="Caption"/>
        <w:ind w:left="0" w:firstLine="0"/>
      </w:pPr>
      <w:bookmarkStart w:id="21" w:name="_Ref400702567"/>
      <w:r>
        <w:t xml:space="preserve">Table </w:t>
      </w:r>
      <w:r w:rsidRPr="00E22E64">
        <w:fldChar w:fldCharType="begin"/>
      </w:r>
      <w:r>
        <w:instrText xml:space="preserve"> STYLEREF 1 \s </w:instrText>
      </w:r>
      <w:r w:rsidRPr="00E22E64">
        <w:fldChar w:fldCharType="separate"/>
      </w:r>
      <w:r w:rsidR="00A61700">
        <w:rPr>
          <w:noProof/>
        </w:rPr>
        <w:t>12</w:t>
      </w:r>
      <w:r w:rsidRPr="00E22E64">
        <w:fldChar w:fldCharType="end"/>
      </w:r>
      <w:r>
        <w:t>.</w:t>
      </w:r>
      <w:fldSimple w:instr=" SEQ Table \* ARABIC \s 1 ">
        <w:r w:rsidR="00A61700">
          <w:rPr>
            <w:noProof/>
          </w:rPr>
          <w:t>1</w:t>
        </w:r>
      </w:fldSimple>
      <w:bookmarkEnd w:id="21"/>
      <w:r>
        <w:tab/>
        <w:t>AER’s assessment of the negotiating framework proposed by Directlink</w:t>
      </w:r>
    </w:p>
    <w:tbl>
      <w:tblPr>
        <w:tblStyle w:val="AERtable-text"/>
        <w:tblW w:w="0" w:type="auto"/>
        <w:tblLook w:val="04A0" w:firstRow="1" w:lastRow="0" w:firstColumn="1" w:lastColumn="0" w:noHBand="0" w:noVBand="1"/>
      </w:tblPr>
      <w:tblGrid>
        <w:gridCol w:w="4621"/>
        <w:gridCol w:w="4621"/>
      </w:tblGrid>
      <w:tr w:rsidR="001B7EFA" w:rsidTr="00164FE7">
        <w:trPr>
          <w:cnfStyle w:val="100000000000" w:firstRow="1" w:lastRow="0" w:firstColumn="0" w:lastColumn="0" w:oddVBand="0" w:evenVBand="0" w:oddHBand="0" w:evenHBand="0" w:firstRowFirstColumn="0" w:firstRowLastColumn="0" w:lastRowFirstColumn="0" w:lastRowLastColumn="0"/>
        </w:trPr>
        <w:tc>
          <w:tcPr>
            <w:tcW w:w="4621" w:type="dxa"/>
          </w:tcPr>
          <w:p w:rsidR="001B7EFA" w:rsidRPr="003100E5" w:rsidRDefault="001B7EFA" w:rsidP="001B7EFA">
            <w:pPr>
              <w:pStyle w:val="AERbodytext"/>
            </w:pPr>
            <w:r w:rsidRPr="00C72876">
              <w:t>NER requirements</w:t>
            </w:r>
          </w:p>
        </w:tc>
        <w:tc>
          <w:tcPr>
            <w:tcW w:w="4621" w:type="dxa"/>
          </w:tcPr>
          <w:p w:rsidR="001B7EFA" w:rsidRPr="003100E5" w:rsidRDefault="001B7EFA" w:rsidP="001B7EFA">
            <w:pPr>
              <w:pStyle w:val="AERbodytext"/>
            </w:pPr>
            <w:r w:rsidRPr="00C72876">
              <w:t>AER assessment</w:t>
            </w:r>
            <w:r>
              <w:t xml:space="preserve"> </w:t>
            </w:r>
          </w:p>
        </w:tc>
      </w:tr>
      <w:tr w:rsidR="001B7EFA" w:rsidTr="00164FE7">
        <w:tc>
          <w:tcPr>
            <w:tcW w:w="4621" w:type="dxa"/>
          </w:tcPr>
          <w:p w:rsidR="001B7EFA" w:rsidRPr="001B7EFA" w:rsidRDefault="001B7EFA" w:rsidP="001B7EFA">
            <w:pPr>
              <w:pStyle w:val="AERtabletextleft"/>
            </w:pPr>
            <w:r w:rsidRPr="00B2610A">
              <w:t xml:space="preserve">Requirement for </w:t>
            </w:r>
            <w:r w:rsidRPr="001B7EFA">
              <w:t xml:space="preserve">Directlink and the applicant of a negotiated transmission service to negotiate in good faith—clause 6A.9.5(c)(1) </w:t>
            </w:r>
          </w:p>
        </w:tc>
        <w:tc>
          <w:tcPr>
            <w:tcW w:w="4621" w:type="dxa"/>
          </w:tcPr>
          <w:p w:rsidR="001B7EFA" w:rsidRPr="001B7EFA" w:rsidRDefault="001B7EFA" w:rsidP="001B7EFA">
            <w:pPr>
              <w:pStyle w:val="AERtabletextleft"/>
            </w:pPr>
            <w:r>
              <w:t>Paragraph</w:t>
            </w:r>
            <w:r w:rsidRPr="001B7EFA">
              <w:t xml:space="preserve"> 2 of Directlink’s proposed negotiating framework satisfies this requirement.</w:t>
            </w:r>
          </w:p>
        </w:tc>
      </w:tr>
      <w:tr w:rsidR="001B7EFA" w:rsidTr="00164FE7">
        <w:trPr>
          <w:cnfStyle w:val="000000010000" w:firstRow="0" w:lastRow="0" w:firstColumn="0" w:lastColumn="0" w:oddVBand="0" w:evenVBand="0" w:oddHBand="0" w:evenHBand="1" w:firstRowFirstColumn="0" w:firstRowLastColumn="0" w:lastRowFirstColumn="0" w:lastRowLastColumn="0"/>
        </w:trPr>
        <w:tc>
          <w:tcPr>
            <w:tcW w:w="4621" w:type="dxa"/>
          </w:tcPr>
          <w:p w:rsidR="001B7EFA" w:rsidRPr="001B7EFA" w:rsidRDefault="001B7EFA" w:rsidP="001B7EFA">
            <w:pPr>
              <w:pStyle w:val="AERtabletextleft"/>
            </w:pPr>
            <w:r w:rsidRPr="00B2610A">
              <w:t xml:space="preserve">Requirement for </w:t>
            </w:r>
            <w:r w:rsidRPr="001B7EFA">
              <w:t xml:space="preserve">Directlink to provide all such commercial information reasonably required to enable the applicant of a negotiated transmission service to engage in effective </w:t>
            </w:r>
            <w:r w:rsidRPr="001B7EFA">
              <w:lastRenderedPageBreak/>
              <w:t>negotiations—clause 6A.9.5(c)(2)</w:t>
            </w:r>
          </w:p>
        </w:tc>
        <w:tc>
          <w:tcPr>
            <w:tcW w:w="4621" w:type="dxa"/>
          </w:tcPr>
          <w:p w:rsidR="001B7EFA" w:rsidRPr="001B7EFA" w:rsidRDefault="001B7EFA" w:rsidP="001B7EFA">
            <w:pPr>
              <w:pStyle w:val="AERtabletextleft"/>
            </w:pPr>
            <w:r>
              <w:lastRenderedPageBreak/>
              <w:t>Paragraph 6 of Directlink’s proposed negotiating framework satisfies this requirement.</w:t>
            </w:r>
          </w:p>
        </w:tc>
      </w:tr>
      <w:tr w:rsidR="001B7EFA" w:rsidTr="00164FE7">
        <w:tc>
          <w:tcPr>
            <w:tcW w:w="4621" w:type="dxa"/>
          </w:tcPr>
          <w:p w:rsidR="001B7EFA" w:rsidRPr="001B7EFA" w:rsidRDefault="001B7EFA" w:rsidP="001B7EFA">
            <w:pPr>
              <w:pStyle w:val="AERtabletextleft"/>
            </w:pPr>
            <w:r w:rsidRPr="00B2610A">
              <w:lastRenderedPageBreak/>
              <w:t xml:space="preserve">Requirement for </w:t>
            </w:r>
            <w:r w:rsidRPr="001B7EFA">
              <w:t xml:space="preserve">Directlink to identify and inform the negotiated transmission service applicant of the reasonable costs of providing the negotiated service; and demonstrate that charges reflect costs—clause 6A.9.5(c)(3) </w:t>
            </w:r>
          </w:p>
        </w:tc>
        <w:tc>
          <w:tcPr>
            <w:tcW w:w="4621" w:type="dxa"/>
          </w:tcPr>
          <w:p w:rsidR="001B7EFA" w:rsidRPr="001B7EFA" w:rsidRDefault="001B7EFA" w:rsidP="001B7EFA">
            <w:pPr>
              <w:pStyle w:val="AERtabletextleft"/>
            </w:pPr>
            <w:r>
              <w:t>Paragraph</w:t>
            </w:r>
            <w:r w:rsidRPr="001B7EFA">
              <w:t xml:space="preserve"> 6.1.3 of Directlink’s proposed negotiating framework satisfies this requirement. </w:t>
            </w:r>
          </w:p>
        </w:tc>
      </w:tr>
      <w:tr w:rsidR="001B7EFA" w:rsidTr="00164FE7">
        <w:trPr>
          <w:cnfStyle w:val="000000010000" w:firstRow="0" w:lastRow="0" w:firstColumn="0" w:lastColumn="0" w:oddVBand="0" w:evenVBand="0" w:oddHBand="0" w:evenHBand="1" w:firstRowFirstColumn="0" w:firstRowLastColumn="0" w:lastRowFirstColumn="0" w:lastRowLastColumn="0"/>
        </w:trPr>
        <w:tc>
          <w:tcPr>
            <w:tcW w:w="4621" w:type="dxa"/>
          </w:tcPr>
          <w:p w:rsidR="001B7EFA" w:rsidRPr="001B7EFA" w:rsidRDefault="001B7EFA" w:rsidP="001B7EFA">
            <w:pPr>
              <w:pStyle w:val="AERtabletextleft"/>
            </w:pPr>
            <w:r w:rsidRPr="00B2610A">
              <w:t xml:space="preserve">Requirement for a negotiated transmission service applicant to provide all such commercial information reasonably required to enable </w:t>
            </w:r>
            <w:r w:rsidRPr="001B7EFA">
              <w:t>Directlink to engage in effective negotiation—clause 6A.9.5(c)(4)</w:t>
            </w:r>
          </w:p>
        </w:tc>
        <w:tc>
          <w:tcPr>
            <w:tcW w:w="4621" w:type="dxa"/>
          </w:tcPr>
          <w:p w:rsidR="001B7EFA" w:rsidRPr="001B7EFA" w:rsidRDefault="001B7EFA" w:rsidP="001B7EFA">
            <w:pPr>
              <w:pStyle w:val="AERtabletextleft"/>
            </w:pPr>
            <w:r>
              <w:t>Paragraphs</w:t>
            </w:r>
            <w:r w:rsidRPr="001B7EFA">
              <w:t xml:space="preserve"> 4 and 5 of Directlink’s proposed negotiating framework satisfy this requirement.</w:t>
            </w:r>
          </w:p>
        </w:tc>
      </w:tr>
      <w:tr w:rsidR="001B7EFA" w:rsidTr="00164FE7">
        <w:tc>
          <w:tcPr>
            <w:tcW w:w="4621" w:type="dxa"/>
          </w:tcPr>
          <w:p w:rsidR="001B7EFA" w:rsidRPr="001B7EFA" w:rsidRDefault="001B7EFA" w:rsidP="001B7EFA">
            <w:pPr>
              <w:pStyle w:val="AERtabletextleft"/>
            </w:pPr>
            <w:r w:rsidRPr="00B2610A">
              <w:t>Req</w:t>
            </w:r>
            <w:r w:rsidRPr="001B7EFA">
              <w:t>uirement to specify a reasonable period of time for commencing, progressing and finalising negotiations; and a requirement for each party to use its reasonable endeavours to adhere to those time periods during the negotiation—clause 6A.9.5(c)(5)</w:t>
            </w:r>
          </w:p>
        </w:tc>
        <w:tc>
          <w:tcPr>
            <w:tcW w:w="4621" w:type="dxa"/>
          </w:tcPr>
          <w:p w:rsidR="001B7EFA" w:rsidRPr="001B7EFA" w:rsidRDefault="001B7EFA" w:rsidP="001B7EFA">
            <w:pPr>
              <w:pStyle w:val="AERtabletextleft"/>
            </w:pPr>
            <w:r>
              <w:t>Paragraph 3 of Directlink’s proposed negotiating framework satisfies this requirement.</w:t>
            </w:r>
          </w:p>
        </w:tc>
      </w:tr>
      <w:tr w:rsidR="001B7EFA" w:rsidTr="00164FE7">
        <w:trPr>
          <w:cnfStyle w:val="000000010000" w:firstRow="0" w:lastRow="0" w:firstColumn="0" w:lastColumn="0" w:oddVBand="0" w:evenVBand="0" w:oddHBand="0" w:evenHBand="1" w:firstRowFirstColumn="0" w:firstRowLastColumn="0" w:lastRowFirstColumn="0" w:lastRowLastColumn="0"/>
        </w:trPr>
        <w:tc>
          <w:tcPr>
            <w:tcW w:w="4621" w:type="dxa"/>
          </w:tcPr>
          <w:p w:rsidR="001B7EFA" w:rsidRPr="001B7EFA" w:rsidRDefault="001B7EFA" w:rsidP="001B7EFA">
            <w:pPr>
              <w:pStyle w:val="AERtabletextleft"/>
            </w:pPr>
            <w:r w:rsidRPr="00B2610A">
              <w:t>Requirement to specify a process for dispute to be dealt with in accordance with the relevant provisions for dispute resolution</w:t>
            </w:r>
            <w:r w:rsidRPr="001B7EFA">
              <w:rPr>
                <w:rStyle w:val="FootnoteReference"/>
              </w:rPr>
              <w:footnoteReference w:id="22"/>
            </w:r>
            <w:r w:rsidRPr="001B7EFA">
              <w:t>—clause 6A.9.5(c)(6)</w:t>
            </w:r>
          </w:p>
        </w:tc>
        <w:tc>
          <w:tcPr>
            <w:tcW w:w="4621" w:type="dxa"/>
          </w:tcPr>
          <w:p w:rsidR="001B7EFA" w:rsidRPr="001B7EFA" w:rsidRDefault="001B7EFA" w:rsidP="001B7EFA">
            <w:pPr>
              <w:pStyle w:val="AERtabletextleft"/>
            </w:pPr>
            <w:r>
              <w:t>Paragraph 9 of Directlink’s proposed negotiating framework satisfies this requirement.</w:t>
            </w:r>
          </w:p>
        </w:tc>
      </w:tr>
      <w:tr w:rsidR="001B7EFA" w:rsidTr="00164FE7">
        <w:tc>
          <w:tcPr>
            <w:tcW w:w="4621" w:type="dxa"/>
          </w:tcPr>
          <w:p w:rsidR="001B7EFA" w:rsidRPr="001B7EFA" w:rsidRDefault="001B7EFA" w:rsidP="001B7EFA">
            <w:pPr>
              <w:pStyle w:val="AERtabletextleft"/>
            </w:pPr>
            <w:r w:rsidRPr="00B2610A">
              <w:t xml:space="preserve">Requirement to specify arrangements for the payment of </w:t>
            </w:r>
            <w:r w:rsidRPr="001B7EFA">
              <w:t>Directlink’s reasonable direct expenses incurred in processing the application to provide the negotiated transmission service—clause 6A.9.5(c)(7)</w:t>
            </w:r>
          </w:p>
        </w:tc>
        <w:tc>
          <w:tcPr>
            <w:tcW w:w="4621" w:type="dxa"/>
          </w:tcPr>
          <w:p w:rsidR="001B7EFA" w:rsidRPr="001B7EFA" w:rsidRDefault="001B7EFA" w:rsidP="001B7EFA">
            <w:pPr>
              <w:pStyle w:val="AERtabletextleft"/>
            </w:pPr>
            <w:r>
              <w:t>Paragraph 11 of Directlink’s proposed negotiating framework satisfies this requirement.</w:t>
            </w:r>
          </w:p>
        </w:tc>
      </w:tr>
      <w:tr w:rsidR="001B7EFA" w:rsidTr="00164FE7">
        <w:trPr>
          <w:cnfStyle w:val="000000010000" w:firstRow="0" w:lastRow="0" w:firstColumn="0" w:lastColumn="0" w:oddVBand="0" w:evenVBand="0" w:oddHBand="0" w:evenHBand="1" w:firstRowFirstColumn="0" w:firstRowLastColumn="0" w:lastRowFirstColumn="0" w:lastRowLastColumn="0"/>
        </w:trPr>
        <w:tc>
          <w:tcPr>
            <w:tcW w:w="4621" w:type="dxa"/>
          </w:tcPr>
          <w:p w:rsidR="001B7EFA" w:rsidRPr="001B7EFA" w:rsidRDefault="001B7EFA" w:rsidP="001B7EFA">
            <w:pPr>
              <w:pStyle w:val="AERtabletextleft"/>
            </w:pPr>
            <w:r w:rsidRPr="00B2610A">
              <w:t xml:space="preserve">Requirement for </w:t>
            </w:r>
            <w:r w:rsidRPr="001B7EFA">
              <w:t>Directlink to determine the potential impact of the provision of a negotiated transmission service on other network users—clause 6A.9.5(c)(8)</w:t>
            </w:r>
          </w:p>
        </w:tc>
        <w:tc>
          <w:tcPr>
            <w:tcW w:w="4621" w:type="dxa"/>
          </w:tcPr>
          <w:p w:rsidR="001B7EFA" w:rsidRPr="001B7EFA" w:rsidRDefault="001B7EFA" w:rsidP="001B7EFA">
            <w:pPr>
              <w:pStyle w:val="AERtabletextleft"/>
            </w:pPr>
            <w:r>
              <w:t>Paragraph 8 of Directlink’s proposed negotiating framework satisfies this requirement.</w:t>
            </w:r>
          </w:p>
        </w:tc>
      </w:tr>
      <w:tr w:rsidR="001B7EFA" w:rsidTr="00164FE7">
        <w:tc>
          <w:tcPr>
            <w:tcW w:w="4621" w:type="dxa"/>
          </w:tcPr>
          <w:p w:rsidR="001B7EFA" w:rsidRPr="001B7EFA" w:rsidRDefault="001B7EFA" w:rsidP="001B7EFA">
            <w:pPr>
              <w:pStyle w:val="AERtabletextleft"/>
            </w:pPr>
            <w:r w:rsidRPr="00B2610A">
              <w:t xml:space="preserve">Requirement for </w:t>
            </w:r>
            <w:r w:rsidRPr="001B7EFA">
              <w:t>Directlink to notify and consult with any affected network user and ensure the negotiated transmission service does not result in noncompliance with obligations in relation to other network users under the NER—clause 6A.9.5(c)(9)</w:t>
            </w:r>
          </w:p>
        </w:tc>
        <w:tc>
          <w:tcPr>
            <w:tcW w:w="4621" w:type="dxa"/>
          </w:tcPr>
          <w:p w:rsidR="001B7EFA" w:rsidRPr="001B7EFA" w:rsidRDefault="001B7EFA" w:rsidP="001B7EFA">
            <w:pPr>
              <w:pStyle w:val="AERtabletextleft"/>
            </w:pPr>
            <w:r>
              <w:t>Paragraph 8.2 of Directlink’s</w:t>
            </w:r>
            <w:r w:rsidRPr="001B7EFA">
              <w:t xml:space="preserve"> proposed negotiating framework satisfies this requirement.</w:t>
            </w:r>
          </w:p>
        </w:tc>
      </w:tr>
    </w:tbl>
    <w:p w:rsidR="001B7EFA" w:rsidRDefault="001B7EFA" w:rsidP="00353F20">
      <w:pPr>
        <w:pStyle w:val="AERtablesource"/>
      </w:pPr>
      <w:r w:rsidRPr="00E22E64">
        <w:rPr>
          <w:rStyle w:val="AERtextitalic"/>
        </w:rPr>
        <w:t xml:space="preserve">Source: </w:t>
      </w:r>
      <w:r>
        <w:rPr>
          <w:rStyle w:val="AERtextitalic"/>
        </w:rPr>
        <w:t>Directlink</w:t>
      </w:r>
      <w:r w:rsidRPr="00E22E64">
        <w:rPr>
          <w:rStyle w:val="AERtextitalic"/>
        </w:rPr>
        <w:t xml:space="preserve">, </w:t>
      </w:r>
      <w:r w:rsidRPr="00B11F06">
        <w:rPr>
          <w:rStyle w:val="AERtextitalic"/>
        </w:rPr>
        <w:t xml:space="preserve">Proposed negotiating framework for </w:t>
      </w:r>
      <w:r>
        <w:rPr>
          <w:rStyle w:val="AERtextitalic"/>
        </w:rPr>
        <w:t>2015</w:t>
      </w:r>
      <w:r>
        <w:rPr>
          <w:rStyle w:val="AERtextitalic"/>
        </w:rPr>
        <w:softHyphen/>
        <w:t>-20</w:t>
      </w:r>
      <w:r w:rsidRPr="00E22E64">
        <w:rPr>
          <w:rStyle w:val="AERtextitalic"/>
        </w:rPr>
        <w:t xml:space="preserve">, </w:t>
      </w:r>
      <w:r>
        <w:rPr>
          <w:rStyle w:val="AERtextitalic"/>
        </w:rPr>
        <w:t>May 2014</w:t>
      </w:r>
      <w:r w:rsidRPr="00E22E64">
        <w:rPr>
          <w:rStyle w:val="AERtextitalic"/>
        </w:rPr>
        <w:t xml:space="preserve">. </w:t>
      </w:r>
    </w:p>
    <w:p w:rsidR="00E22E64" w:rsidRDefault="00E22E64" w:rsidP="00E22E64">
      <w:pPr>
        <w:pStyle w:val="Heading2"/>
      </w:pPr>
      <w:bookmarkStart w:id="22" w:name="_Toc404191379"/>
      <w:r>
        <w:t>Negotiated transmission service criteria</w:t>
      </w:r>
      <w:bookmarkEnd w:id="19"/>
      <w:bookmarkEnd w:id="20"/>
      <w:bookmarkEnd w:id="22"/>
    </w:p>
    <w:p w:rsidR="002B7C7E" w:rsidRDefault="00405D50" w:rsidP="00353F20">
      <w:pPr>
        <w:pStyle w:val="AERbulletlistfirststyle"/>
        <w:numPr>
          <w:ilvl w:val="0"/>
          <w:numId w:val="0"/>
        </w:numPr>
      </w:pPr>
      <w:r>
        <w:t>Below we have set out</w:t>
      </w:r>
      <w:r w:rsidR="00E22E64">
        <w:t xml:space="preserve"> the NTSC p</w:t>
      </w:r>
      <w:r w:rsidR="00EF6BD3">
        <w:t>ublished by the AER in June 2014</w:t>
      </w:r>
      <w:r w:rsidR="00E22E64">
        <w:t>.</w:t>
      </w:r>
      <w:r w:rsidR="00E22E64">
        <w:rPr>
          <w:rStyle w:val="FootnoteReference"/>
        </w:rPr>
        <w:footnoteReference w:id="23"/>
      </w:r>
      <w:r w:rsidR="00FE715A">
        <w:t xml:space="preserve"> This NTSC will apply to Directlink. </w:t>
      </w:r>
      <w:r w:rsidR="000B750B">
        <w:t>We consider that the NTSC sets out the required criteria to be applied by Directlink in negotiating terms and conditions of access for negotiated transmission services and any access charges.  It also sets out the criteria to be applied by a commercial arbitrator in resolving any dispute in relation to those matters.</w:t>
      </w:r>
      <w:r w:rsidR="000B750B">
        <w:rPr>
          <w:rStyle w:val="FootnoteReference"/>
        </w:rPr>
        <w:footnoteReference w:id="24"/>
      </w:r>
      <w:r w:rsidR="000B750B">
        <w:t xml:space="preserve"> The NTSC give effect to and are consistent with the Negotiated Transmission Service Principles in clause 6A.9.1 of the NER</w:t>
      </w:r>
      <w:r w:rsidR="000B750B">
        <w:rPr>
          <w:rStyle w:val="FootnoteReference"/>
        </w:rPr>
        <w:footnoteReference w:id="25"/>
      </w:r>
    </w:p>
    <w:p w:rsidR="002B7C7E" w:rsidRPr="00D0108A" w:rsidRDefault="002B7C7E" w:rsidP="002B7C7E">
      <w:pPr>
        <w:pStyle w:val="HeadingBoldBlue"/>
      </w:pPr>
      <w:bookmarkStart w:id="23" w:name="_Ref397444949"/>
      <w:r w:rsidRPr="00D0108A">
        <w:t>The NTSC</w:t>
      </w:r>
      <w:bookmarkEnd w:id="23"/>
    </w:p>
    <w:p w:rsidR="002B7C7E" w:rsidRPr="0014550D" w:rsidRDefault="002B7C7E" w:rsidP="002B7C7E">
      <w:pPr>
        <w:rPr>
          <w:rStyle w:val="AERtextbold"/>
        </w:rPr>
      </w:pPr>
      <w:r w:rsidRPr="0014550D">
        <w:rPr>
          <w:rStyle w:val="AERtextbold"/>
        </w:rPr>
        <w:t>National Electricity Objective</w:t>
      </w:r>
    </w:p>
    <w:p w:rsidR="002B7C7E" w:rsidRDefault="002B7C7E" w:rsidP="0014550D">
      <w:pPr>
        <w:pStyle w:val="AERnumberedlistfirststyle"/>
      </w:pPr>
      <w:r w:rsidRPr="0014550D">
        <w:t>The terms and conditions of access for a negotiated transmission service, including the price that is to be charged for the provision of that service and any access charges, should promote the achievement of the National Electricity Objective.</w:t>
      </w:r>
    </w:p>
    <w:p w:rsidR="0014550D" w:rsidRPr="0014550D" w:rsidRDefault="0014550D" w:rsidP="0014550D">
      <w:pPr>
        <w:rPr>
          <w:rStyle w:val="AERtextbold"/>
        </w:rPr>
      </w:pPr>
      <w:r w:rsidRPr="0014550D">
        <w:rPr>
          <w:rStyle w:val="AERtextbold"/>
        </w:rPr>
        <w:lastRenderedPageBreak/>
        <w:t>Criteria for terms and conditions of access</w:t>
      </w:r>
    </w:p>
    <w:p w:rsidR="0014550D" w:rsidRPr="0014550D" w:rsidRDefault="0014550D" w:rsidP="0014550D">
      <w:pPr>
        <w:rPr>
          <w:rStyle w:val="AERtextitalic"/>
        </w:rPr>
      </w:pPr>
      <w:r w:rsidRPr="0014550D">
        <w:rPr>
          <w:rStyle w:val="AERtextitalic"/>
        </w:rPr>
        <w:t>Terms and conditions of access</w:t>
      </w:r>
    </w:p>
    <w:p w:rsidR="002B7C7E" w:rsidRPr="0014550D" w:rsidRDefault="002B7C7E" w:rsidP="0014550D">
      <w:pPr>
        <w:pStyle w:val="AERnumberedlistfirststyle"/>
      </w:pPr>
      <w:r w:rsidRPr="0014550D">
        <w:t>The terms and conditions of access for a negotiated transmission service must be fair, reasonable and consistent with the safe and reliable operation of the power system in accordance with the NER.</w:t>
      </w:r>
    </w:p>
    <w:p w:rsidR="002B7C7E" w:rsidRPr="00C543D7" w:rsidRDefault="002B7C7E" w:rsidP="00C543D7">
      <w:pPr>
        <w:pStyle w:val="AERnumberedlistfirststyle"/>
      </w:pPr>
      <w:r w:rsidRPr="00C543D7">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2B7C7E" w:rsidRPr="00C543D7" w:rsidRDefault="002B7C7E" w:rsidP="00C543D7">
      <w:pPr>
        <w:pStyle w:val="AERnumberedlistfirststyle"/>
      </w:pPr>
      <w:r w:rsidRPr="00C543D7">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2B7C7E" w:rsidRPr="00A72613" w:rsidRDefault="002B7C7E" w:rsidP="002B7C7E">
      <w:pPr>
        <w:rPr>
          <w:rStyle w:val="AERtextbold"/>
        </w:rPr>
      </w:pPr>
      <w:r w:rsidRPr="00A72613">
        <w:rPr>
          <w:rStyle w:val="AERtextbold"/>
        </w:rPr>
        <w:t>Price of services</w:t>
      </w:r>
    </w:p>
    <w:p w:rsidR="002B7C7E" w:rsidRPr="0014550D" w:rsidRDefault="002B7C7E" w:rsidP="0014550D">
      <w:pPr>
        <w:pStyle w:val="AERnumberedlistfirststyle"/>
      </w:pPr>
      <w:r w:rsidRPr="0014550D">
        <w:t>The price of a negotiated transmission service must reflect the cost that the TNSP has incurred or incurs in providing that service, and must be determined in accordance with the principles and policies set out in the Cost Allocation Methodology.</w:t>
      </w:r>
    </w:p>
    <w:p w:rsidR="002B7C7E" w:rsidRPr="0014550D" w:rsidRDefault="002B7C7E" w:rsidP="0014550D">
      <w:pPr>
        <w:pStyle w:val="AERnumberedlistfirststyle"/>
      </w:pPr>
      <w:r w:rsidRPr="0014550D">
        <w:t>Subject to criteria 7 and 8, the price for a negotiated transmission service must be at least equal to the avoided cost of providing that service but no more than the cost of providing it on a stand alone basis.</w:t>
      </w:r>
    </w:p>
    <w:p w:rsidR="002B7C7E" w:rsidRPr="0014550D" w:rsidRDefault="002B7C7E" w:rsidP="0014550D">
      <w:pPr>
        <w:pStyle w:val="AERnumberedlistfirststyle"/>
      </w:pPr>
      <w:r w:rsidRPr="0014550D">
        <w:t>If the negotiated transmission service is a shared transmission service that:</w:t>
      </w:r>
    </w:p>
    <w:p w:rsidR="002B7C7E" w:rsidRDefault="002B7C7E" w:rsidP="002B7C7E">
      <w:pPr>
        <w:pStyle w:val="AERnumberedlistsecondstyle"/>
      </w:pPr>
      <w:r w:rsidRPr="00D0108A">
        <w:t>exceeds any network performance requirements which it is required to meet under any relevant electricity legislation; or</w:t>
      </w:r>
    </w:p>
    <w:p w:rsidR="002B7C7E" w:rsidRPr="00D0108A" w:rsidRDefault="002B7C7E" w:rsidP="002B7C7E">
      <w:pPr>
        <w:pStyle w:val="AERnumberedlistsecondstyle"/>
      </w:pPr>
      <w:r w:rsidRPr="00D0108A">
        <w:t>exceeds the network performance requirements set out in schedule 5.1a and 5.1 of the NER</w:t>
      </w:r>
    </w:p>
    <w:p w:rsidR="002B7C7E" w:rsidRPr="002B7C7E" w:rsidRDefault="002B7C7E" w:rsidP="002B7C7E">
      <w:pPr>
        <w:pStyle w:val="AERnumberedlistfirststyle"/>
      </w:pPr>
      <w:r w:rsidRPr="00D0108A">
        <w:t>then the difference between the price for that service and the price for the shared transmission service which meets network performance requirements must reflect the TNSP's incremental cost of providing that service (as appropriate).</w:t>
      </w:r>
    </w:p>
    <w:p w:rsidR="002B7C7E" w:rsidRPr="0014550D" w:rsidRDefault="002B7C7E" w:rsidP="0014550D">
      <w:pPr>
        <w:pStyle w:val="AERnumberedlistfirststyle"/>
      </w:pPr>
      <w:r w:rsidRPr="0014550D">
        <w:t>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legislation must be considered in determining whether any network service performance requirements have not been met or exceeded.</w:t>
      </w:r>
    </w:p>
    <w:p w:rsidR="002B7C7E" w:rsidRPr="0014550D" w:rsidRDefault="002B7C7E" w:rsidP="0014550D">
      <w:pPr>
        <w:pStyle w:val="AERnumberedlistfirststyle"/>
      </w:pPr>
      <w:r w:rsidRPr="0014550D">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2B7C7E" w:rsidRPr="0014550D" w:rsidRDefault="002B7C7E" w:rsidP="0014550D">
      <w:pPr>
        <w:pStyle w:val="AERnumberedlistfirststyle"/>
      </w:pPr>
      <w:r w:rsidRPr="0014550D">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2B7C7E" w:rsidRPr="0014550D" w:rsidRDefault="002B7C7E" w:rsidP="0014550D">
      <w:pPr>
        <w:pStyle w:val="AERnumberedlistfirststyle"/>
      </w:pPr>
      <w:r w:rsidRPr="0014550D">
        <w:lastRenderedPageBreak/>
        <w:t>The price for a negotiated transmission service must be such as to enable the TNSP to recover the efficient costs of complying with all regulatory obligations associated with the provision of the negotiated transmission service.</w:t>
      </w:r>
    </w:p>
    <w:p w:rsidR="002B7C7E" w:rsidRPr="00A72613" w:rsidRDefault="002B7C7E" w:rsidP="002B7C7E">
      <w:pPr>
        <w:rPr>
          <w:rStyle w:val="AERtextbold"/>
        </w:rPr>
      </w:pPr>
      <w:r w:rsidRPr="00A72613">
        <w:rPr>
          <w:rStyle w:val="AERtextbold"/>
        </w:rPr>
        <w:t>Criteria for access charges</w:t>
      </w:r>
    </w:p>
    <w:p w:rsidR="002B7C7E" w:rsidRPr="00A72613" w:rsidRDefault="002B7C7E" w:rsidP="00B74FB1">
      <w:pPr>
        <w:numPr>
          <w:ilvl w:val="0"/>
          <w:numId w:val="1"/>
        </w:numPr>
        <w:rPr>
          <w:rStyle w:val="AERtextitalic"/>
        </w:rPr>
      </w:pPr>
      <w:r w:rsidRPr="00A72613">
        <w:rPr>
          <w:rStyle w:val="AERtextitalic"/>
        </w:rPr>
        <w:t>Access charges</w:t>
      </w:r>
    </w:p>
    <w:p w:rsidR="00E67B15" w:rsidRPr="00FC319C" w:rsidRDefault="002B7C7E" w:rsidP="00E22E64">
      <w:pPr>
        <w:pStyle w:val="AERnumberedlistfirststyle"/>
      </w:pPr>
      <w:r w:rsidRPr="002B7C7E">
        <w:t>Any access charges must be based on the costs reasonably incurred by the TNSP in providing Transmission Network User access. This includes the compensation for forgone revenue referred to in clause 5.4A(h) to (j) of the NER and the costs that are likely to be incurred by a person referred to in clause 5.4A(h) to (j) of the NER (as appropriate).</w:t>
      </w:r>
      <w:bookmarkEnd w:id="8"/>
    </w:p>
    <w:sectPr w:rsidR="00E67B15" w:rsidRPr="00FC319C" w:rsidSect="002D75F0">
      <w:footerReference w:type="even" r:id="rId12"/>
      <w:footerReference w:type="default" r:id="rId13"/>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8D7" w:rsidRPr="00AB4345" w:rsidRDefault="009A78D7" w:rsidP="00AB4345">
      <w:r>
        <w:separator/>
      </w:r>
    </w:p>
  </w:endnote>
  <w:endnote w:type="continuationSeparator" w:id="0">
    <w:p w:rsidR="009A78D7" w:rsidRPr="00AB4345" w:rsidRDefault="009A78D7"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9A78D7" w:rsidRPr="00824CC8" w:rsidRDefault="009A78D7" w:rsidP="00824CC8">
        <w:pPr>
          <w:pStyle w:val="Footer"/>
        </w:pPr>
        <w:r w:rsidRPr="00824CC8">
          <w:fldChar w:fldCharType="begin"/>
        </w:r>
        <w:r w:rsidRPr="00824CC8">
          <w:instrText xml:space="preserve"> PAGE   \* MERGEFORMAT </w:instrText>
        </w:r>
        <w:r w:rsidRPr="00824CC8">
          <w:fldChar w:fldCharType="separate"/>
        </w:r>
        <w:r w:rsidR="001734FD">
          <w:rPr>
            <w:noProof/>
          </w:rPr>
          <w:t>12-12</w:t>
        </w:r>
        <w:r w:rsidRPr="00824CC8">
          <w:fldChar w:fldCharType="end"/>
        </w:r>
        <w:r w:rsidRPr="00824CC8">
          <w:tab/>
        </w:r>
        <w:r w:rsidR="00C543D7" w:rsidRPr="00824CC8">
          <w:rPr>
            <w:rStyle w:val="AERbody"/>
          </w:rPr>
          <w:t xml:space="preserve">Attachment </w:t>
        </w:r>
        <w:r w:rsidR="00C543D7">
          <w:rPr>
            <w:rStyle w:val="AERbody"/>
          </w:rPr>
          <w:t>12</w:t>
        </w:r>
        <w:r w:rsidR="00C543D7" w:rsidRPr="00824CC8">
          <w:rPr>
            <w:rStyle w:val="AERbody"/>
          </w:rPr>
          <w:t xml:space="preserve"> | </w:t>
        </w:r>
        <w:r w:rsidR="00F76B61">
          <w:rPr>
            <w:rStyle w:val="AERbody"/>
          </w:rPr>
          <w:t>Pricing methodology and negotiated services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D7" w:rsidRPr="00824CC8" w:rsidRDefault="00C543D7" w:rsidP="001A0B77">
    <w:pPr>
      <w:pStyle w:val="Header"/>
      <w:rPr>
        <w:rStyle w:val="AERbody"/>
      </w:rPr>
    </w:pPr>
    <w:r>
      <w:rPr>
        <w:rStyle w:val="AERbody"/>
      </w:rPr>
      <w:t>Draft decision: Directlink transmission determination 2015-20</w:t>
    </w:r>
    <w:r w:rsidRPr="00210880">
      <w:rPr>
        <w:rStyle w:val="AERbody"/>
      </w:rPr>
      <w:t xml:space="preserve"> | Attachment </w:t>
    </w:r>
    <w:r>
      <w:rPr>
        <w:rStyle w:val="AERbody"/>
      </w:rPr>
      <w:t>12</w:t>
    </w:r>
    <w:r w:rsidR="009A78D7" w:rsidRPr="00210880">
      <w:rPr>
        <w:rStyle w:val="AERbody"/>
      </w:rPr>
      <w:tab/>
    </w:r>
    <w:r w:rsidR="009A78D7" w:rsidRPr="00824CC8">
      <w:rPr>
        <w:rStyle w:val="AERbody"/>
      </w:rPr>
      <w:fldChar w:fldCharType="begin"/>
    </w:r>
    <w:r w:rsidR="009A78D7" w:rsidRPr="00824CC8">
      <w:rPr>
        <w:rStyle w:val="AERbody"/>
      </w:rPr>
      <w:instrText xml:space="preserve"> PAGE   \* MERGEFORMAT </w:instrText>
    </w:r>
    <w:r w:rsidR="009A78D7" w:rsidRPr="00824CC8">
      <w:rPr>
        <w:rStyle w:val="AERbody"/>
      </w:rPr>
      <w:fldChar w:fldCharType="separate"/>
    </w:r>
    <w:r w:rsidR="001734FD">
      <w:rPr>
        <w:rStyle w:val="AERbody"/>
        <w:noProof/>
      </w:rPr>
      <w:t>12-11</w:t>
    </w:r>
    <w:r w:rsidR="009A78D7"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8D7" w:rsidRPr="00AB4345" w:rsidRDefault="009A78D7" w:rsidP="00AB4345">
      <w:r>
        <w:separator/>
      </w:r>
    </w:p>
  </w:footnote>
  <w:footnote w:type="continuationSeparator" w:id="0">
    <w:p w:rsidR="009A78D7" w:rsidRPr="00AB4345" w:rsidRDefault="009A78D7" w:rsidP="00AB4345">
      <w:r>
        <w:continuationSeparator/>
      </w:r>
    </w:p>
  </w:footnote>
  <w:footnote w:id="1">
    <w:p w:rsidR="009A78D7" w:rsidRDefault="009A78D7" w:rsidP="000201B2">
      <w:pPr>
        <w:pStyle w:val="FootnoteText"/>
      </w:pPr>
      <w:r>
        <w:rPr>
          <w:rStyle w:val="FootnoteReference"/>
        </w:rPr>
        <w:footnoteRef/>
      </w:r>
      <w:r>
        <w:t xml:space="preserve"> </w:t>
      </w:r>
      <w:r>
        <w:tab/>
        <w:t>NER, clause 6A.2.2(4); 6A.14.1(8)</w:t>
      </w:r>
    </w:p>
  </w:footnote>
  <w:footnote w:id="2">
    <w:p w:rsidR="009A78D7" w:rsidRDefault="009A78D7" w:rsidP="00B8391F">
      <w:pPr>
        <w:pStyle w:val="FootnoteText"/>
      </w:pPr>
      <w:r>
        <w:rPr>
          <w:rStyle w:val="FootnoteReference"/>
        </w:rPr>
        <w:footnoteRef/>
      </w:r>
      <w:r>
        <w:t xml:space="preserve"> </w:t>
      </w:r>
      <w:r>
        <w:tab/>
        <w:t>NER, clause 6A.2.2(2); 6A.14.1(6)</w:t>
      </w:r>
    </w:p>
  </w:footnote>
  <w:footnote w:id="3">
    <w:p w:rsidR="009A78D7" w:rsidRDefault="009A78D7" w:rsidP="000201B2">
      <w:pPr>
        <w:pStyle w:val="FootnoteText"/>
      </w:pPr>
      <w:r>
        <w:rPr>
          <w:rStyle w:val="FootnoteReference"/>
        </w:rPr>
        <w:footnoteRef/>
      </w:r>
      <w:r>
        <w:t xml:space="preserve"> </w:t>
      </w:r>
      <w:r>
        <w:tab/>
        <w:t>NER, clause 6A.2.2(3); 6a.14.1(7).</w:t>
      </w:r>
    </w:p>
  </w:footnote>
  <w:footnote w:id="4">
    <w:p w:rsidR="009A78D7" w:rsidRDefault="009A78D7" w:rsidP="000201B2">
      <w:pPr>
        <w:pStyle w:val="FootnoteText"/>
      </w:pPr>
      <w:r>
        <w:rPr>
          <w:rStyle w:val="FootnoteReference"/>
        </w:rPr>
        <w:footnoteRef/>
      </w:r>
      <w:r>
        <w:t xml:space="preserve"> </w:t>
      </w:r>
      <w:r>
        <w:tab/>
        <w:t>NER, clause 6A.2.2(3).</w:t>
      </w:r>
    </w:p>
  </w:footnote>
  <w:footnote w:id="5">
    <w:p w:rsidR="009A78D7" w:rsidRDefault="009A78D7" w:rsidP="00B8391F">
      <w:pPr>
        <w:pStyle w:val="FootnoteText"/>
      </w:pPr>
      <w:r>
        <w:rPr>
          <w:rStyle w:val="FootnoteReference"/>
        </w:rPr>
        <w:footnoteRef/>
      </w:r>
      <w:r>
        <w:t xml:space="preserve"> </w:t>
      </w:r>
      <w:r>
        <w:tab/>
        <w:t>NER, clause 6A.24.1(b)(1).</w:t>
      </w:r>
    </w:p>
  </w:footnote>
  <w:footnote w:id="6">
    <w:p w:rsidR="009A78D7" w:rsidRDefault="009A78D7" w:rsidP="00B8391F">
      <w:pPr>
        <w:pStyle w:val="FootnoteText"/>
      </w:pPr>
      <w:r>
        <w:rPr>
          <w:rStyle w:val="FootnoteReference"/>
        </w:rPr>
        <w:footnoteRef/>
      </w:r>
      <w:r>
        <w:t xml:space="preserve"> </w:t>
      </w:r>
      <w:r>
        <w:tab/>
        <w:t>NER, clause 6A.24.1(b)(2).</w:t>
      </w:r>
    </w:p>
  </w:footnote>
  <w:footnote w:id="7">
    <w:p w:rsidR="009A78D7" w:rsidRDefault="009A78D7" w:rsidP="007178F9">
      <w:pPr>
        <w:pStyle w:val="FootnoteText"/>
      </w:pPr>
      <w:r>
        <w:rPr>
          <w:rStyle w:val="FootnoteReference"/>
        </w:rPr>
        <w:footnoteRef/>
      </w:r>
      <w:r>
        <w:t xml:space="preserve"> </w:t>
      </w:r>
      <w:r>
        <w:tab/>
        <w:t>NER, clause 6A.9.5(a).</w:t>
      </w:r>
    </w:p>
  </w:footnote>
  <w:footnote w:id="8">
    <w:p w:rsidR="009A78D7" w:rsidRDefault="009A78D7" w:rsidP="007178F9">
      <w:pPr>
        <w:pStyle w:val="FootnoteText"/>
      </w:pPr>
      <w:r>
        <w:rPr>
          <w:rStyle w:val="FootnoteReference"/>
        </w:rPr>
        <w:footnoteRef/>
      </w:r>
      <w:r>
        <w:t xml:space="preserve"> </w:t>
      </w:r>
      <w:r>
        <w:tab/>
        <w:t>NER, clause 6A.9.4(a)(1).</w:t>
      </w:r>
    </w:p>
  </w:footnote>
  <w:footnote w:id="9">
    <w:p w:rsidR="009A78D7" w:rsidRDefault="009A78D7" w:rsidP="007178F9">
      <w:pPr>
        <w:pStyle w:val="FootnoteText"/>
      </w:pPr>
      <w:r>
        <w:rPr>
          <w:rStyle w:val="FootnoteReference"/>
        </w:rPr>
        <w:footnoteRef/>
      </w:r>
      <w:r>
        <w:t xml:space="preserve"> </w:t>
      </w:r>
      <w:r>
        <w:tab/>
        <w:t>NER, clause 6A.9.4(a)(2).</w:t>
      </w:r>
    </w:p>
  </w:footnote>
  <w:footnote w:id="10">
    <w:p w:rsidR="009A78D7" w:rsidRDefault="009A78D7" w:rsidP="00E22E64">
      <w:pPr>
        <w:pStyle w:val="FootnoteText"/>
      </w:pPr>
      <w:r>
        <w:rPr>
          <w:rStyle w:val="FootnoteReference"/>
        </w:rPr>
        <w:footnoteRef/>
      </w:r>
      <w:r>
        <w:t xml:space="preserve"> </w:t>
      </w:r>
      <w:r>
        <w:tab/>
        <w:t>NER, clause 6A.10.1. Directlink submitted its revenue proposal to the AER on 2 June 2014.</w:t>
      </w:r>
    </w:p>
  </w:footnote>
  <w:footnote w:id="11">
    <w:p w:rsidR="009A78D7" w:rsidRDefault="009A78D7" w:rsidP="00E22E64">
      <w:pPr>
        <w:pStyle w:val="FootnoteText"/>
      </w:pPr>
      <w:r>
        <w:rPr>
          <w:rStyle w:val="FootnoteReference"/>
        </w:rPr>
        <w:footnoteRef/>
      </w:r>
      <w:r>
        <w:t xml:space="preserve"> </w:t>
      </w:r>
      <w:r>
        <w:tab/>
        <w:t>AER</w:t>
      </w:r>
      <w:r w:rsidRPr="002B5E22">
        <w:rPr>
          <w:rStyle w:val="AERtextitalic"/>
        </w:rPr>
        <w:t xml:space="preserve">, Proposed negotiating transmission service criteria </w:t>
      </w:r>
      <w:r>
        <w:rPr>
          <w:rStyle w:val="AERtextitalic"/>
        </w:rPr>
        <w:t xml:space="preserve">for Directlink, </w:t>
      </w:r>
      <w:r w:rsidRPr="0031156E">
        <w:rPr>
          <w:rStyle w:val="AERtextitalic"/>
        </w:rPr>
        <w:t>regulatory control</w:t>
      </w:r>
      <w:r>
        <w:rPr>
          <w:rStyle w:val="AERtextitalic"/>
        </w:rPr>
        <w:t xml:space="preserve"> period 1 July 2015 to 30 June 2020</w:t>
      </w:r>
      <w:r w:rsidRPr="00D94C51">
        <w:t>,</w:t>
      </w:r>
      <w:r>
        <w:t xml:space="preserve"> June 2014.</w:t>
      </w:r>
    </w:p>
  </w:footnote>
  <w:footnote w:id="12">
    <w:p w:rsidR="009A78D7" w:rsidRPr="00E22E64" w:rsidRDefault="009A78D7">
      <w:pPr>
        <w:pStyle w:val="FootnoteText"/>
        <w:rPr>
          <w:rStyle w:val="AERtextitalic"/>
        </w:rPr>
      </w:pPr>
      <w:r>
        <w:rPr>
          <w:rStyle w:val="FootnoteReference"/>
        </w:rPr>
        <w:footnoteRef/>
      </w:r>
      <w:r>
        <w:t xml:space="preserve"> </w:t>
      </w:r>
      <w:r>
        <w:tab/>
        <w:t xml:space="preserve">Directlink, </w:t>
      </w:r>
      <w:r>
        <w:rPr>
          <w:rStyle w:val="AERtextitalic"/>
        </w:rPr>
        <w:t xml:space="preserve">Revenue proposal, </w:t>
      </w:r>
      <w:r>
        <w:t>2 June 2014, p. 14.</w:t>
      </w:r>
    </w:p>
  </w:footnote>
  <w:footnote w:id="13">
    <w:p w:rsidR="009A78D7" w:rsidRDefault="009A78D7" w:rsidP="001B7EFA">
      <w:pPr>
        <w:pStyle w:val="FootnoteText"/>
      </w:pPr>
      <w:r>
        <w:rPr>
          <w:rStyle w:val="FootnoteReference"/>
        </w:rPr>
        <w:footnoteRef/>
      </w:r>
      <w:r>
        <w:t xml:space="preserve"> </w:t>
      </w:r>
      <w:r>
        <w:tab/>
        <w:t>NER, clause 6A.23 and 6A.24; 6A.14.3(g)(1) and (2).</w:t>
      </w:r>
    </w:p>
  </w:footnote>
  <w:footnote w:id="14">
    <w:p w:rsidR="009A78D7" w:rsidRDefault="009A78D7" w:rsidP="00E22E64">
      <w:pPr>
        <w:pStyle w:val="FootnoteText"/>
      </w:pPr>
      <w:r>
        <w:rPr>
          <w:rStyle w:val="FootnoteReference"/>
        </w:rPr>
        <w:footnoteRef/>
      </w:r>
      <w:r>
        <w:t xml:space="preserve"> </w:t>
      </w:r>
      <w:r>
        <w:tab/>
        <w:t>NER, clause 6A.9.5(b)(2); 6A.14.3(f).</w:t>
      </w:r>
    </w:p>
  </w:footnote>
  <w:footnote w:id="15">
    <w:p w:rsidR="009A78D7" w:rsidRDefault="009A78D7" w:rsidP="00E22E64">
      <w:pPr>
        <w:pStyle w:val="FootnoteText"/>
      </w:pPr>
      <w:r>
        <w:rPr>
          <w:rStyle w:val="FootnoteReference"/>
        </w:rPr>
        <w:footnoteRef/>
      </w:r>
      <w:r>
        <w:t xml:space="preserve"> </w:t>
      </w:r>
      <w:r>
        <w:tab/>
        <w:t>NER, clause 6A.9.4(a) and (b); 6A.14.1(i)`</w:t>
      </w:r>
    </w:p>
  </w:footnote>
  <w:footnote w:id="16">
    <w:p w:rsidR="009A78D7" w:rsidRDefault="009A78D7" w:rsidP="001A0B77">
      <w:pPr>
        <w:pStyle w:val="FootnoteText"/>
      </w:pPr>
      <w:r>
        <w:rPr>
          <w:rStyle w:val="FootnoteReference"/>
        </w:rPr>
        <w:footnoteRef/>
      </w:r>
      <w:r>
        <w:t xml:space="preserve"> </w:t>
      </w:r>
      <w:r>
        <w:tab/>
        <w:t>NER, clause 6A.29.1(a).</w:t>
      </w:r>
    </w:p>
  </w:footnote>
  <w:footnote w:id="17">
    <w:p w:rsidR="009A78D7" w:rsidRDefault="009A78D7" w:rsidP="001A0B77">
      <w:pPr>
        <w:pStyle w:val="FootnoteText"/>
      </w:pPr>
      <w:r>
        <w:rPr>
          <w:rStyle w:val="FootnoteReference"/>
        </w:rPr>
        <w:footnoteRef/>
      </w:r>
      <w:r>
        <w:t xml:space="preserve"> </w:t>
      </w:r>
      <w:r>
        <w:tab/>
        <w:t>NER, clause 6A.29.1(d).</w:t>
      </w:r>
    </w:p>
  </w:footnote>
  <w:footnote w:id="18">
    <w:p w:rsidR="009A78D7" w:rsidRDefault="009A78D7">
      <w:pPr>
        <w:pStyle w:val="FootnoteText"/>
      </w:pPr>
      <w:r>
        <w:rPr>
          <w:rStyle w:val="FootnoteReference"/>
        </w:rPr>
        <w:footnoteRef/>
      </w:r>
      <w:r>
        <w:t xml:space="preserve"> </w:t>
      </w:r>
      <w:r>
        <w:tab/>
        <w:t xml:space="preserve">AER, </w:t>
      </w:r>
      <w:r w:rsidRPr="001A0B77">
        <w:rPr>
          <w:rStyle w:val="AERtextitalic"/>
        </w:rPr>
        <w:t>Draft decision on TransGrid's 2015</w:t>
      </w:r>
      <w:r w:rsidRPr="001A0B77">
        <w:rPr>
          <w:rStyle w:val="AERtextitalic"/>
          <w:rFonts w:hint="eastAsia"/>
        </w:rPr>
        <w:t>–</w:t>
      </w:r>
      <w:r w:rsidRPr="001A0B77">
        <w:rPr>
          <w:rStyle w:val="AERtextitalic"/>
        </w:rPr>
        <w:t>18 regulatory control period</w:t>
      </w:r>
      <w:r>
        <w:t>, 1 November 2014, XXX.</w:t>
      </w:r>
    </w:p>
  </w:footnote>
  <w:footnote w:id="19">
    <w:p w:rsidR="009A78D7" w:rsidRDefault="009A78D7">
      <w:pPr>
        <w:pStyle w:val="FootnoteText"/>
      </w:pPr>
      <w:r>
        <w:rPr>
          <w:rStyle w:val="FootnoteReference"/>
        </w:rPr>
        <w:footnoteRef/>
      </w:r>
      <w:r>
        <w:t xml:space="preserve"> </w:t>
      </w:r>
      <w:r>
        <w:tab/>
        <w:t xml:space="preserve">ElectraNet, </w:t>
      </w:r>
      <w:r w:rsidRPr="00866562">
        <w:rPr>
          <w:rStyle w:val="AERtextitalic"/>
        </w:rPr>
        <w:t>Submission on TransGrid's proposed pricing methodology</w:t>
      </w:r>
      <w:r>
        <w:t xml:space="preserve">, 7 August 2014; MEU: Submission on TransGrid's regulatory proposal, August 2014; Norske Skog, </w:t>
      </w:r>
      <w:r w:rsidRPr="00866562">
        <w:rPr>
          <w:rStyle w:val="AERtextitalic"/>
        </w:rPr>
        <w:t>Submission on TransGrid's proposed pricing methodology</w:t>
      </w:r>
      <w:r>
        <w:rPr>
          <w:rStyle w:val="AERtextitalic"/>
        </w:rPr>
        <w:t xml:space="preserve">, </w:t>
      </w:r>
      <w:r>
        <w:t xml:space="preserve">August 2014; EUAA, </w:t>
      </w:r>
      <w:r w:rsidRPr="00866562">
        <w:rPr>
          <w:rStyle w:val="AERtextitalic"/>
        </w:rPr>
        <w:t>Submission on TransGrid's proposed pricing methodology</w:t>
      </w:r>
      <w:r>
        <w:t xml:space="preserve">, August 2014; Bell Bay Aluminium, </w:t>
      </w:r>
      <w:r w:rsidRPr="00866562">
        <w:rPr>
          <w:rStyle w:val="AERtextitalic"/>
        </w:rPr>
        <w:t>Submission on TransGrid's proposed pricing methodology</w:t>
      </w:r>
      <w:r>
        <w:rPr>
          <w:rStyle w:val="AERtextitalic"/>
        </w:rPr>
        <w:t xml:space="preserve">, </w:t>
      </w:r>
      <w:r>
        <w:t>August 2014</w:t>
      </w:r>
    </w:p>
  </w:footnote>
  <w:footnote w:id="20">
    <w:p w:rsidR="009A78D7" w:rsidRDefault="009A78D7" w:rsidP="00810042">
      <w:pPr>
        <w:pStyle w:val="FootnoteText"/>
      </w:pPr>
      <w:r>
        <w:rPr>
          <w:rStyle w:val="FootnoteReference"/>
        </w:rPr>
        <w:footnoteRef/>
      </w:r>
      <w:r>
        <w:t xml:space="preserve"> </w:t>
      </w:r>
      <w:r>
        <w:tab/>
        <w:t xml:space="preserve">AER, </w:t>
      </w:r>
      <w:r w:rsidRPr="00A72613">
        <w:rPr>
          <w:rStyle w:val="AERtextitalic"/>
        </w:rPr>
        <w:t>Draft decision on TransGrid's 2015–18 regulatory control period</w:t>
      </w:r>
      <w:r>
        <w:t>, 1 November 2014, XXX.</w:t>
      </w:r>
    </w:p>
  </w:footnote>
  <w:footnote w:id="21">
    <w:p w:rsidR="009A78D7" w:rsidRDefault="009A78D7" w:rsidP="00D61244">
      <w:pPr>
        <w:pStyle w:val="FootnoteText"/>
      </w:pPr>
      <w:r>
        <w:rPr>
          <w:rStyle w:val="FootnoteReference"/>
        </w:rPr>
        <w:footnoteRef/>
      </w:r>
      <w:r>
        <w:t xml:space="preserve"> </w:t>
      </w:r>
      <w:r>
        <w:tab/>
        <w:t>NER, clause 6A.24.1(e) and (f).</w:t>
      </w:r>
    </w:p>
  </w:footnote>
  <w:footnote w:id="22">
    <w:p w:rsidR="009A78D7" w:rsidRDefault="009A78D7" w:rsidP="001B7EFA">
      <w:pPr>
        <w:pStyle w:val="FootnoteText"/>
      </w:pPr>
      <w:r>
        <w:rPr>
          <w:rStyle w:val="FootnoteReference"/>
        </w:rPr>
        <w:footnoteRef/>
      </w:r>
      <w:r>
        <w:t xml:space="preserve"> </w:t>
      </w:r>
      <w:r>
        <w:tab/>
        <w:t>The relevant provisions for dispute resolution are set out in part K of chapter 6A of the NER.</w:t>
      </w:r>
    </w:p>
  </w:footnote>
  <w:footnote w:id="23">
    <w:p w:rsidR="009A78D7" w:rsidRDefault="009A78D7" w:rsidP="00E22E64">
      <w:pPr>
        <w:pStyle w:val="FootnoteText"/>
      </w:pPr>
      <w:r>
        <w:rPr>
          <w:rStyle w:val="FootnoteReference"/>
        </w:rPr>
        <w:footnoteRef/>
      </w:r>
      <w:r>
        <w:t xml:space="preserve"> </w:t>
      </w:r>
      <w:r>
        <w:tab/>
        <w:t>AER</w:t>
      </w:r>
      <w:r w:rsidRPr="002B5E22">
        <w:rPr>
          <w:rStyle w:val="AERtextitalic"/>
        </w:rPr>
        <w:t xml:space="preserve">, Proposed negotiating transmission service criteria </w:t>
      </w:r>
      <w:r>
        <w:rPr>
          <w:rStyle w:val="AERtextitalic"/>
        </w:rPr>
        <w:t>for Directlink</w:t>
      </w:r>
      <w:r w:rsidRPr="0031156E">
        <w:rPr>
          <w:rStyle w:val="AERtextitalic"/>
        </w:rPr>
        <w:t>, regul</w:t>
      </w:r>
      <w:r>
        <w:rPr>
          <w:rStyle w:val="AERtextitalic"/>
        </w:rPr>
        <w:t>atory control period 1 July 2015 to 30 June 2020</w:t>
      </w:r>
      <w:r w:rsidRPr="00D94C51">
        <w:t>,</w:t>
      </w:r>
      <w:r>
        <w:t xml:space="preserve"> June 2012.</w:t>
      </w:r>
    </w:p>
  </w:footnote>
  <w:footnote w:id="24">
    <w:p w:rsidR="009A78D7" w:rsidRDefault="009A78D7">
      <w:pPr>
        <w:pStyle w:val="FootnoteText"/>
      </w:pPr>
      <w:r>
        <w:rPr>
          <w:rStyle w:val="FootnoteReference"/>
        </w:rPr>
        <w:footnoteRef/>
      </w:r>
      <w:r>
        <w:t xml:space="preserve"> </w:t>
      </w:r>
      <w:r>
        <w:tab/>
        <w:t>NER, clause 6A.9.4(a)</w:t>
      </w:r>
    </w:p>
  </w:footnote>
  <w:footnote w:id="25">
    <w:p w:rsidR="009A78D7" w:rsidRDefault="009A78D7" w:rsidP="000B750B">
      <w:pPr>
        <w:pStyle w:val="FootnoteText"/>
      </w:pPr>
      <w:r>
        <w:rPr>
          <w:rStyle w:val="FootnoteReference"/>
        </w:rPr>
        <w:footnoteRef/>
      </w:r>
      <w:r>
        <w:t xml:space="preserve"> </w:t>
      </w:r>
      <w:r>
        <w:tab/>
        <w:t>NER, clause 6A.9.4(b)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2"/>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formatting="1" w:enforcement="1" w:cryptProviderType="rsaFull" w:cryptAlgorithmClass="hash" w:cryptAlgorithmType="typeAny" w:cryptAlgorithmSid="4" w:cryptSpinCount="100000" w:hash="c22zthnDK6MAysmmQ0XMBRnpPhI=" w:salt="JfKGE4OJ/4Q5pmyGthTVKg=="/>
  <w:defaultTabStop w:val="720"/>
  <w:evenAndOddHeaders/>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124\D14 138066  20141017 - 3.1.8 - Attachment H - Directlink s pricing methodology and negotiated services attachment.DOCX"/>
  </w:docVars>
  <w:rsids>
    <w:rsidRoot w:val="000C052F"/>
    <w:rsid w:val="00002CEA"/>
    <w:rsid w:val="00011129"/>
    <w:rsid w:val="000201B2"/>
    <w:rsid w:val="00022606"/>
    <w:rsid w:val="0003484A"/>
    <w:rsid w:val="00040599"/>
    <w:rsid w:val="00040749"/>
    <w:rsid w:val="000A1CC2"/>
    <w:rsid w:val="000A5342"/>
    <w:rsid w:val="000B15CA"/>
    <w:rsid w:val="000B750B"/>
    <w:rsid w:val="000C052F"/>
    <w:rsid w:val="000C3430"/>
    <w:rsid w:val="000D03C2"/>
    <w:rsid w:val="000D04B1"/>
    <w:rsid w:val="000D401F"/>
    <w:rsid w:val="000E1A25"/>
    <w:rsid w:val="000E5D8F"/>
    <w:rsid w:val="000F3A6A"/>
    <w:rsid w:val="001033B3"/>
    <w:rsid w:val="00105636"/>
    <w:rsid w:val="0013022D"/>
    <w:rsid w:val="0014550D"/>
    <w:rsid w:val="001543D2"/>
    <w:rsid w:val="00164FE7"/>
    <w:rsid w:val="001734FD"/>
    <w:rsid w:val="00174026"/>
    <w:rsid w:val="001856EE"/>
    <w:rsid w:val="00194C3C"/>
    <w:rsid w:val="00197E48"/>
    <w:rsid w:val="001A0B77"/>
    <w:rsid w:val="001B7EFA"/>
    <w:rsid w:val="001C12E5"/>
    <w:rsid w:val="001D4255"/>
    <w:rsid w:val="0020711E"/>
    <w:rsid w:val="00210880"/>
    <w:rsid w:val="002257B9"/>
    <w:rsid w:val="0023137D"/>
    <w:rsid w:val="00240997"/>
    <w:rsid w:val="00266710"/>
    <w:rsid w:val="002805B8"/>
    <w:rsid w:val="002938CE"/>
    <w:rsid w:val="002B6640"/>
    <w:rsid w:val="002B7C7E"/>
    <w:rsid w:val="002D30FE"/>
    <w:rsid w:val="002D61AC"/>
    <w:rsid w:val="002D75F0"/>
    <w:rsid w:val="002E4720"/>
    <w:rsid w:val="002F20DD"/>
    <w:rsid w:val="00303452"/>
    <w:rsid w:val="00304183"/>
    <w:rsid w:val="00307E24"/>
    <w:rsid w:val="003324F7"/>
    <w:rsid w:val="00334F88"/>
    <w:rsid w:val="003374D7"/>
    <w:rsid w:val="0034070A"/>
    <w:rsid w:val="00353F20"/>
    <w:rsid w:val="003707DB"/>
    <w:rsid w:val="00375AEC"/>
    <w:rsid w:val="00376236"/>
    <w:rsid w:val="0037652C"/>
    <w:rsid w:val="003800E4"/>
    <w:rsid w:val="00380FF5"/>
    <w:rsid w:val="003A6174"/>
    <w:rsid w:val="003B7FE3"/>
    <w:rsid w:val="003E0004"/>
    <w:rsid w:val="004030AB"/>
    <w:rsid w:val="00405D50"/>
    <w:rsid w:val="00412282"/>
    <w:rsid w:val="004256BA"/>
    <w:rsid w:val="00431999"/>
    <w:rsid w:val="00433D80"/>
    <w:rsid w:val="00435682"/>
    <w:rsid w:val="00456081"/>
    <w:rsid w:val="00464F5D"/>
    <w:rsid w:val="00474FBD"/>
    <w:rsid w:val="00491D7D"/>
    <w:rsid w:val="004C3F45"/>
    <w:rsid w:val="004E40EF"/>
    <w:rsid w:val="004E4EF9"/>
    <w:rsid w:val="004E73F7"/>
    <w:rsid w:val="004F76A0"/>
    <w:rsid w:val="00500E7F"/>
    <w:rsid w:val="00512BE9"/>
    <w:rsid w:val="005206D1"/>
    <w:rsid w:val="0052179D"/>
    <w:rsid w:val="005456A9"/>
    <w:rsid w:val="00555D52"/>
    <w:rsid w:val="005566D7"/>
    <w:rsid w:val="00561F7F"/>
    <w:rsid w:val="00566B35"/>
    <w:rsid w:val="005732CC"/>
    <w:rsid w:val="00575422"/>
    <w:rsid w:val="005938C6"/>
    <w:rsid w:val="005A0431"/>
    <w:rsid w:val="005B3752"/>
    <w:rsid w:val="005B61C2"/>
    <w:rsid w:val="005D26B7"/>
    <w:rsid w:val="005D4AA1"/>
    <w:rsid w:val="005E4F37"/>
    <w:rsid w:val="005E61D0"/>
    <w:rsid w:val="005E7942"/>
    <w:rsid w:val="0060146C"/>
    <w:rsid w:val="0060207D"/>
    <w:rsid w:val="006039F2"/>
    <w:rsid w:val="006061B0"/>
    <w:rsid w:val="0060732E"/>
    <w:rsid w:val="006076A9"/>
    <w:rsid w:val="00631A1B"/>
    <w:rsid w:val="006544EA"/>
    <w:rsid w:val="00664F73"/>
    <w:rsid w:val="0066569F"/>
    <w:rsid w:val="0069004B"/>
    <w:rsid w:val="006A55FB"/>
    <w:rsid w:val="006A6AC0"/>
    <w:rsid w:val="006B08EB"/>
    <w:rsid w:val="006B40D1"/>
    <w:rsid w:val="006B481F"/>
    <w:rsid w:val="006F638E"/>
    <w:rsid w:val="00703E42"/>
    <w:rsid w:val="007178F9"/>
    <w:rsid w:val="007368AD"/>
    <w:rsid w:val="007508CC"/>
    <w:rsid w:val="00751D2A"/>
    <w:rsid w:val="00755095"/>
    <w:rsid w:val="00796A07"/>
    <w:rsid w:val="007F10E3"/>
    <w:rsid w:val="007F2C0E"/>
    <w:rsid w:val="007F38EA"/>
    <w:rsid w:val="00804AEB"/>
    <w:rsid w:val="00810042"/>
    <w:rsid w:val="00824CC8"/>
    <w:rsid w:val="00836D17"/>
    <w:rsid w:val="00840A55"/>
    <w:rsid w:val="00841BBE"/>
    <w:rsid w:val="00841E25"/>
    <w:rsid w:val="008464CD"/>
    <w:rsid w:val="008515EE"/>
    <w:rsid w:val="00861C4E"/>
    <w:rsid w:val="00866D21"/>
    <w:rsid w:val="00872D85"/>
    <w:rsid w:val="008752EC"/>
    <w:rsid w:val="00883DDA"/>
    <w:rsid w:val="008874B6"/>
    <w:rsid w:val="00891FF9"/>
    <w:rsid w:val="00893367"/>
    <w:rsid w:val="00893D07"/>
    <w:rsid w:val="008B7956"/>
    <w:rsid w:val="008C3722"/>
    <w:rsid w:val="008C3B67"/>
    <w:rsid w:val="008C3F48"/>
    <w:rsid w:val="008D49B4"/>
    <w:rsid w:val="008D7498"/>
    <w:rsid w:val="00932E96"/>
    <w:rsid w:val="009418E6"/>
    <w:rsid w:val="0094235F"/>
    <w:rsid w:val="0094279F"/>
    <w:rsid w:val="00946B98"/>
    <w:rsid w:val="0095052A"/>
    <w:rsid w:val="009658F0"/>
    <w:rsid w:val="00971655"/>
    <w:rsid w:val="00971C63"/>
    <w:rsid w:val="00995C1F"/>
    <w:rsid w:val="009A4AE9"/>
    <w:rsid w:val="009A78D7"/>
    <w:rsid w:val="009C0A29"/>
    <w:rsid w:val="009C1702"/>
    <w:rsid w:val="009C71D5"/>
    <w:rsid w:val="009E1FD2"/>
    <w:rsid w:val="009F7CE4"/>
    <w:rsid w:val="00A11162"/>
    <w:rsid w:val="00A43227"/>
    <w:rsid w:val="00A46CCD"/>
    <w:rsid w:val="00A538E8"/>
    <w:rsid w:val="00A61700"/>
    <w:rsid w:val="00A65133"/>
    <w:rsid w:val="00A652C5"/>
    <w:rsid w:val="00A85C5A"/>
    <w:rsid w:val="00A96A08"/>
    <w:rsid w:val="00AA0161"/>
    <w:rsid w:val="00AA4171"/>
    <w:rsid w:val="00AB1D08"/>
    <w:rsid w:val="00AB4345"/>
    <w:rsid w:val="00AB5BD7"/>
    <w:rsid w:val="00AC0135"/>
    <w:rsid w:val="00AC070D"/>
    <w:rsid w:val="00AC1B94"/>
    <w:rsid w:val="00AD0616"/>
    <w:rsid w:val="00AD34FF"/>
    <w:rsid w:val="00AD4DE6"/>
    <w:rsid w:val="00AE6DBC"/>
    <w:rsid w:val="00AF047E"/>
    <w:rsid w:val="00AF3E95"/>
    <w:rsid w:val="00AF7C67"/>
    <w:rsid w:val="00B15FE9"/>
    <w:rsid w:val="00B47945"/>
    <w:rsid w:val="00B51883"/>
    <w:rsid w:val="00B60D4E"/>
    <w:rsid w:val="00B61FD4"/>
    <w:rsid w:val="00B674DB"/>
    <w:rsid w:val="00B74FB1"/>
    <w:rsid w:val="00B82E8D"/>
    <w:rsid w:val="00B8391F"/>
    <w:rsid w:val="00B84ECE"/>
    <w:rsid w:val="00B9264D"/>
    <w:rsid w:val="00B94D99"/>
    <w:rsid w:val="00BA0ACA"/>
    <w:rsid w:val="00BB3FA1"/>
    <w:rsid w:val="00BB62BB"/>
    <w:rsid w:val="00BC05C5"/>
    <w:rsid w:val="00BC50E5"/>
    <w:rsid w:val="00BD04BE"/>
    <w:rsid w:val="00BD4E35"/>
    <w:rsid w:val="00BE35A6"/>
    <w:rsid w:val="00BE6F28"/>
    <w:rsid w:val="00BF29FA"/>
    <w:rsid w:val="00C03323"/>
    <w:rsid w:val="00C04D2B"/>
    <w:rsid w:val="00C302D2"/>
    <w:rsid w:val="00C543D7"/>
    <w:rsid w:val="00C623DE"/>
    <w:rsid w:val="00C737C5"/>
    <w:rsid w:val="00C8210D"/>
    <w:rsid w:val="00C94530"/>
    <w:rsid w:val="00CA3540"/>
    <w:rsid w:val="00CA6DED"/>
    <w:rsid w:val="00CC49D4"/>
    <w:rsid w:val="00CE6F5A"/>
    <w:rsid w:val="00CF42CF"/>
    <w:rsid w:val="00CF5C8F"/>
    <w:rsid w:val="00D102E9"/>
    <w:rsid w:val="00D1688F"/>
    <w:rsid w:val="00D2117F"/>
    <w:rsid w:val="00D25317"/>
    <w:rsid w:val="00D2701E"/>
    <w:rsid w:val="00D61244"/>
    <w:rsid w:val="00D65099"/>
    <w:rsid w:val="00D66E8B"/>
    <w:rsid w:val="00D70CE7"/>
    <w:rsid w:val="00D85715"/>
    <w:rsid w:val="00D8706C"/>
    <w:rsid w:val="00DA4C62"/>
    <w:rsid w:val="00DB6A17"/>
    <w:rsid w:val="00DD4E84"/>
    <w:rsid w:val="00DD5520"/>
    <w:rsid w:val="00DF16C2"/>
    <w:rsid w:val="00E00F76"/>
    <w:rsid w:val="00E20940"/>
    <w:rsid w:val="00E21E75"/>
    <w:rsid w:val="00E22E64"/>
    <w:rsid w:val="00E31161"/>
    <w:rsid w:val="00E519DC"/>
    <w:rsid w:val="00E67B15"/>
    <w:rsid w:val="00E807DA"/>
    <w:rsid w:val="00E84E3A"/>
    <w:rsid w:val="00E9517B"/>
    <w:rsid w:val="00EA05AF"/>
    <w:rsid w:val="00EB5CDF"/>
    <w:rsid w:val="00EC43B9"/>
    <w:rsid w:val="00ED09CD"/>
    <w:rsid w:val="00ED4D69"/>
    <w:rsid w:val="00EE362F"/>
    <w:rsid w:val="00EF0E19"/>
    <w:rsid w:val="00EF6BD3"/>
    <w:rsid w:val="00F0258A"/>
    <w:rsid w:val="00F114AE"/>
    <w:rsid w:val="00F43CA0"/>
    <w:rsid w:val="00F55030"/>
    <w:rsid w:val="00F7696F"/>
    <w:rsid w:val="00F76B61"/>
    <w:rsid w:val="00F8209B"/>
    <w:rsid w:val="00F97CD9"/>
    <w:rsid w:val="00FA0576"/>
    <w:rsid w:val="00FB50B4"/>
    <w:rsid w:val="00FD4B97"/>
    <w:rsid w:val="00FE55EB"/>
    <w:rsid w:val="00FE715A"/>
    <w:rsid w:val="00FF3F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0"/>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 w:type="paragraph" w:styleId="ListBullet">
    <w:name w:val="List Bullet"/>
    <w:basedOn w:val="Normal"/>
    <w:uiPriority w:val="99"/>
    <w:semiHidden/>
    <w:unhideWhenUsed/>
    <w:locked/>
    <w:rsid w:val="00240997"/>
    <w:pPr>
      <w:tabs>
        <w:tab w:val="num" w:pos="36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blishing.unit@accc.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C4FA2B27.dotm</Template>
  <TotalTime>0</TotalTime>
  <Pages>12</Pages>
  <Words>2778</Words>
  <Characters>15836</Characters>
  <Application>Microsoft Office Word</Application>
  <DocSecurity>0</DocSecurity>
  <Lines>131</Lines>
  <Paragraphs>37</Paragraphs>
  <ScaleCrop>false</ScaleCrop>
  <Company/>
  <LinksUpToDate>false</LinksUpToDate>
  <CharactersWithSpaces>18577</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2014-11-26T04:29:00Z</dcterms:created>
  <dcterms:modified xsi:type="dcterms:W3CDTF">2014-11-26T04:29:00Z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8307198</vt:lpwstr>
  </property>
</Properties>
</file>