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1F145E5" wp14:editId="1013373D">
                <wp:simplePos x="0" y="0"/>
                <wp:positionH relativeFrom="column">
                  <wp:posOffset>-1170343</wp:posOffset>
                </wp:positionH>
                <wp:positionV relativeFrom="paragraph">
                  <wp:posOffset>-1050202</wp:posOffset>
                </wp:positionV>
                <wp:extent cx="7650178" cy="10728356"/>
                <wp:effectExtent l="0" t="0" r="825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0609"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B40CAA" w:rsidP="008F07A3">
          <w:pPr>
            <w:pStyle w:val="ReportSubtitle"/>
          </w:pPr>
          <w:r>
            <w:t>A</w:t>
          </w:r>
          <w:r w:rsidR="00C275C4">
            <w:t>us</w:t>
          </w:r>
          <w:r w:rsidR="009D32BC">
            <w:t>tralian</w:t>
          </w:r>
          <w:r>
            <w:t xml:space="preserve"> </w:t>
          </w:r>
          <w:r w:rsidR="00C275C4">
            <w:t>G</w:t>
          </w:r>
          <w:r>
            <w:t>as</w:t>
          </w:r>
          <w:r w:rsidR="00C275C4">
            <w:t xml:space="preserve"> Networks</w:t>
          </w:r>
          <w:r w:rsidR="00A06085">
            <w:t xml:space="preserve"> </w:t>
          </w:r>
          <w:r w:rsidR="00CF2C05">
            <w:b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6F7D03">
            <w:t>9</w:t>
          </w:r>
          <w:r w:rsidR="00DA4752">
            <w:t xml:space="preserve"> </w:t>
          </w:r>
          <w:r w:rsidR="00415F31">
            <w:rPr>
              <w:rFonts w:cs="Arial"/>
            </w:rPr>
            <w:t>–</w:t>
          </w:r>
          <w:r w:rsidR="00DA4752">
            <w:t xml:space="preserve"> </w:t>
          </w:r>
          <w:r w:rsidR="006F7D03">
            <w:t>Efficiency carryover mechanism</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54675"/>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C275C4">
        <w:t>Aus</w:t>
      </w:r>
      <w:r w:rsidR="009D32BC">
        <w:t>tralian</w:t>
      </w:r>
      <w:r w:rsidR="00C275C4">
        <w:t xml:space="preserve"> Gas Networks</w:t>
      </w:r>
      <w:r w:rsidR="00415F31">
        <w:t xml:space="preserve"> </w:t>
      </w:r>
      <w:r w:rsidR="00CF2C05">
        <w:t>access</w:t>
      </w:r>
      <w:r w:rsidR="00415F31">
        <w:t xml:space="preserve"> </w:t>
      </w:r>
      <w:r w:rsidR="00CF2C05">
        <w:t>arrangement for</w:t>
      </w:r>
      <w:r w:rsidR="00415F31">
        <w:t xml:space="preserve"> 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w:t>
      </w:r>
      <w:r w:rsidR="007F08EC">
        <w:t>-</w:t>
      </w:r>
      <w:r>
        <w:t xml:space="preserve"> </w:t>
      </w:r>
      <w:r w:rsidR="00EE77FA">
        <w:t>Demand</w:t>
      </w:r>
    </w:p>
    <w:p w:rsidR="009D32BC" w:rsidRDefault="007F08EC" w:rsidP="0070011E">
      <w:r>
        <w:t>Attachment 14 -</w:t>
      </w:r>
      <w:r w:rsidR="009D32BC">
        <w:t xml:space="preserve"> Other incentive schemes</w:t>
      </w:r>
    </w:p>
    <w:p w:rsidR="00DE563D" w:rsidRPr="00A72B34" w:rsidRDefault="00DE563D" w:rsidP="00DE772C">
      <w:pPr>
        <w:pStyle w:val="UnnumberedHeading"/>
        <w:numPr>
          <w:ilvl w:val="0"/>
          <w:numId w:val="23"/>
        </w:numPr>
      </w:pPr>
      <w:bookmarkStart w:id="5" w:name="_Toc403144133"/>
      <w:bookmarkStart w:id="6" w:name="_Toc436054676"/>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7F08EC"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6054675" w:history="1">
            <w:r w:rsidR="007F08EC" w:rsidRPr="00843E7D">
              <w:rPr>
                <w:rStyle w:val="Hyperlink"/>
              </w:rPr>
              <w:t>Note</w:t>
            </w:r>
            <w:r w:rsidR="007F08EC">
              <w:rPr>
                <w:webHidden/>
              </w:rPr>
              <w:tab/>
            </w:r>
            <w:r w:rsidR="007F08EC">
              <w:rPr>
                <w:webHidden/>
              </w:rPr>
              <w:fldChar w:fldCharType="begin"/>
            </w:r>
            <w:r w:rsidR="007F08EC">
              <w:rPr>
                <w:webHidden/>
              </w:rPr>
              <w:instrText xml:space="preserve"> PAGEREF _Toc436054675 \h </w:instrText>
            </w:r>
            <w:r w:rsidR="007F08EC">
              <w:rPr>
                <w:webHidden/>
              </w:rPr>
            </w:r>
            <w:r w:rsidR="007F08EC">
              <w:rPr>
                <w:webHidden/>
              </w:rPr>
              <w:fldChar w:fldCharType="separate"/>
            </w:r>
            <w:r w:rsidR="007F08EC">
              <w:rPr>
                <w:webHidden/>
              </w:rPr>
              <w:t>9-2</w:t>
            </w:r>
            <w:r w:rsidR="007F08EC">
              <w:rPr>
                <w:webHidden/>
              </w:rPr>
              <w:fldChar w:fldCharType="end"/>
            </w:r>
          </w:hyperlink>
        </w:p>
        <w:p w:rsidR="007F08EC" w:rsidRDefault="007F08EC">
          <w:pPr>
            <w:pStyle w:val="TOC1"/>
            <w:rPr>
              <w:rFonts w:asciiTheme="minorHAnsi" w:eastAsiaTheme="minorEastAsia" w:hAnsiTheme="minorHAnsi"/>
              <w:b w:val="0"/>
              <w:color w:val="auto"/>
              <w:sz w:val="22"/>
              <w:lang w:val="en-AU" w:eastAsia="en-AU"/>
            </w:rPr>
          </w:pPr>
          <w:hyperlink w:anchor="_Toc436054676" w:history="1">
            <w:r w:rsidRPr="00843E7D">
              <w:rPr>
                <w:rStyle w:val="Hyperlink"/>
              </w:rPr>
              <w:t>Contents</w:t>
            </w:r>
            <w:r>
              <w:rPr>
                <w:webHidden/>
              </w:rPr>
              <w:tab/>
            </w:r>
            <w:r>
              <w:rPr>
                <w:webHidden/>
              </w:rPr>
              <w:fldChar w:fldCharType="begin"/>
            </w:r>
            <w:r>
              <w:rPr>
                <w:webHidden/>
              </w:rPr>
              <w:instrText xml:space="preserve"> PAGEREF _Toc436054676 \h </w:instrText>
            </w:r>
            <w:r>
              <w:rPr>
                <w:webHidden/>
              </w:rPr>
            </w:r>
            <w:r>
              <w:rPr>
                <w:webHidden/>
              </w:rPr>
              <w:fldChar w:fldCharType="separate"/>
            </w:r>
            <w:r>
              <w:rPr>
                <w:webHidden/>
              </w:rPr>
              <w:t>9-3</w:t>
            </w:r>
            <w:r>
              <w:rPr>
                <w:webHidden/>
              </w:rPr>
              <w:fldChar w:fldCharType="end"/>
            </w:r>
          </w:hyperlink>
        </w:p>
        <w:p w:rsidR="007F08EC" w:rsidRDefault="007F08EC">
          <w:pPr>
            <w:pStyle w:val="TOC1"/>
            <w:rPr>
              <w:rFonts w:asciiTheme="minorHAnsi" w:eastAsiaTheme="minorEastAsia" w:hAnsiTheme="minorHAnsi"/>
              <w:b w:val="0"/>
              <w:color w:val="auto"/>
              <w:sz w:val="22"/>
              <w:lang w:val="en-AU" w:eastAsia="en-AU"/>
            </w:rPr>
          </w:pPr>
          <w:hyperlink w:anchor="_Toc436054677" w:history="1">
            <w:r w:rsidRPr="00843E7D">
              <w:rPr>
                <w:rStyle w:val="Hyperlink"/>
              </w:rPr>
              <w:t>Shortened forms</w:t>
            </w:r>
            <w:r>
              <w:rPr>
                <w:webHidden/>
              </w:rPr>
              <w:tab/>
            </w:r>
            <w:r>
              <w:rPr>
                <w:webHidden/>
              </w:rPr>
              <w:fldChar w:fldCharType="begin"/>
            </w:r>
            <w:r>
              <w:rPr>
                <w:webHidden/>
              </w:rPr>
              <w:instrText xml:space="preserve"> PAGEREF _Toc436054677 \h </w:instrText>
            </w:r>
            <w:r>
              <w:rPr>
                <w:webHidden/>
              </w:rPr>
            </w:r>
            <w:r>
              <w:rPr>
                <w:webHidden/>
              </w:rPr>
              <w:fldChar w:fldCharType="separate"/>
            </w:r>
            <w:r>
              <w:rPr>
                <w:webHidden/>
              </w:rPr>
              <w:t>9-4</w:t>
            </w:r>
            <w:r>
              <w:rPr>
                <w:webHidden/>
              </w:rPr>
              <w:fldChar w:fldCharType="end"/>
            </w:r>
          </w:hyperlink>
        </w:p>
        <w:p w:rsidR="007F08EC" w:rsidRDefault="007F08EC">
          <w:pPr>
            <w:pStyle w:val="TOC1"/>
            <w:rPr>
              <w:rFonts w:asciiTheme="minorHAnsi" w:eastAsiaTheme="minorEastAsia" w:hAnsiTheme="minorHAnsi"/>
              <w:b w:val="0"/>
              <w:color w:val="auto"/>
              <w:sz w:val="22"/>
              <w:lang w:val="en-AU" w:eastAsia="en-AU"/>
            </w:rPr>
          </w:pPr>
          <w:hyperlink w:anchor="_Toc436054678" w:history="1">
            <w:r w:rsidRPr="00843E7D">
              <w:rPr>
                <w:rStyle w:val="Hyperlink"/>
              </w:rPr>
              <w:t>9</w:t>
            </w:r>
            <w:r>
              <w:rPr>
                <w:rFonts w:asciiTheme="minorHAnsi" w:eastAsiaTheme="minorEastAsia" w:hAnsiTheme="minorHAnsi"/>
                <w:b w:val="0"/>
                <w:color w:val="auto"/>
                <w:sz w:val="22"/>
                <w:lang w:val="en-AU" w:eastAsia="en-AU"/>
              </w:rPr>
              <w:tab/>
            </w:r>
            <w:r w:rsidRPr="00843E7D">
              <w:rPr>
                <w:rStyle w:val="Hyperlink"/>
              </w:rPr>
              <w:t>Efficiency carryover mechanism</w:t>
            </w:r>
            <w:r>
              <w:rPr>
                <w:webHidden/>
              </w:rPr>
              <w:tab/>
            </w:r>
            <w:r>
              <w:rPr>
                <w:webHidden/>
              </w:rPr>
              <w:fldChar w:fldCharType="begin"/>
            </w:r>
            <w:r>
              <w:rPr>
                <w:webHidden/>
              </w:rPr>
              <w:instrText xml:space="preserve"> PAGEREF _Toc436054678 \h </w:instrText>
            </w:r>
            <w:r>
              <w:rPr>
                <w:webHidden/>
              </w:rPr>
            </w:r>
            <w:r>
              <w:rPr>
                <w:webHidden/>
              </w:rPr>
              <w:fldChar w:fldCharType="separate"/>
            </w:r>
            <w:r>
              <w:rPr>
                <w:webHidden/>
              </w:rPr>
              <w:t>9-6</w:t>
            </w:r>
            <w:r>
              <w:rPr>
                <w:webHidden/>
              </w:rPr>
              <w:fldChar w:fldCharType="end"/>
            </w:r>
          </w:hyperlink>
        </w:p>
        <w:p w:rsidR="007F08EC" w:rsidRDefault="007F08EC">
          <w:pPr>
            <w:pStyle w:val="TOC2"/>
            <w:rPr>
              <w:rFonts w:asciiTheme="minorHAnsi" w:eastAsiaTheme="minorEastAsia" w:hAnsiTheme="minorHAnsi"/>
              <w:b w:val="0"/>
              <w:color w:val="auto"/>
              <w:sz w:val="22"/>
              <w:lang w:eastAsia="en-AU"/>
            </w:rPr>
          </w:pPr>
          <w:hyperlink w:anchor="_Toc436054679" w:history="1">
            <w:r w:rsidRPr="00843E7D">
              <w:rPr>
                <w:rStyle w:val="Hyperlink"/>
              </w:rPr>
              <w:t>9.1</w:t>
            </w:r>
            <w:r>
              <w:rPr>
                <w:rFonts w:asciiTheme="minorHAnsi" w:eastAsiaTheme="minorEastAsia" w:hAnsiTheme="minorHAnsi"/>
                <w:b w:val="0"/>
                <w:color w:val="auto"/>
                <w:sz w:val="22"/>
                <w:lang w:eastAsia="en-AU"/>
              </w:rPr>
              <w:tab/>
            </w:r>
            <w:r w:rsidRPr="00843E7D">
              <w:rPr>
                <w:rStyle w:val="Hyperlink"/>
              </w:rPr>
              <w:t>Draft decision</w:t>
            </w:r>
            <w:r>
              <w:rPr>
                <w:webHidden/>
              </w:rPr>
              <w:tab/>
            </w:r>
            <w:r>
              <w:rPr>
                <w:webHidden/>
              </w:rPr>
              <w:fldChar w:fldCharType="begin"/>
            </w:r>
            <w:r>
              <w:rPr>
                <w:webHidden/>
              </w:rPr>
              <w:instrText xml:space="preserve"> PAGEREF _Toc436054679 \h </w:instrText>
            </w:r>
            <w:r>
              <w:rPr>
                <w:webHidden/>
              </w:rPr>
            </w:r>
            <w:r>
              <w:rPr>
                <w:webHidden/>
              </w:rPr>
              <w:fldChar w:fldCharType="separate"/>
            </w:r>
            <w:r>
              <w:rPr>
                <w:webHidden/>
              </w:rPr>
              <w:t>9-6</w:t>
            </w:r>
            <w:r>
              <w:rPr>
                <w:webHidden/>
              </w:rPr>
              <w:fldChar w:fldCharType="end"/>
            </w:r>
          </w:hyperlink>
        </w:p>
        <w:p w:rsidR="007F08EC" w:rsidRDefault="007F08EC">
          <w:pPr>
            <w:pStyle w:val="TOC3"/>
            <w:rPr>
              <w:rFonts w:asciiTheme="minorHAnsi" w:eastAsiaTheme="minorEastAsia" w:hAnsiTheme="minorHAnsi"/>
              <w:lang w:eastAsia="en-AU"/>
            </w:rPr>
          </w:pPr>
          <w:hyperlink w:anchor="_Toc436054680" w:history="1">
            <w:r w:rsidRPr="00843E7D">
              <w:rPr>
                <w:rStyle w:val="Hyperlink"/>
              </w:rPr>
              <w:t>9.1.1</w:t>
            </w:r>
            <w:r>
              <w:rPr>
                <w:rFonts w:asciiTheme="minorHAnsi" w:eastAsiaTheme="minorEastAsia" w:hAnsiTheme="minorHAnsi"/>
                <w:lang w:eastAsia="en-AU"/>
              </w:rPr>
              <w:tab/>
            </w:r>
            <w:r w:rsidRPr="00843E7D">
              <w:rPr>
                <w:rStyle w:val="Hyperlink"/>
              </w:rPr>
              <w:t>Carryover amounts from the 2011–16 period</w:t>
            </w:r>
            <w:r>
              <w:rPr>
                <w:webHidden/>
              </w:rPr>
              <w:tab/>
            </w:r>
            <w:r>
              <w:rPr>
                <w:webHidden/>
              </w:rPr>
              <w:fldChar w:fldCharType="begin"/>
            </w:r>
            <w:r>
              <w:rPr>
                <w:webHidden/>
              </w:rPr>
              <w:instrText xml:space="preserve"> PAGEREF _Toc436054680 \h </w:instrText>
            </w:r>
            <w:r>
              <w:rPr>
                <w:webHidden/>
              </w:rPr>
            </w:r>
            <w:r>
              <w:rPr>
                <w:webHidden/>
              </w:rPr>
              <w:fldChar w:fldCharType="separate"/>
            </w:r>
            <w:r>
              <w:rPr>
                <w:webHidden/>
              </w:rPr>
              <w:t>9-6</w:t>
            </w:r>
            <w:r>
              <w:rPr>
                <w:webHidden/>
              </w:rPr>
              <w:fldChar w:fldCharType="end"/>
            </w:r>
          </w:hyperlink>
        </w:p>
        <w:p w:rsidR="007F08EC" w:rsidRDefault="007F08EC">
          <w:pPr>
            <w:pStyle w:val="TOC3"/>
            <w:rPr>
              <w:rFonts w:asciiTheme="minorHAnsi" w:eastAsiaTheme="minorEastAsia" w:hAnsiTheme="minorHAnsi"/>
              <w:lang w:eastAsia="en-AU"/>
            </w:rPr>
          </w:pPr>
          <w:hyperlink w:anchor="_Toc436054681" w:history="1">
            <w:r w:rsidRPr="00843E7D">
              <w:rPr>
                <w:rStyle w:val="Hyperlink"/>
              </w:rPr>
              <w:t>9.1.2</w:t>
            </w:r>
            <w:r>
              <w:rPr>
                <w:rFonts w:asciiTheme="minorHAnsi" w:eastAsiaTheme="minorEastAsia" w:hAnsiTheme="minorHAnsi"/>
                <w:lang w:eastAsia="en-AU"/>
              </w:rPr>
              <w:tab/>
            </w:r>
            <w:r w:rsidRPr="00843E7D">
              <w:rPr>
                <w:rStyle w:val="Hyperlink"/>
              </w:rPr>
              <w:t>Incentive mechanism for the 2016–21 period</w:t>
            </w:r>
            <w:r>
              <w:rPr>
                <w:webHidden/>
              </w:rPr>
              <w:tab/>
            </w:r>
            <w:r>
              <w:rPr>
                <w:webHidden/>
              </w:rPr>
              <w:fldChar w:fldCharType="begin"/>
            </w:r>
            <w:r>
              <w:rPr>
                <w:webHidden/>
              </w:rPr>
              <w:instrText xml:space="preserve"> PAGEREF _Toc436054681 \h </w:instrText>
            </w:r>
            <w:r>
              <w:rPr>
                <w:webHidden/>
              </w:rPr>
            </w:r>
            <w:r>
              <w:rPr>
                <w:webHidden/>
              </w:rPr>
              <w:fldChar w:fldCharType="separate"/>
            </w:r>
            <w:r>
              <w:rPr>
                <w:webHidden/>
              </w:rPr>
              <w:t>9-7</w:t>
            </w:r>
            <w:r>
              <w:rPr>
                <w:webHidden/>
              </w:rPr>
              <w:fldChar w:fldCharType="end"/>
            </w:r>
          </w:hyperlink>
        </w:p>
        <w:p w:rsidR="007F08EC" w:rsidRDefault="007F08EC">
          <w:pPr>
            <w:pStyle w:val="TOC2"/>
            <w:rPr>
              <w:rFonts w:asciiTheme="minorHAnsi" w:eastAsiaTheme="minorEastAsia" w:hAnsiTheme="minorHAnsi"/>
              <w:b w:val="0"/>
              <w:color w:val="auto"/>
              <w:sz w:val="22"/>
              <w:lang w:eastAsia="en-AU"/>
            </w:rPr>
          </w:pPr>
          <w:hyperlink w:anchor="_Toc436054682" w:history="1">
            <w:r w:rsidRPr="00843E7D">
              <w:rPr>
                <w:rStyle w:val="Hyperlink"/>
              </w:rPr>
              <w:t>9.2</w:t>
            </w:r>
            <w:r>
              <w:rPr>
                <w:rFonts w:asciiTheme="minorHAnsi" w:eastAsiaTheme="minorEastAsia" w:hAnsiTheme="minorHAnsi"/>
                <w:b w:val="0"/>
                <w:color w:val="auto"/>
                <w:sz w:val="22"/>
                <w:lang w:eastAsia="en-AU"/>
              </w:rPr>
              <w:tab/>
            </w:r>
            <w:r w:rsidRPr="00843E7D">
              <w:rPr>
                <w:rStyle w:val="Hyperlink"/>
              </w:rPr>
              <w:t>AGN’s proposal</w:t>
            </w:r>
            <w:r>
              <w:rPr>
                <w:webHidden/>
              </w:rPr>
              <w:tab/>
            </w:r>
            <w:r>
              <w:rPr>
                <w:webHidden/>
              </w:rPr>
              <w:fldChar w:fldCharType="begin"/>
            </w:r>
            <w:r>
              <w:rPr>
                <w:webHidden/>
              </w:rPr>
              <w:instrText xml:space="preserve"> PAGEREF _Toc436054682 \h </w:instrText>
            </w:r>
            <w:r>
              <w:rPr>
                <w:webHidden/>
              </w:rPr>
            </w:r>
            <w:r>
              <w:rPr>
                <w:webHidden/>
              </w:rPr>
              <w:fldChar w:fldCharType="separate"/>
            </w:r>
            <w:r>
              <w:rPr>
                <w:webHidden/>
              </w:rPr>
              <w:t>9-7</w:t>
            </w:r>
            <w:r>
              <w:rPr>
                <w:webHidden/>
              </w:rPr>
              <w:fldChar w:fldCharType="end"/>
            </w:r>
          </w:hyperlink>
        </w:p>
        <w:p w:rsidR="007F08EC" w:rsidRDefault="007F08EC">
          <w:pPr>
            <w:pStyle w:val="TOC3"/>
            <w:rPr>
              <w:rFonts w:asciiTheme="minorHAnsi" w:eastAsiaTheme="minorEastAsia" w:hAnsiTheme="minorHAnsi"/>
              <w:lang w:eastAsia="en-AU"/>
            </w:rPr>
          </w:pPr>
          <w:hyperlink w:anchor="_Toc436054683" w:history="1">
            <w:r w:rsidRPr="00843E7D">
              <w:rPr>
                <w:rStyle w:val="Hyperlink"/>
              </w:rPr>
              <w:t>9.2.1</w:t>
            </w:r>
            <w:r>
              <w:rPr>
                <w:rFonts w:asciiTheme="minorHAnsi" w:eastAsiaTheme="minorEastAsia" w:hAnsiTheme="minorHAnsi"/>
                <w:lang w:eastAsia="en-AU"/>
              </w:rPr>
              <w:tab/>
            </w:r>
            <w:r w:rsidRPr="00843E7D">
              <w:rPr>
                <w:rStyle w:val="Hyperlink"/>
              </w:rPr>
              <w:t>Carryover amounts from the 2011–16 period</w:t>
            </w:r>
            <w:r>
              <w:rPr>
                <w:webHidden/>
              </w:rPr>
              <w:tab/>
            </w:r>
            <w:r>
              <w:rPr>
                <w:webHidden/>
              </w:rPr>
              <w:fldChar w:fldCharType="begin"/>
            </w:r>
            <w:r>
              <w:rPr>
                <w:webHidden/>
              </w:rPr>
              <w:instrText xml:space="preserve"> PAGEREF _Toc436054683 \h </w:instrText>
            </w:r>
            <w:r>
              <w:rPr>
                <w:webHidden/>
              </w:rPr>
            </w:r>
            <w:r>
              <w:rPr>
                <w:webHidden/>
              </w:rPr>
              <w:fldChar w:fldCharType="separate"/>
            </w:r>
            <w:r>
              <w:rPr>
                <w:webHidden/>
              </w:rPr>
              <w:t>9-7</w:t>
            </w:r>
            <w:r>
              <w:rPr>
                <w:webHidden/>
              </w:rPr>
              <w:fldChar w:fldCharType="end"/>
            </w:r>
          </w:hyperlink>
        </w:p>
        <w:p w:rsidR="007F08EC" w:rsidRDefault="007F08EC">
          <w:pPr>
            <w:pStyle w:val="TOC3"/>
            <w:rPr>
              <w:rFonts w:asciiTheme="minorHAnsi" w:eastAsiaTheme="minorEastAsia" w:hAnsiTheme="minorHAnsi"/>
              <w:lang w:eastAsia="en-AU"/>
            </w:rPr>
          </w:pPr>
          <w:hyperlink w:anchor="_Toc436054684" w:history="1">
            <w:r w:rsidRPr="00843E7D">
              <w:rPr>
                <w:rStyle w:val="Hyperlink"/>
              </w:rPr>
              <w:t>9.2.2</w:t>
            </w:r>
            <w:r>
              <w:rPr>
                <w:rFonts w:asciiTheme="minorHAnsi" w:eastAsiaTheme="minorEastAsia" w:hAnsiTheme="minorHAnsi"/>
                <w:lang w:eastAsia="en-AU"/>
              </w:rPr>
              <w:tab/>
            </w:r>
            <w:r w:rsidRPr="00843E7D">
              <w:rPr>
                <w:rStyle w:val="Hyperlink"/>
              </w:rPr>
              <w:t>Incentive mechanism for the 2016–21 period</w:t>
            </w:r>
            <w:r>
              <w:rPr>
                <w:webHidden/>
              </w:rPr>
              <w:tab/>
            </w:r>
            <w:r>
              <w:rPr>
                <w:webHidden/>
              </w:rPr>
              <w:fldChar w:fldCharType="begin"/>
            </w:r>
            <w:r>
              <w:rPr>
                <w:webHidden/>
              </w:rPr>
              <w:instrText xml:space="preserve"> PAGEREF _Toc436054684 \h </w:instrText>
            </w:r>
            <w:r>
              <w:rPr>
                <w:webHidden/>
              </w:rPr>
            </w:r>
            <w:r>
              <w:rPr>
                <w:webHidden/>
              </w:rPr>
              <w:fldChar w:fldCharType="separate"/>
            </w:r>
            <w:r>
              <w:rPr>
                <w:webHidden/>
              </w:rPr>
              <w:t>9-8</w:t>
            </w:r>
            <w:r>
              <w:rPr>
                <w:webHidden/>
              </w:rPr>
              <w:fldChar w:fldCharType="end"/>
            </w:r>
          </w:hyperlink>
        </w:p>
        <w:p w:rsidR="007F08EC" w:rsidRDefault="007F08EC">
          <w:pPr>
            <w:pStyle w:val="TOC2"/>
            <w:rPr>
              <w:rFonts w:asciiTheme="minorHAnsi" w:eastAsiaTheme="minorEastAsia" w:hAnsiTheme="minorHAnsi"/>
              <w:b w:val="0"/>
              <w:color w:val="auto"/>
              <w:sz w:val="22"/>
              <w:lang w:eastAsia="en-AU"/>
            </w:rPr>
          </w:pPr>
          <w:hyperlink w:anchor="_Toc436054685" w:history="1">
            <w:r w:rsidRPr="00843E7D">
              <w:rPr>
                <w:rStyle w:val="Hyperlink"/>
              </w:rPr>
              <w:t>9.3</w:t>
            </w:r>
            <w:r>
              <w:rPr>
                <w:rFonts w:asciiTheme="minorHAnsi" w:eastAsiaTheme="minorEastAsia" w:hAnsiTheme="minorHAnsi"/>
                <w:b w:val="0"/>
                <w:color w:val="auto"/>
                <w:sz w:val="22"/>
                <w:lang w:eastAsia="en-AU"/>
              </w:rPr>
              <w:tab/>
            </w:r>
            <w:r w:rsidRPr="00843E7D">
              <w:rPr>
                <w:rStyle w:val="Hyperlink"/>
              </w:rPr>
              <w:t>AER’s assessment approach</w:t>
            </w:r>
            <w:r>
              <w:rPr>
                <w:webHidden/>
              </w:rPr>
              <w:tab/>
            </w:r>
            <w:r>
              <w:rPr>
                <w:webHidden/>
              </w:rPr>
              <w:fldChar w:fldCharType="begin"/>
            </w:r>
            <w:r>
              <w:rPr>
                <w:webHidden/>
              </w:rPr>
              <w:instrText xml:space="preserve"> PAGEREF _Toc436054685 \h </w:instrText>
            </w:r>
            <w:r>
              <w:rPr>
                <w:webHidden/>
              </w:rPr>
            </w:r>
            <w:r>
              <w:rPr>
                <w:webHidden/>
              </w:rPr>
              <w:fldChar w:fldCharType="separate"/>
            </w:r>
            <w:r>
              <w:rPr>
                <w:webHidden/>
              </w:rPr>
              <w:t>9-10</w:t>
            </w:r>
            <w:r>
              <w:rPr>
                <w:webHidden/>
              </w:rPr>
              <w:fldChar w:fldCharType="end"/>
            </w:r>
          </w:hyperlink>
        </w:p>
        <w:p w:rsidR="007F08EC" w:rsidRDefault="007F08EC">
          <w:pPr>
            <w:pStyle w:val="TOC3"/>
            <w:rPr>
              <w:rFonts w:asciiTheme="minorHAnsi" w:eastAsiaTheme="minorEastAsia" w:hAnsiTheme="minorHAnsi"/>
              <w:lang w:eastAsia="en-AU"/>
            </w:rPr>
          </w:pPr>
          <w:hyperlink w:anchor="_Toc436054686" w:history="1">
            <w:r w:rsidRPr="00843E7D">
              <w:rPr>
                <w:rStyle w:val="Hyperlink"/>
              </w:rPr>
              <w:t>9.3.1</w:t>
            </w:r>
            <w:r>
              <w:rPr>
                <w:rFonts w:asciiTheme="minorHAnsi" w:eastAsiaTheme="minorEastAsia" w:hAnsiTheme="minorHAnsi"/>
                <w:lang w:eastAsia="en-AU"/>
              </w:rPr>
              <w:tab/>
            </w:r>
            <w:r w:rsidRPr="00843E7D">
              <w:rPr>
                <w:rStyle w:val="Hyperlink"/>
              </w:rPr>
              <w:t>Interrelationships</w:t>
            </w:r>
            <w:r>
              <w:rPr>
                <w:webHidden/>
              </w:rPr>
              <w:tab/>
            </w:r>
            <w:r>
              <w:rPr>
                <w:webHidden/>
              </w:rPr>
              <w:fldChar w:fldCharType="begin"/>
            </w:r>
            <w:r>
              <w:rPr>
                <w:webHidden/>
              </w:rPr>
              <w:instrText xml:space="preserve"> PAGEREF _Toc436054686 \h </w:instrText>
            </w:r>
            <w:r>
              <w:rPr>
                <w:webHidden/>
              </w:rPr>
            </w:r>
            <w:r>
              <w:rPr>
                <w:webHidden/>
              </w:rPr>
              <w:fldChar w:fldCharType="separate"/>
            </w:r>
            <w:r>
              <w:rPr>
                <w:webHidden/>
              </w:rPr>
              <w:t>9-10</w:t>
            </w:r>
            <w:r>
              <w:rPr>
                <w:webHidden/>
              </w:rPr>
              <w:fldChar w:fldCharType="end"/>
            </w:r>
          </w:hyperlink>
        </w:p>
        <w:p w:rsidR="007F08EC" w:rsidRDefault="007F08EC">
          <w:pPr>
            <w:pStyle w:val="TOC2"/>
            <w:rPr>
              <w:rFonts w:asciiTheme="minorHAnsi" w:eastAsiaTheme="minorEastAsia" w:hAnsiTheme="minorHAnsi"/>
              <w:b w:val="0"/>
              <w:color w:val="auto"/>
              <w:sz w:val="22"/>
              <w:lang w:eastAsia="en-AU"/>
            </w:rPr>
          </w:pPr>
          <w:hyperlink w:anchor="_Toc436054687" w:history="1">
            <w:r w:rsidRPr="00843E7D">
              <w:rPr>
                <w:rStyle w:val="Hyperlink"/>
              </w:rPr>
              <w:t>9.4</w:t>
            </w:r>
            <w:r>
              <w:rPr>
                <w:rFonts w:asciiTheme="minorHAnsi" w:eastAsiaTheme="minorEastAsia" w:hAnsiTheme="minorHAnsi"/>
                <w:b w:val="0"/>
                <w:color w:val="auto"/>
                <w:sz w:val="22"/>
                <w:lang w:eastAsia="en-AU"/>
              </w:rPr>
              <w:tab/>
            </w:r>
            <w:r w:rsidRPr="00843E7D">
              <w:rPr>
                <w:rStyle w:val="Hyperlink"/>
              </w:rPr>
              <w:t>Reasons for draft decision</w:t>
            </w:r>
            <w:r>
              <w:rPr>
                <w:webHidden/>
              </w:rPr>
              <w:tab/>
            </w:r>
            <w:r>
              <w:rPr>
                <w:webHidden/>
              </w:rPr>
              <w:fldChar w:fldCharType="begin"/>
            </w:r>
            <w:r>
              <w:rPr>
                <w:webHidden/>
              </w:rPr>
              <w:instrText xml:space="preserve"> PAGEREF _Toc436054687 \h </w:instrText>
            </w:r>
            <w:r>
              <w:rPr>
                <w:webHidden/>
              </w:rPr>
            </w:r>
            <w:r>
              <w:rPr>
                <w:webHidden/>
              </w:rPr>
              <w:fldChar w:fldCharType="separate"/>
            </w:r>
            <w:r>
              <w:rPr>
                <w:webHidden/>
              </w:rPr>
              <w:t>9-11</w:t>
            </w:r>
            <w:r>
              <w:rPr>
                <w:webHidden/>
              </w:rPr>
              <w:fldChar w:fldCharType="end"/>
            </w:r>
          </w:hyperlink>
        </w:p>
        <w:p w:rsidR="007F08EC" w:rsidRDefault="007F08EC">
          <w:pPr>
            <w:pStyle w:val="TOC3"/>
            <w:rPr>
              <w:rFonts w:asciiTheme="minorHAnsi" w:eastAsiaTheme="minorEastAsia" w:hAnsiTheme="minorHAnsi"/>
              <w:lang w:eastAsia="en-AU"/>
            </w:rPr>
          </w:pPr>
          <w:hyperlink w:anchor="_Toc436054688" w:history="1">
            <w:r w:rsidRPr="00843E7D">
              <w:rPr>
                <w:rStyle w:val="Hyperlink"/>
              </w:rPr>
              <w:t>9.4.1</w:t>
            </w:r>
            <w:r>
              <w:rPr>
                <w:rFonts w:asciiTheme="minorHAnsi" w:eastAsiaTheme="minorEastAsia" w:hAnsiTheme="minorHAnsi"/>
                <w:lang w:eastAsia="en-AU"/>
              </w:rPr>
              <w:tab/>
            </w:r>
            <w:r w:rsidRPr="00843E7D">
              <w:rPr>
                <w:rStyle w:val="Hyperlink"/>
              </w:rPr>
              <w:t>Carryover amounts from the 2011–16 period</w:t>
            </w:r>
            <w:r>
              <w:rPr>
                <w:webHidden/>
              </w:rPr>
              <w:tab/>
            </w:r>
            <w:r>
              <w:rPr>
                <w:webHidden/>
              </w:rPr>
              <w:fldChar w:fldCharType="begin"/>
            </w:r>
            <w:r>
              <w:rPr>
                <w:webHidden/>
              </w:rPr>
              <w:instrText xml:space="preserve"> PAGEREF _Toc436054688 \h </w:instrText>
            </w:r>
            <w:r>
              <w:rPr>
                <w:webHidden/>
              </w:rPr>
            </w:r>
            <w:r>
              <w:rPr>
                <w:webHidden/>
              </w:rPr>
              <w:fldChar w:fldCharType="separate"/>
            </w:r>
            <w:r>
              <w:rPr>
                <w:webHidden/>
              </w:rPr>
              <w:t>9-11</w:t>
            </w:r>
            <w:r>
              <w:rPr>
                <w:webHidden/>
              </w:rPr>
              <w:fldChar w:fldCharType="end"/>
            </w:r>
          </w:hyperlink>
        </w:p>
        <w:p w:rsidR="007F08EC" w:rsidRDefault="007F08EC">
          <w:pPr>
            <w:pStyle w:val="TOC3"/>
            <w:rPr>
              <w:rFonts w:asciiTheme="minorHAnsi" w:eastAsiaTheme="minorEastAsia" w:hAnsiTheme="minorHAnsi"/>
              <w:lang w:eastAsia="en-AU"/>
            </w:rPr>
          </w:pPr>
          <w:hyperlink w:anchor="_Toc436054689" w:history="1">
            <w:r w:rsidRPr="00843E7D">
              <w:rPr>
                <w:rStyle w:val="Hyperlink"/>
              </w:rPr>
              <w:t>9.4.2</w:t>
            </w:r>
            <w:r>
              <w:rPr>
                <w:rFonts w:asciiTheme="minorHAnsi" w:eastAsiaTheme="minorEastAsia" w:hAnsiTheme="minorHAnsi"/>
                <w:lang w:eastAsia="en-AU"/>
              </w:rPr>
              <w:tab/>
            </w:r>
            <w:r w:rsidRPr="00843E7D">
              <w:rPr>
                <w:rStyle w:val="Hyperlink"/>
              </w:rPr>
              <w:t>Incentive mechanism for the 2016–21 period</w:t>
            </w:r>
            <w:r>
              <w:rPr>
                <w:webHidden/>
              </w:rPr>
              <w:tab/>
            </w:r>
            <w:r>
              <w:rPr>
                <w:webHidden/>
              </w:rPr>
              <w:fldChar w:fldCharType="begin"/>
            </w:r>
            <w:r>
              <w:rPr>
                <w:webHidden/>
              </w:rPr>
              <w:instrText xml:space="preserve"> PAGEREF _Toc436054689 \h </w:instrText>
            </w:r>
            <w:r>
              <w:rPr>
                <w:webHidden/>
              </w:rPr>
            </w:r>
            <w:r>
              <w:rPr>
                <w:webHidden/>
              </w:rPr>
              <w:fldChar w:fldCharType="separate"/>
            </w:r>
            <w:r>
              <w:rPr>
                <w:webHidden/>
              </w:rPr>
              <w:t>9-11</w:t>
            </w:r>
            <w:r>
              <w:rPr>
                <w:webHidden/>
              </w:rPr>
              <w:fldChar w:fldCharType="end"/>
            </w:r>
          </w:hyperlink>
        </w:p>
        <w:p w:rsidR="007F08EC" w:rsidRDefault="007F08EC">
          <w:pPr>
            <w:pStyle w:val="TOC2"/>
            <w:rPr>
              <w:rFonts w:asciiTheme="minorHAnsi" w:eastAsiaTheme="minorEastAsia" w:hAnsiTheme="minorHAnsi"/>
              <w:b w:val="0"/>
              <w:color w:val="auto"/>
              <w:sz w:val="22"/>
              <w:lang w:eastAsia="en-AU"/>
            </w:rPr>
          </w:pPr>
          <w:hyperlink w:anchor="_Toc436054690" w:history="1">
            <w:r w:rsidRPr="00843E7D">
              <w:rPr>
                <w:rStyle w:val="Hyperlink"/>
              </w:rPr>
              <w:t>9.5</w:t>
            </w:r>
            <w:r>
              <w:rPr>
                <w:rFonts w:asciiTheme="minorHAnsi" w:eastAsiaTheme="minorEastAsia" w:hAnsiTheme="minorHAnsi"/>
                <w:b w:val="0"/>
                <w:color w:val="auto"/>
                <w:sz w:val="22"/>
                <w:lang w:eastAsia="en-AU"/>
              </w:rPr>
              <w:tab/>
            </w:r>
            <w:r w:rsidRPr="00843E7D">
              <w:rPr>
                <w:rStyle w:val="Hyperlink"/>
              </w:rPr>
              <w:t>Revisions to AGN’s proposed access arrangement</w:t>
            </w:r>
            <w:r>
              <w:rPr>
                <w:webHidden/>
              </w:rPr>
              <w:tab/>
            </w:r>
            <w:r>
              <w:rPr>
                <w:webHidden/>
              </w:rPr>
              <w:fldChar w:fldCharType="begin"/>
            </w:r>
            <w:r>
              <w:rPr>
                <w:webHidden/>
              </w:rPr>
              <w:instrText xml:space="preserve"> PAGEREF _Toc436054690 \h </w:instrText>
            </w:r>
            <w:r>
              <w:rPr>
                <w:webHidden/>
              </w:rPr>
            </w:r>
            <w:r>
              <w:rPr>
                <w:webHidden/>
              </w:rPr>
              <w:fldChar w:fldCharType="separate"/>
            </w:r>
            <w:r>
              <w:rPr>
                <w:webHidden/>
              </w:rPr>
              <w:t>9-16</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7D1F59" w:rsidRDefault="00DE563D" w:rsidP="00DE772C">
      <w:pPr>
        <w:pStyle w:val="UnnumberedHeading"/>
        <w:numPr>
          <w:ilvl w:val="0"/>
          <w:numId w:val="23"/>
        </w:numPr>
      </w:pPr>
      <w:bookmarkStart w:id="8" w:name="_Toc404700925"/>
      <w:bookmarkStart w:id="9" w:name="_Toc436054677"/>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742AD8" w:rsidTr="00742A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Shortened form</w:t>
            </w:r>
          </w:p>
        </w:tc>
        <w:tc>
          <w:tcPr>
            <w:tcW w:w="5041" w:type="dxa"/>
            <w:tcBorders>
              <w:top w:val="nil"/>
              <w:left w:val="nil"/>
              <w:bottom w:val="nil"/>
              <w:right w:val="nil"/>
            </w:tcBorders>
            <w:hideMark/>
          </w:tcPr>
          <w:p w:rsidR="00742AD8" w:rsidRDefault="00742AD8" w:rsidP="00742AD8">
            <w:pPr>
              <w:numPr>
                <w:ilvl w:val="0"/>
                <w:numId w:val="28"/>
              </w:numPr>
              <w:cnfStyle w:val="100000000000" w:firstRow="1" w:lastRow="0" w:firstColumn="0" w:lastColumn="0" w:oddVBand="0" w:evenVBand="0" w:oddHBand="0" w:evenHBand="0" w:firstRowFirstColumn="0" w:firstRowLastColumn="0" w:lastRowFirstColumn="0" w:lastRowLastColumn="0"/>
            </w:pPr>
            <w:r>
              <w:t>Extended form</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AA</w:t>
            </w:r>
          </w:p>
        </w:tc>
        <w:tc>
          <w:tcPr>
            <w:tcW w:w="5041" w:type="dxa"/>
            <w:tcBorders>
              <w:top w:val="nil"/>
              <w:left w:val="nil"/>
              <w:bottom w:val="nil"/>
              <w:right w:val="nil"/>
            </w:tcBorders>
            <w:hideMark/>
          </w:tcPr>
          <w:p w:rsidR="00742AD8" w:rsidRDefault="00742AD8">
            <w:pPr>
              <w:cnfStyle w:val="000000000000" w:firstRow="0" w:lastRow="0" w:firstColumn="0" w:lastColumn="0" w:oddVBand="0" w:evenVBand="0" w:oddHBand="0" w:evenHBand="0" w:firstRowFirstColumn="0" w:firstRowLastColumn="0" w:lastRowFirstColumn="0" w:lastRowLastColumn="0"/>
            </w:pPr>
            <w:r>
              <w:t>Access Arrangement</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AAI</w:t>
            </w:r>
          </w:p>
        </w:tc>
        <w:tc>
          <w:tcPr>
            <w:tcW w:w="5041" w:type="dxa"/>
            <w:tcBorders>
              <w:top w:val="nil"/>
              <w:left w:val="nil"/>
              <w:bottom w:val="nil"/>
              <w:right w:val="nil"/>
            </w:tcBorders>
            <w:hideMark/>
          </w:tcPr>
          <w:p w:rsidR="00742AD8" w:rsidRDefault="00742AD8">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AER</w:t>
            </w:r>
          </w:p>
        </w:tc>
        <w:tc>
          <w:tcPr>
            <w:tcW w:w="5041" w:type="dxa"/>
            <w:tcBorders>
              <w:top w:val="nil"/>
              <w:left w:val="nil"/>
              <w:bottom w:val="nil"/>
              <w:right w:val="nil"/>
            </w:tcBorders>
            <w:hideMark/>
          </w:tcPr>
          <w:p w:rsidR="00742AD8" w:rsidRDefault="00742AD8" w:rsidP="00742AD8">
            <w:pPr>
              <w:numPr>
                <w:ilvl w:val="0"/>
                <w:numId w:val="28"/>
              </w:numPr>
              <w:cnfStyle w:val="000000000000" w:firstRow="0" w:lastRow="0" w:firstColumn="0" w:lastColumn="0" w:oddVBand="0" w:evenVBand="0" w:oddHBand="0" w:evenHBand="0" w:firstRowFirstColumn="0" w:firstRowLastColumn="0" w:lastRowFirstColumn="0" w:lastRowLastColumn="0"/>
            </w:pPr>
            <w:r>
              <w:t>Australian Energy Regulator</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ATO</w:t>
            </w:r>
          </w:p>
        </w:tc>
        <w:tc>
          <w:tcPr>
            <w:tcW w:w="5041" w:type="dxa"/>
            <w:tcBorders>
              <w:top w:val="nil"/>
              <w:left w:val="nil"/>
              <w:bottom w:val="nil"/>
              <w:right w:val="nil"/>
            </w:tcBorders>
            <w:hideMark/>
          </w:tcPr>
          <w:p w:rsidR="00742AD8" w:rsidRDefault="00742AD8">
            <w:pPr>
              <w:cnfStyle w:val="000000010000" w:firstRow="0" w:lastRow="0" w:firstColumn="0" w:lastColumn="0" w:oddVBand="0" w:evenVBand="0" w:oddHBand="0" w:evenHBand="1" w:firstRowFirstColumn="0" w:firstRowLastColumn="0" w:lastRowFirstColumn="0" w:lastRowLastColumn="0"/>
            </w:pPr>
            <w:r>
              <w:t>Australian Tax Office</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capex</w:t>
            </w:r>
          </w:p>
        </w:tc>
        <w:tc>
          <w:tcPr>
            <w:tcW w:w="5041" w:type="dxa"/>
            <w:tcBorders>
              <w:top w:val="nil"/>
              <w:left w:val="nil"/>
              <w:bottom w:val="nil"/>
              <w:right w:val="nil"/>
            </w:tcBorders>
            <w:hideMark/>
          </w:tcPr>
          <w:p w:rsidR="00742AD8" w:rsidRDefault="00742AD8" w:rsidP="00742AD8">
            <w:pPr>
              <w:numPr>
                <w:ilvl w:val="0"/>
                <w:numId w:val="28"/>
              </w:numPr>
              <w:cnfStyle w:val="000000000000" w:firstRow="0" w:lastRow="0" w:firstColumn="0" w:lastColumn="0" w:oddVBand="0" w:evenVBand="0" w:oddHBand="0" w:evenHBand="0" w:firstRowFirstColumn="0" w:firstRowLastColumn="0" w:lastRowFirstColumn="0" w:lastRowLastColumn="0"/>
            </w:pPr>
            <w:r>
              <w:t>capital expenditure</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CAPM</w:t>
            </w:r>
          </w:p>
        </w:tc>
        <w:tc>
          <w:tcPr>
            <w:tcW w:w="5041" w:type="dxa"/>
            <w:tcBorders>
              <w:top w:val="nil"/>
              <w:left w:val="nil"/>
              <w:bottom w:val="nil"/>
              <w:right w:val="nil"/>
            </w:tcBorders>
            <w:hideMark/>
          </w:tcPr>
          <w:p w:rsidR="00742AD8" w:rsidRDefault="00742AD8" w:rsidP="00742AD8">
            <w:pPr>
              <w:numPr>
                <w:ilvl w:val="0"/>
                <w:numId w:val="28"/>
              </w:numPr>
              <w:cnfStyle w:val="000000010000" w:firstRow="0" w:lastRow="0" w:firstColumn="0" w:lastColumn="0" w:oddVBand="0" w:evenVBand="0" w:oddHBand="0" w:evenHBand="1" w:firstRowFirstColumn="0" w:firstRowLastColumn="0" w:lastRowFirstColumn="0" w:lastRowLastColumn="0"/>
            </w:pPr>
            <w:r>
              <w:t>capital asset pricing model</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CCP</w:t>
            </w:r>
          </w:p>
        </w:tc>
        <w:tc>
          <w:tcPr>
            <w:tcW w:w="5041" w:type="dxa"/>
            <w:tcBorders>
              <w:top w:val="nil"/>
              <w:left w:val="nil"/>
              <w:bottom w:val="nil"/>
              <w:right w:val="nil"/>
            </w:tcBorders>
            <w:hideMark/>
          </w:tcPr>
          <w:p w:rsidR="00742AD8" w:rsidRDefault="00742AD8" w:rsidP="00742AD8">
            <w:pPr>
              <w:numPr>
                <w:ilvl w:val="0"/>
                <w:numId w:val="28"/>
              </w:numPr>
              <w:cnfStyle w:val="000000000000" w:firstRow="0" w:lastRow="0" w:firstColumn="0" w:lastColumn="0" w:oddVBand="0" w:evenVBand="0" w:oddHBand="0" w:evenHBand="0" w:firstRowFirstColumn="0" w:firstRowLastColumn="0" w:lastRowFirstColumn="0" w:lastRowLastColumn="0"/>
            </w:pPr>
            <w:r>
              <w:t>Consumer Challenge Panel</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CESS</w:t>
            </w:r>
          </w:p>
        </w:tc>
        <w:tc>
          <w:tcPr>
            <w:tcW w:w="5041" w:type="dxa"/>
            <w:tcBorders>
              <w:top w:val="nil"/>
              <w:left w:val="nil"/>
              <w:bottom w:val="nil"/>
              <w:right w:val="nil"/>
            </w:tcBorders>
            <w:hideMark/>
          </w:tcPr>
          <w:p w:rsidR="00742AD8" w:rsidRDefault="00742AD8" w:rsidP="00742AD8">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 Sharing Scheme</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CPI</w:t>
            </w:r>
          </w:p>
        </w:tc>
        <w:tc>
          <w:tcPr>
            <w:tcW w:w="5041" w:type="dxa"/>
            <w:tcBorders>
              <w:top w:val="nil"/>
              <w:left w:val="nil"/>
              <w:bottom w:val="nil"/>
              <w:right w:val="nil"/>
            </w:tcBorders>
            <w:hideMark/>
          </w:tcPr>
          <w:p w:rsidR="00742AD8" w:rsidRDefault="00742AD8" w:rsidP="00742AD8">
            <w:pPr>
              <w:numPr>
                <w:ilvl w:val="0"/>
                <w:numId w:val="28"/>
              </w:numPr>
              <w:cnfStyle w:val="000000000000" w:firstRow="0" w:lastRow="0" w:firstColumn="0" w:lastColumn="0" w:oddVBand="0" w:evenVBand="0" w:oddHBand="0" w:evenHBand="0" w:firstRowFirstColumn="0" w:firstRowLastColumn="0" w:lastRowFirstColumn="0" w:lastRowLastColumn="0"/>
            </w:pPr>
            <w:r>
              <w:t>consumer price index</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CSIS</w:t>
            </w:r>
          </w:p>
        </w:tc>
        <w:tc>
          <w:tcPr>
            <w:tcW w:w="5041" w:type="dxa"/>
            <w:tcBorders>
              <w:top w:val="nil"/>
              <w:left w:val="nil"/>
              <w:bottom w:val="nil"/>
              <w:right w:val="nil"/>
            </w:tcBorders>
            <w:hideMark/>
          </w:tcPr>
          <w:p w:rsidR="00742AD8" w:rsidRDefault="00742AD8">
            <w:pPr>
              <w:cnfStyle w:val="000000010000" w:firstRow="0" w:lastRow="0" w:firstColumn="0" w:lastColumn="0" w:oddVBand="0" w:evenVBand="0" w:oddHBand="0" w:evenHBand="1" w:firstRowFirstColumn="0" w:firstRowLastColumn="0" w:lastRowFirstColumn="0" w:lastRowLastColumn="0"/>
            </w:pPr>
            <w:r>
              <w:t>Customer Service Incentive Scheme</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DRP</w:t>
            </w:r>
          </w:p>
        </w:tc>
        <w:tc>
          <w:tcPr>
            <w:tcW w:w="5041" w:type="dxa"/>
            <w:tcBorders>
              <w:top w:val="nil"/>
              <w:left w:val="nil"/>
              <w:bottom w:val="nil"/>
              <w:right w:val="nil"/>
            </w:tcBorders>
            <w:hideMark/>
          </w:tcPr>
          <w:p w:rsidR="00742AD8" w:rsidRDefault="00742AD8" w:rsidP="00742AD8">
            <w:pPr>
              <w:numPr>
                <w:ilvl w:val="0"/>
                <w:numId w:val="28"/>
              </w:numPr>
              <w:cnfStyle w:val="000000000000" w:firstRow="0" w:lastRow="0" w:firstColumn="0" w:lastColumn="0" w:oddVBand="0" w:evenVBand="0" w:oddHBand="0" w:evenHBand="0" w:firstRowFirstColumn="0" w:firstRowLastColumn="0" w:lastRowFirstColumn="0" w:lastRowLastColumn="0"/>
            </w:pPr>
            <w:r>
              <w:t>debt risk premium</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EBSS</w:t>
            </w:r>
          </w:p>
        </w:tc>
        <w:tc>
          <w:tcPr>
            <w:tcW w:w="5041" w:type="dxa"/>
            <w:tcBorders>
              <w:top w:val="nil"/>
              <w:left w:val="nil"/>
              <w:bottom w:val="nil"/>
              <w:right w:val="nil"/>
            </w:tcBorders>
            <w:hideMark/>
          </w:tcPr>
          <w:p w:rsidR="00742AD8" w:rsidRDefault="00742AD8">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tcPr>
          <w:p w:rsidR="00742AD8" w:rsidRDefault="00742AD8" w:rsidP="00742AD8">
            <w:pPr>
              <w:numPr>
                <w:ilvl w:val="0"/>
                <w:numId w:val="28"/>
              </w:numPr>
            </w:pPr>
            <w:r>
              <w:t>ECM</w:t>
            </w:r>
          </w:p>
        </w:tc>
        <w:tc>
          <w:tcPr>
            <w:tcW w:w="5041" w:type="dxa"/>
            <w:tcBorders>
              <w:top w:val="nil"/>
              <w:left w:val="nil"/>
              <w:bottom w:val="nil"/>
              <w:right w:val="nil"/>
            </w:tcBorders>
          </w:tcPr>
          <w:p w:rsidR="00742AD8" w:rsidRDefault="00742AD8">
            <w:pPr>
              <w:cnfStyle w:val="000000000000" w:firstRow="0" w:lastRow="0" w:firstColumn="0" w:lastColumn="0" w:oddVBand="0" w:evenVBand="0" w:oddHBand="0" w:evenHBand="0" w:firstRowFirstColumn="0" w:firstRowLastColumn="0" w:lastRowFirstColumn="0" w:lastRowLastColumn="0"/>
            </w:pPr>
            <w:r>
              <w:t>Efficiency carryover mechanism</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ERP</w:t>
            </w:r>
          </w:p>
        </w:tc>
        <w:tc>
          <w:tcPr>
            <w:tcW w:w="5041" w:type="dxa"/>
            <w:tcBorders>
              <w:top w:val="nil"/>
              <w:left w:val="nil"/>
              <w:bottom w:val="nil"/>
              <w:right w:val="nil"/>
            </w:tcBorders>
            <w:hideMark/>
          </w:tcPr>
          <w:p w:rsidR="00742AD8" w:rsidRDefault="00742AD8" w:rsidP="00742AD8">
            <w:pPr>
              <w:numPr>
                <w:ilvl w:val="0"/>
                <w:numId w:val="28"/>
              </w:numPr>
              <w:cnfStyle w:val="000000010000" w:firstRow="0" w:lastRow="0" w:firstColumn="0" w:lastColumn="0" w:oddVBand="0" w:evenVBand="0" w:oddHBand="0" w:evenHBand="1" w:firstRowFirstColumn="0" w:firstRowLastColumn="0" w:lastRowFirstColumn="0" w:lastRowLastColumn="0"/>
            </w:pPr>
            <w:r>
              <w:t>equity risk premium</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Expenditure Guideline</w:t>
            </w:r>
          </w:p>
        </w:tc>
        <w:tc>
          <w:tcPr>
            <w:tcW w:w="5041" w:type="dxa"/>
            <w:tcBorders>
              <w:top w:val="nil"/>
              <w:left w:val="nil"/>
              <w:bottom w:val="nil"/>
              <w:right w:val="nil"/>
            </w:tcBorders>
            <w:hideMark/>
          </w:tcPr>
          <w:p w:rsidR="00742AD8" w:rsidRDefault="00742AD8">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gamma</w:t>
            </w:r>
          </w:p>
        </w:tc>
        <w:tc>
          <w:tcPr>
            <w:tcW w:w="5041" w:type="dxa"/>
            <w:tcBorders>
              <w:top w:val="nil"/>
              <w:left w:val="nil"/>
              <w:bottom w:val="nil"/>
              <w:right w:val="nil"/>
            </w:tcBorders>
            <w:hideMark/>
          </w:tcPr>
          <w:p w:rsidR="00742AD8" w:rsidRDefault="00742AD8">
            <w:pPr>
              <w:cnfStyle w:val="000000010000" w:firstRow="0" w:lastRow="0" w:firstColumn="0" w:lastColumn="0" w:oddVBand="0" w:evenVBand="0" w:oddHBand="0" w:evenHBand="1" w:firstRowFirstColumn="0" w:firstRowLastColumn="0" w:lastRowFirstColumn="0" w:lastRowLastColumn="0"/>
            </w:pPr>
            <w:r>
              <w:t>Value of Imputation Credits</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GSL</w:t>
            </w:r>
          </w:p>
        </w:tc>
        <w:tc>
          <w:tcPr>
            <w:tcW w:w="5041" w:type="dxa"/>
            <w:tcBorders>
              <w:top w:val="nil"/>
              <w:left w:val="nil"/>
              <w:bottom w:val="nil"/>
              <w:right w:val="nil"/>
            </w:tcBorders>
            <w:hideMark/>
          </w:tcPr>
          <w:p w:rsidR="00742AD8" w:rsidRDefault="00742AD8">
            <w:pPr>
              <w:cnfStyle w:val="000000000000" w:firstRow="0" w:lastRow="0" w:firstColumn="0" w:lastColumn="0" w:oddVBand="0" w:evenVBand="0" w:oddHBand="0" w:evenHBand="0" w:firstRowFirstColumn="0" w:firstRowLastColumn="0" w:lastRowFirstColumn="0" w:lastRowLastColumn="0"/>
            </w:pPr>
            <w:r>
              <w:t>Guaranteed Service Level</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MRP</w:t>
            </w:r>
          </w:p>
        </w:tc>
        <w:tc>
          <w:tcPr>
            <w:tcW w:w="5041" w:type="dxa"/>
            <w:tcBorders>
              <w:top w:val="nil"/>
              <w:left w:val="nil"/>
              <w:bottom w:val="nil"/>
              <w:right w:val="nil"/>
            </w:tcBorders>
            <w:hideMark/>
          </w:tcPr>
          <w:p w:rsidR="00742AD8" w:rsidRDefault="00742AD8" w:rsidP="00742AD8">
            <w:pPr>
              <w:numPr>
                <w:ilvl w:val="0"/>
                <w:numId w:val="28"/>
              </w:numPr>
              <w:cnfStyle w:val="000000010000" w:firstRow="0" w:lastRow="0" w:firstColumn="0" w:lastColumn="0" w:oddVBand="0" w:evenVBand="0" w:oddHBand="0" w:evenHBand="1" w:firstRowFirstColumn="0" w:firstRowLastColumn="0" w:lastRowFirstColumn="0" w:lastRowLastColumn="0"/>
            </w:pPr>
            <w:r>
              <w:t>market risk premium</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NECF</w:t>
            </w:r>
          </w:p>
        </w:tc>
        <w:tc>
          <w:tcPr>
            <w:tcW w:w="5041" w:type="dxa"/>
            <w:tcBorders>
              <w:top w:val="nil"/>
              <w:left w:val="nil"/>
              <w:bottom w:val="nil"/>
              <w:right w:val="nil"/>
            </w:tcBorders>
            <w:hideMark/>
          </w:tcPr>
          <w:p w:rsidR="00742AD8" w:rsidRDefault="00742AD8">
            <w:pPr>
              <w:cnfStyle w:val="000000000000" w:firstRow="0" w:lastRow="0" w:firstColumn="0" w:lastColumn="0" w:oddVBand="0" w:evenVBand="0" w:oddHBand="0" w:evenHBand="0" w:firstRowFirstColumn="0" w:firstRowLastColumn="0" w:lastRowFirstColumn="0" w:lastRowLastColumn="0"/>
            </w:pPr>
            <w:r>
              <w:t>National Energy Customer Framework</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NERL</w:t>
            </w:r>
          </w:p>
        </w:tc>
        <w:tc>
          <w:tcPr>
            <w:tcW w:w="5041" w:type="dxa"/>
            <w:tcBorders>
              <w:top w:val="nil"/>
              <w:left w:val="nil"/>
              <w:bottom w:val="nil"/>
              <w:right w:val="nil"/>
            </w:tcBorders>
            <w:hideMark/>
          </w:tcPr>
          <w:p w:rsidR="00742AD8" w:rsidRDefault="00742AD8">
            <w:pPr>
              <w:cnfStyle w:val="000000010000" w:firstRow="0" w:lastRow="0" w:firstColumn="0" w:lastColumn="0" w:oddVBand="0" w:evenVBand="0" w:oddHBand="0" w:evenHBand="1" w:firstRowFirstColumn="0" w:firstRowLastColumn="0" w:lastRowFirstColumn="0" w:lastRowLastColumn="0"/>
            </w:pPr>
            <w:r>
              <w:t>National Energy Retail Law</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NERR</w:t>
            </w:r>
          </w:p>
        </w:tc>
        <w:tc>
          <w:tcPr>
            <w:tcW w:w="5041" w:type="dxa"/>
            <w:tcBorders>
              <w:top w:val="nil"/>
              <w:left w:val="nil"/>
              <w:bottom w:val="nil"/>
              <w:right w:val="nil"/>
            </w:tcBorders>
            <w:hideMark/>
          </w:tcPr>
          <w:p w:rsidR="00742AD8" w:rsidRDefault="00742AD8" w:rsidP="00742AD8">
            <w:pPr>
              <w:numPr>
                <w:ilvl w:val="0"/>
                <w:numId w:val="28"/>
              </w:numPr>
              <w:cnfStyle w:val="000000000000" w:firstRow="0" w:lastRow="0" w:firstColumn="0" w:lastColumn="0" w:oddVBand="0" w:evenVBand="0" w:oddHBand="0" w:evenHBand="0" w:firstRowFirstColumn="0" w:firstRowLastColumn="0" w:lastRowFirstColumn="0" w:lastRowLastColumn="0"/>
            </w:pPr>
            <w:r>
              <w:t>National Energy Retail Rules</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NGL</w:t>
            </w:r>
          </w:p>
        </w:tc>
        <w:tc>
          <w:tcPr>
            <w:tcW w:w="5041" w:type="dxa"/>
            <w:tcBorders>
              <w:top w:val="nil"/>
              <w:left w:val="nil"/>
              <w:bottom w:val="nil"/>
              <w:right w:val="nil"/>
            </w:tcBorders>
            <w:hideMark/>
          </w:tcPr>
          <w:p w:rsidR="00742AD8" w:rsidRDefault="00742AD8" w:rsidP="00742AD8">
            <w:pPr>
              <w:numPr>
                <w:ilvl w:val="0"/>
                <w:numId w:val="28"/>
              </w:numPr>
              <w:cnfStyle w:val="000000010000" w:firstRow="0" w:lastRow="0" w:firstColumn="0" w:lastColumn="0" w:oddVBand="0" w:evenVBand="0" w:oddHBand="0" w:evenHBand="1" w:firstRowFirstColumn="0" w:firstRowLastColumn="0" w:lastRowFirstColumn="0" w:lastRowLastColumn="0"/>
            </w:pPr>
            <w:r>
              <w:t>national gas law</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NGO</w:t>
            </w:r>
          </w:p>
        </w:tc>
        <w:tc>
          <w:tcPr>
            <w:tcW w:w="5041" w:type="dxa"/>
            <w:tcBorders>
              <w:top w:val="nil"/>
              <w:left w:val="nil"/>
              <w:bottom w:val="nil"/>
              <w:right w:val="nil"/>
            </w:tcBorders>
            <w:hideMark/>
          </w:tcPr>
          <w:p w:rsidR="00742AD8" w:rsidRDefault="00742AD8" w:rsidP="00742AD8">
            <w:pPr>
              <w:numPr>
                <w:ilvl w:val="0"/>
                <w:numId w:val="28"/>
              </w:numPr>
              <w:cnfStyle w:val="000000000000" w:firstRow="0" w:lastRow="0" w:firstColumn="0" w:lastColumn="0" w:oddVBand="0" w:evenVBand="0" w:oddHBand="0" w:evenHBand="0" w:firstRowFirstColumn="0" w:firstRowLastColumn="0" w:lastRowFirstColumn="0" w:lastRowLastColumn="0"/>
            </w:pPr>
            <w:r>
              <w:t>national gas objective</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NGR</w:t>
            </w:r>
          </w:p>
        </w:tc>
        <w:tc>
          <w:tcPr>
            <w:tcW w:w="5041" w:type="dxa"/>
            <w:tcBorders>
              <w:top w:val="nil"/>
              <w:left w:val="nil"/>
              <w:bottom w:val="nil"/>
              <w:right w:val="nil"/>
            </w:tcBorders>
            <w:hideMark/>
          </w:tcPr>
          <w:p w:rsidR="00742AD8" w:rsidRDefault="00742AD8" w:rsidP="00742AD8">
            <w:pPr>
              <w:numPr>
                <w:ilvl w:val="0"/>
                <w:numId w:val="28"/>
              </w:numPr>
              <w:cnfStyle w:val="000000010000" w:firstRow="0" w:lastRow="0" w:firstColumn="0" w:lastColumn="0" w:oddVBand="0" w:evenVBand="0" w:oddHBand="0" w:evenHBand="1" w:firstRowFirstColumn="0" w:firstRowLastColumn="0" w:lastRowFirstColumn="0" w:lastRowLastColumn="0"/>
            </w:pPr>
            <w:r>
              <w:t>national gas rules</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NIS</w:t>
            </w:r>
          </w:p>
        </w:tc>
        <w:tc>
          <w:tcPr>
            <w:tcW w:w="5041" w:type="dxa"/>
            <w:tcBorders>
              <w:top w:val="nil"/>
              <w:left w:val="nil"/>
              <w:bottom w:val="nil"/>
              <w:right w:val="nil"/>
            </w:tcBorders>
            <w:hideMark/>
          </w:tcPr>
          <w:p w:rsidR="00742AD8" w:rsidRDefault="00742AD8">
            <w:pPr>
              <w:cnfStyle w:val="000000000000" w:firstRow="0" w:lastRow="0" w:firstColumn="0" w:lastColumn="0" w:oddVBand="0" w:evenVBand="0" w:oddHBand="0" w:evenHBand="0" w:firstRowFirstColumn="0" w:firstRowLastColumn="0" w:lastRowFirstColumn="0" w:lastRowLastColumn="0"/>
            </w:pPr>
            <w:r>
              <w:t>Network Incentive Scheme</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NPV</w:t>
            </w:r>
          </w:p>
        </w:tc>
        <w:tc>
          <w:tcPr>
            <w:tcW w:w="5041" w:type="dxa"/>
            <w:tcBorders>
              <w:top w:val="nil"/>
              <w:left w:val="nil"/>
              <w:bottom w:val="nil"/>
              <w:right w:val="nil"/>
            </w:tcBorders>
            <w:hideMark/>
          </w:tcPr>
          <w:p w:rsidR="00742AD8" w:rsidRDefault="00742AD8">
            <w:pPr>
              <w:cnfStyle w:val="000000010000" w:firstRow="0" w:lastRow="0" w:firstColumn="0" w:lastColumn="0" w:oddVBand="0" w:evenVBand="0" w:oddHBand="0" w:evenHBand="1" w:firstRowFirstColumn="0" w:firstRowLastColumn="0" w:lastRowFirstColumn="0" w:lastRowLastColumn="0"/>
            </w:pPr>
            <w:r>
              <w:t>net present value</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opex</w:t>
            </w:r>
          </w:p>
        </w:tc>
        <w:tc>
          <w:tcPr>
            <w:tcW w:w="5041" w:type="dxa"/>
            <w:tcBorders>
              <w:top w:val="nil"/>
              <w:left w:val="nil"/>
              <w:bottom w:val="nil"/>
              <w:right w:val="nil"/>
            </w:tcBorders>
            <w:hideMark/>
          </w:tcPr>
          <w:p w:rsidR="00742AD8" w:rsidRDefault="00742AD8" w:rsidP="00742AD8">
            <w:pPr>
              <w:numPr>
                <w:ilvl w:val="0"/>
                <w:numId w:val="28"/>
              </w:numPr>
              <w:cnfStyle w:val="000000000000" w:firstRow="0" w:lastRow="0" w:firstColumn="0" w:lastColumn="0" w:oddVBand="0" w:evenVBand="0" w:oddHBand="0" w:evenHBand="0" w:firstRowFirstColumn="0" w:firstRowLastColumn="0" w:lastRowFirstColumn="0" w:lastRowLastColumn="0"/>
            </w:pPr>
            <w:r>
              <w:t>operating expenditure</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PFP</w:t>
            </w:r>
          </w:p>
        </w:tc>
        <w:tc>
          <w:tcPr>
            <w:tcW w:w="5041" w:type="dxa"/>
            <w:tcBorders>
              <w:top w:val="nil"/>
              <w:left w:val="nil"/>
              <w:bottom w:val="nil"/>
              <w:right w:val="nil"/>
            </w:tcBorders>
            <w:hideMark/>
          </w:tcPr>
          <w:p w:rsidR="00742AD8" w:rsidRDefault="00742AD8">
            <w:pPr>
              <w:cnfStyle w:val="000000010000" w:firstRow="0" w:lastRow="0" w:firstColumn="0" w:lastColumn="0" w:oddVBand="0" w:evenVBand="0" w:oddHBand="0" w:evenHBand="1" w:firstRowFirstColumn="0" w:firstRowLastColumn="0" w:lastRowFirstColumn="0" w:lastRowLastColumn="0"/>
            </w:pPr>
            <w:r>
              <w:t>partial factor productivity</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PPI</w:t>
            </w:r>
          </w:p>
        </w:tc>
        <w:tc>
          <w:tcPr>
            <w:tcW w:w="5041" w:type="dxa"/>
            <w:tcBorders>
              <w:top w:val="nil"/>
              <w:left w:val="nil"/>
              <w:bottom w:val="nil"/>
              <w:right w:val="nil"/>
            </w:tcBorders>
            <w:hideMark/>
          </w:tcPr>
          <w:p w:rsidR="00742AD8" w:rsidRDefault="00742AD8" w:rsidP="00742AD8">
            <w:pPr>
              <w:numPr>
                <w:ilvl w:val="0"/>
                <w:numId w:val="28"/>
              </w:numPr>
              <w:cnfStyle w:val="000000000000" w:firstRow="0" w:lastRow="0" w:firstColumn="0" w:lastColumn="0" w:oddVBand="0" w:evenVBand="0" w:oddHBand="0" w:evenHBand="0" w:firstRowFirstColumn="0" w:firstRowLastColumn="0" w:lastRowFirstColumn="0" w:lastRowLastColumn="0"/>
            </w:pPr>
            <w:r>
              <w:t>partial performance indicators</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PTRM</w:t>
            </w:r>
          </w:p>
        </w:tc>
        <w:tc>
          <w:tcPr>
            <w:tcW w:w="5041" w:type="dxa"/>
            <w:tcBorders>
              <w:top w:val="nil"/>
              <w:left w:val="nil"/>
              <w:bottom w:val="nil"/>
              <w:right w:val="nil"/>
            </w:tcBorders>
            <w:hideMark/>
          </w:tcPr>
          <w:p w:rsidR="00742AD8" w:rsidRDefault="00742AD8" w:rsidP="00742AD8">
            <w:pPr>
              <w:numPr>
                <w:ilvl w:val="0"/>
                <w:numId w:val="28"/>
              </w:numPr>
              <w:cnfStyle w:val="000000010000" w:firstRow="0" w:lastRow="0" w:firstColumn="0" w:lastColumn="0" w:oddVBand="0" w:evenVBand="0" w:oddHBand="0" w:evenHBand="1" w:firstRowFirstColumn="0" w:firstRowLastColumn="0" w:lastRowFirstColumn="0" w:lastRowLastColumn="0"/>
            </w:pPr>
            <w:r>
              <w:t>post-tax revenue model</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RBA</w:t>
            </w:r>
          </w:p>
        </w:tc>
        <w:tc>
          <w:tcPr>
            <w:tcW w:w="5041" w:type="dxa"/>
            <w:tcBorders>
              <w:top w:val="nil"/>
              <w:left w:val="nil"/>
              <w:bottom w:val="nil"/>
              <w:right w:val="nil"/>
            </w:tcBorders>
            <w:hideMark/>
          </w:tcPr>
          <w:p w:rsidR="00742AD8" w:rsidRDefault="00742AD8" w:rsidP="00742AD8">
            <w:pPr>
              <w:numPr>
                <w:ilvl w:val="0"/>
                <w:numId w:val="28"/>
              </w:numPr>
              <w:cnfStyle w:val="000000000000" w:firstRow="0" w:lastRow="0" w:firstColumn="0" w:lastColumn="0" w:oddVBand="0" w:evenVBand="0" w:oddHBand="0" w:evenHBand="0" w:firstRowFirstColumn="0" w:firstRowLastColumn="0" w:lastRowFirstColumn="0" w:lastRowLastColumn="0"/>
            </w:pPr>
            <w:r>
              <w:t>Reserve Bank of Australia</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RFM</w:t>
            </w:r>
          </w:p>
        </w:tc>
        <w:tc>
          <w:tcPr>
            <w:tcW w:w="5041" w:type="dxa"/>
            <w:tcBorders>
              <w:top w:val="nil"/>
              <w:left w:val="nil"/>
              <w:bottom w:val="nil"/>
              <w:right w:val="nil"/>
            </w:tcBorders>
            <w:hideMark/>
          </w:tcPr>
          <w:p w:rsidR="00742AD8" w:rsidRDefault="00742AD8" w:rsidP="00742AD8">
            <w:pPr>
              <w:numPr>
                <w:ilvl w:val="0"/>
                <w:numId w:val="28"/>
              </w:numPr>
              <w:cnfStyle w:val="000000010000" w:firstRow="0" w:lastRow="0" w:firstColumn="0" w:lastColumn="0" w:oddVBand="0" w:evenVBand="0" w:oddHBand="0" w:evenHBand="1" w:firstRowFirstColumn="0" w:firstRowLastColumn="0" w:lastRowFirstColumn="0" w:lastRowLastColumn="0"/>
            </w:pPr>
            <w:r>
              <w:t>roll forward model</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RIN</w:t>
            </w:r>
          </w:p>
        </w:tc>
        <w:tc>
          <w:tcPr>
            <w:tcW w:w="5041" w:type="dxa"/>
            <w:tcBorders>
              <w:top w:val="nil"/>
              <w:left w:val="nil"/>
              <w:bottom w:val="nil"/>
              <w:right w:val="nil"/>
            </w:tcBorders>
            <w:hideMark/>
          </w:tcPr>
          <w:p w:rsidR="00742AD8" w:rsidRDefault="00742AD8" w:rsidP="00742AD8">
            <w:pPr>
              <w:numPr>
                <w:ilvl w:val="0"/>
                <w:numId w:val="28"/>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proofErr w:type="spellStart"/>
            <w:r>
              <w:t>RoLR</w:t>
            </w:r>
            <w:proofErr w:type="spellEnd"/>
          </w:p>
        </w:tc>
        <w:tc>
          <w:tcPr>
            <w:tcW w:w="5041" w:type="dxa"/>
            <w:tcBorders>
              <w:top w:val="nil"/>
              <w:left w:val="nil"/>
              <w:bottom w:val="nil"/>
              <w:right w:val="nil"/>
            </w:tcBorders>
            <w:hideMark/>
          </w:tcPr>
          <w:p w:rsidR="00742AD8" w:rsidRDefault="00742AD8">
            <w:pPr>
              <w:cnfStyle w:val="000000010000" w:firstRow="0" w:lastRow="0" w:firstColumn="0" w:lastColumn="0" w:oddVBand="0" w:evenVBand="0" w:oddHBand="0" w:evenHBand="1" w:firstRowFirstColumn="0" w:firstRowLastColumn="0" w:lastRowFirstColumn="0" w:lastRowLastColumn="0"/>
            </w:pPr>
            <w:r>
              <w:t>retailer of last resort</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RPP</w:t>
            </w:r>
          </w:p>
        </w:tc>
        <w:tc>
          <w:tcPr>
            <w:tcW w:w="5041" w:type="dxa"/>
            <w:tcBorders>
              <w:top w:val="nil"/>
              <w:left w:val="nil"/>
              <w:bottom w:val="nil"/>
              <w:right w:val="nil"/>
            </w:tcBorders>
            <w:hideMark/>
          </w:tcPr>
          <w:p w:rsidR="00742AD8" w:rsidRDefault="00742AD8" w:rsidP="00742AD8">
            <w:pPr>
              <w:numPr>
                <w:ilvl w:val="0"/>
                <w:numId w:val="28"/>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SLCAPM</w:t>
            </w:r>
          </w:p>
        </w:tc>
        <w:tc>
          <w:tcPr>
            <w:tcW w:w="5041" w:type="dxa"/>
            <w:tcBorders>
              <w:top w:val="nil"/>
              <w:left w:val="nil"/>
              <w:bottom w:val="nil"/>
              <w:right w:val="nil"/>
            </w:tcBorders>
            <w:hideMark/>
          </w:tcPr>
          <w:p w:rsidR="00742AD8" w:rsidRDefault="00742AD8" w:rsidP="00742AD8">
            <w:pPr>
              <w:numPr>
                <w:ilvl w:val="0"/>
                <w:numId w:val="28"/>
              </w:numPr>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STPIS</w:t>
            </w:r>
          </w:p>
        </w:tc>
        <w:tc>
          <w:tcPr>
            <w:tcW w:w="5041" w:type="dxa"/>
            <w:tcBorders>
              <w:top w:val="nil"/>
              <w:left w:val="nil"/>
              <w:bottom w:val="nil"/>
              <w:right w:val="nil"/>
            </w:tcBorders>
            <w:hideMark/>
          </w:tcPr>
          <w:p w:rsidR="00742AD8" w:rsidRDefault="00742AD8">
            <w:pPr>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TAB</w:t>
            </w:r>
          </w:p>
        </w:tc>
        <w:tc>
          <w:tcPr>
            <w:tcW w:w="5041" w:type="dxa"/>
            <w:tcBorders>
              <w:top w:val="nil"/>
              <w:left w:val="nil"/>
              <w:bottom w:val="nil"/>
              <w:right w:val="nil"/>
            </w:tcBorders>
            <w:hideMark/>
          </w:tcPr>
          <w:p w:rsidR="00742AD8" w:rsidRDefault="00742AD8">
            <w:pPr>
              <w:cnfStyle w:val="000000010000" w:firstRow="0" w:lastRow="0" w:firstColumn="0" w:lastColumn="0" w:oddVBand="0" w:evenVBand="0" w:oddHBand="0" w:evenHBand="1" w:firstRowFirstColumn="0" w:firstRowLastColumn="0" w:lastRowFirstColumn="0" w:lastRowLastColumn="0"/>
            </w:pPr>
            <w:r>
              <w:t>Tax asset base</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UAFG</w:t>
            </w:r>
          </w:p>
        </w:tc>
        <w:tc>
          <w:tcPr>
            <w:tcW w:w="5041" w:type="dxa"/>
            <w:tcBorders>
              <w:top w:val="nil"/>
              <w:left w:val="nil"/>
              <w:bottom w:val="nil"/>
              <w:right w:val="nil"/>
            </w:tcBorders>
            <w:hideMark/>
          </w:tcPr>
          <w:p w:rsidR="00742AD8" w:rsidRDefault="00742AD8">
            <w:pPr>
              <w:cnfStyle w:val="000000000000" w:firstRow="0" w:lastRow="0" w:firstColumn="0" w:lastColumn="0" w:oddVBand="0" w:evenVBand="0" w:oddHBand="0" w:evenHBand="0" w:firstRowFirstColumn="0" w:firstRowLastColumn="0" w:lastRowFirstColumn="0" w:lastRowLastColumn="0"/>
            </w:pPr>
            <w:r>
              <w:t>Unaccounted for gas</w:t>
            </w:r>
          </w:p>
        </w:tc>
      </w:tr>
      <w:tr w:rsidR="00742AD8" w:rsidTr="0074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742AD8" w:rsidRDefault="00742AD8" w:rsidP="00742AD8">
            <w:pPr>
              <w:numPr>
                <w:ilvl w:val="0"/>
                <w:numId w:val="28"/>
              </w:numPr>
            </w:pPr>
            <w:r>
              <w:t>WACC</w:t>
            </w:r>
          </w:p>
        </w:tc>
        <w:tc>
          <w:tcPr>
            <w:tcW w:w="5041" w:type="dxa"/>
            <w:tcBorders>
              <w:top w:val="nil"/>
              <w:left w:val="nil"/>
              <w:bottom w:val="nil"/>
              <w:right w:val="nil"/>
            </w:tcBorders>
            <w:hideMark/>
          </w:tcPr>
          <w:p w:rsidR="00742AD8" w:rsidRDefault="00742AD8" w:rsidP="00742AD8">
            <w:pPr>
              <w:numPr>
                <w:ilvl w:val="0"/>
                <w:numId w:val="28"/>
              </w:numPr>
              <w:cnfStyle w:val="000000010000" w:firstRow="0" w:lastRow="0" w:firstColumn="0" w:lastColumn="0" w:oddVBand="0" w:evenVBand="0" w:oddHBand="0" w:evenHBand="1" w:firstRowFirstColumn="0" w:firstRowLastColumn="0" w:lastRowFirstColumn="0" w:lastRowLastColumn="0"/>
            </w:pPr>
            <w:r>
              <w:t>weighted average cost of capital</w:t>
            </w:r>
          </w:p>
        </w:tc>
      </w:tr>
      <w:tr w:rsidR="00742AD8" w:rsidTr="00742AD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742AD8" w:rsidRDefault="00742AD8" w:rsidP="00742AD8">
            <w:pPr>
              <w:numPr>
                <w:ilvl w:val="0"/>
                <w:numId w:val="28"/>
              </w:numPr>
            </w:pPr>
            <w:r>
              <w:t>WPI</w:t>
            </w:r>
          </w:p>
        </w:tc>
        <w:tc>
          <w:tcPr>
            <w:tcW w:w="5041" w:type="dxa"/>
            <w:tcBorders>
              <w:top w:val="nil"/>
              <w:left w:val="nil"/>
              <w:bottom w:val="single" w:sz="4" w:space="0" w:color="365F91"/>
              <w:right w:val="nil"/>
            </w:tcBorders>
            <w:hideMark/>
          </w:tcPr>
          <w:p w:rsidR="00742AD8" w:rsidRDefault="00742AD8">
            <w:pPr>
              <w:cnfStyle w:val="000000000000" w:firstRow="0" w:lastRow="0" w:firstColumn="0" w:lastColumn="0" w:oddVBand="0" w:evenVBand="0" w:oddHBand="0" w:evenHBand="0" w:firstRowFirstColumn="0" w:firstRowLastColumn="0" w:lastRowFirstColumn="0" w:lastRowLastColumn="0"/>
            </w:pPr>
            <w:r>
              <w:t>Wage Price Index</w:t>
            </w:r>
          </w:p>
        </w:tc>
      </w:tr>
    </w:tbl>
    <w:p w:rsidR="00742AD8" w:rsidRPr="00742AD8" w:rsidRDefault="00742AD8" w:rsidP="00742AD8"/>
    <w:p w:rsidR="00DE563D" w:rsidRDefault="006F7D03" w:rsidP="006F7D03">
      <w:pPr>
        <w:pStyle w:val="Heading1"/>
      </w:pPr>
      <w:bookmarkStart w:id="10" w:name="_Toc436054678"/>
      <w:r>
        <w:t>Efficiency carryover mechanism</w:t>
      </w:r>
      <w:bookmarkEnd w:id="10"/>
    </w:p>
    <w:p w:rsidR="0082272C" w:rsidRPr="0082272C" w:rsidRDefault="0082272C" w:rsidP="0082272C">
      <w:pPr>
        <w:rPr>
          <w:rStyle w:val="AERbody"/>
        </w:rPr>
      </w:pPr>
      <w:r w:rsidRPr="0082272C">
        <w:rPr>
          <w:rStyle w:val="AERbody"/>
        </w:rPr>
        <w:t>An efficiency carryover mechanism provides an additional incentive for service providers to pursue efficiency improvements in operating expenditure (opex).</w:t>
      </w:r>
    </w:p>
    <w:p w:rsidR="0082272C" w:rsidRPr="0082272C" w:rsidRDefault="0082272C" w:rsidP="0082272C">
      <w:pPr>
        <w:rPr>
          <w:rStyle w:val="AERbody"/>
        </w:rPr>
      </w:pPr>
      <w:r w:rsidRPr="0082272C">
        <w:rPr>
          <w:rStyle w:val="AERbody"/>
        </w:rPr>
        <w:t xml:space="preserve">It is often used as part of incentive regulation. Given that opex is largely recurrent and predictable, opex in one period is generally a good indicator of opex in the next period. Where a service provider is relatively efficient, we use the actual opex it incurred in a chosen base year to forecast its opex for the next access arrangement period. </w:t>
      </w:r>
    </w:p>
    <w:p w:rsidR="0082272C" w:rsidRPr="0082272C" w:rsidRDefault="0082272C" w:rsidP="0082272C">
      <w:pPr>
        <w:rPr>
          <w:rStyle w:val="AERbody"/>
        </w:rPr>
      </w:pPr>
      <w:r w:rsidRPr="0082272C">
        <w:rPr>
          <w:rStyle w:val="AERbody"/>
        </w:rPr>
        <w:t xml:space="preserve">To encourage a service provider to become more efficient during the access arrangement period it is allowed to keep any difference between its approved forecast and its actual opex during an access arrangement period. This is supplemented by the efficiency carryover mechanism which allows the service provider to retain efficiency savings and efficiency losses for a longer period of time. </w:t>
      </w:r>
      <w:r w:rsidR="00E570A8">
        <w:rPr>
          <w:rStyle w:val="AERbody"/>
        </w:rPr>
        <w:t xml:space="preserve">Together, </w:t>
      </w:r>
      <w:r w:rsidRPr="0082272C">
        <w:rPr>
          <w:rStyle w:val="AERbody"/>
        </w:rPr>
        <w:t xml:space="preserve">these rewards and penalties work to provide a continuous incentive for a service provider to pursue efficiency gains over the access arrangement period. The efficiency carryover mechanism also discourages a service provider from incurring opex in the expected base year in order to receive a higher opex allowance in the following access arrangement period.  </w:t>
      </w:r>
    </w:p>
    <w:p w:rsidR="00E570A8" w:rsidRDefault="0082272C" w:rsidP="0082272C">
      <w:pPr>
        <w:rPr>
          <w:rStyle w:val="AERbody"/>
        </w:rPr>
      </w:pPr>
      <w:r w:rsidRPr="0082272C">
        <w:rPr>
          <w:rStyle w:val="AERbody"/>
        </w:rPr>
        <w:t xml:space="preserve">An efficiency carryover mechanism </w:t>
      </w:r>
      <w:r w:rsidR="00E570A8">
        <w:rPr>
          <w:rStyle w:val="AERbody"/>
        </w:rPr>
        <w:t xml:space="preserve">applied to AGN </w:t>
      </w:r>
      <w:r w:rsidRPr="0082272C">
        <w:rPr>
          <w:rStyle w:val="AERbody"/>
        </w:rPr>
        <w:t>during the 201</w:t>
      </w:r>
      <w:r w:rsidR="00117BEA">
        <w:rPr>
          <w:rStyle w:val="AERbody"/>
        </w:rPr>
        <w:t>1–</w:t>
      </w:r>
      <w:r>
        <w:rPr>
          <w:rStyle w:val="AERbody"/>
        </w:rPr>
        <w:t xml:space="preserve">16 access arrangement </w:t>
      </w:r>
      <w:proofErr w:type="gramStart"/>
      <w:r>
        <w:rPr>
          <w:rStyle w:val="AERbody"/>
        </w:rPr>
        <w:t>period</w:t>
      </w:r>
      <w:proofErr w:type="gramEnd"/>
      <w:r>
        <w:rPr>
          <w:rStyle w:val="AERbody"/>
        </w:rPr>
        <w:t>. AGN</w:t>
      </w:r>
      <w:r w:rsidRPr="0082272C">
        <w:rPr>
          <w:rStyle w:val="AERbody"/>
        </w:rPr>
        <w:t xml:space="preserve"> proposed an efficiency carryover m</w:t>
      </w:r>
      <w:r>
        <w:rPr>
          <w:rStyle w:val="AERbody"/>
        </w:rPr>
        <w:t xml:space="preserve">echanism </w:t>
      </w:r>
      <w:r w:rsidR="00D517C1">
        <w:rPr>
          <w:rStyle w:val="AERbody"/>
        </w:rPr>
        <w:t xml:space="preserve">apply </w:t>
      </w:r>
      <w:r w:rsidR="00117BEA">
        <w:rPr>
          <w:rStyle w:val="AERbody"/>
        </w:rPr>
        <w:t>to it in the 2016–</w:t>
      </w:r>
      <w:r>
        <w:rPr>
          <w:rStyle w:val="AERbody"/>
        </w:rPr>
        <w:t>21</w:t>
      </w:r>
      <w:r w:rsidRPr="0082272C">
        <w:rPr>
          <w:rStyle w:val="AERbody"/>
        </w:rPr>
        <w:t xml:space="preserve"> access arrangement </w:t>
      </w:r>
      <w:proofErr w:type="gramStart"/>
      <w:r w:rsidRPr="0082272C">
        <w:rPr>
          <w:rStyle w:val="AERbody"/>
        </w:rPr>
        <w:t>period</w:t>
      </w:r>
      <w:proofErr w:type="gramEnd"/>
      <w:r w:rsidRPr="0082272C">
        <w:rPr>
          <w:rStyle w:val="AERbody"/>
        </w:rPr>
        <w:t>.</w:t>
      </w:r>
    </w:p>
    <w:p w:rsidR="0082272C" w:rsidRPr="0082272C" w:rsidRDefault="0082272C" w:rsidP="0082272C">
      <w:r>
        <w:rPr>
          <w:rStyle w:val="AERbody"/>
        </w:rPr>
        <w:t xml:space="preserve">AGN also proposed </w:t>
      </w:r>
      <w:r w:rsidR="003A2A81">
        <w:rPr>
          <w:rStyle w:val="AERbody"/>
        </w:rPr>
        <w:t xml:space="preserve">that </w:t>
      </w:r>
      <w:r>
        <w:rPr>
          <w:rStyle w:val="AERbody"/>
        </w:rPr>
        <w:t xml:space="preserve">incentive schemes for </w:t>
      </w:r>
      <w:r w:rsidR="00D517C1">
        <w:rPr>
          <w:rStyle w:val="AERbody"/>
        </w:rPr>
        <w:t>capital expenditure</w:t>
      </w:r>
      <w:r>
        <w:rPr>
          <w:rStyle w:val="AERbody"/>
        </w:rPr>
        <w:t>, customer service and innovation</w:t>
      </w:r>
      <w:r w:rsidR="00AE0CC1">
        <w:rPr>
          <w:rStyle w:val="AERbody"/>
        </w:rPr>
        <w:t xml:space="preserve"> be introduced</w:t>
      </w:r>
      <w:r>
        <w:rPr>
          <w:rStyle w:val="AERbody"/>
        </w:rPr>
        <w:t>.</w:t>
      </w:r>
      <w:r w:rsidR="00E570A8">
        <w:rPr>
          <w:rStyle w:val="AERbody"/>
        </w:rPr>
        <w:t xml:space="preserve"> </w:t>
      </w:r>
      <w:r w:rsidR="003A2A81">
        <w:rPr>
          <w:rStyle w:val="AERbody"/>
        </w:rPr>
        <w:t xml:space="preserve">We </w:t>
      </w:r>
      <w:r w:rsidR="00A73A23">
        <w:rPr>
          <w:rStyle w:val="AERbody"/>
        </w:rPr>
        <w:t xml:space="preserve">do </w:t>
      </w:r>
      <w:r w:rsidR="003A2A81">
        <w:rPr>
          <w:rStyle w:val="AERbody"/>
        </w:rPr>
        <w:t xml:space="preserve">not </w:t>
      </w:r>
      <w:r w:rsidR="00AE0CC1">
        <w:rPr>
          <w:rStyle w:val="AERbody"/>
        </w:rPr>
        <w:t xml:space="preserve">approve </w:t>
      </w:r>
      <w:r w:rsidR="003A2A81">
        <w:rPr>
          <w:rStyle w:val="AERbody"/>
        </w:rPr>
        <w:t xml:space="preserve">the introduction of these schemes. </w:t>
      </w:r>
      <w:r w:rsidR="00E570A8" w:rsidRPr="003A2A81">
        <w:rPr>
          <w:rStyle w:val="AERbody"/>
        </w:rPr>
        <w:t>Attachment 14 outlines our draft decisions</w:t>
      </w:r>
      <w:r w:rsidR="00D517C1">
        <w:rPr>
          <w:rStyle w:val="AERbody"/>
        </w:rPr>
        <w:t xml:space="preserve"> on the additional </w:t>
      </w:r>
      <w:r w:rsidR="00A73A23">
        <w:rPr>
          <w:rStyle w:val="AERbody"/>
        </w:rPr>
        <w:t xml:space="preserve">incentive </w:t>
      </w:r>
      <w:r w:rsidR="00D517C1">
        <w:rPr>
          <w:rStyle w:val="AERbody"/>
        </w:rPr>
        <w:t>schemes</w:t>
      </w:r>
      <w:r w:rsidR="00A73A23">
        <w:rPr>
          <w:rStyle w:val="AERbody"/>
        </w:rPr>
        <w:t xml:space="preserve"> proposed by AGN</w:t>
      </w:r>
      <w:r w:rsidR="00E570A8" w:rsidRPr="003A2A81">
        <w:rPr>
          <w:rStyle w:val="AERbody"/>
        </w:rPr>
        <w:t>.</w:t>
      </w:r>
    </w:p>
    <w:p w:rsidR="00353B07" w:rsidRPr="00353B07" w:rsidRDefault="00CF2C05" w:rsidP="005C5D7E">
      <w:pPr>
        <w:pStyle w:val="Heading2"/>
      </w:pPr>
      <w:bookmarkStart w:id="11" w:name="_Toc408404320"/>
      <w:bookmarkStart w:id="12" w:name="_Toc436054679"/>
      <w:r>
        <w:t>Draft</w:t>
      </w:r>
      <w:r w:rsidR="009A5113" w:rsidRPr="0074565D">
        <w:t xml:space="preserve"> decision</w:t>
      </w:r>
      <w:bookmarkEnd w:id="11"/>
      <w:bookmarkEnd w:id="12"/>
    </w:p>
    <w:p w:rsidR="00353B07" w:rsidRDefault="00353B07" w:rsidP="00353B07">
      <w:pPr>
        <w:pStyle w:val="Heading3"/>
      </w:pPr>
      <w:bookmarkStart w:id="13" w:name="_Toc436054680"/>
      <w:r>
        <w:t>Ca</w:t>
      </w:r>
      <w:r w:rsidR="00117BEA">
        <w:t>rryover amounts from the 2011–</w:t>
      </w:r>
      <w:r>
        <w:t xml:space="preserve">16 </w:t>
      </w:r>
      <w:r w:rsidR="00D517C1">
        <w:t>period</w:t>
      </w:r>
      <w:bookmarkEnd w:id="13"/>
    </w:p>
    <w:p w:rsidR="00A73A23" w:rsidRDefault="00353B07" w:rsidP="00353B07">
      <w:r>
        <w:t>We accep</w:t>
      </w:r>
      <w:r w:rsidR="008345F3">
        <w:t>t AGN’s proposal to carryover</w:t>
      </w:r>
      <w:r w:rsidR="00422E15">
        <w:t xml:space="preserve"> $4.8 million</w:t>
      </w:r>
      <w:r w:rsidR="00F33F19">
        <w:t xml:space="preserve"> ($2015</w:t>
      </w:r>
      <w:r w:rsidR="00117BEA">
        <w:t>–</w:t>
      </w:r>
      <w:r w:rsidR="001B6E18">
        <w:t>16)</w:t>
      </w:r>
      <w:r w:rsidR="00117BEA">
        <w:t xml:space="preserve"> from the 2011–</w:t>
      </w:r>
      <w:r>
        <w:t>16 access arrangement period to the reven</w:t>
      </w:r>
      <w:r w:rsidR="00117BEA">
        <w:t>ue building blocks for the 2016–</w:t>
      </w:r>
      <w:r>
        <w:t>21 access arrangement period.</w:t>
      </w:r>
      <w:r w:rsidR="00D53CC4">
        <w:t xml:space="preserve"> </w:t>
      </w:r>
    </w:p>
    <w:p w:rsidR="00353B07" w:rsidRPr="004664BA" w:rsidRDefault="00A73A23" w:rsidP="00353B07">
      <w:r>
        <w:t>This number differs from the $5.7 million initially provided in AGN’s access arrangement RIN and which was outlined in its proposed access arrangement</w:t>
      </w:r>
      <w:r w:rsidR="00330369">
        <w:t xml:space="preserve"> information</w:t>
      </w:r>
      <w:r>
        <w:t>.</w:t>
      </w:r>
      <w:r w:rsidR="00330369">
        <w:rPr>
          <w:rStyle w:val="FootnoteReference"/>
        </w:rPr>
        <w:footnoteReference w:id="1"/>
      </w:r>
      <w:r>
        <w:t xml:space="preserve"> The</w:t>
      </w:r>
      <w:r w:rsidR="00EB7D78">
        <w:t xml:space="preserve"> reason</w:t>
      </w:r>
      <w:r>
        <w:t xml:space="preserve"> for the difference is AGN subsequently updated </w:t>
      </w:r>
      <w:r w:rsidR="00CA1847">
        <w:t xml:space="preserve">its </w:t>
      </w:r>
      <w:r>
        <w:t xml:space="preserve">insurance </w:t>
      </w:r>
      <w:r w:rsidR="00CA1847">
        <w:t>costs</w:t>
      </w:r>
      <w:r>
        <w:t>, which are an excluded cost category in its existing efficiency carryover mechanism.</w:t>
      </w:r>
      <w:r w:rsidR="00EB7D78">
        <w:rPr>
          <w:rStyle w:val="FootnoteReference"/>
        </w:rPr>
        <w:footnoteReference w:id="2"/>
      </w:r>
      <w:r>
        <w:t xml:space="preserve"> We accept the updated </w:t>
      </w:r>
      <w:r w:rsidR="00CA1847">
        <w:t xml:space="preserve">costs </w:t>
      </w:r>
      <w:r>
        <w:t>should be applied in calculating AGN’s carryover amounts.</w:t>
      </w:r>
      <w:r w:rsidR="00A26DEF" w:rsidRPr="00A26DEF">
        <w:t xml:space="preserve"> </w:t>
      </w:r>
      <w:r w:rsidR="00A26DEF">
        <w:t xml:space="preserve">Further, </w:t>
      </w:r>
      <w:r w:rsidR="00CA1847">
        <w:t xml:space="preserve">AGN’s </w:t>
      </w:r>
      <w:r w:rsidR="00713BFA">
        <w:t xml:space="preserve">efficiency carryover mechanism </w:t>
      </w:r>
      <w:r w:rsidR="00CA1847">
        <w:t>calculation</w:t>
      </w:r>
      <w:r w:rsidR="00A26DEF">
        <w:t xml:space="preserve"> contained an error in the conversion of actual opex </w:t>
      </w:r>
      <w:r w:rsidR="00CA1847">
        <w:t xml:space="preserve">from </w:t>
      </w:r>
      <w:r w:rsidR="00A26DEF">
        <w:t>$nominal to $2015</w:t>
      </w:r>
      <w:r w:rsidR="00316279">
        <w:t>–</w:t>
      </w:r>
      <w:r w:rsidR="00A26DEF">
        <w:t xml:space="preserve">16 real. Correcting </w:t>
      </w:r>
      <w:proofErr w:type="gramStart"/>
      <w:r w:rsidR="00A26DEF">
        <w:t xml:space="preserve">this </w:t>
      </w:r>
      <w:r w:rsidR="00A26DEF" w:rsidRPr="004664BA">
        <w:t>results</w:t>
      </w:r>
      <w:proofErr w:type="gramEnd"/>
      <w:r w:rsidR="00A26DEF" w:rsidRPr="004664BA">
        <w:t xml:space="preserve"> in a </w:t>
      </w:r>
      <w:r w:rsidR="00792F71">
        <w:t>small</w:t>
      </w:r>
      <w:r w:rsidR="00792F71" w:rsidRPr="004664BA">
        <w:t xml:space="preserve"> </w:t>
      </w:r>
      <w:r w:rsidR="00A26DEF" w:rsidRPr="004664BA">
        <w:t xml:space="preserve">change in actual opex for </w:t>
      </w:r>
      <w:r w:rsidR="00713BFA">
        <w:t>the purpose of the efficiency carryover mechanism.</w:t>
      </w:r>
      <w:r w:rsidR="00AA46EC">
        <w:t xml:space="preserve"> </w:t>
      </w:r>
      <w:r w:rsidR="002776CB" w:rsidRPr="004664BA">
        <w:fldChar w:fldCharType="begin"/>
      </w:r>
      <w:r w:rsidR="002776CB" w:rsidRPr="004664BA">
        <w:instrText xml:space="preserve"> REF _Ref433210730 \h </w:instrText>
      </w:r>
      <w:r w:rsidR="004664BA" w:rsidRPr="004664BA">
        <w:instrText xml:space="preserve"> \* MERGEFORMAT </w:instrText>
      </w:r>
      <w:r w:rsidR="002776CB" w:rsidRPr="004664BA">
        <w:fldChar w:fldCharType="separate"/>
      </w:r>
      <w:r w:rsidR="00093211" w:rsidRPr="004664BA">
        <w:t xml:space="preserve">Table </w:t>
      </w:r>
      <w:r w:rsidR="00093211">
        <w:rPr>
          <w:noProof/>
        </w:rPr>
        <w:t>9</w:t>
      </w:r>
      <w:r w:rsidR="00093211" w:rsidRPr="004664BA">
        <w:rPr>
          <w:noProof/>
        </w:rPr>
        <w:t>.</w:t>
      </w:r>
      <w:r w:rsidR="00093211">
        <w:rPr>
          <w:noProof/>
        </w:rPr>
        <w:t>1</w:t>
      </w:r>
      <w:r w:rsidR="002776CB" w:rsidRPr="004664BA">
        <w:fldChar w:fldCharType="end"/>
      </w:r>
      <w:r w:rsidR="002776CB" w:rsidRPr="004664BA">
        <w:t xml:space="preserve"> </w:t>
      </w:r>
      <w:r w:rsidR="00D517C1" w:rsidRPr="004664BA">
        <w:t xml:space="preserve">shows </w:t>
      </w:r>
      <w:r w:rsidR="00353B07" w:rsidRPr="004664BA">
        <w:t xml:space="preserve">our draft decision </w:t>
      </w:r>
      <w:r w:rsidR="003A2A81" w:rsidRPr="004664BA">
        <w:t xml:space="preserve">on </w:t>
      </w:r>
      <w:r w:rsidRPr="004664BA">
        <w:t xml:space="preserve">the proposed </w:t>
      </w:r>
      <w:r w:rsidR="00353B07" w:rsidRPr="004664BA">
        <w:t>carryover amounts.</w:t>
      </w:r>
    </w:p>
    <w:p w:rsidR="00353B07" w:rsidRPr="004664BA" w:rsidRDefault="00EB7D78" w:rsidP="00EB7D78">
      <w:pPr>
        <w:pStyle w:val="Caption"/>
      </w:pPr>
      <w:proofErr w:type="gramStart"/>
      <w:r>
        <w:t xml:space="preserve">Table </w:t>
      </w:r>
      <w:proofErr w:type="gramEnd"/>
      <w:r w:rsidR="00742AD8">
        <w:fldChar w:fldCharType="begin"/>
      </w:r>
      <w:r w:rsidR="00742AD8">
        <w:instrText xml:space="preserve"> STYLEREF 1 \s </w:instrText>
      </w:r>
      <w:r w:rsidR="00742AD8">
        <w:fldChar w:fldCharType="separate"/>
      </w:r>
      <w:r w:rsidR="00702C6C">
        <w:rPr>
          <w:noProof/>
        </w:rPr>
        <w:t>9</w:t>
      </w:r>
      <w:r w:rsidR="00742AD8">
        <w:rPr>
          <w:noProof/>
        </w:rPr>
        <w:fldChar w:fldCharType="end"/>
      </w:r>
      <w:proofErr w:type="gramStart"/>
      <w:r>
        <w:t>.</w:t>
      </w:r>
      <w:proofErr w:type="gramEnd"/>
      <w:r>
        <w:fldChar w:fldCharType="begin"/>
      </w:r>
      <w:r>
        <w:instrText xml:space="preserve"> SEQ Table \* ARABIC \s 1 </w:instrText>
      </w:r>
      <w:r>
        <w:fldChar w:fldCharType="separate"/>
      </w:r>
      <w:r w:rsidR="00702C6C">
        <w:rPr>
          <w:noProof/>
        </w:rPr>
        <w:t>1</w:t>
      </w:r>
      <w:r>
        <w:fldChar w:fldCharType="end"/>
      </w:r>
      <w:r>
        <w:t xml:space="preserve"> </w:t>
      </w:r>
      <w:r w:rsidR="00CA1847">
        <w:tab/>
      </w:r>
      <w:r w:rsidR="00765904" w:rsidRPr="004664BA">
        <w:t>AER draft decision on carryover amounts ($million, $2015–16)</w:t>
      </w:r>
    </w:p>
    <w:tbl>
      <w:tblPr>
        <w:tblStyle w:val="AERtable-numbers"/>
        <w:tblW w:w="4811" w:type="pct"/>
        <w:tblInd w:w="108" w:type="dxa"/>
        <w:tblLayout w:type="fixed"/>
        <w:tblLook w:val="04A0" w:firstRow="1" w:lastRow="0" w:firstColumn="1" w:lastColumn="0" w:noHBand="0" w:noVBand="1"/>
      </w:tblPr>
      <w:tblGrid>
        <w:gridCol w:w="3189"/>
        <w:gridCol w:w="862"/>
        <w:gridCol w:w="863"/>
        <w:gridCol w:w="863"/>
        <w:gridCol w:w="861"/>
        <w:gridCol w:w="863"/>
        <w:gridCol w:w="863"/>
      </w:tblGrid>
      <w:tr w:rsidR="003525B1" w:rsidRPr="004664BA" w:rsidTr="00E4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pct"/>
            <w:vAlign w:val="top"/>
          </w:tcPr>
          <w:p w:rsidR="003525B1" w:rsidRPr="004664BA" w:rsidRDefault="003525B1" w:rsidP="002A1336">
            <w:pPr>
              <w:spacing w:line="240" w:lineRule="auto"/>
              <w:rPr>
                <w:szCs w:val="16"/>
              </w:rPr>
            </w:pPr>
          </w:p>
        </w:tc>
        <w:tc>
          <w:tcPr>
            <w:tcW w:w="515" w:type="pct"/>
            <w:vAlign w:val="top"/>
          </w:tcPr>
          <w:p w:rsidR="003525B1" w:rsidRPr="004664BA" w:rsidRDefault="003525B1" w:rsidP="002A1336">
            <w:pPr>
              <w:spacing w:line="240" w:lineRule="auto"/>
              <w:cnfStyle w:val="100000000000" w:firstRow="1" w:lastRow="0" w:firstColumn="0" w:lastColumn="0" w:oddVBand="0" w:evenVBand="0" w:oddHBand="0" w:evenHBand="0" w:firstRowFirstColumn="0" w:firstRowLastColumn="0" w:lastRowFirstColumn="0" w:lastRowLastColumn="0"/>
              <w:rPr>
                <w:szCs w:val="16"/>
              </w:rPr>
            </w:pPr>
            <w:r w:rsidRPr="004664BA">
              <w:rPr>
                <w:szCs w:val="16"/>
              </w:rPr>
              <w:t>2016</w:t>
            </w:r>
            <w:r w:rsidRPr="004664BA">
              <w:rPr>
                <w:szCs w:val="16"/>
              </w:rPr>
              <w:noBreakHyphen/>
              <w:t>17</w:t>
            </w:r>
          </w:p>
        </w:tc>
        <w:tc>
          <w:tcPr>
            <w:tcW w:w="516" w:type="pct"/>
            <w:vAlign w:val="top"/>
          </w:tcPr>
          <w:p w:rsidR="003525B1" w:rsidRPr="004664BA" w:rsidRDefault="003525B1" w:rsidP="00353B07">
            <w:pPr>
              <w:spacing w:line="240" w:lineRule="auto"/>
              <w:cnfStyle w:val="100000000000" w:firstRow="1" w:lastRow="0" w:firstColumn="0" w:lastColumn="0" w:oddVBand="0" w:evenVBand="0" w:oddHBand="0" w:evenHBand="0" w:firstRowFirstColumn="0" w:firstRowLastColumn="0" w:lastRowFirstColumn="0" w:lastRowLastColumn="0"/>
              <w:rPr>
                <w:szCs w:val="16"/>
              </w:rPr>
            </w:pPr>
            <w:r w:rsidRPr="004664BA">
              <w:rPr>
                <w:szCs w:val="16"/>
              </w:rPr>
              <w:t>2017</w:t>
            </w:r>
            <w:r w:rsidRPr="004664BA">
              <w:rPr>
                <w:szCs w:val="16"/>
              </w:rPr>
              <w:noBreakHyphen/>
              <w:t>18</w:t>
            </w:r>
          </w:p>
        </w:tc>
        <w:tc>
          <w:tcPr>
            <w:tcW w:w="516" w:type="pct"/>
            <w:vAlign w:val="top"/>
          </w:tcPr>
          <w:p w:rsidR="003525B1" w:rsidRPr="004664BA" w:rsidRDefault="003525B1" w:rsidP="002A1336">
            <w:pPr>
              <w:spacing w:line="240" w:lineRule="auto"/>
              <w:cnfStyle w:val="100000000000" w:firstRow="1" w:lastRow="0" w:firstColumn="0" w:lastColumn="0" w:oddVBand="0" w:evenVBand="0" w:oddHBand="0" w:evenHBand="0" w:firstRowFirstColumn="0" w:firstRowLastColumn="0" w:lastRowFirstColumn="0" w:lastRowLastColumn="0"/>
              <w:rPr>
                <w:szCs w:val="16"/>
              </w:rPr>
            </w:pPr>
            <w:r w:rsidRPr="004664BA">
              <w:rPr>
                <w:szCs w:val="16"/>
              </w:rPr>
              <w:t>2018</w:t>
            </w:r>
            <w:r w:rsidRPr="004664BA">
              <w:rPr>
                <w:szCs w:val="16"/>
              </w:rPr>
              <w:noBreakHyphen/>
              <w:t>19</w:t>
            </w:r>
          </w:p>
        </w:tc>
        <w:tc>
          <w:tcPr>
            <w:tcW w:w="515" w:type="pct"/>
            <w:vAlign w:val="top"/>
          </w:tcPr>
          <w:p w:rsidR="003525B1" w:rsidRPr="004664BA" w:rsidRDefault="003525B1" w:rsidP="002A1336">
            <w:pPr>
              <w:spacing w:line="240" w:lineRule="auto"/>
              <w:cnfStyle w:val="100000000000" w:firstRow="1" w:lastRow="0" w:firstColumn="0" w:lastColumn="0" w:oddVBand="0" w:evenVBand="0" w:oddHBand="0" w:evenHBand="0" w:firstRowFirstColumn="0" w:firstRowLastColumn="0" w:lastRowFirstColumn="0" w:lastRowLastColumn="0"/>
              <w:rPr>
                <w:szCs w:val="16"/>
              </w:rPr>
            </w:pPr>
            <w:r w:rsidRPr="004664BA">
              <w:rPr>
                <w:szCs w:val="16"/>
              </w:rPr>
              <w:t>2019</w:t>
            </w:r>
            <w:r w:rsidRPr="004664BA">
              <w:rPr>
                <w:szCs w:val="16"/>
              </w:rPr>
              <w:noBreakHyphen/>
              <w:t>20</w:t>
            </w:r>
          </w:p>
        </w:tc>
        <w:tc>
          <w:tcPr>
            <w:tcW w:w="516" w:type="pct"/>
            <w:vAlign w:val="top"/>
          </w:tcPr>
          <w:p w:rsidR="003525B1" w:rsidRPr="004664BA" w:rsidRDefault="003525B1" w:rsidP="004C3243">
            <w:pPr>
              <w:spacing w:line="240" w:lineRule="auto"/>
              <w:cnfStyle w:val="100000000000" w:firstRow="1" w:lastRow="0" w:firstColumn="0" w:lastColumn="0" w:oddVBand="0" w:evenVBand="0" w:oddHBand="0" w:evenHBand="0" w:firstRowFirstColumn="0" w:firstRowLastColumn="0" w:lastRowFirstColumn="0" w:lastRowLastColumn="0"/>
              <w:rPr>
                <w:szCs w:val="16"/>
              </w:rPr>
            </w:pPr>
            <w:r w:rsidRPr="004664BA">
              <w:rPr>
                <w:szCs w:val="16"/>
              </w:rPr>
              <w:t>2020</w:t>
            </w:r>
            <w:r w:rsidRPr="004664BA">
              <w:rPr>
                <w:szCs w:val="16"/>
              </w:rPr>
              <w:noBreakHyphen/>
              <w:t>21</w:t>
            </w:r>
          </w:p>
        </w:tc>
        <w:tc>
          <w:tcPr>
            <w:tcW w:w="516" w:type="pct"/>
          </w:tcPr>
          <w:p w:rsidR="003525B1" w:rsidRPr="004664BA" w:rsidRDefault="003525B1" w:rsidP="002A1336">
            <w:pPr>
              <w:spacing w:line="240" w:lineRule="auto"/>
              <w:cnfStyle w:val="100000000000" w:firstRow="1" w:lastRow="0" w:firstColumn="0" w:lastColumn="0" w:oddVBand="0" w:evenVBand="0" w:oddHBand="0" w:evenHBand="0" w:firstRowFirstColumn="0" w:firstRowLastColumn="0" w:lastRowFirstColumn="0" w:lastRowLastColumn="0"/>
              <w:rPr>
                <w:szCs w:val="16"/>
              </w:rPr>
            </w:pPr>
            <w:r w:rsidRPr="004664BA">
              <w:rPr>
                <w:szCs w:val="16"/>
              </w:rPr>
              <w:t>Total</w:t>
            </w:r>
          </w:p>
        </w:tc>
      </w:tr>
      <w:tr w:rsidR="003525B1" w:rsidRPr="004664BA" w:rsidTr="00E4020C">
        <w:tc>
          <w:tcPr>
            <w:cnfStyle w:val="001000000000" w:firstRow="0" w:lastRow="0" w:firstColumn="1" w:lastColumn="0" w:oddVBand="0" w:evenVBand="0" w:oddHBand="0" w:evenHBand="0" w:firstRowFirstColumn="0" w:firstRowLastColumn="0" w:lastRowFirstColumn="0" w:lastRowLastColumn="0"/>
            <w:tcW w:w="1906" w:type="pct"/>
            <w:vAlign w:val="top"/>
          </w:tcPr>
          <w:p w:rsidR="003525B1" w:rsidRPr="004664BA" w:rsidRDefault="003525B1" w:rsidP="002A1336">
            <w:pPr>
              <w:spacing w:line="240" w:lineRule="auto"/>
              <w:rPr>
                <w:szCs w:val="16"/>
              </w:rPr>
            </w:pPr>
            <w:r w:rsidRPr="004664BA">
              <w:rPr>
                <w:szCs w:val="16"/>
              </w:rPr>
              <w:t>AER draft decision on carryover amounts</w:t>
            </w:r>
          </w:p>
        </w:tc>
        <w:tc>
          <w:tcPr>
            <w:tcW w:w="515" w:type="pct"/>
            <w:vAlign w:val="top"/>
          </w:tcPr>
          <w:p w:rsidR="003525B1" w:rsidRPr="00854AB9" w:rsidRDefault="009C08A9" w:rsidP="002A1336">
            <w:pPr>
              <w:spacing w:line="240" w:lineRule="auto"/>
              <w:cnfStyle w:val="000000000000" w:firstRow="0" w:lastRow="0" w:firstColumn="0" w:lastColumn="0" w:oddVBand="0" w:evenVBand="0" w:oddHBand="0" w:evenHBand="0" w:firstRowFirstColumn="0" w:firstRowLastColumn="0" w:lastRowFirstColumn="0" w:lastRowLastColumn="0"/>
              <w:rPr>
                <w:szCs w:val="16"/>
              </w:rPr>
            </w:pPr>
            <w:r w:rsidRPr="00854AB9">
              <w:rPr>
                <w:szCs w:val="16"/>
              </w:rPr>
              <w:t>6.7</w:t>
            </w:r>
          </w:p>
        </w:tc>
        <w:tc>
          <w:tcPr>
            <w:tcW w:w="516" w:type="pct"/>
            <w:vAlign w:val="top"/>
          </w:tcPr>
          <w:p w:rsidR="003525B1" w:rsidRPr="00854AB9" w:rsidRDefault="008345F3" w:rsidP="002A1336">
            <w:pPr>
              <w:spacing w:line="240" w:lineRule="auto"/>
              <w:cnfStyle w:val="000000000000" w:firstRow="0" w:lastRow="0" w:firstColumn="0" w:lastColumn="0" w:oddVBand="0" w:evenVBand="0" w:oddHBand="0" w:evenHBand="0" w:firstRowFirstColumn="0" w:firstRowLastColumn="0" w:lastRowFirstColumn="0" w:lastRowLastColumn="0"/>
              <w:rPr>
                <w:szCs w:val="16"/>
              </w:rPr>
            </w:pPr>
            <w:r w:rsidRPr="00854AB9">
              <w:rPr>
                <w:szCs w:val="16"/>
              </w:rPr>
              <w:t>(1.</w:t>
            </w:r>
            <w:r w:rsidR="009C08A9" w:rsidRPr="00854AB9">
              <w:rPr>
                <w:szCs w:val="16"/>
              </w:rPr>
              <w:t>3</w:t>
            </w:r>
            <w:r w:rsidR="003525B1" w:rsidRPr="00854AB9">
              <w:rPr>
                <w:szCs w:val="16"/>
              </w:rPr>
              <w:t>)</w:t>
            </w:r>
          </w:p>
        </w:tc>
        <w:tc>
          <w:tcPr>
            <w:tcW w:w="516" w:type="pct"/>
            <w:vAlign w:val="top"/>
          </w:tcPr>
          <w:p w:rsidR="003525B1" w:rsidRPr="00854AB9" w:rsidRDefault="008345F3" w:rsidP="002A1336">
            <w:pPr>
              <w:spacing w:line="240" w:lineRule="auto"/>
              <w:cnfStyle w:val="000000000000" w:firstRow="0" w:lastRow="0" w:firstColumn="0" w:lastColumn="0" w:oddVBand="0" w:evenVBand="0" w:oddHBand="0" w:evenHBand="0" w:firstRowFirstColumn="0" w:firstRowLastColumn="0" w:lastRowFirstColumn="0" w:lastRowLastColumn="0"/>
              <w:rPr>
                <w:szCs w:val="16"/>
              </w:rPr>
            </w:pPr>
            <w:r w:rsidRPr="00854AB9">
              <w:rPr>
                <w:szCs w:val="16"/>
              </w:rPr>
              <w:t>(</w:t>
            </w:r>
            <w:r w:rsidR="009C08A9" w:rsidRPr="00854AB9">
              <w:rPr>
                <w:szCs w:val="16"/>
              </w:rPr>
              <w:t>2</w:t>
            </w:r>
            <w:r w:rsidRPr="00854AB9">
              <w:rPr>
                <w:szCs w:val="16"/>
              </w:rPr>
              <w:t>.</w:t>
            </w:r>
            <w:r w:rsidR="009C08A9" w:rsidRPr="00854AB9">
              <w:rPr>
                <w:szCs w:val="16"/>
              </w:rPr>
              <w:t>1</w:t>
            </w:r>
            <w:r w:rsidR="003525B1" w:rsidRPr="00854AB9">
              <w:rPr>
                <w:szCs w:val="16"/>
              </w:rPr>
              <w:t>)</w:t>
            </w:r>
          </w:p>
        </w:tc>
        <w:tc>
          <w:tcPr>
            <w:tcW w:w="515" w:type="pct"/>
            <w:vAlign w:val="top"/>
          </w:tcPr>
          <w:p w:rsidR="003525B1" w:rsidRPr="00854AB9" w:rsidRDefault="003525B1" w:rsidP="002A1336">
            <w:pPr>
              <w:spacing w:line="240" w:lineRule="auto"/>
              <w:cnfStyle w:val="000000000000" w:firstRow="0" w:lastRow="0" w:firstColumn="0" w:lastColumn="0" w:oddVBand="0" w:evenVBand="0" w:oddHBand="0" w:evenHBand="0" w:firstRowFirstColumn="0" w:firstRowLastColumn="0" w:lastRowFirstColumn="0" w:lastRowLastColumn="0"/>
              <w:rPr>
                <w:szCs w:val="16"/>
              </w:rPr>
            </w:pPr>
            <w:r w:rsidRPr="00854AB9">
              <w:rPr>
                <w:szCs w:val="16"/>
              </w:rPr>
              <w:t>1.</w:t>
            </w:r>
            <w:r w:rsidR="009C08A9" w:rsidRPr="00854AB9">
              <w:rPr>
                <w:szCs w:val="16"/>
              </w:rPr>
              <w:t>5</w:t>
            </w:r>
          </w:p>
        </w:tc>
        <w:tc>
          <w:tcPr>
            <w:tcW w:w="516" w:type="pct"/>
            <w:vAlign w:val="top"/>
          </w:tcPr>
          <w:p w:rsidR="003525B1" w:rsidRPr="00854AB9" w:rsidRDefault="003525B1" w:rsidP="004C3243">
            <w:pPr>
              <w:spacing w:line="240" w:lineRule="auto"/>
              <w:cnfStyle w:val="000000000000" w:firstRow="0" w:lastRow="0" w:firstColumn="0" w:lastColumn="0" w:oddVBand="0" w:evenVBand="0" w:oddHBand="0" w:evenHBand="0" w:firstRowFirstColumn="0" w:firstRowLastColumn="0" w:lastRowFirstColumn="0" w:lastRowLastColumn="0"/>
              <w:rPr>
                <w:szCs w:val="16"/>
              </w:rPr>
            </w:pPr>
            <w:r w:rsidRPr="00854AB9">
              <w:rPr>
                <w:szCs w:val="16"/>
              </w:rPr>
              <w:t>0</w:t>
            </w:r>
            <w:r w:rsidR="009C08A9" w:rsidRPr="00854AB9">
              <w:rPr>
                <w:szCs w:val="16"/>
              </w:rPr>
              <w:t>.0</w:t>
            </w:r>
          </w:p>
        </w:tc>
        <w:tc>
          <w:tcPr>
            <w:tcW w:w="516" w:type="pct"/>
          </w:tcPr>
          <w:p w:rsidR="003525B1" w:rsidRPr="00854AB9" w:rsidRDefault="009C08A9" w:rsidP="002A1336">
            <w:pPr>
              <w:spacing w:line="240" w:lineRule="auto"/>
              <w:cnfStyle w:val="000000000000" w:firstRow="0" w:lastRow="0" w:firstColumn="0" w:lastColumn="0" w:oddVBand="0" w:evenVBand="0" w:oddHBand="0" w:evenHBand="0" w:firstRowFirstColumn="0" w:firstRowLastColumn="0" w:lastRowFirstColumn="0" w:lastRowLastColumn="0"/>
              <w:rPr>
                <w:szCs w:val="16"/>
              </w:rPr>
            </w:pPr>
            <w:r w:rsidRPr="00854AB9">
              <w:rPr>
                <w:szCs w:val="16"/>
              </w:rPr>
              <w:t>4</w:t>
            </w:r>
            <w:r w:rsidR="008345F3" w:rsidRPr="00854AB9">
              <w:rPr>
                <w:szCs w:val="16"/>
              </w:rPr>
              <w:t>.</w:t>
            </w:r>
            <w:r w:rsidRPr="00854AB9">
              <w:rPr>
                <w:szCs w:val="16"/>
              </w:rPr>
              <w:t>8</w:t>
            </w:r>
          </w:p>
        </w:tc>
      </w:tr>
    </w:tbl>
    <w:p w:rsidR="007A7806" w:rsidRDefault="00353B07" w:rsidP="00612BDA">
      <w:pPr>
        <w:pStyle w:val="AERtablesource"/>
        <w:spacing w:after="0"/>
      </w:pPr>
      <w:r w:rsidRPr="004664BA">
        <w:t>Source</w:t>
      </w:r>
      <w:r w:rsidR="00765904" w:rsidRPr="004664BA">
        <w:t>:</w:t>
      </w:r>
      <w:r w:rsidRPr="004664BA">
        <w:tab/>
        <w:t>AER analysis</w:t>
      </w:r>
      <w:r w:rsidR="00117BEA" w:rsidRPr="004664BA">
        <w:t>.</w:t>
      </w:r>
    </w:p>
    <w:p w:rsidR="00353B07" w:rsidRDefault="00353B07" w:rsidP="00353B07">
      <w:pPr>
        <w:pStyle w:val="Heading3"/>
      </w:pPr>
      <w:bookmarkStart w:id="14" w:name="_Toc436054681"/>
      <w:r>
        <w:t>I</w:t>
      </w:r>
      <w:r w:rsidR="00832507">
        <w:t xml:space="preserve">ncentive </w:t>
      </w:r>
      <w:r w:rsidR="00117BEA">
        <w:t>mechanism for the 2016–</w:t>
      </w:r>
      <w:r>
        <w:t xml:space="preserve">21 </w:t>
      </w:r>
      <w:r w:rsidR="00A6628F">
        <w:t>period</w:t>
      </w:r>
      <w:bookmarkEnd w:id="14"/>
    </w:p>
    <w:p w:rsidR="001624A2" w:rsidRDefault="00DB792E" w:rsidP="003D639D">
      <w:r>
        <w:t xml:space="preserve">While we </w:t>
      </w:r>
      <w:r w:rsidR="00ED14EE">
        <w:t xml:space="preserve">support the </w:t>
      </w:r>
      <w:r w:rsidR="00FA30A0">
        <w:t xml:space="preserve">continued </w:t>
      </w:r>
      <w:r w:rsidR="00117BEA">
        <w:t xml:space="preserve">application </w:t>
      </w:r>
      <w:r w:rsidR="00ED14EE">
        <w:t xml:space="preserve">of </w:t>
      </w:r>
      <w:r w:rsidR="001624A2">
        <w:t>an efficiency carryov</w:t>
      </w:r>
      <w:r w:rsidR="00117BEA">
        <w:t>er mechanism to AGN in the 2016–</w:t>
      </w:r>
      <w:r w:rsidR="001624A2">
        <w:t>21 access arrangement</w:t>
      </w:r>
      <w:r w:rsidR="00FA30A0">
        <w:t xml:space="preserve"> </w:t>
      </w:r>
      <w:proofErr w:type="gramStart"/>
      <w:r w:rsidR="00FA30A0">
        <w:t>period</w:t>
      </w:r>
      <w:proofErr w:type="gramEnd"/>
      <w:r>
        <w:t xml:space="preserve">, we </w:t>
      </w:r>
      <w:r w:rsidR="000501E8">
        <w:t xml:space="preserve">do </w:t>
      </w:r>
      <w:r>
        <w:t xml:space="preserve">not </w:t>
      </w:r>
      <w:r w:rsidR="00EB7D78">
        <w:t xml:space="preserve">approve </w:t>
      </w:r>
      <w:r>
        <w:t>the efficiency carryover mechanism proposed by AGN</w:t>
      </w:r>
      <w:r w:rsidR="001624A2">
        <w:t xml:space="preserve">. </w:t>
      </w:r>
      <w:r>
        <w:t xml:space="preserve">We </w:t>
      </w:r>
      <w:r w:rsidR="000501E8">
        <w:t>have amended</w:t>
      </w:r>
      <w:r w:rsidR="00837BCF">
        <w:t xml:space="preserve"> AGN’s proposal</w:t>
      </w:r>
      <w:r w:rsidR="000501E8">
        <w:t xml:space="preserve"> to</w:t>
      </w:r>
      <w:r w:rsidR="001624A2">
        <w:t>:</w:t>
      </w:r>
    </w:p>
    <w:p w:rsidR="002C0423" w:rsidRDefault="00235919" w:rsidP="00F53F2E">
      <w:pPr>
        <w:pStyle w:val="AERbulletlistfirststyle"/>
      </w:pPr>
      <w:proofErr w:type="gramStart"/>
      <w:r>
        <w:t>apply</w:t>
      </w:r>
      <w:proofErr w:type="gramEnd"/>
      <w:r>
        <w:t xml:space="preserve"> </w:t>
      </w:r>
      <w:r w:rsidR="002C0423">
        <w:t xml:space="preserve">the </w:t>
      </w:r>
      <w:r>
        <w:t>formulas to calculate incremental efficiency gains (losses) as outlined in the AER’s ‘Efficiency Benefit S</w:t>
      </w:r>
      <w:r w:rsidR="000501E8">
        <w:t xml:space="preserve">haring Scheme </w:t>
      </w:r>
      <w:r w:rsidR="000568C0">
        <w:t xml:space="preserve">(EBSS) </w:t>
      </w:r>
      <w:r w:rsidR="000501E8">
        <w:t xml:space="preserve">for </w:t>
      </w:r>
      <w:r w:rsidR="00612BDA">
        <w:t>e</w:t>
      </w:r>
      <w:r w:rsidR="000501E8">
        <w:t xml:space="preserve">lectricity </w:t>
      </w:r>
      <w:r w:rsidR="00612BDA">
        <w:t>n</w:t>
      </w:r>
      <w:r w:rsidR="000501E8">
        <w:t>et</w:t>
      </w:r>
      <w:r>
        <w:t>w</w:t>
      </w:r>
      <w:r w:rsidR="000501E8">
        <w:t>o</w:t>
      </w:r>
      <w:r>
        <w:t xml:space="preserve">rk </w:t>
      </w:r>
      <w:r w:rsidR="00612BDA">
        <w:t>s</w:t>
      </w:r>
      <w:r>
        <w:t xml:space="preserve">ervice </w:t>
      </w:r>
      <w:r w:rsidR="00612BDA">
        <w:t>p</w:t>
      </w:r>
      <w:r>
        <w:t xml:space="preserve">roviders’ </w:t>
      </w:r>
      <w:r w:rsidR="00117BEA">
        <w:t xml:space="preserve">released in </w:t>
      </w:r>
      <w:r>
        <w:t>November 2013.</w:t>
      </w:r>
      <w:r w:rsidR="00356282">
        <w:rPr>
          <w:rStyle w:val="FootnoteReference"/>
        </w:rPr>
        <w:footnoteReference w:id="3"/>
      </w:r>
      <w:r w:rsidR="002C0423">
        <w:t xml:space="preserve"> </w:t>
      </w:r>
      <w:r w:rsidR="005543F9">
        <w:t>T</w:t>
      </w:r>
      <w:r w:rsidR="002C0423">
        <w:t xml:space="preserve">his approach </w:t>
      </w:r>
      <w:r w:rsidR="005543F9">
        <w:t xml:space="preserve">provides </w:t>
      </w:r>
      <w:r w:rsidR="002C0423">
        <w:t>a service provider</w:t>
      </w:r>
      <w:r w:rsidR="005543F9">
        <w:t xml:space="preserve"> with a continuous incentive to pursue efficiency gains throughout the access arrangement period.</w:t>
      </w:r>
      <w:r w:rsidR="002C0423">
        <w:t xml:space="preserve"> </w:t>
      </w:r>
      <w:r w:rsidR="005543F9">
        <w:t>I</w:t>
      </w:r>
      <w:r w:rsidR="002C0423">
        <w:t xml:space="preserve">ncremental </w:t>
      </w:r>
      <w:r w:rsidR="005543F9">
        <w:t xml:space="preserve">efficiency </w:t>
      </w:r>
      <w:r w:rsidR="002C0423">
        <w:t xml:space="preserve">gains </w:t>
      </w:r>
      <w:r w:rsidR="005543F9">
        <w:t>or loss</w:t>
      </w:r>
      <w:r w:rsidR="00D045F5">
        <w:t>es</w:t>
      </w:r>
      <w:r w:rsidR="005543F9">
        <w:t xml:space="preserve"> in each year </w:t>
      </w:r>
      <w:r w:rsidR="002C0423">
        <w:t xml:space="preserve">are carried forward typically </w:t>
      </w:r>
      <w:r w:rsidR="00792F71">
        <w:t xml:space="preserve">for </w:t>
      </w:r>
      <w:r w:rsidR="002C0423">
        <w:t>five years. As a result</w:t>
      </w:r>
      <w:r w:rsidR="000568C0">
        <w:t xml:space="preserve"> of this approach</w:t>
      </w:r>
      <w:r w:rsidR="002C0423">
        <w:t>, increases or decreases in opex are shared approximately 30:70 between service providers and consumers.</w:t>
      </w:r>
    </w:p>
    <w:p w:rsidR="001624A2" w:rsidRDefault="00CC2EC0" w:rsidP="00235919">
      <w:pPr>
        <w:pStyle w:val="AERbulletlistfirststyle"/>
      </w:pPr>
      <w:proofErr w:type="gramStart"/>
      <w:r>
        <w:t>streamline</w:t>
      </w:r>
      <w:proofErr w:type="gramEnd"/>
      <w:r>
        <w:t xml:space="preserve"> </w:t>
      </w:r>
      <w:r w:rsidR="00612BDA">
        <w:t xml:space="preserve">and reduce </w:t>
      </w:r>
      <w:r w:rsidR="00E00FD6">
        <w:t xml:space="preserve">the costs </w:t>
      </w:r>
      <w:r w:rsidR="00837BCF">
        <w:t>excluded from the operation of the mechanism.</w:t>
      </w:r>
    </w:p>
    <w:p w:rsidR="007B26FC" w:rsidRDefault="007A73EC" w:rsidP="001624A2">
      <w:r>
        <w:t xml:space="preserve">Table 7.1 in Attachment 7 </w:t>
      </w:r>
      <w:r w:rsidR="001624A2">
        <w:t>sets out the total opex forecasts we will use to calculate efficiency g</w:t>
      </w:r>
      <w:r w:rsidR="00101131">
        <w:t>ains and losses for the 2016–</w:t>
      </w:r>
      <w:r w:rsidR="001624A2">
        <w:t xml:space="preserve">21 access arrangement period. </w:t>
      </w:r>
    </w:p>
    <w:p w:rsidR="009A5113" w:rsidRDefault="00B4044A" w:rsidP="009A5113">
      <w:pPr>
        <w:pStyle w:val="Heading2"/>
      </w:pPr>
      <w:bookmarkStart w:id="15" w:name="_Toc436054682"/>
      <w:r>
        <w:t>AGN’s</w:t>
      </w:r>
      <w:r w:rsidR="005C0A7F">
        <w:t xml:space="preserve"> proposal</w:t>
      </w:r>
      <w:bookmarkEnd w:id="15"/>
    </w:p>
    <w:p w:rsidR="00B85AFF" w:rsidRDefault="00B85AFF" w:rsidP="00B85AFF">
      <w:pPr>
        <w:pStyle w:val="Heading3"/>
      </w:pPr>
      <w:bookmarkStart w:id="16" w:name="_Toc436054683"/>
      <w:r>
        <w:t>Ca</w:t>
      </w:r>
      <w:r w:rsidR="00765904">
        <w:t>rryover amounts from the 2011–</w:t>
      </w:r>
      <w:r>
        <w:t xml:space="preserve">16 </w:t>
      </w:r>
      <w:r w:rsidR="00832507">
        <w:t>period</w:t>
      </w:r>
      <w:bookmarkEnd w:id="16"/>
    </w:p>
    <w:p w:rsidR="00FA30A0" w:rsidRDefault="00FA30A0" w:rsidP="00FA30A0">
      <w:r>
        <w:t xml:space="preserve">AGN </w:t>
      </w:r>
      <w:r w:rsidR="00CA1847">
        <w:t xml:space="preserve">proposed </w:t>
      </w:r>
      <w:r>
        <w:t>to carryover an amount of $</w:t>
      </w:r>
      <w:r w:rsidR="009367D5">
        <w:t>4.8</w:t>
      </w:r>
      <w:r>
        <w:t xml:space="preserve"> million ($2015–16) from the 2011–16 </w:t>
      </w:r>
      <w:proofErr w:type="gramStart"/>
      <w:r>
        <w:t>period</w:t>
      </w:r>
      <w:proofErr w:type="gramEnd"/>
      <w:r>
        <w:t xml:space="preserve"> to the revenue building blocks for the 2016–21 period. </w:t>
      </w:r>
    </w:p>
    <w:p w:rsidR="00442E98" w:rsidRPr="004664BA" w:rsidRDefault="00F22822" w:rsidP="004664BA">
      <w:pPr>
        <w:rPr>
          <w:rStyle w:val="AERbody"/>
        </w:rPr>
      </w:pPr>
      <w:r>
        <w:t xml:space="preserve">AGN used the equations set </w:t>
      </w:r>
      <w:r w:rsidR="001B6E18">
        <w:t xml:space="preserve">out in clause 5.1 of </w:t>
      </w:r>
      <w:r w:rsidR="002776CB">
        <w:t xml:space="preserve">its </w:t>
      </w:r>
      <w:r w:rsidR="00765904">
        <w:t>2011–</w:t>
      </w:r>
      <w:r>
        <w:t xml:space="preserve">16 access arrangement to calculate </w:t>
      </w:r>
      <w:r w:rsidR="00FA30A0">
        <w:t xml:space="preserve">its </w:t>
      </w:r>
      <w:r w:rsidR="00D4201F">
        <w:t xml:space="preserve">annual efficiency </w:t>
      </w:r>
      <w:r>
        <w:t>gains (</w:t>
      </w:r>
      <w:r w:rsidR="00D4201F">
        <w:t xml:space="preserve">or </w:t>
      </w:r>
      <w:r>
        <w:t>losses)</w:t>
      </w:r>
      <w:r w:rsidR="00D4201F">
        <w:t xml:space="preserve"> in each year</w:t>
      </w:r>
      <w:r>
        <w:t xml:space="preserve">. </w:t>
      </w:r>
      <w:r w:rsidR="002776CB">
        <w:fldChar w:fldCharType="begin"/>
      </w:r>
      <w:r w:rsidR="002776CB">
        <w:instrText xml:space="preserve"> REF _Ref433210968 \h </w:instrText>
      </w:r>
      <w:r w:rsidR="002776CB">
        <w:fldChar w:fldCharType="separate"/>
      </w:r>
      <w:r w:rsidR="00702C6C" w:rsidRPr="004664BA">
        <w:t xml:space="preserve">Table </w:t>
      </w:r>
      <w:r w:rsidR="00702C6C">
        <w:rPr>
          <w:noProof/>
        </w:rPr>
        <w:t>9</w:t>
      </w:r>
      <w:r w:rsidR="00702C6C">
        <w:t>.</w:t>
      </w:r>
      <w:r w:rsidR="00702C6C">
        <w:rPr>
          <w:noProof/>
        </w:rPr>
        <w:t>2</w:t>
      </w:r>
      <w:r w:rsidR="002776CB">
        <w:fldChar w:fldCharType="end"/>
      </w:r>
      <w:r w:rsidR="002776CB">
        <w:t xml:space="preserve"> </w:t>
      </w:r>
      <w:r w:rsidR="00FA30A0">
        <w:t xml:space="preserve">shows </w:t>
      </w:r>
      <w:r w:rsidR="00D4201F">
        <w:t xml:space="preserve">AGN’s </w:t>
      </w:r>
      <w:r w:rsidR="00FA30A0">
        <w:t>calculation of its</w:t>
      </w:r>
      <w:r w:rsidR="00D4201F">
        <w:t xml:space="preserve"> </w:t>
      </w:r>
      <w:r w:rsidR="00D4201F" w:rsidRPr="004664BA">
        <w:t xml:space="preserve">incremental efficiency gains (losses). </w:t>
      </w:r>
    </w:p>
    <w:p w:rsidR="00F22822" w:rsidRPr="004664BA" w:rsidRDefault="002776CB" w:rsidP="009367D5">
      <w:pPr>
        <w:pStyle w:val="Caption"/>
        <w:ind w:left="1360" w:hanging="1360"/>
        <w:rPr>
          <w:rStyle w:val="AERbody"/>
          <w:sz w:val="20"/>
        </w:rPr>
      </w:pPr>
      <w:bookmarkStart w:id="17" w:name="_Ref433210968"/>
      <w:proofErr w:type="gramStart"/>
      <w:r w:rsidRPr="004664BA">
        <w:t xml:space="preserve">Table </w:t>
      </w:r>
      <w:proofErr w:type="gramEnd"/>
      <w:r w:rsidR="00742AD8">
        <w:fldChar w:fldCharType="begin"/>
      </w:r>
      <w:r w:rsidR="00742AD8">
        <w:instrText xml:space="preserve"> STYLEREF 1 \s </w:instrText>
      </w:r>
      <w:r w:rsidR="00742AD8">
        <w:fldChar w:fldCharType="separate"/>
      </w:r>
      <w:r w:rsidR="00702C6C">
        <w:rPr>
          <w:noProof/>
        </w:rPr>
        <w:t>9</w:t>
      </w:r>
      <w:r w:rsidR="00742AD8">
        <w:rPr>
          <w:noProof/>
        </w:rPr>
        <w:fldChar w:fldCharType="end"/>
      </w:r>
      <w:proofErr w:type="gramStart"/>
      <w:r w:rsidR="00EB7D78">
        <w:t>.</w:t>
      </w:r>
      <w:proofErr w:type="gramEnd"/>
      <w:r w:rsidR="00EB7D78">
        <w:fldChar w:fldCharType="begin"/>
      </w:r>
      <w:r w:rsidR="00EB7D78">
        <w:instrText xml:space="preserve"> SEQ Table \* ARABIC \s 1 </w:instrText>
      </w:r>
      <w:r w:rsidR="00EB7D78">
        <w:fldChar w:fldCharType="separate"/>
      </w:r>
      <w:r w:rsidR="00702C6C">
        <w:rPr>
          <w:noProof/>
        </w:rPr>
        <w:t>2</w:t>
      </w:r>
      <w:r w:rsidR="00EB7D78">
        <w:fldChar w:fldCharType="end"/>
      </w:r>
      <w:bookmarkEnd w:id="17"/>
      <w:r w:rsidRPr="004664BA">
        <w:rPr>
          <w:rStyle w:val="AERbody"/>
          <w:sz w:val="20"/>
        </w:rPr>
        <w:t xml:space="preserve"> </w:t>
      </w:r>
      <w:r w:rsidRPr="004664BA">
        <w:rPr>
          <w:rStyle w:val="AERbody"/>
          <w:sz w:val="20"/>
        </w:rPr>
        <w:tab/>
      </w:r>
      <w:r w:rsidRPr="004664BA">
        <w:t>AGN’s carryover calculations ($million, 2015–16)</w:t>
      </w:r>
      <w:r w:rsidRPr="004664BA">
        <w:tab/>
      </w:r>
    </w:p>
    <w:tbl>
      <w:tblPr>
        <w:tblStyle w:val="AERtable-numbers"/>
        <w:tblW w:w="4729" w:type="pct"/>
        <w:tblInd w:w="108" w:type="dxa"/>
        <w:tblLayout w:type="fixed"/>
        <w:tblLook w:val="04A0" w:firstRow="1" w:lastRow="0" w:firstColumn="1" w:lastColumn="0" w:noHBand="0" w:noVBand="1"/>
      </w:tblPr>
      <w:tblGrid>
        <w:gridCol w:w="1280"/>
        <w:gridCol w:w="632"/>
        <w:gridCol w:w="632"/>
        <w:gridCol w:w="632"/>
        <w:gridCol w:w="632"/>
        <w:gridCol w:w="631"/>
        <w:gridCol w:w="631"/>
        <w:gridCol w:w="631"/>
        <w:gridCol w:w="631"/>
        <w:gridCol w:w="631"/>
        <w:gridCol w:w="631"/>
        <w:gridCol w:w="628"/>
      </w:tblGrid>
      <w:tr w:rsidR="007B36A4" w:rsidRPr="004664BA" w:rsidTr="007B36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Align w:val="top"/>
          </w:tcPr>
          <w:p w:rsidR="00F22822" w:rsidRPr="004664BA" w:rsidRDefault="007B36A4" w:rsidP="004664BA">
            <w:pPr>
              <w:spacing w:line="240" w:lineRule="auto"/>
            </w:pPr>
            <w:r w:rsidRPr="004664BA">
              <w:t>Opex</w:t>
            </w:r>
          </w:p>
        </w:tc>
        <w:tc>
          <w:tcPr>
            <w:tcW w:w="384" w:type="pct"/>
          </w:tcPr>
          <w:p w:rsidR="00F22822" w:rsidRPr="004664BA" w:rsidRDefault="007B36A4" w:rsidP="004664BA">
            <w:pPr>
              <w:spacing w:line="240" w:lineRule="auto"/>
              <w:cnfStyle w:val="100000000000" w:firstRow="1" w:lastRow="0" w:firstColumn="0" w:lastColumn="0" w:oddVBand="0" w:evenVBand="0" w:oddHBand="0" w:evenHBand="0" w:firstRowFirstColumn="0" w:firstRowLastColumn="0" w:lastRowFirstColumn="0" w:lastRowLastColumn="0"/>
            </w:pPr>
            <w:r w:rsidRPr="004664BA">
              <w:t>11</w:t>
            </w:r>
            <w:r w:rsidRPr="004664BA">
              <w:noBreakHyphen/>
              <w:t>12</w:t>
            </w:r>
          </w:p>
        </w:tc>
        <w:tc>
          <w:tcPr>
            <w:tcW w:w="384" w:type="pct"/>
          </w:tcPr>
          <w:p w:rsidR="00F22822" w:rsidRPr="004664BA" w:rsidRDefault="007B36A4" w:rsidP="004664BA">
            <w:pPr>
              <w:spacing w:line="240" w:lineRule="auto"/>
              <w:cnfStyle w:val="100000000000" w:firstRow="1" w:lastRow="0" w:firstColumn="0" w:lastColumn="0" w:oddVBand="0" w:evenVBand="0" w:oddHBand="0" w:evenHBand="0" w:firstRowFirstColumn="0" w:firstRowLastColumn="0" w:lastRowFirstColumn="0" w:lastRowLastColumn="0"/>
            </w:pPr>
            <w:r w:rsidRPr="004664BA">
              <w:t>12</w:t>
            </w:r>
            <w:r w:rsidRPr="004664BA">
              <w:noBreakHyphen/>
              <w:t>13</w:t>
            </w:r>
          </w:p>
        </w:tc>
        <w:tc>
          <w:tcPr>
            <w:tcW w:w="384" w:type="pct"/>
          </w:tcPr>
          <w:p w:rsidR="00F22822" w:rsidRPr="004664BA" w:rsidRDefault="007B36A4" w:rsidP="004664BA">
            <w:pPr>
              <w:spacing w:line="240" w:lineRule="auto"/>
              <w:cnfStyle w:val="100000000000" w:firstRow="1" w:lastRow="0" w:firstColumn="0" w:lastColumn="0" w:oddVBand="0" w:evenVBand="0" w:oddHBand="0" w:evenHBand="0" w:firstRowFirstColumn="0" w:firstRowLastColumn="0" w:lastRowFirstColumn="0" w:lastRowLastColumn="0"/>
            </w:pPr>
            <w:r w:rsidRPr="004664BA">
              <w:t>13</w:t>
            </w:r>
            <w:r w:rsidRPr="004664BA">
              <w:noBreakHyphen/>
              <w:t>14</w:t>
            </w:r>
          </w:p>
        </w:tc>
        <w:tc>
          <w:tcPr>
            <w:tcW w:w="384" w:type="pct"/>
          </w:tcPr>
          <w:p w:rsidR="00F22822" w:rsidRPr="004664BA" w:rsidRDefault="007B36A4" w:rsidP="004664BA">
            <w:pPr>
              <w:spacing w:line="240" w:lineRule="auto"/>
              <w:cnfStyle w:val="100000000000" w:firstRow="1" w:lastRow="0" w:firstColumn="0" w:lastColumn="0" w:oddVBand="0" w:evenVBand="0" w:oddHBand="0" w:evenHBand="0" w:firstRowFirstColumn="0" w:firstRowLastColumn="0" w:lastRowFirstColumn="0" w:lastRowLastColumn="0"/>
            </w:pPr>
            <w:r w:rsidRPr="004664BA">
              <w:t>14</w:t>
            </w:r>
            <w:r w:rsidRPr="004664BA">
              <w:noBreakHyphen/>
              <w:t>15</w:t>
            </w:r>
          </w:p>
        </w:tc>
        <w:tc>
          <w:tcPr>
            <w:tcW w:w="384" w:type="pct"/>
            <w:vAlign w:val="top"/>
          </w:tcPr>
          <w:p w:rsidR="00F22822" w:rsidRPr="004664BA" w:rsidRDefault="007B36A4" w:rsidP="004664BA">
            <w:pPr>
              <w:spacing w:line="240" w:lineRule="auto"/>
              <w:cnfStyle w:val="100000000000" w:firstRow="1" w:lastRow="0" w:firstColumn="0" w:lastColumn="0" w:oddVBand="0" w:evenVBand="0" w:oddHBand="0" w:evenHBand="0" w:firstRowFirstColumn="0" w:firstRowLastColumn="0" w:lastRowFirstColumn="0" w:lastRowLastColumn="0"/>
            </w:pPr>
            <w:r w:rsidRPr="004664BA">
              <w:t>15</w:t>
            </w:r>
            <w:r w:rsidRPr="004664BA">
              <w:noBreakHyphen/>
              <w:t>16</w:t>
            </w:r>
          </w:p>
        </w:tc>
        <w:tc>
          <w:tcPr>
            <w:tcW w:w="384" w:type="pct"/>
            <w:vAlign w:val="top"/>
          </w:tcPr>
          <w:p w:rsidR="00F22822" w:rsidRPr="004664BA" w:rsidRDefault="007B36A4" w:rsidP="004664BA">
            <w:pPr>
              <w:spacing w:line="240" w:lineRule="auto"/>
              <w:cnfStyle w:val="100000000000" w:firstRow="1" w:lastRow="0" w:firstColumn="0" w:lastColumn="0" w:oddVBand="0" w:evenVBand="0" w:oddHBand="0" w:evenHBand="0" w:firstRowFirstColumn="0" w:firstRowLastColumn="0" w:lastRowFirstColumn="0" w:lastRowLastColumn="0"/>
            </w:pPr>
            <w:r w:rsidRPr="004664BA">
              <w:t>16</w:t>
            </w:r>
            <w:r w:rsidRPr="004664BA">
              <w:noBreakHyphen/>
              <w:t>17</w:t>
            </w:r>
          </w:p>
        </w:tc>
        <w:tc>
          <w:tcPr>
            <w:tcW w:w="384" w:type="pct"/>
            <w:vAlign w:val="top"/>
          </w:tcPr>
          <w:p w:rsidR="00F22822" w:rsidRPr="004664BA" w:rsidRDefault="007B36A4" w:rsidP="004664BA">
            <w:pPr>
              <w:spacing w:line="240" w:lineRule="auto"/>
              <w:cnfStyle w:val="100000000000" w:firstRow="1" w:lastRow="0" w:firstColumn="0" w:lastColumn="0" w:oddVBand="0" w:evenVBand="0" w:oddHBand="0" w:evenHBand="0" w:firstRowFirstColumn="0" w:firstRowLastColumn="0" w:lastRowFirstColumn="0" w:lastRowLastColumn="0"/>
            </w:pPr>
            <w:r w:rsidRPr="004664BA">
              <w:t>17</w:t>
            </w:r>
            <w:r w:rsidRPr="004664BA">
              <w:noBreakHyphen/>
              <w:t>18</w:t>
            </w:r>
          </w:p>
        </w:tc>
        <w:tc>
          <w:tcPr>
            <w:tcW w:w="384" w:type="pct"/>
            <w:vAlign w:val="top"/>
          </w:tcPr>
          <w:p w:rsidR="00F22822" w:rsidRPr="004664BA" w:rsidRDefault="007B36A4" w:rsidP="004664BA">
            <w:pPr>
              <w:spacing w:line="240" w:lineRule="auto"/>
              <w:cnfStyle w:val="100000000000" w:firstRow="1" w:lastRow="0" w:firstColumn="0" w:lastColumn="0" w:oddVBand="0" w:evenVBand="0" w:oddHBand="0" w:evenHBand="0" w:firstRowFirstColumn="0" w:firstRowLastColumn="0" w:lastRowFirstColumn="0" w:lastRowLastColumn="0"/>
            </w:pPr>
            <w:r w:rsidRPr="004664BA">
              <w:t>18</w:t>
            </w:r>
            <w:r w:rsidRPr="004664BA">
              <w:noBreakHyphen/>
              <w:t>19</w:t>
            </w:r>
          </w:p>
        </w:tc>
        <w:tc>
          <w:tcPr>
            <w:tcW w:w="384" w:type="pct"/>
            <w:vAlign w:val="top"/>
          </w:tcPr>
          <w:p w:rsidR="00F22822" w:rsidRPr="004664BA" w:rsidRDefault="007B36A4" w:rsidP="004664BA">
            <w:pPr>
              <w:spacing w:line="240" w:lineRule="auto"/>
              <w:cnfStyle w:val="100000000000" w:firstRow="1" w:lastRow="0" w:firstColumn="0" w:lastColumn="0" w:oddVBand="0" w:evenVBand="0" w:oddHBand="0" w:evenHBand="0" w:firstRowFirstColumn="0" w:firstRowLastColumn="0" w:lastRowFirstColumn="0" w:lastRowLastColumn="0"/>
            </w:pPr>
            <w:r w:rsidRPr="004664BA">
              <w:t>19</w:t>
            </w:r>
            <w:r w:rsidRPr="004664BA">
              <w:noBreakHyphen/>
              <w:t>20</w:t>
            </w:r>
          </w:p>
        </w:tc>
        <w:tc>
          <w:tcPr>
            <w:tcW w:w="384" w:type="pct"/>
            <w:vAlign w:val="top"/>
          </w:tcPr>
          <w:p w:rsidR="00F22822" w:rsidRPr="004664BA" w:rsidRDefault="007B36A4" w:rsidP="004664BA">
            <w:pPr>
              <w:spacing w:line="240" w:lineRule="auto"/>
              <w:cnfStyle w:val="100000000000" w:firstRow="1" w:lastRow="0" w:firstColumn="0" w:lastColumn="0" w:oddVBand="0" w:evenVBand="0" w:oddHBand="0" w:evenHBand="0" w:firstRowFirstColumn="0" w:firstRowLastColumn="0" w:lastRowFirstColumn="0" w:lastRowLastColumn="0"/>
            </w:pPr>
            <w:r w:rsidRPr="004664BA">
              <w:t>20</w:t>
            </w:r>
            <w:r w:rsidRPr="004664BA">
              <w:noBreakHyphen/>
              <w:t>21</w:t>
            </w:r>
          </w:p>
        </w:tc>
        <w:tc>
          <w:tcPr>
            <w:tcW w:w="382" w:type="pct"/>
            <w:vAlign w:val="top"/>
          </w:tcPr>
          <w:p w:rsidR="00F22822" w:rsidRPr="004664BA" w:rsidRDefault="00F22822" w:rsidP="004664BA">
            <w:pPr>
              <w:spacing w:line="240" w:lineRule="auto"/>
              <w:cnfStyle w:val="100000000000" w:firstRow="1" w:lastRow="0" w:firstColumn="0" w:lastColumn="0" w:oddVBand="0" w:evenVBand="0" w:oddHBand="0" w:evenHBand="0" w:firstRowFirstColumn="0" w:firstRowLastColumn="0" w:lastRowFirstColumn="0" w:lastRowLastColumn="0"/>
            </w:pPr>
            <w:r w:rsidRPr="004664BA">
              <w:t>Total</w:t>
            </w:r>
          </w:p>
        </w:tc>
      </w:tr>
      <w:tr w:rsidR="007B36A4" w:rsidRPr="004664BA" w:rsidTr="007B36A4">
        <w:tc>
          <w:tcPr>
            <w:cnfStyle w:val="001000000000" w:firstRow="0" w:lastRow="0" w:firstColumn="1" w:lastColumn="0" w:oddVBand="0" w:evenVBand="0" w:oddHBand="0" w:evenHBand="0" w:firstRowFirstColumn="0" w:firstRowLastColumn="0" w:lastRowFirstColumn="0" w:lastRowLastColumn="0"/>
            <w:tcW w:w="778" w:type="pct"/>
            <w:vAlign w:val="top"/>
          </w:tcPr>
          <w:p w:rsidR="007B36A4" w:rsidRPr="004664BA" w:rsidRDefault="007B36A4" w:rsidP="004664BA">
            <w:pPr>
              <w:spacing w:line="240" w:lineRule="auto"/>
              <w:rPr>
                <w:b/>
              </w:rPr>
            </w:pPr>
            <w:r w:rsidRPr="004664BA">
              <w:rPr>
                <w:b/>
              </w:rPr>
              <w:t>Benchmark</w:t>
            </w:r>
          </w:p>
        </w:tc>
        <w:tc>
          <w:tcPr>
            <w:tcW w:w="384" w:type="pct"/>
          </w:tcPr>
          <w:p w:rsidR="007B36A4" w:rsidRPr="004664BA" w:rsidRDefault="00893AD0" w:rsidP="004664BA">
            <w:pPr>
              <w:spacing w:line="240" w:lineRule="auto"/>
              <w:cnfStyle w:val="000000000000" w:firstRow="0" w:lastRow="0" w:firstColumn="0" w:lastColumn="0" w:oddVBand="0" w:evenVBand="0" w:oddHBand="0" w:evenHBand="0" w:firstRowFirstColumn="0" w:firstRowLastColumn="0" w:lastRowFirstColumn="0" w:lastRowLastColumn="0"/>
            </w:pPr>
            <w:r w:rsidRPr="004664BA">
              <w:t>77.0</w:t>
            </w:r>
          </w:p>
        </w:tc>
        <w:tc>
          <w:tcPr>
            <w:tcW w:w="384" w:type="pct"/>
          </w:tcPr>
          <w:p w:rsidR="007B36A4" w:rsidRPr="004664BA" w:rsidRDefault="00893AD0" w:rsidP="004664BA">
            <w:pPr>
              <w:spacing w:line="240" w:lineRule="auto"/>
              <w:cnfStyle w:val="000000000000" w:firstRow="0" w:lastRow="0" w:firstColumn="0" w:lastColumn="0" w:oddVBand="0" w:evenVBand="0" w:oddHBand="0" w:evenHBand="0" w:firstRowFirstColumn="0" w:firstRowLastColumn="0" w:lastRowFirstColumn="0" w:lastRowLastColumn="0"/>
            </w:pPr>
            <w:r w:rsidRPr="004664BA">
              <w:t>75.7</w:t>
            </w:r>
          </w:p>
        </w:tc>
        <w:tc>
          <w:tcPr>
            <w:tcW w:w="384" w:type="pct"/>
          </w:tcPr>
          <w:p w:rsidR="007B36A4" w:rsidRPr="004664BA" w:rsidRDefault="00893AD0" w:rsidP="004664BA">
            <w:pPr>
              <w:spacing w:line="240" w:lineRule="auto"/>
              <w:cnfStyle w:val="000000000000" w:firstRow="0" w:lastRow="0" w:firstColumn="0" w:lastColumn="0" w:oddVBand="0" w:evenVBand="0" w:oddHBand="0" w:evenHBand="0" w:firstRowFirstColumn="0" w:firstRowLastColumn="0" w:lastRowFirstColumn="0" w:lastRowLastColumn="0"/>
            </w:pPr>
            <w:r w:rsidRPr="004664BA">
              <w:t>7</w:t>
            </w:r>
            <w:r w:rsidR="00FD505C" w:rsidRPr="004664BA">
              <w:t>5.0</w:t>
            </w:r>
          </w:p>
        </w:tc>
        <w:tc>
          <w:tcPr>
            <w:tcW w:w="384" w:type="pct"/>
          </w:tcPr>
          <w:p w:rsidR="007B36A4" w:rsidRPr="004664BA" w:rsidRDefault="00893AD0" w:rsidP="004664BA">
            <w:pPr>
              <w:spacing w:line="240" w:lineRule="auto"/>
              <w:cnfStyle w:val="000000000000" w:firstRow="0" w:lastRow="0" w:firstColumn="0" w:lastColumn="0" w:oddVBand="0" w:evenVBand="0" w:oddHBand="0" w:evenHBand="0" w:firstRowFirstColumn="0" w:firstRowLastColumn="0" w:lastRowFirstColumn="0" w:lastRowLastColumn="0"/>
            </w:pPr>
            <w:r w:rsidRPr="004664BA">
              <w:t>73.3</w:t>
            </w:r>
          </w:p>
        </w:tc>
        <w:tc>
          <w:tcPr>
            <w:tcW w:w="384" w:type="pct"/>
            <w:vAlign w:val="top"/>
          </w:tcPr>
          <w:p w:rsidR="007B36A4" w:rsidRPr="004664BA" w:rsidRDefault="00893AD0" w:rsidP="004664BA">
            <w:pPr>
              <w:spacing w:line="240" w:lineRule="auto"/>
              <w:cnfStyle w:val="000000000000" w:firstRow="0" w:lastRow="0" w:firstColumn="0" w:lastColumn="0" w:oddVBand="0" w:evenVBand="0" w:oddHBand="0" w:evenHBand="0" w:firstRowFirstColumn="0" w:firstRowLastColumn="0" w:lastRowFirstColumn="0" w:lastRowLastColumn="0"/>
            </w:pPr>
            <w:r w:rsidRPr="004664BA">
              <w:t>70.6</w:t>
            </w:r>
          </w:p>
        </w:tc>
        <w:tc>
          <w:tcPr>
            <w:tcW w:w="384"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2"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r>
      <w:tr w:rsidR="007B36A4" w:rsidRPr="004664BA" w:rsidTr="007B3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Align w:val="top"/>
          </w:tcPr>
          <w:p w:rsidR="007B36A4" w:rsidRPr="004664BA" w:rsidRDefault="007B36A4" w:rsidP="004664BA">
            <w:pPr>
              <w:spacing w:line="240" w:lineRule="auto"/>
              <w:rPr>
                <w:b/>
              </w:rPr>
            </w:pPr>
            <w:r w:rsidRPr="004664BA">
              <w:rPr>
                <w:b/>
              </w:rPr>
              <w:t>Actual</w:t>
            </w:r>
          </w:p>
        </w:tc>
        <w:tc>
          <w:tcPr>
            <w:tcW w:w="384" w:type="pct"/>
          </w:tcPr>
          <w:p w:rsidR="007B36A4" w:rsidRPr="004664BA" w:rsidRDefault="00FD505C" w:rsidP="004664BA">
            <w:pPr>
              <w:spacing w:line="240" w:lineRule="auto"/>
              <w:cnfStyle w:val="000000010000" w:firstRow="0" w:lastRow="0" w:firstColumn="0" w:lastColumn="0" w:oddVBand="0" w:evenVBand="0" w:oddHBand="0" w:evenHBand="1" w:firstRowFirstColumn="0" w:firstRowLastColumn="0" w:lastRowFirstColumn="0" w:lastRowLastColumn="0"/>
            </w:pPr>
            <w:r w:rsidRPr="004664BA">
              <w:t>6</w:t>
            </w:r>
            <w:r w:rsidR="008C4E19" w:rsidRPr="004664BA">
              <w:t>8</w:t>
            </w:r>
            <w:r w:rsidRPr="004664BA">
              <w:t>.</w:t>
            </w:r>
            <w:r w:rsidR="008C4E19" w:rsidRPr="004664BA">
              <w:t>9</w:t>
            </w:r>
          </w:p>
        </w:tc>
        <w:tc>
          <w:tcPr>
            <w:tcW w:w="384" w:type="pct"/>
          </w:tcPr>
          <w:p w:rsidR="007B36A4" w:rsidRPr="004664BA" w:rsidRDefault="00893AD0" w:rsidP="004664BA">
            <w:pPr>
              <w:spacing w:line="240" w:lineRule="auto"/>
              <w:cnfStyle w:val="000000010000" w:firstRow="0" w:lastRow="0" w:firstColumn="0" w:lastColumn="0" w:oddVBand="0" w:evenVBand="0" w:oddHBand="0" w:evenHBand="1" w:firstRowFirstColumn="0" w:firstRowLastColumn="0" w:lastRowFirstColumn="0" w:lastRowLastColumn="0"/>
            </w:pPr>
            <w:r w:rsidRPr="004664BA">
              <w:t>66.</w:t>
            </w:r>
            <w:r w:rsidR="008C4E19" w:rsidRPr="004664BA">
              <w:t>9</w:t>
            </w:r>
          </w:p>
        </w:tc>
        <w:tc>
          <w:tcPr>
            <w:tcW w:w="384" w:type="pct"/>
          </w:tcPr>
          <w:p w:rsidR="007B36A4" w:rsidRPr="004664BA" w:rsidRDefault="00893AD0" w:rsidP="004664BA">
            <w:pPr>
              <w:spacing w:line="240" w:lineRule="auto"/>
              <w:cnfStyle w:val="000000010000" w:firstRow="0" w:lastRow="0" w:firstColumn="0" w:lastColumn="0" w:oddVBand="0" w:evenVBand="0" w:oddHBand="0" w:evenHBand="1" w:firstRowFirstColumn="0" w:firstRowLastColumn="0" w:lastRowFirstColumn="0" w:lastRowLastColumn="0"/>
            </w:pPr>
            <w:r w:rsidRPr="004664BA">
              <w:t>6</w:t>
            </w:r>
            <w:r w:rsidR="008C4E19" w:rsidRPr="004664BA">
              <w:t>9</w:t>
            </w:r>
            <w:r w:rsidR="00FD505C" w:rsidRPr="004664BA">
              <w:t>.</w:t>
            </w:r>
            <w:r w:rsidR="008C4E19" w:rsidRPr="004664BA">
              <w:t>7</w:t>
            </w:r>
          </w:p>
        </w:tc>
        <w:tc>
          <w:tcPr>
            <w:tcW w:w="384" w:type="pct"/>
          </w:tcPr>
          <w:p w:rsidR="007B36A4" w:rsidRPr="004664BA" w:rsidRDefault="00FD505C" w:rsidP="004664BA">
            <w:pPr>
              <w:spacing w:line="240" w:lineRule="auto"/>
              <w:cnfStyle w:val="000000010000" w:firstRow="0" w:lastRow="0" w:firstColumn="0" w:lastColumn="0" w:oddVBand="0" w:evenVBand="0" w:oddHBand="0" w:evenHBand="1" w:firstRowFirstColumn="0" w:firstRowLastColumn="0" w:lastRowFirstColumn="0" w:lastRowLastColumn="0"/>
            </w:pPr>
            <w:r w:rsidRPr="004664BA">
              <w:t>6</w:t>
            </w:r>
            <w:r w:rsidR="008C4E19" w:rsidRPr="004664BA">
              <w:t>6</w:t>
            </w:r>
            <w:r w:rsidR="00893AD0" w:rsidRPr="004664BA">
              <w:t>.</w:t>
            </w:r>
            <w:r w:rsidR="008C4E19" w:rsidRPr="004664BA">
              <w:t>5</w:t>
            </w:r>
          </w:p>
        </w:tc>
        <w:tc>
          <w:tcPr>
            <w:tcW w:w="384" w:type="pct"/>
            <w:vAlign w:val="top"/>
          </w:tcPr>
          <w:p w:rsidR="007B36A4" w:rsidRPr="004664BA" w:rsidRDefault="00FD505C" w:rsidP="004664BA">
            <w:pPr>
              <w:spacing w:line="240" w:lineRule="auto"/>
              <w:cnfStyle w:val="000000010000" w:firstRow="0" w:lastRow="0" w:firstColumn="0" w:lastColumn="0" w:oddVBand="0" w:evenVBand="0" w:oddHBand="0" w:evenHBand="1" w:firstRowFirstColumn="0" w:firstRowLastColumn="0" w:lastRowFirstColumn="0" w:lastRowLastColumn="0"/>
            </w:pPr>
            <w:r w:rsidRPr="004664BA">
              <w:t>6</w:t>
            </w:r>
            <w:r w:rsidR="008C4E19" w:rsidRPr="004664BA">
              <w:t>3</w:t>
            </w:r>
            <w:r w:rsidR="00893AD0" w:rsidRPr="004664BA">
              <w:t>.</w:t>
            </w:r>
            <w:r w:rsidRPr="004664BA">
              <w:t>9</w:t>
            </w:r>
          </w:p>
        </w:tc>
        <w:tc>
          <w:tcPr>
            <w:tcW w:w="384" w:type="pct"/>
            <w:vAlign w:val="top"/>
          </w:tcPr>
          <w:p w:rsidR="007B36A4" w:rsidRPr="004664BA" w:rsidRDefault="007B36A4"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7B36A4" w:rsidRPr="004664BA" w:rsidRDefault="007B36A4"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7B36A4" w:rsidRPr="004664BA" w:rsidRDefault="007B36A4"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7B36A4" w:rsidRPr="004664BA" w:rsidRDefault="007B36A4"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7B36A4" w:rsidRPr="004664BA" w:rsidRDefault="007B36A4"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2" w:type="pct"/>
            <w:vAlign w:val="top"/>
          </w:tcPr>
          <w:p w:rsidR="007B36A4" w:rsidRPr="004664BA" w:rsidRDefault="007B36A4" w:rsidP="004664BA">
            <w:pPr>
              <w:spacing w:line="240" w:lineRule="auto"/>
              <w:cnfStyle w:val="000000010000" w:firstRow="0" w:lastRow="0" w:firstColumn="0" w:lastColumn="0" w:oddVBand="0" w:evenVBand="0" w:oddHBand="0" w:evenHBand="1" w:firstRowFirstColumn="0" w:firstRowLastColumn="0" w:lastRowFirstColumn="0" w:lastRowLastColumn="0"/>
            </w:pPr>
          </w:p>
        </w:tc>
      </w:tr>
      <w:tr w:rsidR="006E2CEF" w:rsidRPr="004664BA" w:rsidTr="007B36A4">
        <w:tc>
          <w:tcPr>
            <w:cnfStyle w:val="001000000000" w:firstRow="0" w:lastRow="0" w:firstColumn="1" w:lastColumn="0" w:oddVBand="0" w:evenVBand="0" w:oddHBand="0" w:evenHBand="0" w:firstRowFirstColumn="0" w:firstRowLastColumn="0" w:lastRowFirstColumn="0" w:lastRowLastColumn="0"/>
            <w:tcW w:w="778" w:type="pct"/>
            <w:vAlign w:val="top"/>
          </w:tcPr>
          <w:p w:rsidR="007B36A4" w:rsidRPr="004664BA" w:rsidRDefault="007B36A4" w:rsidP="004664BA">
            <w:pPr>
              <w:spacing w:line="240" w:lineRule="auto"/>
              <w:rPr>
                <w:b/>
              </w:rPr>
            </w:pPr>
            <w:r w:rsidRPr="004664BA">
              <w:rPr>
                <w:b/>
              </w:rPr>
              <w:t>Underspend</w:t>
            </w:r>
          </w:p>
        </w:tc>
        <w:tc>
          <w:tcPr>
            <w:tcW w:w="384" w:type="pct"/>
          </w:tcPr>
          <w:p w:rsidR="007B36A4"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r w:rsidRPr="004664BA">
              <w:t>8.1</w:t>
            </w:r>
          </w:p>
        </w:tc>
        <w:tc>
          <w:tcPr>
            <w:tcW w:w="384" w:type="pct"/>
          </w:tcPr>
          <w:p w:rsidR="007B36A4"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r w:rsidRPr="004664BA">
              <w:t>8.9</w:t>
            </w:r>
          </w:p>
        </w:tc>
        <w:tc>
          <w:tcPr>
            <w:tcW w:w="384" w:type="pct"/>
          </w:tcPr>
          <w:p w:rsidR="007B36A4"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r w:rsidRPr="004664BA">
              <w:t>5.2</w:t>
            </w:r>
          </w:p>
        </w:tc>
        <w:tc>
          <w:tcPr>
            <w:tcW w:w="384" w:type="pct"/>
          </w:tcPr>
          <w:p w:rsidR="007B36A4"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r w:rsidRPr="004664BA">
              <w:t>6</w:t>
            </w:r>
            <w:r w:rsidR="007E4CB4" w:rsidRPr="004664BA">
              <w:t>.7</w:t>
            </w:r>
          </w:p>
        </w:tc>
        <w:tc>
          <w:tcPr>
            <w:tcW w:w="384" w:type="pct"/>
            <w:vAlign w:val="top"/>
          </w:tcPr>
          <w:p w:rsidR="007B36A4"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r w:rsidRPr="004664BA">
              <w:t>6</w:t>
            </w:r>
            <w:r w:rsidR="007E4CB4" w:rsidRPr="004664BA">
              <w:t>.7</w:t>
            </w:r>
          </w:p>
        </w:tc>
        <w:tc>
          <w:tcPr>
            <w:tcW w:w="384"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2"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r>
      <w:tr w:rsidR="00FD505C" w:rsidRPr="004664BA" w:rsidTr="00FD1E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Align w:val="top"/>
          </w:tcPr>
          <w:p w:rsidR="00FD505C" w:rsidRPr="004664BA" w:rsidRDefault="00FD505C" w:rsidP="004664BA">
            <w:pPr>
              <w:spacing w:line="240" w:lineRule="auto"/>
              <w:rPr>
                <w:b/>
              </w:rPr>
            </w:pPr>
            <w:r w:rsidRPr="004664BA">
              <w:rPr>
                <w:b/>
              </w:rPr>
              <w:t>Incremental gain (loss)</w:t>
            </w:r>
          </w:p>
        </w:tc>
        <w:tc>
          <w:tcPr>
            <w:tcW w:w="384" w:type="pct"/>
          </w:tcPr>
          <w:p w:rsidR="00FD505C" w:rsidRPr="004664BA" w:rsidRDefault="008C4E19" w:rsidP="004664BA">
            <w:pPr>
              <w:spacing w:line="240" w:lineRule="auto"/>
              <w:cnfStyle w:val="000000010000" w:firstRow="0" w:lastRow="0" w:firstColumn="0" w:lastColumn="0" w:oddVBand="0" w:evenVBand="0" w:oddHBand="0" w:evenHBand="1" w:firstRowFirstColumn="0" w:firstRowLastColumn="0" w:lastRowFirstColumn="0" w:lastRowLastColumn="0"/>
            </w:pPr>
            <w:r w:rsidRPr="004664BA">
              <w:t>8.1</w:t>
            </w:r>
          </w:p>
        </w:tc>
        <w:tc>
          <w:tcPr>
            <w:tcW w:w="384" w:type="pct"/>
          </w:tcPr>
          <w:p w:rsidR="00FD505C" w:rsidRPr="004664BA" w:rsidRDefault="00FD505C" w:rsidP="004664BA">
            <w:pPr>
              <w:spacing w:line="240" w:lineRule="auto"/>
              <w:cnfStyle w:val="000000010000" w:firstRow="0" w:lastRow="0" w:firstColumn="0" w:lastColumn="0" w:oddVBand="0" w:evenVBand="0" w:oddHBand="0" w:evenHBand="1" w:firstRowFirstColumn="0" w:firstRowLastColumn="0" w:lastRowFirstColumn="0" w:lastRowLastColumn="0"/>
            </w:pPr>
            <w:r w:rsidRPr="004664BA">
              <w:t>0.</w:t>
            </w:r>
            <w:r w:rsidR="008C4E19" w:rsidRPr="004664BA">
              <w:t>8</w:t>
            </w:r>
          </w:p>
        </w:tc>
        <w:tc>
          <w:tcPr>
            <w:tcW w:w="384" w:type="pct"/>
          </w:tcPr>
          <w:p w:rsidR="00FD505C" w:rsidRPr="004664BA" w:rsidRDefault="00FD505C" w:rsidP="004664BA">
            <w:pPr>
              <w:spacing w:line="240" w:lineRule="auto"/>
              <w:cnfStyle w:val="000000010000" w:firstRow="0" w:lastRow="0" w:firstColumn="0" w:lastColumn="0" w:oddVBand="0" w:evenVBand="0" w:oddHBand="0" w:evenHBand="1" w:firstRowFirstColumn="0" w:firstRowLastColumn="0" w:lastRowFirstColumn="0" w:lastRowLastColumn="0"/>
            </w:pPr>
            <w:r w:rsidRPr="004664BA">
              <w:t>(3.</w:t>
            </w:r>
            <w:r w:rsidR="008C4E19" w:rsidRPr="004664BA">
              <w:t>6</w:t>
            </w:r>
            <w:r w:rsidRPr="004664BA">
              <w:t>)</w:t>
            </w:r>
          </w:p>
        </w:tc>
        <w:tc>
          <w:tcPr>
            <w:tcW w:w="384" w:type="pct"/>
          </w:tcPr>
          <w:p w:rsidR="00FD505C" w:rsidRPr="004664BA" w:rsidRDefault="00FD505C" w:rsidP="004664BA">
            <w:pPr>
              <w:spacing w:line="240" w:lineRule="auto"/>
              <w:cnfStyle w:val="000000010000" w:firstRow="0" w:lastRow="0" w:firstColumn="0" w:lastColumn="0" w:oddVBand="0" w:evenVBand="0" w:oddHBand="0" w:evenHBand="1" w:firstRowFirstColumn="0" w:firstRowLastColumn="0" w:lastRowFirstColumn="0" w:lastRowLastColumn="0"/>
            </w:pPr>
            <w:r w:rsidRPr="004664BA">
              <w:t>1.</w:t>
            </w:r>
            <w:r w:rsidR="008C4E19" w:rsidRPr="004664BA">
              <w:t>5</w:t>
            </w:r>
          </w:p>
        </w:tc>
        <w:tc>
          <w:tcPr>
            <w:tcW w:w="384" w:type="pct"/>
          </w:tcPr>
          <w:p w:rsidR="00FD505C" w:rsidRPr="004664BA" w:rsidRDefault="00FD505C" w:rsidP="004664BA">
            <w:pPr>
              <w:spacing w:line="240" w:lineRule="auto"/>
              <w:cnfStyle w:val="000000010000" w:firstRow="0" w:lastRow="0" w:firstColumn="0" w:lastColumn="0" w:oddVBand="0" w:evenVBand="0" w:oddHBand="0" w:evenHBand="1" w:firstRowFirstColumn="0" w:firstRowLastColumn="0" w:lastRowFirstColumn="0" w:lastRowLastColumn="0"/>
            </w:pPr>
            <w:r w:rsidRPr="004664BA">
              <w:t>0.0</w:t>
            </w:r>
          </w:p>
        </w:tc>
        <w:tc>
          <w:tcPr>
            <w:tcW w:w="384" w:type="pct"/>
          </w:tcPr>
          <w:p w:rsidR="00FD505C" w:rsidRPr="004664BA" w:rsidRDefault="00FD505C"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FD505C" w:rsidRPr="004664BA" w:rsidRDefault="00FD505C"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FD505C" w:rsidRPr="004664BA" w:rsidRDefault="00FD505C"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FD505C" w:rsidRPr="004664BA" w:rsidRDefault="00FD505C"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FD505C" w:rsidRPr="004664BA" w:rsidRDefault="00FD505C"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2" w:type="pct"/>
            <w:vAlign w:val="top"/>
          </w:tcPr>
          <w:p w:rsidR="00FD505C" w:rsidRPr="004664BA" w:rsidRDefault="00FD505C" w:rsidP="004664BA">
            <w:pPr>
              <w:spacing w:line="240" w:lineRule="auto"/>
              <w:cnfStyle w:val="000000010000" w:firstRow="0" w:lastRow="0" w:firstColumn="0" w:lastColumn="0" w:oddVBand="0" w:evenVBand="0" w:oddHBand="0" w:evenHBand="1" w:firstRowFirstColumn="0" w:firstRowLastColumn="0" w:lastRowFirstColumn="0" w:lastRowLastColumn="0"/>
            </w:pPr>
          </w:p>
        </w:tc>
      </w:tr>
      <w:tr w:rsidR="007B36A4" w:rsidRPr="004664BA" w:rsidTr="007B36A4">
        <w:tc>
          <w:tcPr>
            <w:cnfStyle w:val="001000000000" w:firstRow="0" w:lastRow="0" w:firstColumn="1" w:lastColumn="0" w:oddVBand="0" w:evenVBand="0" w:oddHBand="0" w:evenHBand="0" w:firstRowFirstColumn="0" w:firstRowLastColumn="0" w:lastRowFirstColumn="0" w:lastRowLastColumn="0"/>
            <w:tcW w:w="778" w:type="pct"/>
            <w:vAlign w:val="top"/>
          </w:tcPr>
          <w:p w:rsidR="007B36A4" w:rsidRPr="004664BA" w:rsidRDefault="007B36A4" w:rsidP="004664BA">
            <w:pPr>
              <w:spacing w:line="240" w:lineRule="auto"/>
              <w:rPr>
                <w:b/>
              </w:rPr>
            </w:pPr>
            <w:r w:rsidRPr="004664BA">
              <w:rPr>
                <w:b/>
              </w:rPr>
              <w:t>Carryover</w:t>
            </w:r>
          </w:p>
        </w:tc>
        <w:tc>
          <w:tcPr>
            <w:tcW w:w="384" w:type="pct"/>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2" w:type="pct"/>
            <w:vAlign w:val="top"/>
          </w:tcPr>
          <w:p w:rsidR="007B36A4"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pPr>
          </w:p>
        </w:tc>
      </w:tr>
      <w:tr w:rsidR="008C4E19" w:rsidRPr="004664BA" w:rsidTr="007B3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Align w:val="top"/>
          </w:tcPr>
          <w:p w:rsidR="008C4E19" w:rsidRPr="004664BA" w:rsidRDefault="008C4E19" w:rsidP="004664BA">
            <w:pPr>
              <w:spacing w:line="240" w:lineRule="auto"/>
            </w:pPr>
            <w:r w:rsidRPr="004664BA">
              <w:t>2016</w:t>
            </w:r>
            <w:r w:rsidRPr="004664BA">
              <w:noBreakHyphen/>
              <w:t>17</w:t>
            </w:r>
          </w:p>
        </w:tc>
        <w:tc>
          <w:tcPr>
            <w:tcW w:w="384" w:type="pct"/>
            <w:vAlign w:val="top"/>
          </w:tcPr>
          <w:p w:rsidR="008C4E19" w:rsidRPr="004664BA" w:rsidRDefault="008C4E19"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8C4E19" w:rsidRPr="004664BA" w:rsidRDefault="008C4E19" w:rsidP="004664BA">
            <w:pPr>
              <w:cnfStyle w:val="000000010000" w:firstRow="0" w:lastRow="0" w:firstColumn="0" w:lastColumn="0" w:oddVBand="0" w:evenVBand="0" w:oddHBand="0" w:evenHBand="1" w:firstRowFirstColumn="0" w:firstRowLastColumn="0" w:lastRowFirstColumn="0" w:lastRowLastColumn="0"/>
            </w:pPr>
            <w:r w:rsidRPr="004664BA">
              <w:t>8.1</w:t>
            </w:r>
          </w:p>
        </w:tc>
        <w:tc>
          <w:tcPr>
            <w:tcW w:w="384" w:type="pct"/>
            <w:vAlign w:val="top"/>
          </w:tcPr>
          <w:p w:rsidR="008C4E19" w:rsidRPr="004664BA" w:rsidRDefault="008C4E19" w:rsidP="004664BA">
            <w:pPr>
              <w:cnfStyle w:val="000000010000" w:firstRow="0" w:lastRow="0" w:firstColumn="0" w:lastColumn="0" w:oddVBand="0" w:evenVBand="0" w:oddHBand="0" w:evenHBand="1" w:firstRowFirstColumn="0" w:firstRowLastColumn="0" w:lastRowFirstColumn="0" w:lastRowLastColumn="0"/>
            </w:pPr>
            <w:r w:rsidRPr="004664BA">
              <w:t>8.1</w:t>
            </w:r>
          </w:p>
        </w:tc>
        <w:tc>
          <w:tcPr>
            <w:tcW w:w="384" w:type="pct"/>
            <w:vAlign w:val="top"/>
          </w:tcPr>
          <w:p w:rsidR="008C4E19" w:rsidRPr="004664BA" w:rsidRDefault="008C4E19" w:rsidP="004664BA">
            <w:pPr>
              <w:cnfStyle w:val="000000010000" w:firstRow="0" w:lastRow="0" w:firstColumn="0" w:lastColumn="0" w:oddVBand="0" w:evenVBand="0" w:oddHBand="0" w:evenHBand="1" w:firstRowFirstColumn="0" w:firstRowLastColumn="0" w:lastRowFirstColumn="0" w:lastRowLastColumn="0"/>
            </w:pPr>
            <w:r w:rsidRPr="004664BA">
              <w:t>8.1</w:t>
            </w:r>
          </w:p>
        </w:tc>
        <w:tc>
          <w:tcPr>
            <w:tcW w:w="384" w:type="pct"/>
            <w:vAlign w:val="top"/>
          </w:tcPr>
          <w:p w:rsidR="008C4E19" w:rsidRPr="004664BA" w:rsidRDefault="008C4E19" w:rsidP="004664BA">
            <w:pPr>
              <w:cnfStyle w:val="000000010000" w:firstRow="0" w:lastRow="0" w:firstColumn="0" w:lastColumn="0" w:oddVBand="0" w:evenVBand="0" w:oddHBand="0" w:evenHBand="1" w:firstRowFirstColumn="0" w:firstRowLastColumn="0" w:lastRowFirstColumn="0" w:lastRowLastColumn="0"/>
            </w:pPr>
            <w:r w:rsidRPr="004664BA">
              <w:t>8.1</w:t>
            </w:r>
          </w:p>
        </w:tc>
        <w:tc>
          <w:tcPr>
            <w:tcW w:w="384" w:type="pct"/>
            <w:vAlign w:val="top"/>
          </w:tcPr>
          <w:p w:rsidR="008C4E19" w:rsidRPr="004664BA" w:rsidRDefault="008C4E19" w:rsidP="004664BA">
            <w:pPr>
              <w:cnfStyle w:val="000000010000" w:firstRow="0" w:lastRow="0" w:firstColumn="0" w:lastColumn="0" w:oddVBand="0" w:evenVBand="0" w:oddHBand="0" w:evenHBand="1" w:firstRowFirstColumn="0" w:firstRowLastColumn="0" w:lastRowFirstColumn="0" w:lastRowLastColumn="0"/>
            </w:pPr>
            <w:r w:rsidRPr="004664BA">
              <w:t>8.1</w:t>
            </w:r>
          </w:p>
        </w:tc>
        <w:tc>
          <w:tcPr>
            <w:tcW w:w="384" w:type="pct"/>
            <w:vAlign w:val="top"/>
          </w:tcPr>
          <w:p w:rsidR="008C4E19" w:rsidRPr="004664BA" w:rsidRDefault="008C4E19"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8C4E19" w:rsidRPr="004664BA" w:rsidRDefault="008C4E19"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8C4E19" w:rsidRPr="004664BA" w:rsidRDefault="008C4E19"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8C4E19" w:rsidRPr="004664BA" w:rsidRDefault="008C4E19"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2" w:type="pct"/>
            <w:vAlign w:val="top"/>
          </w:tcPr>
          <w:p w:rsidR="008C4E19" w:rsidRPr="004664BA" w:rsidRDefault="008C4E19" w:rsidP="004664BA">
            <w:pPr>
              <w:spacing w:line="240" w:lineRule="auto"/>
              <w:cnfStyle w:val="000000010000" w:firstRow="0" w:lastRow="0" w:firstColumn="0" w:lastColumn="0" w:oddVBand="0" w:evenVBand="0" w:oddHBand="0" w:evenHBand="1" w:firstRowFirstColumn="0" w:firstRowLastColumn="0" w:lastRowFirstColumn="0" w:lastRowLastColumn="0"/>
            </w:pPr>
          </w:p>
        </w:tc>
      </w:tr>
      <w:tr w:rsidR="008C4E19" w:rsidRPr="004664BA" w:rsidTr="007B36A4">
        <w:tc>
          <w:tcPr>
            <w:cnfStyle w:val="001000000000" w:firstRow="0" w:lastRow="0" w:firstColumn="1" w:lastColumn="0" w:oddVBand="0" w:evenVBand="0" w:oddHBand="0" w:evenHBand="0" w:firstRowFirstColumn="0" w:firstRowLastColumn="0" w:lastRowFirstColumn="0" w:lastRowLastColumn="0"/>
            <w:tcW w:w="778" w:type="pct"/>
            <w:vAlign w:val="top"/>
          </w:tcPr>
          <w:p w:rsidR="008C4E19" w:rsidRPr="004664BA" w:rsidRDefault="008C4E19" w:rsidP="004664BA">
            <w:pPr>
              <w:spacing w:line="240" w:lineRule="auto"/>
            </w:pPr>
            <w:r w:rsidRPr="004664BA">
              <w:t>2017</w:t>
            </w:r>
            <w:r w:rsidRPr="004664BA">
              <w:noBreakHyphen/>
              <w:t>18</w:t>
            </w:r>
          </w:p>
        </w:tc>
        <w:tc>
          <w:tcPr>
            <w:tcW w:w="384" w:type="pct"/>
            <w:vAlign w:val="top"/>
          </w:tcPr>
          <w:p w:rsidR="008C4E19"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8C4E19" w:rsidRPr="004664BA" w:rsidRDefault="008C4E19" w:rsidP="004664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8C4E19" w:rsidRPr="004664BA" w:rsidRDefault="008C4E19" w:rsidP="004664BA">
            <w:pPr>
              <w:cnfStyle w:val="000000000000" w:firstRow="0" w:lastRow="0" w:firstColumn="0" w:lastColumn="0" w:oddVBand="0" w:evenVBand="0" w:oddHBand="0" w:evenHBand="0" w:firstRowFirstColumn="0" w:firstRowLastColumn="0" w:lastRowFirstColumn="0" w:lastRowLastColumn="0"/>
            </w:pPr>
            <w:r w:rsidRPr="004664BA">
              <w:t>0.8</w:t>
            </w:r>
          </w:p>
        </w:tc>
        <w:tc>
          <w:tcPr>
            <w:tcW w:w="384" w:type="pct"/>
            <w:vAlign w:val="top"/>
          </w:tcPr>
          <w:p w:rsidR="008C4E19" w:rsidRPr="004664BA" w:rsidRDefault="008C4E19" w:rsidP="004664BA">
            <w:pPr>
              <w:cnfStyle w:val="000000000000" w:firstRow="0" w:lastRow="0" w:firstColumn="0" w:lastColumn="0" w:oddVBand="0" w:evenVBand="0" w:oddHBand="0" w:evenHBand="0" w:firstRowFirstColumn="0" w:firstRowLastColumn="0" w:lastRowFirstColumn="0" w:lastRowLastColumn="0"/>
            </w:pPr>
            <w:r w:rsidRPr="004664BA">
              <w:t>0.8</w:t>
            </w:r>
          </w:p>
        </w:tc>
        <w:tc>
          <w:tcPr>
            <w:tcW w:w="384" w:type="pct"/>
            <w:vAlign w:val="top"/>
          </w:tcPr>
          <w:p w:rsidR="008C4E19" w:rsidRPr="004664BA" w:rsidRDefault="008C4E19" w:rsidP="004664BA">
            <w:pPr>
              <w:cnfStyle w:val="000000000000" w:firstRow="0" w:lastRow="0" w:firstColumn="0" w:lastColumn="0" w:oddVBand="0" w:evenVBand="0" w:oddHBand="0" w:evenHBand="0" w:firstRowFirstColumn="0" w:firstRowLastColumn="0" w:lastRowFirstColumn="0" w:lastRowLastColumn="0"/>
            </w:pPr>
            <w:r w:rsidRPr="004664BA">
              <w:t>0.8</w:t>
            </w:r>
          </w:p>
        </w:tc>
        <w:tc>
          <w:tcPr>
            <w:tcW w:w="384" w:type="pct"/>
            <w:vAlign w:val="top"/>
          </w:tcPr>
          <w:p w:rsidR="008C4E19" w:rsidRPr="004664BA" w:rsidRDefault="008C4E19" w:rsidP="004664BA">
            <w:pPr>
              <w:cnfStyle w:val="000000000000" w:firstRow="0" w:lastRow="0" w:firstColumn="0" w:lastColumn="0" w:oddVBand="0" w:evenVBand="0" w:oddHBand="0" w:evenHBand="0" w:firstRowFirstColumn="0" w:firstRowLastColumn="0" w:lastRowFirstColumn="0" w:lastRowLastColumn="0"/>
            </w:pPr>
            <w:r w:rsidRPr="004664BA">
              <w:t>0.8</w:t>
            </w:r>
          </w:p>
        </w:tc>
        <w:tc>
          <w:tcPr>
            <w:tcW w:w="384" w:type="pct"/>
            <w:vAlign w:val="top"/>
          </w:tcPr>
          <w:p w:rsidR="008C4E19" w:rsidRPr="004664BA" w:rsidRDefault="008C4E19" w:rsidP="004664BA">
            <w:pPr>
              <w:cnfStyle w:val="000000000000" w:firstRow="0" w:lastRow="0" w:firstColumn="0" w:lastColumn="0" w:oddVBand="0" w:evenVBand="0" w:oddHBand="0" w:evenHBand="0" w:firstRowFirstColumn="0" w:firstRowLastColumn="0" w:lastRowFirstColumn="0" w:lastRowLastColumn="0"/>
            </w:pPr>
            <w:r w:rsidRPr="004664BA">
              <w:t>0.8</w:t>
            </w:r>
          </w:p>
        </w:tc>
        <w:tc>
          <w:tcPr>
            <w:tcW w:w="384" w:type="pct"/>
            <w:vAlign w:val="top"/>
          </w:tcPr>
          <w:p w:rsidR="008C4E19"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8C4E19"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8C4E19"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2" w:type="pct"/>
            <w:vAlign w:val="top"/>
          </w:tcPr>
          <w:p w:rsidR="008C4E19"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p>
        </w:tc>
      </w:tr>
      <w:tr w:rsidR="008C4E19" w:rsidRPr="004664BA" w:rsidTr="007B3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Align w:val="top"/>
          </w:tcPr>
          <w:p w:rsidR="008C4E19" w:rsidRPr="004664BA" w:rsidRDefault="008C4E19" w:rsidP="004664BA">
            <w:pPr>
              <w:spacing w:line="240" w:lineRule="auto"/>
            </w:pPr>
            <w:r w:rsidRPr="004664BA">
              <w:t>2018</w:t>
            </w:r>
            <w:r w:rsidRPr="004664BA">
              <w:noBreakHyphen/>
              <w:t>19</w:t>
            </w:r>
          </w:p>
        </w:tc>
        <w:tc>
          <w:tcPr>
            <w:tcW w:w="384" w:type="pct"/>
            <w:vAlign w:val="top"/>
          </w:tcPr>
          <w:p w:rsidR="008C4E19" w:rsidRPr="004664BA" w:rsidRDefault="008C4E19"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8C4E19" w:rsidRPr="004664BA" w:rsidRDefault="008C4E19"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8C4E19" w:rsidRPr="004664BA" w:rsidRDefault="008C4E19"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8C4E19" w:rsidRPr="004664BA" w:rsidRDefault="008C4E19" w:rsidP="004664BA">
            <w:pPr>
              <w:cnfStyle w:val="000000010000" w:firstRow="0" w:lastRow="0" w:firstColumn="0" w:lastColumn="0" w:oddVBand="0" w:evenVBand="0" w:oddHBand="0" w:evenHBand="1" w:firstRowFirstColumn="0" w:firstRowLastColumn="0" w:lastRowFirstColumn="0" w:lastRowLastColumn="0"/>
            </w:pPr>
            <w:r w:rsidRPr="004664BA">
              <w:t>(3.6)</w:t>
            </w:r>
          </w:p>
        </w:tc>
        <w:tc>
          <w:tcPr>
            <w:tcW w:w="384" w:type="pct"/>
            <w:vAlign w:val="top"/>
          </w:tcPr>
          <w:p w:rsidR="008C4E19" w:rsidRPr="004664BA" w:rsidRDefault="008C4E19" w:rsidP="004664BA">
            <w:pPr>
              <w:cnfStyle w:val="000000010000" w:firstRow="0" w:lastRow="0" w:firstColumn="0" w:lastColumn="0" w:oddVBand="0" w:evenVBand="0" w:oddHBand="0" w:evenHBand="1" w:firstRowFirstColumn="0" w:firstRowLastColumn="0" w:lastRowFirstColumn="0" w:lastRowLastColumn="0"/>
            </w:pPr>
            <w:r w:rsidRPr="004664BA">
              <w:t>(3.6)</w:t>
            </w:r>
          </w:p>
        </w:tc>
        <w:tc>
          <w:tcPr>
            <w:tcW w:w="384" w:type="pct"/>
            <w:vAlign w:val="top"/>
          </w:tcPr>
          <w:p w:rsidR="008C4E19" w:rsidRPr="004664BA" w:rsidRDefault="008C4E19" w:rsidP="004664BA">
            <w:pPr>
              <w:cnfStyle w:val="000000010000" w:firstRow="0" w:lastRow="0" w:firstColumn="0" w:lastColumn="0" w:oddVBand="0" w:evenVBand="0" w:oddHBand="0" w:evenHBand="1" w:firstRowFirstColumn="0" w:firstRowLastColumn="0" w:lastRowFirstColumn="0" w:lastRowLastColumn="0"/>
            </w:pPr>
            <w:r w:rsidRPr="004664BA">
              <w:t>(3.6)</w:t>
            </w:r>
          </w:p>
        </w:tc>
        <w:tc>
          <w:tcPr>
            <w:tcW w:w="384" w:type="pct"/>
            <w:vAlign w:val="top"/>
          </w:tcPr>
          <w:p w:rsidR="008C4E19" w:rsidRPr="004664BA" w:rsidRDefault="008C4E19" w:rsidP="004664BA">
            <w:pPr>
              <w:cnfStyle w:val="000000010000" w:firstRow="0" w:lastRow="0" w:firstColumn="0" w:lastColumn="0" w:oddVBand="0" w:evenVBand="0" w:oddHBand="0" w:evenHBand="1" w:firstRowFirstColumn="0" w:firstRowLastColumn="0" w:lastRowFirstColumn="0" w:lastRowLastColumn="0"/>
            </w:pPr>
            <w:r w:rsidRPr="004664BA">
              <w:t>(3.6)</w:t>
            </w:r>
          </w:p>
        </w:tc>
        <w:tc>
          <w:tcPr>
            <w:tcW w:w="384" w:type="pct"/>
            <w:vAlign w:val="top"/>
          </w:tcPr>
          <w:p w:rsidR="008C4E19" w:rsidRPr="004664BA" w:rsidRDefault="008C4E19" w:rsidP="004664BA">
            <w:pPr>
              <w:cnfStyle w:val="000000010000" w:firstRow="0" w:lastRow="0" w:firstColumn="0" w:lastColumn="0" w:oddVBand="0" w:evenVBand="0" w:oddHBand="0" w:evenHBand="1" w:firstRowFirstColumn="0" w:firstRowLastColumn="0" w:lastRowFirstColumn="0" w:lastRowLastColumn="0"/>
            </w:pPr>
            <w:r w:rsidRPr="004664BA">
              <w:t>(3.6)</w:t>
            </w:r>
          </w:p>
        </w:tc>
        <w:tc>
          <w:tcPr>
            <w:tcW w:w="384" w:type="pct"/>
            <w:vAlign w:val="top"/>
          </w:tcPr>
          <w:p w:rsidR="008C4E19" w:rsidRPr="004664BA" w:rsidRDefault="008C4E19"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8C4E19" w:rsidRPr="004664BA" w:rsidRDefault="008C4E19"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2" w:type="pct"/>
            <w:vAlign w:val="top"/>
          </w:tcPr>
          <w:p w:rsidR="008C4E19" w:rsidRPr="004664BA" w:rsidRDefault="008C4E19" w:rsidP="004664BA">
            <w:pPr>
              <w:spacing w:line="240" w:lineRule="auto"/>
              <w:cnfStyle w:val="000000010000" w:firstRow="0" w:lastRow="0" w:firstColumn="0" w:lastColumn="0" w:oddVBand="0" w:evenVBand="0" w:oddHBand="0" w:evenHBand="1" w:firstRowFirstColumn="0" w:firstRowLastColumn="0" w:lastRowFirstColumn="0" w:lastRowLastColumn="0"/>
            </w:pPr>
          </w:p>
        </w:tc>
      </w:tr>
      <w:tr w:rsidR="008C4E19" w:rsidRPr="004664BA" w:rsidTr="007B36A4">
        <w:tc>
          <w:tcPr>
            <w:cnfStyle w:val="001000000000" w:firstRow="0" w:lastRow="0" w:firstColumn="1" w:lastColumn="0" w:oddVBand="0" w:evenVBand="0" w:oddHBand="0" w:evenHBand="0" w:firstRowFirstColumn="0" w:firstRowLastColumn="0" w:lastRowFirstColumn="0" w:lastRowLastColumn="0"/>
            <w:tcW w:w="778" w:type="pct"/>
            <w:vAlign w:val="top"/>
          </w:tcPr>
          <w:p w:rsidR="008C4E19" w:rsidRPr="004664BA" w:rsidRDefault="008C4E19" w:rsidP="004664BA">
            <w:pPr>
              <w:spacing w:line="240" w:lineRule="auto"/>
            </w:pPr>
            <w:r w:rsidRPr="004664BA">
              <w:t>2019</w:t>
            </w:r>
            <w:r w:rsidRPr="004664BA">
              <w:noBreakHyphen/>
              <w:t>20</w:t>
            </w:r>
          </w:p>
        </w:tc>
        <w:tc>
          <w:tcPr>
            <w:tcW w:w="384" w:type="pct"/>
            <w:vAlign w:val="top"/>
          </w:tcPr>
          <w:p w:rsidR="008C4E19"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8C4E19"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8C4E19"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8C4E19"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4" w:type="pct"/>
            <w:vAlign w:val="top"/>
          </w:tcPr>
          <w:p w:rsidR="008C4E19"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r w:rsidRPr="004664BA">
              <w:t>1.5</w:t>
            </w:r>
          </w:p>
        </w:tc>
        <w:tc>
          <w:tcPr>
            <w:tcW w:w="384" w:type="pct"/>
            <w:vAlign w:val="top"/>
          </w:tcPr>
          <w:p w:rsidR="008C4E19" w:rsidRPr="004664BA" w:rsidRDefault="008C4E19" w:rsidP="004664BA">
            <w:pPr>
              <w:cnfStyle w:val="000000000000" w:firstRow="0" w:lastRow="0" w:firstColumn="0" w:lastColumn="0" w:oddVBand="0" w:evenVBand="0" w:oddHBand="0" w:evenHBand="0" w:firstRowFirstColumn="0" w:firstRowLastColumn="0" w:lastRowFirstColumn="0" w:lastRowLastColumn="0"/>
            </w:pPr>
            <w:r w:rsidRPr="004664BA">
              <w:t>1.5</w:t>
            </w:r>
          </w:p>
        </w:tc>
        <w:tc>
          <w:tcPr>
            <w:tcW w:w="384" w:type="pct"/>
            <w:vAlign w:val="top"/>
          </w:tcPr>
          <w:p w:rsidR="008C4E19" w:rsidRPr="004664BA" w:rsidRDefault="008C4E19" w:rsidP="004664BA">
            <w:pPr>
              <w:cnfStyle w:val="000000000000" w:firstRow="0" w:lastRow="0" w:firstColumn="0" w:lastColumn="0" w:oddVBand="0" w:evenVBand="0" w:oddHBand="0" w:evenHBand="0" w:firstRowFirstColumn="0" w:firstRowLastColumn="0" w:lastRowFirstColumn="0" w:lastRowLastColumn="0"/>
            </w:pPr>
            <w:r w:rsidRPr="004664BA">
              <w:t>1.5</w:t>
            </w:r>
          </w:p>
        </w:tc>
        <w:tc>
          <w:tcPr>
            <w:tcW w:w="384" w:type="pct"/>
            <w:vAlign w:val="top"/>
          </w:tcPr>
          <w:p w:rsidR="008C4E19" w:rsidRPr="004664BA" w:rsidRDefault="008C4E19" w:rsidP="004664BA">
            <w:pPr>
              <w:cnfStyle w:val="000000000000" w:firstRow="0" w:lastRow="0" w:firstColumn="0" w:lastColumn="0" w:oddVBand="0" w:evenVBand="0" w:oddHBand="0" w:evenHBand="0" w:firstRowFirstColumn="0" w:firstRowLastColumn="0" w:lastRowFirstColumn="0" w:lastRowLastColumn="0"/>
            </w:pPr>
            <w:r w:rsidRPr="004664BA">
              <w:t>1.5</w:t>
            </w:r>
          </w:p>
        </w:tc>
        <w:tc>
          <w:tcPr>
            <w:tcW w:w="384" w:type="pct"/>
            <w:vAlign w:val="top"/>
          </w:tcPr>
          <w:p w:rsidR="008C4E19" w:rsidRPr="004664BA" w:rsidRDefault="008C4E19" w:rsidP="004664BA">
            <w:pPr>
              <w:cnfStyle w:val="000000000000" w:firstRow="0" w:lastRow="0" w:firstColumn="0" w:lastColumn="0" w:oddVBand="0" w:evenVBand="0" w:oddHBand="0" w:evenHBand="0" w:firstRowFirstColumn="0" w:firstRowLastColumn="0" w:lastRowFirstColumn="0" w:lastRowLastColumn="0"/>
            </w:pPr>
            <w:r w:rsidRPr="004664BA">
              <w:t>1.5</w:t>
            </w:r>
          </w:p>
        </w:tc>
        <w:tc>
          <w:tcPr>
            <w:tcW w:w="384" w:type="pct"/>
            <w:vAlign w:val="top"/>
          </w:tcPr>
          <w:p w:rsidR="008C4E19"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p>
        </w:tc>
        <w:tc>
          <w:tcPr>
            <w:tcW w:w="382" w:type="pct"/>
            <w:vAlign w:val="top"/>
          </w:tcPr>
          <w:p w:rsidR="008C4E19"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pPr>
          </w:p>
        </w:tc>
      </w:tr>
      <w:tr w:rsidR="007B36A4" w:rsidRPr="004664BA" w:rsidTr="007B3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Align w:val="top"/>
          </w:tcPr>
          <w:p w:rsidR="007B36A4" w:rsidRPr="004664BA" w:rsidRDefault="007B36A4" w:rsidP="004664BA">
            <w:pPr>
              <w:spacing w:line="240" w:lineRule="auto"/>
            </w:pPr>
            <w:r w:rsidRPr="004664BA">
              <w:t>2020</w:t>
            </w:r>
            <w:r w:rsidRPr="004664BA">
              <w:noBreakHyphen/>
              <w:t>21</w:t>
            </w:r>
          </w:p>
        </w:tc>
        <w:tc>
          <w:tcPr>
            <w:tcW w:w="384" w:type="pct"/>
            <w:vAlign w:val="top"/>
          </w:tcPr>
          <w:p w:rsidR="007B36A4" w:rsidRPr="004664BA" w:rsidRDefault="007B36A4"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7B36A4" w:rsidRPr="004664BA" w:rsidRDefault="007B36A4"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7B36A4" w:rsidRPr="004664BA" w:rsidRDefault="007B36A4"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7B36A4" w:rsidRPr="004664BA" w:rsidRDefault="007B36A4"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7B36A4" w:rsidRPr="004664BA" w:rsidRDefault="007B36A4" w:rsidP="004664BA">
            <w:pPr>
              <w:spacing w:line="240" w:lineRule="auto"/>
              <w:cnfStyle w:val="000000010000" w:firstRow="0" w:lastRow="0" w:firstColumn="0" w:lastColumn="0" w:oddVBand="0" w:evenVBand="0" w:oddHBand="0" w:evenHBand="1" w:firstRowFirstColumn="0" w:firstRowLastColumn="0" w:lastRowFirstColumn="0" w:lastRowLastColumn="0"/>
            </w:pPr>
          </w:p>
        </w:tc>
        <w:tc>
          <w:tcPr>
            <w:tcW w:w="384" w:type="pct"/>
            <w:vAlign w:val="top"/>
          </w:tcPr>
          <w:p w:rsidR="007B36A4" w:rsidRPr="004664BA" w:rsidRDefault="007B36A4" w:rsidP="004664BA">
            <w:pPr>
              <w:spacing w:line="240" w:lineRule="auto"/>
              <w:cnfStyle w:val="000000010000" w:firstRow="0" w:lastRow="0" w:firstColumn="0" w:lastColumn="0" w:oddVBand="0" w:evenVBand="0" w:oddHBand="0" w:evenHBand="1" w:firstRowFirstColumn="0" w:firstRowLastColumn="0" w:lastRowFirstColumn="0" w:lastRowLastColumn="0"/>
            </w:pPr>
            <w:r w:rsidRPr="004664BA">
              <w:t>0.0</w:t>
            </w:r>
          </w:p>
        </w:tc>
        <w:tc>
          <w:tcPr>
            <w:tcW w:w="384" w:type="pct"/>
            <w:vAlign w:val="top"/>
          </w:tcPr>
          <w:p w:rsidR="007B36A4" w:rsidRPr="004664BA" w:rsidRDefault="007B36A4" w:rsidP="004664BA">
            <w:pPr>
              <w:cnfStyle w:val="000000010000" w:firstRow="0" w:lastRow="0" w:firstColumn="0" w:lastColumn="0" w:oddVBand="0" w:evenVBand="0" w:oddHBand="0" w:evenHBand="1" w:firstRowFirstColumn="0" w:firstRowLastColumn="0" w:lastRowFirstColumn="0" w:lastRowLastColumn="0"/>
            </w:pPr>
            <w:r w:rsidRPr="004664BA">
              <w:t>0.0</w:t>
            </w:r>
          </w:p>
        </w:tc>
        <w:tc>
          <w:tcPr>
            <w:tcW w:w="384" w:type="pct"/>
            <w:vAlign w:val="top"/>
          </w:tcPr>
          <w:p w:rsidR="007B36A4" w:rsidRPr="004664BA" w:rsidRDefault="007B36A4" w:rsidP="004664BA">
            <w:pPr>
              <w:cnfStyle w:val="000000010000" w:firstRow="0" w:lastRow="0" w:firstColumn="0" w:lastColumn="0" w:oddVBand="0" w:evenVBand="0" w:oddHBand="0" w:evenHBand="1" w:firstRowFirstColumn="0" w:firstRowLastColumn="0" w:lastRowFirstColumn="0" w:lastRowLastColumn="0"/>
            </w:pPr>
            <w:r w:rsidRPr="004664BA">
              <w:t>0.0</w:t>
            </w:r>
          </w:p>
        </w:tc>
        <w:tc>
          <w:tcPr>
            <w:tcW w:w="384" w:type="pct"/>
            <w:vAlign w:val="top"/>
          </w:tcPr>
          <w:p w:rsidR="007B36A4" w:rsidRPr="004664BA" w:rsidRDefault="007B36A4" w:rsidP="004664BA">
            <w:pPr>
              <w:cnfStyle w:val="000000010000" w:firstRow="0" w:lastRow="0" w:firstColumn="0" w:lastColumn="0" w:oddVBand="0" w:evenVBand="0" w:oddHBand="0" w:evenHBand="1" w:firstRowFirstColumn="0" w:firstRowLastColumn="0" w:lastRowFirstColumn="0" w:lastRowLastColumn="0"/>
            </w:pPr>
            <w:r w:rsidRPr="004664BA">
              <w:t>0.0</w:t>
            </w:r>
          </w:p>
        </w:tc>
        <w:tc>
          <w:tcPr>
            <w:tcW w:w="384" w:type="pct"/>
            <w:vAlign w:val="top"/>
          </w:tcPr>
          <w:p w:rsidR="007B36A4" w:rsidRPr="004664BA" w:rsidRDefault="007B36A4" w:rsidP="004664BA">
            <w:pPr>
              <w:cnfStyle w:val="000000010000" w:firstRow="0" w:lastRow="0" w:firstColumn="0" w:lastColumn="0" w:oddVBand="0" w:evenVBand="0" w:oddHBand="0" w:evenHBand="1" w:firstRowFirstColumn="0" w:firstRowLastColumn="0" w:lastRowFirstColumn="0" w:lastRowLastColumn="0"/>
            </w:pPr>
            <w:r w:rsidRPr="004664BA">
              <w:t>0.0</w:t>
            </w:r>
          </w:p>
        </w:tc>
        <w:tc>
          <w:tcPr>
            <w:tcW w:w="382" w:type="pct"/>
            <w:vAlign w:val="top"/>
          </w:tcPr>
          <w:p w:rsidR="007B36A4" w:rsidRPr="004664BA" w:rsidRDefault="007B36A4" w:rsidP="004664BA">
            <w:pPr>
              <w:spacing w:line="240" w:lineRule="auto"/>
              <w:cnfStyle w:val="000000010000" w:firstRow="0" w:lastRow="0" w:firstColumn="0" w:lastColumn="0" w:oddVBand="0" w:evenVBand="0" w:oddHBand="0" w:evenHBand="1" w:firstRowFirstColumn="0" w:firstRowLastColumn="0" w:lastRowFirstColumn="0" w:lastRowLastColumn="0"/>
            </w:pPr>
          </w:p>
        </w:tc>
      </w:tr>
      <w:tr w:rsidR="007B36A4" w:rsidRPr="004664BA" w:rsidTr="007B36A4">
        <w:tc>
          <w:tcPr>
            <w:cnfStyle w:val="001000000000" w:firstRow="0" w:lastRow="0" w:firstColumn="1" w:lastColumn="0" w:oddVBand="0" w:evenVBand="0" w:oddHBand="0" w:evenHBand="0" w:firstRowFirstColumn="0" w:firstRowLastColumn="0" w:lastRowFirstColumn="0" w:lastRowLastColumn="0"/>
            <w:tcW w:w="778" w:type="pct"/>
            <w:vAlign w:val="top"/>
          </w:tcPr>
          <w:p w:rsidR="00F22822" w:rsidRPr="004664BA" w:rsidRDefault="00713B51" w:rsidP="004664BA">
            <w:pPr>
              <w:spacing w:line="240" w:lineRule="auto"/>
              <w:rPr>
                <w:b/>
              </w:rPr>
            </w:pPr>
            <w:r w:rsidRPr="004664BA">
              <w:rPr>
                <w:b/>
              </w:rPr>
              <w:t>Efficiency c</w:t>
            </w:r>
            <w:r w:rsidR="007B36A4" w:rsidRPr="004664BA">
              <w:rPr>
                <w:b/>
              </w:rPr>
              <w:t>arryover</w:t>
            </w:r>
          </w:p>
        </w:tc>
        <w:tc>
          <w:tcPr>
            <w:tcW w:w="384" w:type="pct"/>
            <w:vAlign w:val="top"/>
          </w:tcPr>
          <w:p w:rsidR="00F22822" w:rsidRPr="004664BA" w:rsidRDefault="00F22822" w:rsidP="004664BA">
            <w:pPr>
              <w:spacing w:line="240" w:lineRule="auto"/>
              <w:cnfStyle w:val="000000000000" w:firstRow="0" w:lastRow="0" w:firstColumn="0" w:lastColumn="0" w:oddVBand="0" w:evenVBand="0" w:oddHBand="0" w:evenHBand="0" w:firstRowFirstColumn="0" w:firstRowLastColumn="0" w:lastRowFirstColumn="0" w:lastRowLastColumn="0"/>
              <w:rPr>
                <w:b/>
              </w:rPr>
            </w:pPr>
          </w:p>
        </w:tc>
        <w:tc>
          <w:tcPr>
            <w:tcW w:w="384" w:type="pct"/>
            <w:vAlign w:val="top"/>
          </w:tcPr>
          <w:p w:rsidR="00F22822" w:rsidRPr="004664BA" w:rsidRDefault="00F22822" w:rsidP="004664BA">
            <w:pPr>
              <w:spacing w:line="240" w:lineRule="auto"/>
              <w:cnfStyle w:val="000000000000" w:firstRow="0" w:lastRow="0" w:firstColumn="0" w:lastColumn="0" w:oddVBand="0" w:evenVBand="0" w:oddHBand="0" w:evenHBand="0" w:firstRowFirstColumn="0" w:firstRowLastColumn="0" w:lastRowFirstColumn="0" w:lastRowLastColumn="0"/>
              <w:rPr>
                <w:b/>
              </w:rPr>
            </w:pPr>
          </w:p>
        </w:tc>
        <w:tc>
          <w:tcPr>
            <w:tcW w:w="384" w:type="pct"/>
            <w:vAlign w:val="top"/>
          </w:tcPr>
          <w:p w:rsidR="00F22822" w:rsidRPr="004664BA" w:rsidRDefault="00F22822" w:rsidP="004664BA">
            <w:pPr>
              <w:spacing w:line="240" w:lineRule="auto"/>
              <w:cnfStyle w:val="000000000000" w:firstRow="0" w:lastRow="0" w:firstColumn="0" w:lastColumn="0" w:oddVBand="0" w:evenVBand="0" w:oddHBand="0" w:evenHBand="0" w:firstRowFirstColumn="0" w:firstRowLastColumn="0" w:lastRowFirstColumn="0" w:lastRowLastColumn="0"/>
              <w:rPr>
                <w:b/>
              </w:rPr>
            </w:pPr>
          </w:p>
        </w:tc>
        <w:tc>
          <w:tcPr>
            <w:tcW w:w="384" w:type="pct"/>
            <w:vAlign w:val="top"/>
          </w:tcPr>
          <w:p w:rsidR="00F22822" w:rsidRPr="004664BA" w:rsidRDefault="00F22822" w:rsidP="004664BA">
            <w:pPr>
              <w:spacing w:line="240" w:lineRule="auto"/>
              <w:cnfStyle w:val="000000000000" w:firstRow="0" w:lastRow="0" w:firstColumn="0" w:lastColumn="0" w:oddVBand="0" w:evenVBand="0" w:oddHBand="0" w:evenHBand="0" w:firstRowFirstColumn="0" w:firstRowLastColumn="0" w:lastRowFirstColumn="0" w:lastRowLastColumn="0"/>
              <w:rPr>
                <w:b/>
              </w:rPr>
            </w:pPr>
          </w:p>
        </w:tc>
        <w:tc>
          <w:tcPr>
            <w:tcW w:w="384" w:type="pct"/>
            <w:vAlign w:val="top"/>
          </w:tcPr>
          <w:p w:rsidR="00F22822" w:rsidRPr="004664BA" w:rsidRDefault="00F22822" w:rsidP="004664BA">
            <w:pPr>
              <w:spacing w:line="240" w:lineRule="auto"/>
              <w:cnfStyle w:val="000000000000" w:firstRow="0" w:lastRow="0" w:firstColumn="0" w:lastColumn="0" w:oddVBand="0" w:evenVBand="0" w:oddHBand="0" w:evenHBand="0" w:firstRowFirstColumn="0" w:firstRowLastColumn="0" w:lastRowFirstColumn="0" w:lastRowLastColumn="0"/>
              <w:rPr>
                <w:b/>
              </w:rPr>
            </w:pPr>
          </w:p>
        </w:tc>
        <w:tc>
          <w:tcPr>
            <w:tcW w:w="384" w:type="pct"/>
            <w:vAlign w:val="top"/>
          </w:tcPr>
          <w:p w:rsidR="00F22822"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rPr>
                <w:b/>
              </w:rPr>
            </w:pPr>
            <w:r w:rsidRPr="004664BA">
              <w:rPr>
                <w:b/>
              </w:rPr>
              <w:t>6</w:t>
            </w:r>
            <w:r w:rsidR="007B36A4" w:rsidRPr="004664BA">
              <w:rPr>
                <w:b/>
              </w:rPr>
              <w:t>.</w:t>
            </w:r>
            <w:r w:rsidR="00947086" w:rsidRPr="004664BA">
              <w:rPr>
                <w:b/>
              </w:rPr>
              <w:t>7</w:t>
            </w:r>
          </w:p>
        </w:tc>
        <w:tc>
          <w:tcPr>
            <w:tcW w:w="384" w:type="pct"/>
            <w:vAlign w:val="top"/>
          </w:tcPr>
          <w:p w:rsidR="00F22822"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rPr>
                <w:b/>
              </w:rPr>
            </w:pPr>
            <w:r w:rsidRPr="004664BA">
              <w:rPr>
                <w:b/>
              </w:rPr>
              <w:t>(1.</w:t>
            </w:r>
            <w:r w:rsidR="008C4E19" w:rsidRPr="004664BA">
              <w:rPr>
                <w:b/>
              </w:rPr>
              <w:t>3</w:t>
            </w:r>
            <w:r w:rsidRPr="004664BA">
              <w:rPr>
                <w:b/>
              </w:rPr>
              <w:t>)</w:t>
            </w:r>
          </w:p>
        </w:tc>
        <w:tc>
          <w:tcPr>
            <w:tcW w:w="384" w:type="pct"/>
            <w:vAlign w:val="top"/>
          </w:tcPr>
          <w:p w:rsidR="00F22822" w:rsidRPr="004664BA" w:rsidRDefault="00947086" w:rsidP="004664BA">
            <w:pPr>
              <w:spacing w:line="240" w:lineRule="auto"/>
              <w:cnfStyle w:val="000000000000" w:firstRow="0" w:lastRow="0" w:firstColumn="0" w:lastColumn="0" w:oddVBand="0" w:evenVBand="0" w:oddHBand="0" w:evenHBand="0" w:firstRowFirstColumn="0" w:firstRowLastColumn="0" w:lastRowFirstColumn="0" w:lastRowLastColumn="0"/>
              <w:rPr>
                <w:b/>
              </w:rPr>
            </w:pPr>
            <w:r w:rsidRPr="004664BA">
              <w:rPr>
                <w:b/>
              </w:rPr>
              <w:t>(</w:t>
            </w:r>
            <w:r w:rsidR="008C4E19" w:rsidRPr="004664BA">
              <w:rPr>
                <w:b/>
              </w:rPr>
              <w:t>2.1</w:t>
            </w:r>
            <w:r w:rsidR="007B36A4" w:rsidRPr="004664BA">
              <w:rPr>
                <w:b/>
              </w:rPr>
              <w:t>)</w:t>
            </w:r>
          </w:p>
        </w:tc>
        <w:tc>
          <w:tcPr>
            <w:tcW w:w="384" w:type="pct"/>
            <w:vAlign w:val="top"/>
          </w:tcPr>
          <w:p w:rsidR="00F22822"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rPr>
                <w:b/>
              </w:rPr>
            </w:pPr>
            <w:r w:rsidRPr="004664BA">
              <w:rPr>
                <w:b/>
              </w:rPr>
              <w:t>1.</w:t>
            </w:r>
            <w:r w:rsidR="008C4E19" w:rsidRPr="004664BA">
              <w:rPr>
                <w:b/>
              </w:rPr>
              <w:t>5</w:t>
            </w:r>
          </w:p>
        </w:tc>
        <w:tc>
          <w:tcPr>
            <w:tcW w:w="384" w:type="pct"/>
            <w:vAlign w:val="top"/>
          </w:tcPr>
          <w:p w:rsidR="00F22822" w:rsidRPr="004664BA" w:rsidRDefault="007B36A4" w:rsidP="004664BA">
            <w:pPr>
              <w:spacing w:line="240" w:lineRule="auto"/>
              <w:cnfStyle w:val="000000000000" w:firstRow="0" w:lastRow="0" w:firstColumn="0" w:lastColumn="0" w:oddVBand="0" w:evenVBand="0" w:oddHBand="0" w:evenHBand="0" w:firstRowFirstColumn="0" w:firstRowLastColumn="0" w:lastRowFirstColumn="0" w:lastRowLastColumn="0"/>
              <w:rPr>
                <w:b/>
              </w:rPr>
            </w:pPr>
            <w:r w:rsidRPr="004664BA">
              <w:rPr>
                <w:b/>
              </w:rPr>
              <w:t>0.</w:t>
            </w:r>
            <w:r w:rsidR="00F22822" w:rsidRPr="004664BA">
              <w:rPr>
                <w:b/>
              </w:rPr>
              <w:t>0</w:t>
            </w:r>
          </w:p>
        </w:tc>
        <w:tc>
          <w:tcPr>
            <w:tcW w:w="382" w:type="pct"/>
            <w:vAlign w:val="top"/>
          </w:tcPr>
          <w:p w:rsidR="00F22822" w:rsidRPr="004664BA" w:rsidRDefault="008C4E19" w:rsidP="004664BA">
            <w:pPr>
              <w:spacing w:line="240" w:lineRule="auto"/>
              <w:cnfStyle w:val="000000000000" w:firstRow="0" w:lastRow="0" w:firstColumn="0" w:lastColumn="0" w:oddVBand="0" w:evenVBand="0" w:oddHBand="0" w:evenHBand="0" w:firstRowFirstColumn="0" w:firstRowLastColumn="0" w:lastRowFirstColumn="0" w:lastRowLastColumn="0"/>
              <w:rPr>
                <w:b/>
              </w:rPr>
            </w:pPr>
            <w:r w:rsidRPr="004664BA">
              <w:rPr>
                <w:b/>
              </w:rPr>
              <w:t>4</w:t>
            </w:r>
            <w:r w:rsidR="00947086" w:rsidRPr="004664BA">
              <w:rPr>
                <w:b/>
              </w:rPr>
              <w:t>.</w:t>
            </w:r>
            <w:r w:rsidRPr="004664BA">
              <w:rPr>
                <w:b/>
              </w:rPr>
              <w:t>8</w:t>
            </w:r>
          </w:p>
        </w:tc>
      </w:tr>
    </w:tbl>
    <w:p w:rsidR="006613F6" w:rsidRPr="00DA2F42" w:rsidRDefault="00F22822">
      <w:pPr>
        <w:pStyle w:val="AERtablesource"/>
      </w:pPr>
      <w:r w:rsidRPr="004664BA">
        <w:t>Source</w:t>
      </w:r>
      <w:r w:rsidR="002776CB" w:rsidRPr="004664BA">
        <w:t>:</w:t>
      </w:r>
      <w:r w:rsidRPr="004664BA">
        <w:tab/>
      </w:r>
      <w:r w:rsidR="001F08FA">
        <w:t xml:space="preserve">AGN, </w:t>
      </w:r>
      <w:r w:rsidR="001F08FA" w:rsidRPr="00E348EC">
        <w:rPr>
          <w:rStyle w:val="AERtextitalic"/>
        </w:rPr>
        <w:t>Australian Gas Networks SA Access Arrangement Information</w:t>
      </w:r>
      <w:r w:rsidR="001F08FA">
        <w:t xml:space="preserve">, July 2015, p. 193, and RIN: </w:t>
      </w:r>
      <w:r w:rsidR="00771EB6" w:rsidRPr="004664BA">
        <w:t xml:space="preserve">‘7.5 </w:t>
      </w:r>
      <w:r w:rsidR="00873861">
        <w:t>EBSS</w:t>
      </w:r>
      <w:r w:rsidR="00771EB6">
        <w:t xml:space="preserve"> – Rolling Carry-over mechanism for opex’</w:t>
      </w:r>
      <w:r w:rsidR="008C4E19">
        <w:t>; with corrected conversion formulas</w:t>
      </w:r>
      <w:r w:rsidR="001F08FA">
        <w:t>;</w:t>
      </w:r>
      <w:r w:rsidR="008C4E19">
        <w:t xml:space="preserve"> and </w:t>
      </w:r>
      <w:r w:rsidR="001F08FA">
        <w:t>AGN, Response to</w:t>
      </w:r>
      <w:r w:rsidR="00FD505C">
        <w:t xml:space="preserve"> </w:t>
      </w:r>
      <w:r w:rsidR="005114D8">
        <w:t>AER information request 27</w:t>
      </w:r>
      <w:r w:rsidR="009367D5">
        <w:t>.</w:t>
      </w:r>
      <w:r w:rsidR="005114D8">
        <w:t xml:space="preserve"> </w:t>
      </w:r>
    </w:p>
    <w:p w:rsidR="00BE41DA" w:rsidRDefault="00B85AFF" w:rsidP="00873861">
      <w:pPr>
        <w:pStyle w:val="Heading3"/>
        <w:spacing w:before="120"/>
      </w:pPr>
      <w:bookmarkStart w:id="18" w:name="_Toc436054684"/>
      <w:r>
        <w:t>I</w:t>
      </w:r>
      <w:r w:rsidR="00765904">
        <w:t>ncentive mechanism for the 2016–</w:t>
      </w:r>
      <w:r>
        <w:t xml:space="preserve">21 </w:t>
      </w:r>
      <w:r w:rsidR="006D1FCD">
        <w:t>period</w:t>
      </w:r>
      <w:bookmarkEnd w:id="18"/>
      <w:r w:rsidR="00832507">
        <w:t xml:space="preserve"> </w:t>
      </w:r>
    </w:p>
    <w:p w:rsidR="00873861" w:rsidRDefault="00C11FAD" w:rsidP="00BE41DA">
      <w:pPr>
        <w:rPr>
          <w:rStyle w:val="AERbody"/>
        </w:rPr>
      </w:pPr>
      <w:r>
        <w:t xml:space="preserve">AGN </w:t>
      </w:r>
      <w:r w:rsidR="0026184F">
        <w:t>proposed</w:t>
      </w:r>
      <w:r w:rsidR="00E667F6">
        <w:t xml:space="preserve"> </w:t>
      </w:r>
      <w:r w:rsidR="007B26FC">
        <w:t xml:space="preserve">that </w:t>
      </w:r>
      <w:r w:rsidR="0026184F">
        <w:t xml:space="preserve">an efficiency </w:t>
      </w:r>
      <w:r w:rsidR="00765904">
        <w:t xml:space="preserve">carryover mechanism </w:t>
      </w:r>
      <w:r w:rsidR="00FA30A0">
        <w:t xml:space="preserve">apply </w:t>
      </w:r>
      <w:r w:rsidR="00765904">
        <w:t>in the 2016–</w:t>
      </w:r>
      <w:r w:rsidR="0026184F">
        <w:t>21 access arrangement period</w:t>
      </w:r>
      <w:r w:rsidR="00DA0823">
        <w:rPr>
          <w:rStyle w:val="AERbody"/>
        </w:rPr>
        <w:t>.</w:t>
      </w:r>
      <w:r w:rsidR="00D045F5">
        <w:rPr>
          <w:rStyle w:val="FootnoteReference"/>
        </w:rPr>
        <w:footnoteReference w:id="4"/>
      </w:r>
      <w:r w:rsidR="00027EF3">
        <w:rPr>
          <w:rStyle w:val="AERbody"/>
        </w:rPr>
        <w:t xml:space="preserve"> </w:t>
      </w:r>
      <w:r w:rsidR="00FA30A0">
        <w:rPr>
          <w:rStyle w:val="AERbody"/>
        </w:rPr>
        <w:t xml:space="preserve">The proposed mechanism is not the same as the </w:t>
      </w:r>
      <w:r w:rsidR="00765904">
        <w:rPr>
          <w:rStyle w:val="AERbody"/>
        </w:rPr>
        <w:t>2011–</w:t>
      </w:r>
      <w:r w:rsidR="00176E21">
        <w:rPr>
          <w:rStyle w:val="AERbody"/>
        </w:rPr>
        <w:t xml:space="preserve">16 efficiency carryover mechanism. </w:t>
      </w:r>
      <w:r w:rsidR="00027EF3">
        <w:rPr>
          <w:rStyle w:val="AERbody"/>
        </w:rPr>
        <w:t xml:space="preserve">The key change AGN proposed </w:t>
      </w:r>
      <w:r w:rsidR="00176E21">
        <w:rPr>
          <w:rStyle w:val="AERbody"/>
        </w:rPr>
        <w:t>was to</w:t>
      </w:r>
      <w:r w:rsidR="00027EF3">
        <w:rPr>
          <w:rStyle w:val="AERbody"/>
        </w:rPr>
        <w:t xml:space="preserve"> </w:t>
      </w:r>
      <w:r w:rsidR="00F53F2E">
        <w:rPr>
          <w:rStyle w:val="AERbody"/>
        </w:rPr>
        <w:t xml:space="preserve">allow it to retain an </w:t>
      </w:r>
      <w:r w:rsidR="00027EF3">
        <w:rPr>
          <w:rStyle w:val="AERbody"/>
        </w:rPr>
        <w:t>increase</w:t>
      </w:r>
      <w:r w:rsidR="00F53F2E">
        <w:rPr>
          <w:rStyle w:val="AERbody"/>
        </w:rPr>
        <w:t>d (50 per cent)</w:t>
      </w:r>
      <w:r w:rsidR="00027EF3">
        <w:rPr>
          <w:rStyle w:val="AERbody"/>
        </w:rPr>
        <w:t xml:space="preserve"> share </w:t>
      </w:r>
      <w:r w:rsidR="00176E21">
        <w:rPr>
          <w:rStyle w:val="AERbody"/>
        </w:rPr>
        <w:t xml:space="preserve">of </w:t>
      </w:r>
      <w:r w:rsidR="00F53F2E">
        <w:rPr>
          <w:rStyle w:val="AERbody"/>
        </w:rPr>
        <w:t>efficiency gains</w:t>
      </w:r>
      <w:r w:rsidR="005543F9">
        <w:rPr>
          <w:rStyle w:val="AERbody"/>
        </w:rPr>
        <w:t xml:space="preserve"> and losses</w:t>
      </w:r>
      <w:r w:rsidR="00027EF3">
        <w:rPr>
          <w:rStyle w:val="AERbody"/>
        </w:rPr>
        <w:t>.</w:t>
      </w:r>
      <w:r w:rsidR="00027EF3">
        <w:rPr>
          <w:rStyle w:val="FootnoteReference"/>
        </w:rPr>
        <w:footnoteReference w:id="5"/>
      </w:r>
      <w:r w:rsidR="00027EF3">
        <w:rPr>
          <w:rStyle w:val="AERbody"/>
        </w:rPr>
        <w:t xml:space="preserve"> </w:t>
      </w:r>
    </w:p>
    <w:p w:rsidR="001A5CA0" w:rsidRDefault="00461029" w:rsidP="00BE41DA">
      <w:r>
        <w:t>AGN noted</w:t>
      </w:r>
      <w:r w:rsidR="00176E21">
        <w:t>:</w:t>
      </w:r>
      <w:r w:rsidR="001F08FA">
        <w:rPr>
          <w:rStyle w:val="FootnoteReference"/>
        </w:rPr>
        <w:footnoteReference w:id="6"/>
      </w:r>
    </w:p>
    <w:p w:rsidR="008E5636" w:rsidRDefault="003A3012" w:rsidP="00924B23">
      <w:pPr>
        <w:pStyle w:val="AERquotebullet1"/>
      </w:pPr>
      <w:r>
        <w:t xml:space="preserve">the power of the EBSS is low relative </w:t>
      </w:r>
      <w:r w:rsidR="008E5636">
        <w:t xml:space="preserve">to other similar schemes (such as the total expenditure incentive scheme in the UK that allows for 65% of the efficiency to be retained by the business) for gas and up to 70 per cent for electricity distribution </w:t>
      </w:r>
    </w:p>
    <w:p w:rsidR="008E5636" w:rsidRDefault="008E5636" w:rsidP="00924B23">
      <w:pPr>
        <w:pStyle w:val="AERquotebullet1"/>
      </w:pPr>
      <w:r>
        <w:t>as the industry</w:t>
      </w:r>
      <w:r w:rsidR="00F477F5">
        <w:t xml:space="preserve"> matures and privately-owned business such as AGN improve in terms of productivity, it becomes more difficult to achieve further productivity gains; in light of this, it is appropriate that incentive mechanisms are strengthened in order to ensure that businesses remain adequately incentivised to continue to strive for additional efficiency gains.</w:t>
      </w:r>
    </w:p>
    <w:p w:rsidR="006D7A4E" w:rsidRDefault="00CB4172" w:rsidP="00BE41DA">
      <w:pPr>
        <w:rPr>
          <w:rStyle w:val="AERbody"/>
        </w:rPr>
      </w:pPr>
      <w:r w:rsidRPr="006574F3">
        <w:rPr>
          <w:rStyle w:val="AERbody"/>
        </w:rPr>
        <w:t>The equations AGN propose</w:t>
      </w:r>
      <w:r w:rsidR="00C60C9C" w:rsidRPr="006574F3">
        <w:rPr>
          <w:rStyle w:val="AERbody"/>
        </w:rPr>
        <w:t>d</w:t>
      </w:r>
      <w:r w:rsidRPr="006574F3">
        <w:rPr>
          <w:rStyle w:val="AERbody"/>
        </w:rPr>
        <w:t xml:space="preserve"> to calculate efficiency gains (losses) adopt a net present value </w:t>
      </w:r>
      <w:r w:rsidR="009C4D7F">
        <w:rPr>
          <w:rStyle w:val="AERbody"/>
        </w:rPr>
        <w:t>approach</w:t>
      </w:r>
      <w:r w:rsidRPr="006574F3">
        <w:rPr>
          <w:rStyle w:val="AERbody"/>
        </w:rPr>
        <w:t xml:space="preserve">. </w:t>
      </w:r>
      <w:r w:rsidR="006D7A4E">
        <w:rPr>
          <w:rStyle w:val="AERbody"/>
        </w:rPr>
        <w:t>In addition to</w:t>
      </w:r>
      <w:r w:rsidRPr="006574F3">
        <w:rPr>
          <w:rStyle w:val="AERbody"/>
        </w:rPr>
        <w:t xml:space="preserve"> </w:t>
      </w:r>
      <w:r w:rsidR="00FD1E59" w:rsidRPr="006574F3">
        <w:rPr>
          <w:rStyle w:val="AERbody"/>
        </w:rPr>
        <w:t>retain</w:t>
      </w:r>
      <w:r w:rsidR="006D7A4E">
        <w:rPr>
          <w:rStyle w:val="AERbody"/>
        </w:rPr>
        <w:t>ing</w:t>
      </w:r>
      <w:r w:rsidR="00FD1E59" w:rsidRPr="006574F3">
        <w:rPr>
          <w:rStyle w:val="AERbody"/>
        </w:rPr>
        <w:t xml:space="preserve"> the benefits (costs) resulting from difference between its approved and actual opex forecasts</w:t>
      </w:r>
      <w:r w:rsidRPr="006574F3">
        <w:rPr>
          <w:rStyle w:val="AERbody"/>
        </w:rPr>
        <w:t xml:space="preserve"> (</w:t>
      </w:r>
      <w:r w:rsidR="006D7A4E">
        <w:rPr>
          <w:rStyle w:val="AERbody"/>
        </w:rPr>
        <w:t>refer to equation 1 below),</w:t>
      </w:r>
      <w:r w:rsidR="00FD1E59" w:rsidRPr="006574F3">
        <w:rPr>
          <w:rStyle w:val="FootnoteReference"/>
        </w:rPr>
        <w:footnoteReference w:id="7"/>
      </w:r>
      <w:r w:rsidRPr="006574F3">
        <w:rPr>
          <w:rStyle w:val="AERbody"/>
        </w:rPr>
        <w:t xml:space="preserve"> AGN </w:t>
      </w:r>
      <w:r w:rsidR="001F08FA">
        <w:rPr>
          <w:rStyle w:val="AERbody"/>
        </w:rPr>
        <w:t xml:space="preserve">proposed </w:t>
      </w:r>
      <w:r w:rsidR="006D7A4E">
        <w:rPr>
          <w:rStyle w:val="AERbody"/>
        </w:rPr>
        <w:t xml:space="preserve">to </w:t>
      </w:r>
      <w:r w:rsidRPr="006574F3">
        <w:rPr>
          <w:rStyle w:val="AERbody"/>
        </w:rPr>
        <w:t xml:space="preserve">retain a specified (50 per cent) share of </w:t>
      </w:r>
      <w:r w:rsidRPr="006574F3">
        <w:t>‘total efficiency created’ within the access arrangement period</w:t>
      </w:r>
      <w:r w:rsidR="006D7A4E">
        <w:t xml:space="preserve"> (equation 2)</w:t>
      </w:r>
      <w:r w:rsidRPr="006574F3">
        <w:rPr>
          <w:rStyle w:val="AERbody"/>
        </w:rPr>
        <w:t xml:space="preserve">. </w:t>
      </w:r>
    </w:p>
    <w:p w:rsidR="00CB4172" w:rsidRDefault="006D7A4E" w:rsidP="00BE41DA">
      <w:pPr>
        <w:rPr>
          <w:rStyle w:val="AERbody"/>
        </w:rPr>
      </w:pPr>
      <w:r w:rsidRPr="00332956">
        <w:rPr>
          <w:rStyle w:val="AERbody"/>
        </w:rPr>
        <w:t xml:space="preserve">Equation 1: </w:t>
      </w:r>
    </w:p>
    <w:p w:rsidR="006D7A4E" w:rsidRPr="006D7A4E" w:rsidRDefault="006D7A4E" w:rsidP="00BE41DA">
      <w:pPr>
        <w:rPr>
          <w:rFonts w:eastAsiaTheme="minorEastAsia"/>
        </w:rPr>
      </w:pPr>
      <m:oMathPara>
        <m:oMath>
          <m:r>
            <w:rPr>
              <w:rFonts w:ascii="Cambria Math" w:hAnsi="Cambria Math"/>
            </w:rPr>
            <m:t>Benefit retained=</m:t>
          </m:r>
          <m:nary>
            <m:naryPr>
              <m:chr m:val="∑"/>
              <m:grow m:val="1"/>
              <m:ctrlPr>
                <w:rPr>
                  <w:rFonts w:ascii="Cambria Math" w:hAnsi="Cambria Math"/>
                </w:rPr>
              </m:ctrlPr>
            </m:naryPr>
            <m:sub>
              <m:r>
                <w:rPr>
                  <w:rFonts w:ascii="Cambria Math" w:hAnsi="Cambria Math"/>
                </w:rPr>
                <m:t>i=1</m:t>
              </m:r>
            </m:sub>
            <m:sup>
              <m:r>
                <w:rPr>
                  <w:rFonts w:ascii="Cambria Math" w:hAnsi="Cambria Math"/>
                </w:rPr>
                <m:t>5</m:t>
              </m:r>
            </m:sup>
            <m:e>
              <m:d>
                <m:dPr>
                  <m:ctrlPr>
                    <w:rPr>
                      <w:rFonts w:ascii="Cambria Math" w:hAnsi="Cambria Math"/>
                    </w:rPr>
                  </m:ctrlPr>
                </m:dPr>
                <m:e>
                  <m:sSub>
                    <m:sSubPr>
                      <m:ctrlPr>
                        <w:rPr>
                          <w:rFonts w:ascii="Cambria Math" w:hAnsi="Cambria Math"/>
                        </w:rPr>
                      </m:ctrlPr>
                    </m:sSubPr>
                    <m:e>
                      <m:r>
                        <w:rPr>
                          <w:rFonts w:ascii="Cambria Math" w:hAnsi="Cambria Math"/>
                        </w:rPr>
                        <m:t>Adj forecast</m:t>
                      </m:r>
                    </m:e>
                    <m:sub>
                      <m:r>
                        <w:rPr>
                          <w:rFonts w:ascii="Cambria Math" w:eastAsia="Cambria Math" w:hAnsi="Cambria Math" w:cs="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Actual</m:t>
                      </m:r>
                    </m:e>
                    <m:sub>
                      <m:r>
                        <w:rPr>
                          <w:rFonts w:ascii="Cambria Math" w:eastAsia="Cambria Math" w:hAnsi="Cambria Math" w:cs="Cambria Math"/>
                        </w:rPr>
                        <m:t>i</m:t>
                      </m:r>
                    </m:sub>
                  </m:sSub>
                  <m:r>
                    <w:rPr>
                      <w:rFonts w:ascii="Cambria Math" w:eastAsia="Cambria Math" w:hAnsi="Cambria Math" w:cs="Cambria Math"/>
                    </w:rPr>
                    <m:t xml:space="preserve">) </m:t>
                  </m:r>
                  <m:r>
                    <m:rPr>
                      <m:sty m:val="p"/>
                    </m:rPr>
                    <w:rPr>
                      <w:rFonts w:ascii="Cambria Math" w:eastAsia="Cambria Math" w:hAnsi="Cambria Math" w:cs="Cambria Math"/>
                    </w:rPr>
                    <m:t>x</m:t>
                  </m:r>
                  <m:r>
                    <w:rPr>
                      <w:rFonts w:ascii="Cambria Math" w:eastAsia="Cambria Math" w:hAnsi="Cambria Math" w:cs="Cambria Math"/>
                    </w:rPr>
                    <m:t xml:space="preserve"> (1+</m:t>
                  </m:r>
                  <m:sSup>
                    <m:sSupPr>
                      <m:ctrlPr>
                        <w:rPr>
                          <w:rFonts w:ascii="Cambria Math" w:hAnsi="Cambria Math"/>
                        </w:rPr>
                      </m:ctrlPr>
                    </m:sSupPr>
                    <m:e>
                      <m:r>
                        <m:rPr>
                          <m:sty m:val="p"/>
                        </m:rPr>
                        <w:rPr>
                          <w:rFonts w:ascii="Cambria Math" w:hAnsi="Cambria Math"/>
                        </w:rPr>
                        <m:t>WACC)</m:t>
                      </m:r>
                    </m:e>
                    <m:sup>
                      <m:r>
                        <w:rPr>
                          <w:rFonts w:ascii="Cambria Math" w:hAnsi="Cambria Math"/>
                        </w:rPr>
                        <m:t>5-i</m:t>
                      </m:r>
                    </m:sup>
                  </m:sSup>
                </m:e>
              </m:d>
            </m:e>
          </m:nary>
        </m:oMath>
      </m:oMathPara>
    </w:p>
    <w:p w:rsidR="006D7A4E" w:rsidRDefault="006D7A4E" w:rsidP="00BE41DA">
      <w:pPr>
        <w:rPr>
          <w:rFonts w:eastAsiaTheme="minorEastAsia"/>
        </w:rPr>
      </w:pPr>
      <w:r>
        <w:rPr>
          <w:rFonts w:eastAsiaTheme="minorEastAsia"/>
        </w:rPr>
        <w:t>Equation 2:</w:t>
      </w:r>
      <w:r w:rsidR="002B4CF9">
        <w:rPr>
          <w:rFonts w:eastAsiaTheme="minorEastAsia"/>
        </w:rPr>
        <w:t xml:space="preserve"> </w:t>
      </w:r>
    </w:p>
    <w:p w:rsidR="0006357A" w:rsidRPr="0006357A" w:rsidRDefault="0006357A" w:rsidP="00BE41DA">
      <w:pPr>
        <w:rPr>
          <w:rFonts w:eastAsiaTheme="minorEastAsia"/>
        </w:rPr>
      </w:pPr>
      <m:oMathPara>
        <m:oMath>
          <m:r>
            <w:rPr>
              <w:rFonts w:ascii="Cambria Math" w:eastAsiaTheme="minorEastAsia" w:hAnsi="Cambria Math"/>
            </w:rPr>
            <m:t xml:space="preserve">EBSS Reward=Target Reward-Benefit Retained </m:t>
          </m:r>
        </m:oMath>
      </m:oMathPara>
    </w:p>
    <w:p w:rsidR="0006357A" w:rsidRDefault="00612BDA" w:rsidP="00BE41DA">
      <w:pPr>
        <w:rPr>
          <w:rFonts w:eastAsiaTheme="minorEastAsia"/>
        </w:rPr>
      </w:pPr>
      <w:r>
        <w:rPr>
          <w:rFonts w:eastAsiaTheme="minorEastAsia"/>
        </w:rPr>
        <w:t>W</w:t>
      </w:r>
      <w:r w:rsidR="0006357A">
        <w:rPr>
          <w:rFonts w:eastAsiaTheme="minorEastAsia"/>
        </w:rPr>
        <w:t>here</w:t>
      </w:r>
      <w:r>
        <w:rPr>
          <w:rFonts w:eastAsiaTheme="minorEastAsia"/>
        </w:rPr>
        <w:t>:</w:t>
      </w:r>
      <w:r w:rsidR="0006357A">
        <w:rPr>
          <w:rFonts w:eastAsiaTheme="minorEastAsia"/>
        </w:rPr>
        <w:t xml:space="preserve"> </w:t>
      </w:r>
    </w:p>
    <w:p w:rsidR="002B4CF9" w:rsidRPr="0006357A" w:rsidRDefault="0006357A" w:rsidP="0006357A">
      <w:pPr>
        <w:rPr>
          <w:rFonts w:eastAsiaTheme="minorEastAsia"/>
        </w:rPr>
      </w:pPr>
      <m:oMathPara>
        <m:oMath>
          <m:r>
            <w:rPr>
              <w:rFonts w:ascii="Cambria Math" w:eastAsiaTheme="minorEastAsia" w:hAnsi="Cambria Math"/>
            </w:rPr>
            <m:t xml:space="preserve">Target reward =Target share </m:t>
          </m:r>
          <m:r>
            <m:rPr>
              <m:sty m:val="p"/>
            </m:rPr>
            <w:rPr>
              <w:rFonts w:ascii="Cambria Math" w:eastAsiaTheme="minorEastAsia" w:hAnsi="Cambria Math"/>
            </w:rPr>
            <m:t xml:space="preserve"> x </m:t>
          </m:r>
          <m:d>
            <m:dPr>
              <m:ctrlPr>
                <w:rPr>
                  <w:rFonts w:ascii="Cambria Math" w:eastAsiaTheme="minorEastAsia" w:hAnsi="Cambria Math"/>
                </w:rPr>
              </m:ctrlPr>
            </m:dPr>
            <m:e>
              <m:r>
                <w:rPr>
                  <w:rFonts w:ascii="Cambria Math" w:eastAsiaTheme="minorEastAsia" w:hAnsi="Cambria Math"/>
                </w:rPr>
                <m:t>Benefit retained</m:t>
              </m:r>
              <m:r>
                <m:rPr>
                  <m:sty m:val="p"/>
                </m:rPr>
                <w:rPr>
                  <w:rFonts w:ascii="Cambria Math" w:eastAsiaTheme="minorEastAsia" w:hAnsi="Cambria Math"/>
                </w:rPr>
                <m:t xml:space="preserve">+ </m:t>
              </m:r>
              <m:d>
                <m:dPr>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hAnsi="Cambria Math"/>
                            </w:rPr>
                          </m:ctrlPr>
                        </m:sSubPr>
                        <m:e>
                          <m:r>
                            <w:rPr>
                              <w:rFonts w:ascii="Cambria Math" w:hAnsi="Cambria Math"/>
                            </w:rPr>
                            <m:t>Adj forecast</m:t>
                          </m:r>
                        </m:e>
                        <m:sub>
                          <m:r>
                            <w:rPr>
                              <w:rFonts w:ascii="Cambria Math" w:eastAsia="Cambria Math" w:hAnsi="Cambria Math" w:cs="Cambria Math"/>
                            </w:rPr>
                            <m:t>5</m:t>
                          </m:r>
                        </m:sub>
                      </m:sSub>
                      <m:r>
                        <m:rPr>
                          <m:sty m:val="p"/>
                        </m:rPr>
                        <w:rPr>
                          <w:rFonts w:ascii="Cambria Math" w:hAnsi="Cambria Math"/>
                        </w:rPr>
                        <m:t>-</m:t>
                      </m:r>
                      <m:sSub>
                        <m:sSubPr>
                          <m:ctrlPr>
                            <w:rPr>
                              <w:rFonts w:ascii="Cambria Math" w:hAnsi="Cambria Math"/>
                            </w:rPr>
                          </m:ctrlPr>
                        </m:sSubPr>
                        <m:e>
                          <m:r>
                            <w:rPr>
                              <w:rFonts w:ascii="Cambria Math" w:hAnsi="Cambria Math"/>
                            </w:rPr>
                            <m:t>Actual</m:t>
                          </m:r>
                        </m:e>
                        <m:sub>
                          <m:r>
                            <w:rPr>
                              <w:rFonts w:ascii="Cambria Math" w:eastAsia="Cambria Math" w:hAnsi="Cambria Math" w:cs="Cambria Math"/>
                            </w:rPr>
                            <m:t>5</m:t>
                          </m:r>
                        </m:sub>
                      </m:sSub>
                    </m:num>
                    <m:den>
                      <m:r>
                        <w:rPr>
                          <w:rFonts w:ascii="Cambria Math" w:eastAsiaTheme="minorEastAsia" w:hAnsi="Cambria Math"/>
                        </w:rPr>
                        <m:t>WACC</m:t>
                      </m:r>
                    </m:den>
                  </m:f>
                  <m:ctrlPr>
                    <w:rPr>
                      <w:rFonts w:ascii="Cambria Math" w:eastAsiaTheme="minorEastAsia" w:hAnsi="Cambria Math"/>
                      <w:i/>
                    </w:rPr>
                  </m:ctrlPr>
                </m:e>
              </m:d>
              <m:ctrlPr>
                <w:rPr>
                  <w:rFonts w:ascii="Cambria Math" w:eastAsiaTheme="minorEastAsia" w:hAnsi="Cambria Math"/>
                  <w:i/>
                </w:rPr>
              </m:ctrlPr>
            </m:e>
          </m:d>
        </m:oMath>
      </m:oMathPara>
    </w:p>
    <w:p w:rsidR="0006357A" w:rsidRPr="00840E46" w:rsidRDefault="00840E46" w:rsidP="0006357A">
      <w:pPr>
        <w:rPr>
          <w:rFonts w:eastAsiaTheme="minorEastAsia"/>
        </w:rPr>
      </w:pPr>
      <m:oMathPara>
        <m:oMathParaPr>
          <m:jc m:val="left"/>
        </m:oMathParaPr>
        <m:oMath>
          <m:r>
            <w:rPr>
              <w:rFonts w:ascii="Cambria Math" w:eastAsiaTheme="minorEastAsia" w:hAnsi="Cambria Math"/>
            </w:rPr>
            <m:t xml:space="preserve"> Target share=50 per cent</m:t>
          </m:r>
        </m:oMath>
      </m:oMathPara>
    </w:p>
    <w:p w:rsidR="00CD7E0D" w:rsidRDefault="00CB4172" w:rsidP="00CD7E0D">
      <w:r>
        <w:t xml:space="preserve">In its proposal, </w:t>
      </w:r>
      <w:r w:rsidR="00CD7E0D">
        <w:t xml:space="preserve">AGN </w:t>
      </w:r>
      <w:r w:rsidR="000E132A">
        <w:t xml:space="preserve">excluded </w:t>
      </w:r>
      <w:r w:rsidR="002C6C5B">
        <w:t xml:space="preserve">the following costs </w:t>
      </w:r>
      <w:r w:rsidR="00CD7E0D">
        <w:t xml:space="preserve">from the operation of </w:t>
      </w:r>
      <w:r w:rsidR="008E7872">
        <w:t xml:space="preserve">its proposed </w:t>
      </w:r>
      <w:r w:rsidR="00CD7E0D">
        <w:t>efficiency carryover mechanism</w:t>
      </w:r>
      <w:r w:rsidR="000D5B10">
        <w:t>:</w:t>
      </w:r>
      <w:r w:rsidR="001F08FA">
        <w:rPr>
          <w:rStyle w:val="FootnoteReference"/>
        </w:rPr>
        <w:footnoteReference w:id="8"/>
      </w:r>
    </w:p>
    <w:p w:rsidR="00CD7E0D" w:rsidRDefault="00CD7E0D" w:rsidP="00F1391E">
      <w:pPr>
        <w:pStyle w:val="AERbulletlistfirststyle"/>
      </w:pPr>
      <w:r>
        <w:t>c</w:t>
      </w:r>
      <w:r w:rsidRPr="00CD7E0D">
        <w:t>ost</w:t>
      </w:r>
      <w:r>
        <w:t>s</w:t>
      </w:r>
      <w:r w:rsidRPr="00CD7E0D">
        <w:t xml:space="preserve"> associated with impost o</w:t>
      </w:r>
      <w:r w:rsidR="00D43EAF">
        <w:t>f</w:t>
      </w:r>
      <w:r w:rsidRPr="00CD7E0D">
        <w:t xml:space="preserve"> complying with any retailer of last resort requirements</w:t>
      </w:r>
    </w:p>
    <w:p w:rsidR="00CD7E0D" w:rsidRDefault="00835FBA" w:rsidP="00F1391E">
      <w:pPr>
        <w:pStyle w:val="AERbulletlistfirststyle"/>
      </w:pPr>
      <w:r>
        <w:t>a</w:t>
      </w:r>
      <w:r w:rsidR="00CD7E0D" w:rsidRPr="00CD7E0D">
        <w:t>mounts for approved cost pass through events</w:t>
      </w:r>
    </w:p>
    <w:p w:rsidR="00CD7E0D" w:rsidRDefault="00835FBA" w:rsidP="00F1391E">
      <w:pPr>
        <w:pStyle w:val="AERbulletlistfirststyle"/>
      </w:pPr>
      <w:r>
        <w:t>d</w:t>
      </w:r>
      <w:r w:rsidR="00CD7E0D" w:rsidRPr="00CD7E0D">
        <w:t>ebt raising costs</w:t>
      </w:r>
    </w:p>
    <w:p w:rsidR="00CD7E0D" w:rsidRDefault="00835FBA" w:rsidP="00F1391E">
      <w:pPr>
        <w:pStyle w:val="AERbulletlistfirststyle"/>
      </w:pPr>
      <w:r>
        <w:t>i</w:t>
      </w:r>
      <w:r w:rsidR="00CD7E0D">
        <w:t>nsurance costs</w:t>
      </w:r>
    </w:p>
    <w:p w:rsidR="00CD7E0D" w:rsidRDefault="00835FBA" w:rsidP="004D0192">
      <w:pPr>
        <w:pStyle w:val="AERbulletlistfirststyle"/>
      </w:pPr>
      <w:r>
        <w:t>s</w:t>
      </w:r>
      <w:r w:rsidR="00CD7E0D">
        <w:t>uperannuation costs for defined benefits and retirement schemes</w:t>
      </w:r>
    </w:p>
    <w:p w:rsidR="00CD7E0D" w:rsidRDefault="00CD7E0D" w:rsidP="004D0192">
      <w:pPr>
        <w:pStyle w:val="AERbulletlistfirststyle"/>
      </w:pPr>
      <w:r>
        <w:t>o</w:t>
      </w:r>
      <w:r w:rsidRPr="00CD7E0D">
        <w:t>ther specific uncontrollable costs incurred and reported by AGN during the access arrangement period and which the AER considers should be excluded in accordance with the NGL and NGR</w:t>
      </w:r>
    </w:p>
    <w:p w:rsidR="00CD7E0D" w:rsidRDefault="00835FBA" w:rsidP="004D0192">
      <w:pPr>
        <w:pStyle w:val="AERbulletlistfirststyle"/>
      </w:pPr>
      <w:proofErr w:type="gramStart"/>
      <w:r>
        <w:t>c</w:t>
      </w:r>
      <w:r w:rsidR="00CD7E0D" w:rsidRPr="00CD7E0D">
        <w:t>osts</w:t>
      </w:r>
      <w:proofErr w:type="gramEnd"/>
      <w:r w:rsidR="00CD7E0D" w:rsidRPr="00CD7E0D">
        <w:t xml:space="preserve"> of any other activity that AGN and the AER agree to exclude from the operation of the</w:t>
      </w:r>
      <w:r w:rsidR="00A21078">
        <w:t xml:space="preserve"> efficiency carryover mechanism</w:t>
      </w:r>
      <w:r w:rsidR="00DB3783">
        <w:t>.</w:t>
      </w:r>
    </w:p>
    <w:p w:rsidR="00FE1697" w:rsidRDefault="00F53F2E" w:rsidP="00916A87">
      <w:r>
        <w:t xml:space="preserve">AGN also </w:t>
      </w:r>
      <w:r w:rsidR="000E132A">
        <w:t xml:space="preserve">proposed </w:t>
      </w:r>
      <w:r>
        <w:t>changes in the scope of activities where these arise from exogenous factors and impose material additional costs</w:t>
      </w:r>
      <w:r w:rsidR="000E132A">
        <w:t xml:space="preserve"> be reflected in forecast opex</w:t>
      </w:r>
      <w:r>
        <w:t xml:space="preserve">. </w:t>
      </w:r>
      <w:r w:rsidR="008E7872">
        <w:t xml:space="preserve">It proposed the </w:t>
      </w:r>
      <w:r w:rsidR="00916A87">
        <w:t>AER</w:t>
      </w:r>
      <w:r>
        <w:t xml:space="preserve"> would</w:t>
      </w:r>
      <w:r w:rsidR="00916A87">
        <w:t>, without limitation, quantify and substantiate the impact of the scope of change on the original benchmarks following the provision of information by AGN.</w:t>
      </w:r>
      <w:r w:rsidR="00EA5A7B">
        <w:rPr>
          <w:rStyle w:val="FootnoteReference"/>
        </w:rPr>
        <w:footnoteReference w:id="9"/>
      </w:r>
    </w:p>
    <w:p w:rsidR="009A5113" w:rsidRDefault="009A5113" w:rsidP="009A5113">
      <w:pPr>
        <w:pStyle w:val="Heading2"/>
      </w:pPr>
      <w:bookmarkStart w:id="19" w:name="_Toc408404322"/>
      <w:bookmarkStart w:id="20" w:name="_Toc436054685"/>
      <w:r w:rsidRPr="0074565D">
        <w:t>AER’s assessment approach</w:t>
      </w:r>
      <w:bookmarkEnd w:id="19"/>
      <w:bookmarkEnd w:id="20"/>
    </w:p>
    <w:p w:rsidR="0084144C" w:rsidRDefault="0084144C" w:rsidP="0084144C">
      <w:r>
        <w:t xml:space="preserve">An efficiency carryover mechanism is a form of incentive mechanism. A full access arrangement may include (and </w:t>
      </w:r>
      <w:r w:rsidR="003D4D1F">
        <w:t xml:space="preserve">we </w:t>
      </w:r>
      <w:r>
        <w:t>may require it to include) one or more incentive mechanisms to encourage efficiency in the provision of services by the service provider.</w:t>
      </w:r>
      <w:r w:rsidR="003D4D1F">
        <w:rPr>
          <w:rStyle w:val="FootnoteReference"/>
        </w:rPr>
        <w:footnoteReference w:id="10"/>
      </w:r>
      <w:r>
        <w:t xml:space="preserve"> </w:t>
      </w:r>
      <w:r w:rsidR="003D4D1F">
        <w:t xml:space="preserve">Incentive mechanisms may provide for carryover increments for efficiency gains, or decrements for efficiency losses, from one </w:t>
      </w:r>
      <w:r w:rsidR="007B26FC">
        <w:t xml:space="preserve">access arrangement </w:t>
      </w:r>
      <w:r w:rsidR="003D4D1F">
        <w:t>period to the next.</w:t>
      </w:r>
      <w:r w:rsidR="003D4D1F">
        <w:rPr>
          <w:rStyle w:val="FootnoteReference"/>
        </w:rPr>
        <w:footnoteReference w:id="11"/>
      </w:r>
      <w:r w:rsidR="003D4D1F">
        <w:t xml:space="preserve"> </w:t>
      </w:r>
      <w:r>
        <w:t>An incentive mechanism must be consistent with the revenue and pricing principles.</w:t>
      </w:r>
      <w:r>
        <w:rPr>
          <w:rStyle w:val="FootnoteReference"/>
        </w:rPr>
        <w:footnoteReference w:id="12"/>
      </w:r>
      <w:r>
        <w:t xml:space="preserve"> </w:t>
      </w:r>
    </w:p>
    <w:p w:rsidR="0084144C" w:rsidRDefault="0084144C" w:rsidP="0084144C">
      <w:r>
        <w:t xml:space="preserve">We consider the following revenue and pricing principle is most relevant for assessing </w:t>
      </w:r>
      <w:r w:rsidR="00020754">
        <w:t xml:space="preserve">AGN’s </w:t>
      </w:r>
      <w:r>
        <w:t>efficiency carryover mechanism proposal:</w:t>
      </w:r>
    </w:p>
    <w:p w:rsidR="0084144C" w:rsidRDefault="0084144C" w:rsidP="00F1391E">
      <w:pPr>
        <w:pStyle w:val="AERquote"/>
        <w:spacing w:before="120" w:after="0"/>
      </w:pPr>
      <w:r>
        <w:t>A service provider should be provided with effective incentives in order to promote economic efficiency with respect to reference services the service provider provides.</w:t>
      </w:r>
    </w:p>
    <w:p w:rsidR="0084144C" w:rsidRDefault="0084144C" w:rsidP="00612BDA">
      <w:pPr>
        <w:pStyle w:val="AERquote"/>
        <w:spacing w:after="0"/>
      </w:pPr>
      <w:r>
        <w:t>The economic efficiency that should be promoted includes—</w:t>
      </w:r>
    </w:p>
    <w:p w:rsidR="0084144C" w:rsidRDefault="0084144C" w:rsidP="00612BDA">
      <w:pPr>
        <w:pStyle w:val="AERquote"/>
        <w:spacing w:after="0"/>
      </w:pPr>
      <w:r>
        <w:t xml:space="preserve">(a) </w:t>
      </w:r>
      <w:proofErr w:type="gramStart"/>
      <w:r>
        <w:t>efficient</w:t>
      </w:r>
      <w:proofErr w:type="gramEnd"/>
      <w:r>
        <w:t xml:space="preserve"> investment in, or in connection with, a pipeline with which the service provider provides reference services</w:t>
      </w:r>
    </w:p>
    <w:p w:rsidR="0084144C" w:rsidRDefault="0084144C" w:rsidP="00612BDA">
      <w:pPr>
        <w:pStyle w:val="AERquote"/>
        <w:spacing w:after="0"/>
      </w:pPr>
      <w:r>
        <w:t xml:space="preserve">(b) </w:t>
      </w:r>
      <w:proofErr w:type="gramStart"/>
      <w:r>
        <w:t>the</w:t>
      </w:r>
      <w:proofErr w:type="gramEnd"/>
      <w:r>
        <w:t xml:space="preserve"> efficient provision of pipeline services</w:t>
      </w:r>
    </w:p>
    <w:p w:rsidR="0084144C" w:rsidRDefault="0084144C" w:rsidP="00612BDA">
      <w:pPr>
        <w:pStyle w:val="AERquote"/>
        <w:spacing w:after="0"/>
        <w:rPr>
          <w:rStyle w:val="FootnoteReference"/>
        </w:rPr>
      </w:pPr>
      <w:r>
        <w:t xml:space="preserve">(c) </w:t>
      </w:r>
      <w:proofErr w:type="gramStart"/>
      <w:r>
        <w:t>the</w:t>
      </w:r>
      <w:proofErr w:type="gramEnd"/>
      <w:r>
        <w:t xml:space="preserve"> efficient use of the pipeline</w:t>
      </w:r>
      <w:r w:rsidRPr="00123D14">
        <w:t>.</w:t>
      </w:r>
      <w:r>
        <w:rPr>
          <w:rStyle w:val="FootnoteReference"/>
        </w:rPr>
        <w:footnoteReference w:id="13"/>
      </w:r>
      <w:r w:rsidR="00292820" w:rsidRPr="00292820">
        <w:rPr>
          <w:rStyle w:val="FootnoteReference"/>
        </w:rPr>
        <w:t xml:space="preserve"> </w:t>
      </w:r>
    </w:p>
    <w:p w:rsidR="00EF3DE9" w:rsidRDefault="001557D4" w:rsidP="001557D4">
      <w:r>
        <w:t xml:space="preserve">Under the NGR we have full discretion in our decision as to whether to </w:t>
      </w:r>
      <w:r w:rsidR="001F08FA">
        <w:t>apply</w:t>
      </w:r>
      <w:r>
        <w:t xml:space="preserve"> an incentive scheme.</w:t>
      </w:r>
      <w:r>
        <w:rPr>
          <w:rStyle w:val="FootnoteReference"/>
        </w:rPr>
        <w:footnoteReference w:id="14"/>
      </w:r>
    </w:p>
    <w:p w:rsidR="0084144C" w:rsidRDefault="0084144C" w:rsidP="0084144C">
      <w:pPr>
        <w:pStyle w:val="Heading3"/>
      </w:pPr>
      <w:bookmarkStart w:id="21" w:name="_Toc430702962"/>
      <w:bookmarkStart w:id="22" w:name="_Toc436054686"/>
      <w:r>
        <w:t>Interrelationships</w:t>
      </w:r>
      <w:bookmarkEnd w:id="21"/>
      <w:bookmarkEnd w:id="22"/>
    </w:p>
    <w:p w:rsidR="0084144C" w:rsidRDefault="0084144C" w:rsidP="0084144C">
      <w:r>
        <w:t xml:space="preserve">The efficiency carryover mechanism we apply to opex is intrinsically linked to a revealed cost forecasting approach for opex. Under this forecasting approach, the efficiency carryover mechanism has the </w:t>
      </w:r>
      <w:r w:rsidR="009443D7">
        <w:t xml:space="preserve">following </w:t>
      </w:r>
      <w:r>
        <w:t>functions:</w:t>
      </w:r>
    </w:p>
    <w:p w:rsidR="008E7872" w:rsidRDefault="008E7872" w:rsidP="008E7872">
      <w:pPr>
        <w:pStyle w:val="AERbulletlistfirststyle"/>
      </w:pPr>
      <w:r>
        <w:t xml:space="preserve">To provide a continuous incentive for a service provider to make efficiency gains (service providers receive the same reward for </w:t>
      </w:r>
      <w:proofErr w:type="gramStart"/>
      <w:r>
        <w:t>an underspend</w:t>
      </w:r>
      <w:proofErr w:type="gramEnd"/>
      <w:r>
        <w:t xml:space="preserve"> and the same penalty for an overspend in each year of the access arrangement period).</w:t>
      </w:r>
    </w:p>
    <w:p w:rsidR="0084144C" w:rsidRDefault="0084144C" w:rsidP="0084144C">
      <w:pPr>
        <w:pStyle w:val="AERbulletlistfirststyle"/>
      </w:pPr>
      <w:r>
        <w:t>To mitigate the incentive for a service provider to increase opex in the expected 'base year' to increase its forecast opex allowance for the following access arrangement period.</w:t>
      </w:r>
    </w:p>
    <w:p w:rsidR="009A5113" w:rsidRDefault="009A5113" w:rsidP="009A5113">
      <w:pPr>
        <w:pStyle w:val="Heading2"/>
      </w:pPr>
      <w:bookmarkStart w:id="23" w:name="_Toc408404324"/>
      <w:bookmarkStart w:id="24" w:name="_Toc436054687"/>
      <w:r w:rsidRPr="0074565D">
        <w:t xml:space="preserve">Reasons for </w:t>
      </w:r>
      <w:r w:rsidR="00CF2C05">
        <w:t>draft</w:t>
      </w:r>
      <w:r w:rsidR="00651CB2" w:rsidRPr="0074565D">
        <w:t xml:space="preserve"> </w:t>
      </w:r>
      <w:r w:rsidRPr="0074565D">
        <w:t>decision</w:t>
      </w:r>
      <w:bookmarkEnd w:id="23"/>
      <w:bookmarkEnd w:id="24"/>
      <w:r w:rsidRPr="0074565D">
        <w:t xml:space="preserve"> </w:t>
      </w:r>
    </w:p>
    <w:p w:rsidR="00B85AFF" w:rsidRDefault="00B85AFF" w:rsidP="00B85AFF">
      <w:pPr>
        <w:pStyle w:val="Heading3"/>
      </w:pPr>
      <w:bookmarkStart w:id="25" w:name="_Toc430702964"/>
      <w:bookmarkStart w:id="26" w:name="_Toc436054688"/>
      <w:r>
        <w:t>Ca</w:t>
      </w:r>
      <w:r w:rsidR="00765904">
        <w:t>rryover amounts from the 2011–</w:t>
      </w:r>
      <w:r>
        <w:t xml:space="preserve">16 </w:t>
      </w:r>
      <w:bookmarkEnd w:id="25"/>
      <w:r w:rsidR="004C0759">
        <w:t>period</w:t>
      </w:r>
      <w:bookmarkEnd w:id="26"/>
    </w:p>
    <w:p w:rsidR="00CD4FCE" w:rsidRDefault="00CD4FCE" w:rsidP="00CD4FCE">
      <w:r>
        <w:t>The efficien</w:t>
      </w:r>
      <w:r w:rsidR="00475D95">
        <w:t xml:space="preserve">cy carryover </w:t>
      </w:r>
      <w:r w:rsidR="008E7872">
        <w:t xml:space="preserve">amount </w:t>
      </w:r>
      <w:r w:rsidR="00475D95">
        <w:t>we calculate of $</w:t>
      </w:r>
      <w:r w:rsidR="004139F6">
        <w:t>4.8</w:t>
      </w:r>
      <w:r w:rsidR="00765904">
        <w:t xml:space="preserve"> million ($2015–</w:t>
      </w:r>
      <w:r>
        <w:t>16</w:t>
      </w:r>
      <w:r w:rsidR="00475D95">
        <w:t>)</w:t>
      </w:r>
      <w:r>
        <w:t xml:space="preserve"> is the same as the carryover </w:t>
      </w:r>
      <w:r w:rsidR="008E7872">
        <w:t xml:space="preserve">amount </w:t>
      </w:r>
      <w:r>
        <w:t xml:space="preserve">that AGN proposed </w:t>
      </w:r>
      <w:r w:rsidR="00965702">
        <w:t>to</w:t>
      </w:r>
      <w:r>
        <w:t xml:space="preserve"> add to the reven</w:t>
      </w:r>
      <w:r w:rsidR="004A13F7">
        <w:t>ue building blocks for the 2016</w:t>
      </w:r>
      <w:r w:rsidR="00B912A2">
        <w:t>–</w:t>
      </w:r>
      <w:r>
        <w:t>21 access arrangement period.</w:t>
      </w:r>
      <w:r w:rsidR="004D0192">
        <w:t xml:space="preserve"> As noted earlier, the $4.8 million amount differs to the $5.7 million amount initially included in AGN’s draft proposal. The difference results from AGN subsequently providing updated insurance amounts for inclusion in its Regulation Information Notice</w:t>
      </w:r>
      <w:r w:rsidR="001F08FA">
        <w:t xml:space="preserve"> (RIN)</w:t>
      </w:r>
      <w:r w:rsidR="004D0192">
        <w:t>, which we have accepted. Further, a conversion error in deriving actual opex in 2015</w:t>
      </w:r>
      <w:r w:rsidR="00316279">
        <w:t>–</w:t>
      </w:r>
      <w:r w:rsidR="004D0192">
        <w:t xml:space="preserve">16 dollars within the </w:t>
      </w:r>
      <w:r w:rsidR="001F08FA">
        <w:t>RIN</w:t>
      </w:r>
      <w:r w:rsidR="004D0192">
        <w:t xml:space="preserve"> was corrected.</w:t>
      </w:r>
    </w:p>
    <w:p w:rsidR="00D4343E" w:rsidRDefault="001408BD" w:rsidP="00B85AFF">
      <w:r>
        <w:t xml:space="preserve">Our inputs and the treatment of these inputs was the same as that </w:t>
      </w:r>
      <w:r w:rsidR="00EE7F03">
        <w:t xml:space="preserve">applied </w:t>
      </w:r>
      <w:r>
        <w:t xml:space="preserve">by AGN. We applied the equations set </w:t>
      </w:r>
      <w:r w:rsidR="00765904">
        <w:t>out in clause 5.1 of AGN’s 2011–</w:t>
      </w:r>
      <w:r>
        <w:t>16 access arrangement to calculate the total carryover amount.</w:t>
      </w:r>
    </w:p>
    <w:p w:rsidR="00B85AFF" w:rsidRDefault="00B85AFF" w:rsidP="00B85AFF">
      <w:pPr>
        <w:pStyle w:val="Heading3"/>
      </w:pPr>
      <w:bookmarkStart w:id="27" w:name="_Toc430702965"/>
      <w:bookmarkStart w:id="28" w:name="_Toc436054689"/>
      <w:r>
        <w:t>Incentive mechanism for t</w:t>
      </w:r>
      <w:r w:rsidR="00765904">
        <w:t>he 2016–</w:t>
      </w:r>
      <w:r>
        <w:t xml:space="preserve">21 </w:t>
      </w:r>
      <w:bookmarkEnd w:id="27"/>
      <w:r w:rsidR="001D615E">
        <w:t>period</w:t>
      </w:r>
      <w:bookmarkEnd w:id="28"/>
    </w:p>
    <w:p w:rsidR="00BA01C0" w:rsidRDefault="00B85AFF" w:rsidP="00EF6F9E">
      <w:r>
        <w:t>We approve the application of an efficiency carryov</w:t>
      </w:r>
      <w:r w:rsidR="00765904">
        <w:t>er mechanism to AGN in the</w:t>
      </w:r>
      <w:r w:rsidR="007B26FC">
        <w:t xml:space="preserve"> 2016</w:t>
      </w:r>
      <w:r w:rsidR="00316279">
        <w:t>–</w:t>
      </w:r>
      <w:r>
        <w:t>21</w:t>
      </w:r>
      <w:r w:rsidR="00EB5BA9">
        <w:t xml:space="preserve"> access arrangemen</w:t>
      </w:r>
      <w:r w:rsidR="00EF6F9E">
        <w:t>t</w:t>
      </w:r>
      <w:r w:rsidR="00B912A2">
        <w:t xml:space="preserve">. </w:t>
      </w:r>
    </w:p>
    <w:p w:rsidR="003C1E51" w:rsidRDefault="003C1E51" w:rsidP="00EF6F9E">
      <w:r>
        <w:t xml:space="preserve">We consider </w:t>
      </w:r>
      <w:r w:rsidR="00D4343E">
        <w:t xml:space="preserve">an </w:t>
      </w:r>
      <w:r>
        <w:t>efficiency carryover mechanism is required to provide AGN with a continuous incentive to pursue e</w:t>
      </w:r>
      <w:r w:rsidR="00765904">
        <w:t>fficiency gains during the 2016–</w:t>
      </w:r>
      <w:r>
        <w:t xml:space="preserve">21 </w:t>
      </w:r>
      <w:proofErr w:type="gramStart"/>
      <w:r>
        <w:t>period</w:t>
      </w:r>
      <w:proofErr w:type="gramEnd"/>
      <w:r>
        <w:t xml:space="preserve">. As we typically rely on a single year revealed cost approach to forecasting opex, we also consider </w:t>
      </w:r>
      <w:r w:rsidR="00D4343E">
        <w:t xml:space="preserve">an </w:t>
      </w:r>
      <w:r>
        <w:t xml:space="preserve">efficiency carryover mechanism is needed to provide AGN with an incentive not to increase its </w:t>
      </w:r>
      <w:r w:rsidR="00A81264">
        <w:t>opex in the expected base year.</w:t>
      </w:r>
    </w:p>
    <w:p w:rsidR="00EA2306" w:rsidRDefault="00EA2306" w:rsidP="00EF6F9E">
      <w:r>
        <w:t xml:space="preserve">We do not approve the efficiency carryover mechanism proposed by AGN. </w:t>
      </w:r>
      <w:r w:rsidR="00792F71">
        <w:t xml:space="preserve">We do </w:t>
      </w:r>
      <w:r>
        <w:t xml:space="preserve">not </w:t>
      </w:r>
      <w:r w:rsidR="00792F71">
        <w:t xml:space="preserve">consider it is </w:t>
      </w:r>
      <w:r>
        <w:t xml:space="preserve">consistent with the revenue pricing principles and does not adequately consider and </w:t>
      </w:r>
      <w:r w:rsidR="00792F71">
        <w:t xml:space="preserve">address </w:t>
      </w:r>
      <w:r>
        <w:t>interact</w:t>
      </w:r>
      <w:r w:rsidR="00792F71">
        <w:t>ions with our</w:t>
      </w:r>
      <w:r>
        <w:t xml:space="preserve"> revealed opex forecasting approach. </w:t>
      </w:r>
    </w:p>
    <w:p w:rsidR="007C358B" w:rsidRDefault="001F08FA" w:rsidP="00EF6F9E">
      <w:r>
        <w:t>Our</w:t>
      </w:r>
      <w:r w:rsidR="00EA2306" w:rsidDel="00EA2306">
        <w:t xml:space="preserve"> </w:t>
      </w:r>
      <w:r>
        <w:t xml:space="preserve">efficiency </w:t>
      </w:r>
      <w:r w:rsidR="00661F8C">
        <w:t>carryover</w:t>
      </w:r>
      <w:r>
        <w:t xml:space="preserve"> </w:t>
      </w:r>
      <w:r w:rsidR="00EA2306" w:rsidDel="00EA2306">
        <w:t xml:space="preserve">mechanism </w:t>
      </w:r>
      <w:r>
        <w:t xml:space="preserve">is </w:t>
      </w:r>
      <w:r w:rsidR="00EA2306" w:rsidDel="00EA2306">
        <w:t>consistent with the Efficient Benefit Sharing Scheme we published for electricity distributors in November 2013.</w:t>
      </w:r>
      <w:r w:rsidR="00EA2306" w:rsidDel="00EA2306">
        <w:rPr>
          <w:rStyle w:val="FootnoteReference"/>
        </w:rPr>
        <w:footnoteReference w:id="15"/>
      </w:r>
    </w:p>
    <w:p w:rsidR="00AA46EC" w:rsidRDefault="00AA46EC" w:rsidP="00EF6F9E"/>
    <w:p w:rsidR="00A81264" w:rsidRDefault="00927AA7" w:rsidP="00A81264">
      <w:pPr>
        <w:pStyle w:val="HeadingBoldItalic"/>
      </w:pPr>
      <w:r>
        <w:t xml:space="preserve">Sharing ratio </w:t>
      </w:r>
    </w:p>
    <w:p w:rsidR="009443D7" w:rsidRDefault="009443D7" w:rsidP="00A81264">
      <w:r w:rsidRPr="00332956">
        <w:t xml:space="preserve">AGN </w:t>
      </w:r>
      <w:r>
        <w:t>proposed increasing</w:t>
      </w:r>
      <w:r w:rsidRPr="00332956">
        <w:t xml:space="preserve"> the share of efficiency gains </w:t>
      </w:r>
      <w:r>
        <w:t xml:space="preserve">and losses </w:t>
      </w:r>
      <w:r w:rsidRPr="00332956">
        <w:t>it retains to 50 per cent.</w:t>
      </w:r>
    </w:p>
    <w:p w:rsidR="004D0192" w:rsidRDefault="00773499" w:rsidP="00A81264">
      <w:r>
        <w:t>W</w:t>
      </w:r>
      <w:r w:rsidR="00DC25B9">
        <w:t xml:space="preserve">e do not accept </w:t>
      </w:r>
      <w:r w:rsidR="0084261D">
        <w:t>AGN</w:t>
      </w:r>
      <w:r w:rsidR="00EA2306">
        <w:t>’s</w:t>
      </w:r>
      <w:r w:rsidR="008C3E29">
        <w:t xml:space="preserve"> contention</w:t>
      </w:r>
      <w:r w:rsidR="004D0192">
        <w:t xml:space="preserve"> that </w:t>
      </w:r>
      <w:r w:rsidR="0084261D">
        <w:t xml:space="preserve">businesses require an </w:t>
      </w:r>
      <w:r w:rsidR="00BF48D6">
        <w:t xml:space="preserve">increased share </w:t>
      </w:r>
      <w:r w:rsidR="0084261D">
        <w:t xml:space="preserve">of </w:t>
      </w:r>
      <w:r w:rsidR="00BF48D6">
        <w:t xml:space="preserve">efficiency gains </w:t>
      </w:r>
      <w:r w:rsidR="0084261D">
        <w:t xml:space="preserve">as time passes to ensure they continue to seek </w:t>
      </w:r>
      <w:r w:rsidR="00962694">
        <w:t>efficiency gains.</w:t>
      </w:r>
      <w:r w:rsidR="0084261D">
        <w:t xml:space="preserve"> </w:t>
      </w:r>
      <w:r w:rsidR="004D0192">
        <w:t xml:space="preserve">We do not consider that an increase in the sharing ratio of the ECM is necessary to provide AGN with effective incentives to promote economic efficiency. </w:t>
      </w:r>
      <w:r>
        <w:t>The available evidence suggests that the existing scheme has been effective in incentivising AGN to pursue opex efficiency.</w:t>
      </w:r>
      <w:r w:rsidR="008261F1">
        <w:t xml:space="preserve"> For example, in AGN’s </w:t>
      </w:r>
      <w:r w:rsidR="00765904">
        <w:t>2006–11 and 2011–</w:t>
      </w:r>
      <w:r w:rsidR="0084012B">
        <w:t xml:space="preserve">16 access arrangements, actual </w:t>
      </w:r>
      <w:r w:rsidR="00661F8C">
        <w:t xml:space="preserve">opex </w:t>
      </w:r>
      <w:r w:rsidR="008261F1">
        <w:t xml:space="preserve">was </w:t>
      </w:r>
      <w:r w:rsidR="0084012B">
        <w:t>lower than the AER approved allowance</w:t>
      </w:r>
      <w:r w:rsidR="008261F1">
        <w:t>s</w:t>
      </w:r>
      <w:r w:rsidR="0084012B">
        <w:t>.</w:t>
      </w:r>
      <w:r w:rsidR="008261F1">
        <w:rPr>
          <w:rStyle w:val="FootnoteReference"/>
        </w:rPr>
        <w:footnoteReference w:id="16"/>
      </w:r>
      <w:r w:rsidR="0084012B">
        <w:t xml:space="preserve"> </w:t>
      </w:r>
    </w:p>
    <w:p w:rsidR="00A904AA" w:rsidRDefault="004D0192" w:rsidP="00A81264">
      <w:r>
        <w:t>Further, n</w:t>
      </w:r>
      <w:r w:rsidR="00570F74">
        <w:t>o</w:t>
      </w:r>
      <w:r w:rsidR="000C20C4">
        <w:t xml:space="preserve"> evidence </w:t>
      </w:r>
      <w:r w:rsidR="00570F74">
        <w:t xml:space="preserve">was </w:t>
      </w:r>
      <w:r w:rsidR="00A904AA">
        <w:t xml:space="preserve">provided to support AGN’s case </w:t>
      </w:r>
      <w:r w:rsidR="00773499">
        <w:t xml:space="preserve">that the existing scheme will not provide it with adequate </w:t>
      </w:r>
      <w:r w:rsidR="00661F8C">
        <w:t xml:space="preserve">incentives </w:t>
      </w:r>
      <w:r w:rsidR="00773499">
        <w:t>to continue to seek efficiencies</w:t>
      </w:r>
      <w:r w:rsidR="003A578D">
        <w:t xml:space="preserve"> in the </w:t>
      </w:r>
      <w:r w:rsidR="00661F8C">
        <w:t>2016–21</w:t>
      </w:r>
      <w:r w:rsidR="003A578D">
        <w:t xml:space="preserve"> period</w:t>
      </w:r>
      <w:r w:rsidR="00773499">
        <w:t xml:space="preserve">. While AGN referred to higher ratios </w:t>
      </w:r>
      <w:r w:rsidR="00A21078">
        <w:t xml:space="preserve">that </w:t>
      </w:r>
      <w:r w:rsidR="00773499">
        <w:t xml:space="preserve">applied in the UK, it did not explain how this approach is relevant given the circumstances in Australia, including the differences in forecasting approaches applied in Australia and the UK.  </w:t>
      </w:r>
    </w:p>
    <w:p w:rsidR="004C3D8A" w:rsidRDefault="006A1C4A" w:rsidP="00A81264">
      <w:r>
        <w:t xml:space="preserve">A </w:t>
      </w:r>
      <w:r w:rsidRPr="0088659C">
        <w:t xml:space="preserve">number of </w:t>
      </w:r>
      <w:r w:rsidR="00661F8C">
        <w:t>stakeholders</w:t>
      </w:r>
      <w:r>
        <w:t xml:space="preserve"> did not support</w:t>
      </w:r>
      <w:r w:rsidR="00941327">
        <w:t xml:space="preserve"> a change that reduced </w:t>
      </w:r>
      <w:r>
        <w:t>the benefit consumers receive from efficiency gains. Th</w:t>
      </w:r>
      <w:r w:rsidR="00A73A23">
        <w:t>ese</w:t>
      </w:r>
      <w:r>
        <w:t xml:space="preserve"> included the Consumer Challenge Panel,</w:t>
      </w:r>
      <w:r w:rsidR="00E83F64">
        <w:t xml:space="preserve"> Business South Australia,</w:t>
      </w:r>
      <w:r>
        <w:t xml:space="preserve"> Energy Consumers Coalition of South Australia (ECSSA), South Australian Council of Social Service (SACSS) and the Government of South Australia.</w:t>
      </w:r>
      <w:r w:rsidR="00155497">
        <w:rPr>
          <w:rStyle w:val="FootnoteReference"/>
        </w:rPr>
        <w:footnoteReference w:id="17"/>
      </w:r>
      <w:r>
        <w:t xml:space="preserve"> </w:t>
      </w:r>
    </w:p>
    <w:p w:rsidR="006A1C4A" w:rsidRDefault="006A1C4A" w:rsidP="00A81264">
      <w:r>
        <w:t>Origin Energy and ECSSA also cautioned that the efficiency carryover mechanism should be considered with the rest of the regulatory framework to avoid creating perverse incentives, given the interlinkages.</w:t>
      </w:r>
      <w:r w:rsidR="00155497">
        <w:rPr>
          <w:rStyle w:val="FootnoteReference"/>
        </w:rPr>
        <w:footnoteReference w:id="18"/>
      </w:r>
      <w:r w:rsidR="001E0AAE">
        <w:t xml:space="preserve"> AGL recommended that we consider whether AGN’s proposal was sufficiently transparent, enforceable and equitable.</w:t>
      </w:r>
      <w:r w:rsidR="001E0AAE">
        <w:rPr>
          <w:rStyle w:val="FootnoteReference"/>
        </w:rPr>
        <w:footnoteReference w:id="19"/>
      </w:r>
      <w:r w:rsidR="001E0AAE">
        <w:t xml:space="preserve"> </w:t>
      </w:r>
    </w:p>
    <w:p w:rsidR="007134D9" w:rsidRDefault="00843422" w:rsidP="00630F21">
      <w:r>
        <w:t xml:space="preserve">While </w:t>
      </w:r>
      <w:r w:rsidR="009443D7" w:rsidRPr="00332956">
        <w:t xml:space="preserve">AGN indicated </w:t>
      </w:r>
      <w:r w:rsidR="007134D9">
        <w:t xml:space="preserve">it </w:t>
      </w:r>
      <w:r w:rsidR="007134D9" w:rsidRPr="00332956">
        <w:t>is</w:t>
      </w:r>
      <w:r w:rsidR="0061341F">
        <w:t xml:space="preserve"> </w:t>
      </w:r>
      <w:r w:rsidR="009443D7" w:rsidRPr="00332956">
        <w:t>seeking to increase the share of efficiency gains in opex it retains to 50 per cent</w:t>
      </w:r>
      <w:r>
        <w:t xml:space="preserve"> we consider that its proposed scheme</w:t>
      </w:r>
      <w:r w:rsidR="003A578D">
        <w:t xml:space="preserve"> as currently specified</w:t>
      </w:r>
      <w:r>
        <w:t xml:space="preserve"> </w:t>
      </w:r>
      <w:r w:rsidR="003A578D">
        <w:t xml:space="preserve">will result in a higher sharing ratio. </w:t>
      </w:r>
      <w:r w:rsidR="009443D7" w:rsidRPr="00332956">
        <w:t>This is because AGN’s proposed equations do not recognise any efficiency savings made after the base year and which are not reflected in the forecast for the following period. This means AGN would retain these efficiency savings for an additional five years through the opex forecast for the following access arrangement period. The impact of this treatment results in AGN</w:t>
      </w:r>
      <w:r w:rsidR="003A578D">
        <w:t>’s</w:t>
      </w:r>
      <w:r w:rsidR="009443D7" w:rsidRPr="00332956">
        <w:t xml:space="preserve"> share of the efficiency gains increasing to a value closer to 75 per cent for recurrent savings made after the base</w:t>
      </w:r>
      <w:r w:rsidR="003A578D">
        <w:t xml:space="preserve"> </w:t>
      </w:r>
      <w:r w:rsidR="009443D7" w:rsidRPr="00332956">
        <w:t>year</w:t>
      </w:r>
      <w:r w:rsidR="003A578D">
        <w:t>.</w:t>
      </w:r>
    </w:p>
    <w:p w:rsidR="0011307F" w:rsidRDefault="003A578D" w:rsidP="00630F21">
      <w:r>
        <w:t>We also consider that</w:t>
      </w:r>
      <w:r w:rsidR="000C20C4">
        <w:t xml:space="preserve"> </w:t>
      </w:r>
      <w:r w:rsidR="004C3D8A">
        <w:t>s</w:t>
      </w:r>
      <w:r w:rsidR="00FB5A51">
        <w:t>ubstantive changes to our regulatory approach</w:t>
      </w:r>
      <w:r w:rsidR="0074554A">
        <w:t>,</w:t>
      </w:r>
      <w:r w:rsidR="00FB5A51">
        <w:t xml:space="preserve"> such as </w:t>
      </w:r>
      <w:r w:rsidR="004C3D8A">
        <w:t xml:space="preserve">altering </w:t>
      </w:r>
      <w:r w:rsidR="0074554A">
        <w:t xml:space="preserve">the balance of efficiency gains </w:t>
      </w:r>
      <w:r w:rsidR="00C51960">
        <w:t xml:space="preserve">received </w:t>
      </w:r>
      <w:r w:rsidR="0074554A">
        <w:t xml:space="preserve">by customers and business, </w:t>
      </w:r>
      <w:r w:rsidR="00FB5A51">
        <w:t xml:space="preserve">or </w:t>
      </w:r>
      <w:r w:rsidR="00C51960">
        <w:t>adopting a different mechanism/</w:t>
      </w:r>
      <w:r w:rsidR="0074554A">
        <w:t xml:space="preserve">type of incentive scheme </w:t>
      </w:r>
      <w:r>
        <w:t xml:space="preserve">best </w:t>
      </w:r>
      <w:r w:rsidR="007C27E3">
        <w:t xml:space="preserve">considered </w:t>
      </w:r>
      <w:r>
        <w:t>through a consultative,</w:t>
      </w:r>
      <w:r w:rsidR="007C27E3">
        <w:t xml:space="preserve"> informed and</w:t>
      </w:r>
      <w:r>
        <w:t xml:space="preserve"> industry-wide process</w:t>
      </w:r>
      <w:r w:rsidR="0011307F">
        <w:t xml:space="preserve"> and in a process that takes into account interrelationships with our forecasting approach</w:t>
      </w:r>
      <w:r w:rsidR="007C27E3">
        <w:t>.</w:t>
      </w:r>
      <w:r w:rsidR="00B42AAC">
        <w:t xml:space="preserve"> </w:t>
      </w:r>
      <w:r w:rsidR="0011307F">
        <w:t xml:space="preserve">For example the process to develop the Expenditure Forecast Assessment Guideline recognised any incentive scheme design process must be compatible with the relevant forecasting approaches in order to promote outcomes consistent with the long terms interest of end-users. Substantive revisions to the </w:t>
      </w:r>
      <w:r w:rsidR="00B42AAC">
        <w:t xml:space="preserve">efficiency carryover mechanism for service providers </w:t>
      </w:r>
      <w:r w:rsidR="0011307F">
        <w:t xml:space="preserve">has wide ranging implications requiring input from a wider group of stakeholders than we have in this access arrangement review. </w:t>
      </w:r>
    </w:p>
    <w:p w:rsidR="00A2552A" w:rsidRPr="00B42AAC" w:rsidRDefault="00A2552A" w:rsidP="00B42AAC">
      <w:pPr>
        <w:rPr>
          <w:rFonts w:eastAsiaTheme="majorEastAsia" w:cstheme="majorBidi"/>
          <w:b/>
          <w:bCs/>
          <w:i/>
          <w:iCs/>
          <w:color w:val="51626F"/>
          <w:sz w:val="24"/>
        </w:rPr>
      </w:pPr>
      <w:r w:rsidRPr="00B42AAC">
        <w:rPr>
          <w:rFonts w:eastAsiaTheme="majorEastAsia" w:cstheme="majorBidi"/>
          <w:b/>
          <w:bCs/>
          <w:i/>
          <w:iCs/>
          <w:color w:val="51626F"/>
          <w:sz w:val="24"/>
        </w:rPr>
        <w:t xml:space="preserve">Revised equations consistent with the AER’s </w:t>
      </w:r>
      <w:r w:rsidR="00FB6CF0" w:rsidRPr="00B42AAC">
        <w:rPr>
          <w:rFonts w:eastAsiaTheme="majorEastAsia" w:cstheme="majorBidi"/>
          <w:b/>
          <w:bCs/>
          <w:i/>
          <w:iCs/>
          <w:color w:val="51626F"/>
          <w:sz w:val="24"/>
        </w:rPr>
        <w:t>EBSS</w:t>
      </w:r>
    </w:p>
    <w:p w:rsidR="00A2552A" w:rsidRDefault="00A2552A" w:rsidP="00A2552A">
      <w:r>
        <w:t xml:space="preserve">While we agree that AGN should be subject to an efficiency carryover mechanism, we do not agree with the equations AGN proposed. </w:t>
      </w:r>
      <w:r w:rsidR="00A358D0">
        <w:t>As noted above, the mechanism that AGN proposes is substantively different to the Effic</w:t>
      </w:r>
      <w:r w:rsidR="00792F71">
        <w:t xml:space="preserve">ient Benefit Sharing Scheme </w:t>
      </w:r>
      <w:r w:rsidR="00A358D0">
        <w:t xml:space="preserve">that we released in November 2013. </w:t>
      </w:r>
    </w:p>
    <w:p w:rsidR="00FB6CF0" w:rsidRDefault="008A7DAE" w:rsidP="00A2552A">
      <w:r>
        <w:t xml:space="preserve">AGN’s proposed equations </w:t>
      </w:r>
      <w:r w:rsidR="00F57165">
        <w:t xml:space="preserve">provide an incentive </w:t>
      </w:r>
      <w:r w:rsidR="00B42AAC">
        <w:t xml:space="preserve">for it </w:t>
      </w:r>
      <w:r w:rsidR="00F57165">
        <w:t>to increase expenditure in</w:t>
      </w:r>
      <w:r>
        <w:t xml:space="preserve"> the base year</w:t>
      </w:r>
      <w:r w:rsidR="00F57165">
        <w:t>, rewarding it for efficiency losses</w:t>
      </w:r>
      <w:r>
        <w:t xml:space="preserve">. Further, </w:t>
      </w:r>
      <w:r w:rsidR="00A2552A">
        <w:t xml:space="preserve">AGN’s proposed </w:t>
      </w:r>
      <w:r w:rsidR="00A73A23">
        <w:t xml:space="preserve">mechanism </w:t>
      </w:r>
      <w:r w:rsidR="00F57165">
        <w:t xml:space="preserve">would provide a reward for non-recurrent efficiency gains </w:t>
      </w:r>
      <w:r w:rsidR="0084335E">
        <w:t xml:space="preserve">made </w:t>
      </w:r>
      <w:r w:rsidR="00F57165">
        <w:t xml:space="preserve">in the final year that is greater than the value of the efficiency gain, making network customers worse off. </w:t>
      </w:r>
      <w:r w:rsidR="00A2552A">
        <w:t xml:space="preserve">As outlined previously, </w:t>
      </w:r>
      <w:r w:rsidR="00FB6CF0">
        <w:t xml:space="preserve">this is because </w:t>
      </w:r>
      <w:r w:rsidR="00A2552A">
        <w:t>AGN’s equations do not recognise efficiency gains after the base year</w:t>
      </w:r>
      <w:r w:rsidR="00FB6CF0">
        <w:t xml:space="preserve"> and </w:t>
      </w:r>
      <w:r w:rsidR="00A2552A">
        <w:t xml:space="preserve">forecast opex does not reflect these efficiency gains.  </w:t>
      </w:r>
    </w:p>
    <w:p w:rsidR="00B13C91" w:rsidRDefault="00A2552A" w:rsidP="00A2552A">
      <w:r>
        <w:t xml:space="preserve">As a result, </w:t>
      </w:r>
      <w:r w:rsidR="008A7DAE">
        <w:t xml:space="preserve">AGN’s proposed scheme </w:t>
      </w:r>
      <w:r w:rsidR="00A358D0">
        <w:t>is not consistent with the revenue pricing principles</w:t>
      </w:r>
      <w:r w:rsidR="00B13C91">
        <w:t>.</w:t>
      </w:r>
      <w:r w:rsidR="00A358D0">
        <w:t xml:space="preserve"> </w:t>
      </w:r>
      <w:r w:rsidR="00B13C91">
        <w:t xml:space="preserve">It does not provide a continuous incentive to make efficiency gains and rather than mitigating the incentive for AGN to increase opex in the expected base year, it increases this incentive. Further, the information provided as part of AGN’s supporting document does not </w:t>
      </w:r>
      <w:r w:rsidR="00A358D0">
        <w:t xml:space="preserve">adequately consider </w:t>
      </w:r>
      <w:r w:rsidR="00B13C91">
        <w:t xml:space="preserve">and address the interactions that their proposed incentive mechanism has with our </w:t>
      </w:r>
      <w:r w:rsidR="00A358D0">
        <w:t>revealed opex forecasting approach</w:t>
      </w:r>
      <w:r w:rsidR="00B13C91">
        <w:t>.</w:t>
      </w:r>
      <w:r w:rsidR="00B13C91" w:rsidDel="00B13C91">
        <w:t xml:space="preserve"> </w:t>
      </w:r>
    </w:p>
    <w:p w:rsidR="00A2552A" w:rsidRDefault="00B13C91" w:rsidP="00A2552A">
      <w:r>
        <w:t>Our revisions apply equations that are consistent with the Efficient Benefit Sharing Scheme for electricity network service providers we released in November 2013.</w:t>
      </w:r>
      <w:r w:rsidRPr="00E00FD6">
        <w:rPr>
          <w:rStyle w:val="FootnoteReference"/>
        </w:rPr>
        <w:t xml:space="preserve"> </w:t>
      </w:r>
      <w:r>
        <w:rPr>
          <w:rStyle w:val="FootnoteReference"/>
        </w:rPr>
        <w:footnoteReference w:id="20"/>
      </w:r>
    </w:p>
    <w:p w:rsidR="006B7B62" w:rsidRPr="00453087" w:rsidRDefault="003D2347" w:rsidP="006B7B62">
      <w:pPr>
        <w:pStyle w:val="HeadingBoldItalic"/>
      </w:pPr>
      <w:r w:rsidRPr="00453087">
        <w:t>Exclusions from the operation of the efficiency carryover mechanism</w:t>
      </w:r>
    </w:p>
    <w:p w:rsidR="00766F5C" w:rsidRDefault="00766F5C" w:rsidP="00766F5C">
      <w:r>
        <w:t>AGN proposed a number of adjustments and exclusions to forecast and actual opex when calculating carryover amounts. We accept most but not all of the proposed excluded cost categories and adjustments. Our decisions are consistent with the EBSS for electricity distribution network service providers.</w:t>
      </w:r>
      <w:r>
        <w:rPr>
          <w:rStyle w:val="FootnoteReference"/>
        </w:rPr>
        <w:footnoteReference w:id="21"/>
      </w:r>
    </w:p>
    <w:p w:rsidR="00EB1980" w:rsidRPr="006E7AAA" w:rsidRDefault="00EB1980" w:rsidP="006073DE">
      <w:pPr>
        <w:pStyle w:val="HeadingItalic"/>
      </w:pPr>
      <w:r>
        <w:t>Costs associated with complying with RoLR requirements</w:t>
      </w:r>
    </w:p>
    <w:p w:rsidR="001E364C" w:rsidRDefault="001E364C" w:rsidP="00735CD0">
      <w:r>
        <w:t xml:space="preserve">AGN has proposed that costs associated with an impost or complying with any retailer of last resort </w:t>
      </w:r>
      <w:r w:rsidR="00E47280">
        <w:t xml:space="preserve">(RoLR) </w:t>
      </w:r>
      <w:r>
        <w:t xml:space="preserve">requirements be excluded from the operation of the efficiency carryover mechanism. </w:t>
      </w:r>
    </w:p>
    <w:p w:rsidR="00EB1980" w:rsidRDefault="001E364C" w:rsidP="00735CD0">
      <w:r>
        <w:t xml:space="preserve">We note that </w:t>
      </w:r>
      <w:r w:rsidR="00EB1980">
        <w:t>AGN has proposed a category of pass through event relating to a Network User Failure Event. The event covers costs incurred by AGN when a user becomes insolvent or is unable to supply gas to its customers. In our assessment of pass through events (attachment 11) we consider including the proposed event in the 2016</w:t>
      </w:r>
      <w:r w:rsidR="00316279">
        <w:t>–</w:t>
      </w:r>
      <w:r w:rsidR="00EB1980">
        <w:t xml:space="preserve">21 access arrangement, if appropriately defined, would support the </w:t>
      </w:r>
      <w:r w:rsidR="00495136">
        <w:t>National Gas Objective and the Revenue and Pricing Principles</w:t>
      </w:r>
      <w:r w:rsidR="00EB1980">
        <w:t xml:space="preserve">. However, for a number of reasons we do not accept the AGN’s proposed definition of this event and require amendments to reflect changes in the NGR and the introduction of the NERL. </w:t>
      </w:r>
    </w:p>
    <w:p w:rsidR="001E364C" w:rsidRDefault="00EB1980" w:rsidP="00735CD0">
      <w:r>
        <w:t>If</w:t>
      </w:r>
      <w:r w:rsidR="001E364C">
        <w:t xml:space="preserve"> </w:t>
      </w:r>
      <w:r w:rsidR="006D1FCD">
        <w:t>a</w:t>
      </w:r>
      <w:r w:rsidR="001E364C">
        <w:t xml:space="preserve"> Network User Failure Event </w:t>
      </w:r>
      <w:r w:rsidR="006D1FCD">
        <w:t>is incl</w:t>
      </w:r>
      <w:r w:rsidR="00495136">
        <w:t xml:space="preserve">uded in the access arrangement, </w:t>
      </w:r>
      <w:r>
        <w:t xml:space="preserve">we consider that </w:t>
      </w:r>
      <w:r w:rsidR="0098196A">
        <w:t xml:space="preserve">costs of complying with RoLR requirements approved for pass through under this event would be excluded from the efficiency carryover mechanism. This is because </w:t>
      </w:r>
      <w:r>
        <w:t>clause 5.1(k)</w:t>
      </w:r>
      <w:r w:rsidR="001E364C">
        <w:t xml:space="preserve"> of the </w:t>
      </w:r>
      <w:r w:rsidR="006D1FCD">
        <w:t xml:space="preserve">revised </w:t>
      </w:r>
      <w:r>
        <w:t>access arrangement</w:t>
      </w:r>
      <w:r w:rsidR="001E364C">
        <w:t xml:space="preserve"> indicates the </w:t>
      </w:r>
      <w:r w:rsidR="001E364C" w:rsidRPr="00792F71">
        <w:t xml:space="preserve">forecast operating expenditure amount for each year of </w:t>
      </w:r>
      <w:r w:rsidR="001E364C">
        <w:t xml:space="preserve">the </w:t>
      </w:r>
      <w:r w:rsidR="001E364C" w:rsidRPr="00792F71">
        <w:t xml:space="preserve">Applicable Access Arrangement Period will be adjusted to include any Determined Pass </w:t>
      </w:r>
      <w:proofErr w:type="gramStart"/>
      <w:r w:rsidR="001E364C" w:rsidRPr="00792F71">
        <w:t>Through</w:t>
      </w:r>
      <w:proofErr w:type="gramEnd"/>
      <w:r w:rsidR="001E364C" w:rsidRPr="00792F71">
        <w:t xml:space="preserve"> Amounts</w:t>
      </w:r>
      <w:r w:rsidR="001E364C">
        <w:t xml:space="preserve">. </w:t>
      </w:r>
    </w:p>
    <w:p w:rsidR="00707F9C" w:rsidRPr="0060721A" w:rsidRDefault="00A10CBB" w:rsidP="00707F9C">
      <w:pPr>
        <w:pStyle w:val="HeadingItalic"/>
      </w:pPr>
      <w:r w:rsidRPr="0060721A">
        <w:t xml:space="preserve">Amounts for approved cost pass through events </w:t>
      </w:r>
    </w:p>
    <w:p w:rsidR="0060721A" w:rsidRPr="0060721A" w:rsidRDefault="00F2098C" w:rsidP="00707F9C">
      <w:r>
        <w:t xml:space="preserve">We agree that amounts for approved cost pass through events </w:t>
      </w:r>
      <w:r w:rsidR="00A358D0">
        <w:t xml:space="preserve">should </w:t>
      </w:r>
      <w:r>
        <w:t xml:space="preserve">be excluded from the operation of the efficiency carryover mechanism. </w:t>
      </w:r>
    </w:p>
    <w:p w:rsidR="00FF305A" w:rsidRPr="0060721A" w:rsidRDefault="00707F9C" w:rsidP="00707F9C">
      <w:r w:rsidRPr="0060721A">
        <w:t xml:space="preserve">We consider that adjusting the opex forecast ex post rather than removing the costs from actual opex is the most </w:t>
      </w:r>
      <w:r w:rsidR="0098196A">
        <w:t xml:space="preserve">straightforward </w:t>
      </w:r>
      <w:r w:rsidR="00B42AAC">
        <w:t xml:space="preserve">way </w:t>
      </w:r>
      <w:r w:rsidRPr="0060721A">
        <w:t>to apply the efficiency carryover mechanism when accounting for changes to a service provider's forecast opex</w:t>
      </w:r>
      <w:r w:rsidR="00BE42E7">
        <w:t>.</w:t>
      </w:r>
      <w:r w:rsidR="00F2098C">
        <w:t xml:space="preserve"> </w:t>
      </w:r>
      <w:r w:rsidR="00B42AAC">
        <w:t xml:space="preserve">For clarity, </w:t>
      </w:r>
      <w:r w:rsidR="00F2098C">
        <w:t>we have included a specific clause in our revisions (</w:t>
      </w:r>
      <w:r w:rsidR="001D615E">
        <w:t xml:space="preserve">revision </w:t>
      </w:r>
      <w:r w:rsidR="00F2098C">
        <w:t xml:space="preserve">clause 5.1(k) </w:t>
      </w:r>
      <w:r w:rsidR="00B42AAC">
        <w:t>that addresses this issue</w:t>
      </w:r>
      <w:r w:rsidR="007C358B">
        <w:t>)</w:t>
      </w:r>
      <w:r w:rsidR="00F2098C">
        <w:t>.</w:t>
      </w:r>
    </w:p>
    <w:p w:rsidR="006073DE" w:rsidRPr="0060721A" w:rsidRDefault="006073DE" w:rsidP="006073DE">
      <w:pPr>
        <w:pStyle w:val="HeadingItalic"/>
      </w:pPr>
      <w:r w:rsidRPr="0060721A">
        <w:t xml:space="preserve">Debt raising costs </w:t>
      </w:r>
    </w:p>
    <w:p w:rsidR="00840E46" w:rsidRDefault="00840E46" w:rsidP="00840E46">
      <w:r>
        <w:t xml:space="preserve">We agree debt raising costs should be excluded from the efficiency carryover mechanism. The efficiency carryover mechanism is designed to work in conjunction with a single year revealed expenditure approach. If a service provider reduces its opex in one period, consumers pay for efficiency carryover amounts in the next period but receive the benefits through a lower opex forecast for the next period. Where we use this forecasting approach for opex, the benefits to consumers of a lower opex forecast will always outweigh the efficiency carryover payments it will pay for. </w:t>
      </w:r>
    </w:p>
    <w:p w:rsidR="00840E46" w:rsidRDefault="00840E46" w:rsidP="00840E46">
      <w:r>
        <w:t>Where a different forecasting approach is used, there is a risk that consumers will not benefit. For instance, we forecast debt raising costs using a benchmark. If AGN reduces its actual debt raising costs in an access arrangement period and we applied the efficiency carryover mechanism, consumers will end up paying for efficiency carryover amounts but will not receive the benefits of a lower opex forecast.</w:t>
      </w:r>
    </w:p>
    <w:p w:rsidR="00556870" w:rsidRDefault="009367D5" w:rsidP="00B55966">
      <w:r>
        <w:t>W</w:t>
      </w:r>
      <w:r w:rsidR="00B55966">
        <w:t>e accept debt raising costs should be excluded from the efficiency carryover mechanism</w:t>
      </w:r>
      <w:r w:rsidR="00556870">
        <w:t xml:space="preserve">. We consider that debt raising costs would fall within the exclusion set out in the clause </w:t>
      </w:r>
      <w:r w:rsidR="009274B7">
        <w:t xml:space="preserve">that </w:t>
      </w:r>
      <w:r w:rsidR="00B55966">
        <w:t>excludes all costs not forecast using a single year revealed cost approach in the access arrang</w:t>
      </w:r>
      <w:r w:rsidR="00765904">
        <w:t>ement period following the 2016–</w:t>
      </w:r>
      <w:r w:rsidR="00B55966">
        <w:t>21 access arrangement.</w:t>
      </w:r>
      <w:r w:rsidR="006613F6">
        <w:t xml:space="preserve"> </w:t>
      </w:r>
      <w:r w:rsidR="009274B7">
        <w:t>As a result, w</w:t>
      </w:r>
      <w:r w:rsidR="00B55966">
        <w:t xml:space="preserve">e </w:t>
      </w:r>
      <w:r w:rsidR="009274B7">
        <w:t xml:space="preserve">have removed the specific debt raising cost exclusion as we do not consider it </w:t>
      </w:r>
      <w:r w:rsidR="00824BB2">
        <w:t xml:space="preserve">should </w:t>
      </w:r>
      <w:r w:rsidR="009274B7">
        <w:t xml:space="preserve">be </w:t>
      </w:r>
      <w:r w:rsidR="00B55966">
        <w:t>repeated.</w:t>
      </w:r>
    </w:p>
    <w:p w:rsidR="006073DE" w:rsidRPr="0060721A" w:rsidRDefault="006073DE" w:rsidP="006073DE">
      <w:pPr>
        <w:pStyle w:val="HeadingItalic"/>
      </w:pPr>
      <w:r w:rsidRPr="0060721A">
        <w:t>Insurance and superannuation costs</w:t>
      </w:r>
    </w:p>
    <w:p w:rsidR="006073DE" w:rsidRPr="0060721A" w:rsidRDefault="006073DE" w:rsidP="006073DE">
      <w:r w:rsidRPr="0060721A">
        <w:t>We do not accept that insurance and superannuation costs should be excluded from the operation of the efficiency carryover mechanism, notwithstan</w:t>
      </w:r>
      <w:r w:rsidR="00A64A82" w:rsidRPr="0060721A">
        <w:t>d</w:t>
      </w:r>
      <w:r w:rsidR="006074B2">
        <w:t>ing their inclusion in the 2011</w:t>
      </w:r>
      <w:r w:rsidR="00874611">
        <w:t>–</w:t>
      </w:r>
      <w:r w:rsidR="00A64A82" w:rsidRPr="0060721A">
        <w:t xml:space="preserve">16 </w:t>
      </w:r>
      <w:r w:rsidR="00FD189B">
        <w:t xml:space="preserve">access </w:t>
      </w:r>
      <w:r w:rsidRPr="0060721A">
        <w:t>arrangement</w:t>
      </w:r>
      <w:r w:rsidR="00840E46">
        <w:t xml:space="preserve"> efficiency carryover mechanism</w:t>
      </w:r>
      <w:r w:rsidRPr="0060721A">
        <w:t xml:space="preserve">. </w:t>
      </w:r>
    </w:p>
    <w:p w:rsidR="00B45E17" w:rsidRPr="0060721A" w:rsidRDefault="006073DE" w:rsidP="006073DE">
      <w:r w:rsidRPr="0060721A">
        <w:t xml:space="preserve">When opex is forecast, </w:t>
      </w:r>
      <w:r w:rsidR="00B45E17">
        <w:t xml:space="preserve">superannuation and insurance are taken into account, including </w:t>
      </w:r>
      <w:r w:rsidRPr="0060721A">
        <w:t>expected changes (increases and decreases) in costs for superannuation and insurance.</w:t>
      </w:r>
      <w:r w:rsidR="00B45E17">
        <w:rPr>
          <w:rStyle w:val="FootnoteReference"/>
        </w:rPr>
        <w:footnoteReference w:id="22"/>
      </w:r>
      <w:r w:rsidRPr="0060721A">
        <w:t xml:space="preserve"> The risk that these forecasts </w:t>
      </w:r>
      <w:r w:rsidR="00874611">
        <w:t>are</w:t>
      </w:r>
      <w:r w:rsidR="00874611" w:rsidRPr="0060721A">
        <w:t xml:space="preserve"> </w:t>
      </w:r>
      <w:r w:rsidRPr="0060721A">
        <w:t>too high or low is symmetrical</w:t>
      </w:r>
      <w:r w:rsidR="00B45E17">
        <w:t>.</w:t>
      </w:r>
      <w:r w:rsidRPr="0060721A">
        <w:t xml:space="preserve"> </w:t>
      </w:r>
      <w:r w:rsidR="00B45E17">
        <w:t>W</w:t>
      </w:r>
      <w:r w:rsidRPr="0060721A">
        <w:t xml:space="preserve">e consider </w:t>
      </w:r>
      <w:r w:rsidR="00B45E17">
        <w:t xml:space="preserve">this risk </w:t>
      </w:r>
      <w:r w:rsidRPr="0060721A">
        <w:t xml:space="preserve">should be shared between </w:t>
      </w:r>
      <w:r w:rsidR="00A64A82" w:rsidRPr="0060721A">
        <w:t xml:space="preserve">AGN </w:t>
      </w:r>
      <w:r w:rsidRPr="0060721A">
        <w:t>and its customers through the operation of the efficiency carryover mechanism in the same way other forecasting risks are shared.</w:t>
      </w:r>
    </w:p>
    <w:p w:rsidR="006073DE" w:rsidRPr="00335CBA" w:rsidRDefault="00956F6F" w:rsidP="006073DE">
      <w:pPr>
        <w:pStyle w:val="HeadingItalic"/>
      </w:pPr>
      <w:r w:rsidRPr="00335CBA">
        <w:t xml:space="preserve">Specific </w:t>
      </w:r>
      <w:r w:rsidR="00335CBA" w:rsidRPr="00335CBA">
        <w:t>un</w:t>
      </w:r>
      <w:r w:rsidR="006073DE" w:rsidRPr="00335CBA">
        <w:t xml:space="preserve">controllable costs </w:t>
      </w:r>
      <w:r w:rsidR="00335CBA" w:rsidRPr="00335CBA">
        <w:t>which the AER considers should be excluded in accordance with the NGL and NGR</w:t>
      </w:r>
    </w:p>
    <w:p w:rsidR="00256FBA" w:rsidRDefault="009C5D44" w:rsidP="00405539">
      <w:r>
        <w:t xml:space="preserve">We </w:t>
      </w:r>
      <w:r w:rsidR="00405539">
        <w:t xml:space="preserve">agree that </w:t>
      </w:r>
      <w:r w:rsidR="00874611">
        <w:t>we</w:t>
      </w:r>
      <w:r w:rsidR="00405539">
        <w:t xml:space="preserve"> should have some discretion to exclude a category of costs from the efficiency carryover mechanism where we consider excluding these costs</w:t>
      </w:r>
      <w:r w:rsidR="00661F8C">
        <w:t xml:space="preserve"> is in accordance with</w:t>
      </w:r>
      <w:r w:rsidR="00405539">
        <w:t xml:space="preserve"> the National Gas Objectives.</w:t>
      </w:r>
      <w:r w:rsidR="00AA46EC">
        <w:t xml:space="preserve"> </w:t>
      </w:r>
      <w:r w:rsidR="00405539">
        <w:t xml:space="preserve">This approach is consistent with the discretion we have to adjust the carryover amounts in our electricity network </w:t>
      </w:r>
      <w:r w:rsidR="001D615E">
        <w:t>EBSS (revision clause 5.1(j</w:t>
      </w:r>
      <w:proofErr w:type="gramStart"/>
      <w:r w:rsidR="001D615E">
        <w:t>)(</w:t>
      </w:r>
      <w:proofErr w:type="spellStart"/>
      <w:proofErr w:type="gramEnd"/>
      <w:r w:rsidR="001D615E">
        <w:t>i</w:t>
      </w:r>
      <w:proofErr w:type="spellEnd"/>
      <w:r w:rsidR="001D615E">
        <w:t>)b))</w:t>
      </w:r>
      <w:r w:rsidR="00405539">
        <w:t xml:space="preserve">. </w:t>
      </w:r>
    </w:p>
    <w:p w:rsidR="006073DE" w:rsidRPr="00871C1C" w:rsidRDefault="006073DE" w:rsidP="006073DE">
      <w:pPr>
        <w:pStyle w:val="HeadingItalic"/>
      </w:pPr>
      <w:r w:rsidRPr="00871C1C">
        <w:t xml:space="preserve">Costs </w:t>
      </w:r>
      <w:r w:rsidR="00335CBA">
        <w:t>of any other activity that AGN and the AER agree to exclude</w:t>
      </w:r>
    </w:p>
    <w:p w:rsidR="00241C6E" w:rsidRDefault="00F11B33" w:rsidP="006073DE">
      <w:r>
        <w:t xml:space="preserve">We do not accept </w:t>
      </w:r>
      <w:r w:rsidR="00B42AAC">
        <w:t xml:space="preserve">AGN’s proposal that </w:t>
      </w:r>
      <w:r w:rsidR="00465F62">
        <w:t xml:space="preserve">‘costs of any other activity that AGN and the AER agree to exclude from the operation of the EBSS’ should be </w:t>
      </w:r>
      <w:r>
        <w:t xml:space="preserve">excluded from the efficiency carryover mechanism. </w:t>
      </w:r>
    </w:p>
    <w:p w:rsidR="00004644" w:rsidRDefault="00F11B33" w:rsidP="006073DE">
      <w:r>
        <w:t xml:space="preserve">When opex is forecast, </w:t>
      </w:r>
      <w:r w:rsidR="00507306">
        <w:t xml:space="preserve">it </w:t>
      </w:r>
      <w:r w:rsidR="004E41E8">
        <w:t xml:space="preserve">takes into account </w:t>
      </w:r>
      <w:r>
        <w:t>expected changes (increases and decreases) in costs that are ou</w:t>
      </w:r>
      <w:r w:rsidR="00507306">
        <w:t>tside the control of</w:t>
      </w:r>
      <w:r w:rsidR="00C12544">
        <w:t xml:space="preserve"> AGN</w:t>
      </w:r>
      <w:r w:rsidR="00507306">
        <w:t xml:space="preserve">. </w:t>
      </w:r>
      <w:r>
        <w:t xml:space="preserve">The risk that </w:t>
      </w:r>
      <w:r w:rsidR="00507306">
        <w:t xml:space="preserve">the </w:t>
      </w:r>
      <w:r>
        <w:t xml:space="preserve">forecasts </w:t>
      </w:r>
      <w:r w:rsidR="00507306">
        <w:t xml:space="preserve">are </w:t>
      </w:r>
      <w:r>
        <w:t>too high or low is symmetrical</w:t>
      </w:r>
      <w:r w:rsidR="00B45E17">
        <w:t>.</w:t>
      </w:r>
      <w:r>
        <w:t xml:space="preserve"> </w:t>
      </w:r>
      <w:r w:rsidR="00B45E17">
        <w:t>W</w:t>
      </w:r>
      <w:r>
        <w:t xml:space="preserve">e consider should </w:t>
      </w:r>
      <w:r w:rsidR="00B45E17">
        <w:t xml:space="preserve">this risk should </w:t>
      </w:r>
      <w:r>
        <w:t xml:space="preserve">be shared between </w:t>
      </w:r>
      <w:r w:rsidR="00C12544">
        <w:t xml:space="preserve">AGN </w:t>
      </w:r>
      <w:r>
        <w:t>and its customers through the operation of the efficiency carryover mechanism in the same way other</w:t>
      </w:r>
      <w:r w:rsidR="00507306">
        <w:t xml:space="preserve"> forecasting risks are shared.</w:t>
      </w:r>
    </w:p>
    <w:p w:rsidR="00335CBA" w:rsidRPr="00871C1C" w:rsidRDefault="00335CBA" w:rsidP="00335CBA">
      <w:pPr>
        <w:pStyle w:val="HeadingItalic"/>
      </w:pPr>
      <w:r>
        <w:t xml:space="preserve">Changes in scope of activities </w:t>
      </w:r>
    </w:p>
    <w:p w:rsidR="00CD36AB" w:rsidRDefault="00CD36AB" w:rsidP="00CD36AB">
      <w:r>
        <w:t xml:space="preserve">We do not accept that the efficiency carryover mechanisms should take into account changes in scope of the activities where the scope changes arise from exogenous factors and impose material additional costs on AGN. </w:t>
      </w:r>
    </w:p>
    <w:p w:rsidR="00887892" w:rsidRDefault="00CD36AB" w:rsidP="00887892">
      <w:r>
        <w:t xml:space="preserve">When </w:t>
      </w:r>
      <w:r w:rsidR="00887892">
        <w:t xml:space="preserve">opex is forecast, it </w:t>
      </w:r>
      <w:r w:rsidR="004E41E8">
        <w:t xml:space="preserve">takes into account </w:t>
      </w:r>
      <w:r w:rsidR="00887892">
        <w:t>expected changes (increases and decreases) in costs that are outside the control of</w:t>
      </w:r>
      <w:r>
        <w:t xml:space="preserve"> AGN</w:t>
      </w:r>
      <w:r w:rsidR="00887892">
        <w:t>. The risk that the forecasts are too high or low is symmetrical. We consider th</w:t>
      </w:r>
      <w:r w:rsidR="00B45E17">
        <w:t>is</w:t>
      </w:r>
      <w:r w:rsidR="00887892">
        <w:t xml:space="preserve"> risk should be shared between </w:t>
      </w:r>
      <w:r w:rsidR="00661F8C">
        <w:t xml:space="preserve">AGN </w:t>
      </w:r>
      <w:r w:rsidR="00887892">
        <w:t>and its customers through the operation of the efficiency carryover mechanism in the same way other forecasting risks are shared.</w:t>
      </w:r>
    </w:p>
    <w:p w:rsidR="00335CBA" w:rsidRPr="00871C1C" w:rsidRDefault="00335CBA" w:rsidP="00335CBA">
      <w:pPr>
        <w:pStyle w:val="HeadingItalic"/>
      </w:pPr>
      <w:r>
        <w:t xml:space="preserve">Changes in capitalisation policy </w:t>
      </w:r>
    </w:p>
    <w:p w:rsidR="00743F94" w:rsidRDefault="00212F22" w:rsidP="00732D57">
      <w:r>
        <w:t xml:space="preserve">We </w:t>
      </w:r>
      <w:r w:rsidR="009E0634">
        <w:t xml:space="preserve">propose </w:t>
      </w:r>
      <w:r>
        <w:t xml:space="preserve">that the efficiency carryover mechanism should take into account any changes in </w:t>
      </w:r>
      <w:r w:rsidR="00874611">
        <w:t xml:space="preserve">AGN’s </w:t>
      </w:r>
      <w:r>
        <w:t xml:space="preserve">capitalisation policy, particularly given that we will not apply a capital expenditure incentive mechanism to AGN. </w:t>
      </w:r>
      <w:r w:rsidR="00335CBA">
        <w:t xml:space="preserve">We </w:t>
      </w:r>
      <w:r w:rsidR="009E0634">
        <w:t xml:space="preserve">have reinserted a standard clause which allows these changes to be taken into account, </w:t>
      </w:r>
      <w:r w:rsidR="005B7FF8">
        <w:t xml:space="preserve">subject to conditions, following the provision of detailed information </w:t>
      </w:r>
      <w:r w:rsidR="009E0634">
        <w:t xml:space="preserve">from AGN </w:t>
      </w:r>
      <w:r w:rsidR="005B7FF8">
        <w:t>to the AER.</w:t>
      </w:r>
      <w:r w:rsidR="00D217D4">
        <w:rPr>
          <w:rStyle w:val="FootnoteReference"/>
        </w:rPr>
        <w:footnoteReference w:id="23"/>
      </w:r>
      <w:bookmarkStart w:id="29" w:name="_Toc430702967"/>
    </w:p>
    <w:p w:rsidR="00043119" w:rsidRPr="00B85AFF" w:rsidRDefault="006073DE" w:rsidP="00DA0E5D">
      <w:pPr>
        <w:pStyle w:val="Heading2"/>
      </w:pPr>
      <w:bookmarkStart w:id="30" w:name="_Toc436054690"/>
      <w:r>
        <w:t xml:space="preserve">Revisions to </w:t>
      </w:r>
      <w:r w:rsidR="00023B7D">
        <w:t xml:space="preserve">AGN’s </w:t>
      </w:r>
      <w:r>
        <w:t xml:space="preserve">proposed </w:t>
      </w:r>
      <w:bookmarkEnd w:id="29"/>
      <w:r w:rsidR="00023B7D">
        <w:t>access arrangement</w:t>
      </w:r>
      <w:bookmarkEnd w:id="30"/>
    </w:p>
    <w:p w:rsidR="00817F84" w:rsidRDefault="00817F84" w:rsidP="00817F84">
      <w:r>
        <w:t>We require the following revisions to make the access arrangement proposal acceptable:</w:t>
      </w:r>
    </w:p>
    <w:p w:rsidR="00817F84" w:rsidRDefault="00817F84" w:rsidP="00DA0E5D">
      <w:r>
        <w:t>Revision 9.1:</w:t>
      </w:r>
    </w:p>
    <w:p w:rsidR="004F52CD" w:rsidRDefault="00817F84" w:rsidP="00DA0E5D">
      <w:r>
        <w:t>R</w:t>
      </w:r>
      <w:r w:rsidR="004F52CD">
        <w:t xml:space="preserve">emove clause 5.1 </w:t>
      </w:r>
      <w:r w:rsidR="00DA0E5D">
        <w:t xml:space="preserve">of the proposed access arrangement </w:t>
      </w:r>
      <w:r w:rsidR="004F52CD">
        <w:t xml:space="preserve">and replace it with the following text: </w:t>
      </w:r>
    </w:p>
    <w:p w:rsidR="009C0901" w:rsidRDefault="001A1FA6" w:rsidP="007F08EC">
      <w:pPr>
        <w:pStyle w:val="AERrevisionbox"/>
      </w:pPr>
      <w:r>
        <w:t xml:space="preserve">5.1 </w:t>
      </w:r>
      <w:r w:rsidR="004F52CD">
        <w:t>Efficiency carryover mechanism</w:t>
      </w:r>
    </w:p>
    <w:p w:rsidR="0031421E" w:rsidRDefault="0031421E" w:rsidP="007F08EC">
      <w:pPr>
        <w:pStyle w:val="AERrevisionbox"/>
      </w:pPr>
      <w:r>
        <w:t>An efficiency carryover mechanism will apply to operating expenditure.</w:t>
      </w:r>
    </w:p>
    <w:p w:rsidR="0031421E" w:rsidRDefault="0031421E" w:rsidP="007F08EC">
      <w:pPr>
        <w:pStyle w:val="AERrevisionbox"/>
      </w:pPr>
      <w:r>
        <w:t>The incentive mechanism will operate in the following way:</w:t>
      </w:r>
    </w:p>
    <w:p w:rsidR="0031421E" w:rsidRDefault="0031421E" w:rsidP="007F08EC">
      <w:pPr>
        <w:pStyle w:val="AERnumberedlistthirdstyle"/>
        <w:shd w:val="clear" w:color="auto" w:fill="F2F2F2" w:themeFill="background2" w:themeFillShade="F2"/>
      </w:pPr>
      <w:r>
        <w:t>AGN will retain the benefit of actual operating expenditure being lower, or incur the cost of actual operating expenditure being higher, than forecast operating expenditure included in the Total Revenue in each Financial Year of the Access Arrangement Period;</w:t>
      </w:r>
    </w:p>
    <w:p w:rsidR="0031421E" w:rsidRDefault="0031421E" w:rsidP="007F08EC">
      <w:pPr>
        <w:pStyle w:val="AERnumberedlistthirdstyle"/>
        <w:shd w:val="clear" w:color="auto" w:fill="F2F2F2" w:themeFill="background2" w:themeFillShade="F2"/>
      </w:pPr>
      <w:r>
        <w:t xml:space="preserve">the mechanism carries forward AGN’s incremental efficiency gains (or losses) for five Financial Years from the Financial Year those gains (or losses) occur; </w:t>
      </w:r>
    </w:p>
    <w:p w:rsidR="0031421E" w:rsidRDefault="0031421E" w:rsidP="007F08EC">
      <w:pPr>
        <w:pStyle w:val="AERnumberedlistthirdstyle"/>
        <w:shd w:val="clear" w:color="auto" w:fill="F2F2F2" w:themeFill="background2" w:themeFillShade="F2"/>
      </w:pPr>
      <w:r>
        <w:t>annual carryover amounts accrue in each Financial Year of the subsequent access arrangement period as the summation of the incremental efficiency gains (or losses) in the immediately prior access arrangement period that are carried forward for five years or less into the Financial Year; and</w:t>
      </w:r>
    </w:p>
    <w:p w:rsidR="00680EAF" w:rsidRDefault="0018368A" w:rsidP="007F08EC">
      <w:pPr>
        <w:pStyle w:val="AERnumberedlistthirdstyle"/>
        <w:shd w:val="clear" w:color="auto" w:fill="F2F2F2" w:themeFill="background2" w:themeFillShade="F2"/>
      </w:pPr>
      <w:proofErr w:type="gramStart"/>
      <w:r>
        <w:t>the</w:t>
      </w:r>
      <w:proofErr w:type="gramEnd"/>
      <w:r>
        <w:t xml:space="preserve"> annual carryover amounts are added to AGN’s total revenue in each Financial Year of the subsequent access arrangement period. If necessary, the annual efficiency gain (or loss) is carried forward into the access arrangement period commencing 1 July 2021 until it has been retained by the Service Provider for a period of five years</w:t>
      </w:r>
      <w:r w:rsidR="00DE1932">
        <w:t>.</w:t>
      </w:r>
    </w:p>
    <w:p w:rsidR="000C49BF" w:rsidRDefault="00680EAF" w:rsidP="007F08EC">
      <w:pPr>
        <w:pStyle w:val="AERnumberedlistsecondstyle"/>
        <w:shd w:val="clear" w:color="auto" w:fill="F2F2F2" w:themeFill="background2" w:themeFillShade="F2"/>
        <w:ind w:left="340"/>
      </w:pPr>
      <w:r>
        <w:t>The incremental efficiency gain</w:t>
      </w:r>
      <w:r w:rsidR="00FD189B">
        <w:t xml:space="preserve"> (loss) for financial year 2016</w:t>
      </w:r>
      <w:r w:rsidR="00316279">
        <w:t>–</w:t>
      </w:r>
      <w:r>
        <w:t>17 will be estimated using calculated using</w:t>
      </w:r>
      <w:r w:rsidR="00D73082">
        <w:t>:</w:t>
      </w:r>
    </w:p>
    <w:p w:rsidR="00A43AA9" w:rsidRDefault="00A43AA9" w:rsidP="007F08EC">
      <w:pPr>
        <w:shd w:val="clear" w:color="auto" w:fill="F2F2F2" w:themeFill="background2" w:themeFillShade="F2"/>
      </w:pPr>
      <w:r>
        <w:t>E</w:t>
      </w:r>
      <w:r>
        <w:rPr>
          <w:vertAlign w:val="subscript"/>
        </w:rPr>
        <w:t>2016-17</w:t>
      </w:r>
      <w:r w:rsidRPr="005066BF">
        <w:rPr>
          <w:vertAlign w:val="subscript"/>
        </w:rPr>
        <w:t xml:space="preserve"> </w:t>
      </w:r>
      <w:r>
        <w:t>= (F</w:t>
      </w:r>
      <w:r>
        <w:rPr>
          <w:vertAlign w:val="subscript"/>
        </w:rPr>
        <w:t>2016-17</w:t>
      </w:r>
      <w:r>
        <w:t>-A</w:t>
      </w:r>
      <w:r>
        <w:rPr>
          <w:vertAlign w:val="subscript"/>
        </w:rPr>
        <w:t>2016-17</w:t>
      </w:r>
      <w:r>
        <w:t>) - (F</w:t>
      </w:r>
      <w:r w:rsidRPr="005066BF">
        <w:rPr>
          <w:vertAlign w:val="subscript"/>
        </w:rPr>
        <w:t>2015-16</w:t>
      </w:r>
      <w:r>
        <w:t xml:space="preserve"> - A</w:t>
      </w:r>
      <w:r w:rsidRPr="005066BF">
        <w:rPr>
          <w:vertAlign w:val="subscript"/>
        </w:rPr>
        <w:t>2015-16</w:t>
      </w:r>
      <w:r>
        <w:t>) + (F</w:t>
      </w:r>
      <w:r w:rsidR="00EE65A9">
        <w:rPr>
          <w:vertAlign w:val="subscript"/>
        </w:rPr>
        <w:t>2014-15</w:t>
      </w:r>
      <w:r>
        <w:t xml:space="preserve"> – A</w:t>
      </w:r>
      <w:r w:rsidR="00EE65A9">
        <w:rPr>
          <w:vertAlign w:val="subscript"/>
        </w:rPr>
        <w:t>2014-15</w:t>
      </w:r>
      <w:r>
        <w:t>) - non-recurrent efficiency gains</w:t>
      </w:r>
      <w:r w:rsidR="00EE65A9">
        <w:rPr>
          <w:vertAlign w:val="subscript"/>
        </w:rPr>
        <w:t>2014-15</w:t>
      </w:r>
      <w:r>
        <w:t xml:space="preserve"> </w:t>
      </w:r>
    </w:p>
    <w:p w:rsidR="00A43AA9" w:rsidRDefault="00A43AA9" w:rsidP="007F08EC">
      <w:pPr>
        <w:shd w:val="clear" w:color="auto" w:fill="F2F2F2" w:themeFill="background2" w:themeFillShade="F2"/>
        <w:ind w:left="340"/>
      </w:pPr>
      <w:proofErr w:type="gramStart"/>
      <w:r>
        <w:t>where</w:t>
      </w:r>
      <w:proofErr w:type="gramEnd"/>
    </w:p>
    <w:p w:rsidR="00A43AA9" w:rsidRDefault="00A43AA9" w:rsidP="007F08EC">
      <w:pPr>
        <w:shd w:val="clear" w:color="auto" w:fill="F2F2F2" w:themeFill="background2" w:themeFillShade="F2"/>
        <w:ind w:left="340"/>
      </w:pPr>
      <w:r>
        <w:t>E</w:t>
      </w:r>
      <w:r>
        <w:rPr>
          <w:vertAlign w:val="subscript"/>
        </w:rPr>
        <w:t>2016-17</w:t>
      </w:r>
      <w:r>
        <w:t xml:space="preserve"> is the incremental efficiency gain (loss) for </w:t>
      </w:r>
      <w:r w:rsidR="00623E81">
        <w:t xml:space="preserve">financial year </w:t>
      </w:r>
      <w:r>
        <w:t>2016-17.</w:t>
      </w:r>
    </w:p>
    <w:p w:rsidR="00A43AA9" w:rsidRDefault="00A43AA9" w:rsidP="007F08EC">
      <w:pPr>
        <w:shd w:val="clear" w:color="auto" w:fill="F2F2F2" w:themeFill="background2" w:themeFillShade="F2"/>
        <w:ind w:left="340"/>
      </w:pPr>
      <w:r>
        <w:t>F</w:t>
      </w:r>
      <w:r>
        <w:rPr>
          <w:vertAlign w:val="subscript"/>
        </w:rPr>
        <w:t>2016-17</w:t>
      </w:r>
      <w:r>
        <w:t xml:space="preserve"> is the forecast operating expenditure for </w:t>
      </w:r>
      <w:r w:rsidR="00623E81">
        <w:t xml:space="preserve">financial year </w:t>
      </w:r>
      <w:r>
        <w:t>2016-17.</w:t>
      </w:r>
    </w:p>
    <w:p w:rsidR="00A43AA9" w:rsidRDefault="00A43AA9" w:rsidP="007F08EC">
      <w:pPr>
        <w:shd w:val="clear" w:color="auto" w:fill="F2F2F2" w:themeFill="background2" w:themeFillShade="F2"/>
        <w:ind w:left="340"/>
      </w:pPr>
      <w:r>
        <w:t>A</w:t>
      </w:r>
      <w:r>
        <w:rPr>
          <w:vertAlign w:val="subscript"/>
        </w:rPr>
        <w:t>2016-17</w:t>
      </w:r>
      <w:r>
        <w:t xml:space="preserve"> is the actual operating expenditure for </w:t>
      </w:r>
      <w:r w:rsidR="00623E81">
        <w:t xml:space="preserve">financial year </w:t>
      </w:r>
      <w:r>
        <w:t>2016-17.</w:t>
      </w:r>
    </w:p>
    <w:p w:rsidR="00A43AA9" w:rsidRDefault="00A43AA9" w:rsidP="007F08EC">
      <w:pPr>
        <w:shd w:val="clear" w:color="auto" w:fill="F2F2F2" w:themeFill="background2" w:themeFillShade="F2"/>
        <w:ind w:left="340"/>
      </w:pPr>
      <w:r>
        <w:t>F</w:t>
      </w:r>
      <w:r w:rsidRPr="005066BF">
        <w:rPr>
          <w:vertAlign w:val="subscript"/>
        </w:rPr>
        <w:t>2015-16</w:t>
      </w:r>
      <w:r>
        <w:t xml:space="preserve"> is the forecast operating expenditure for </w:t>
      </w:r>
      <w:r w:rsidR="00623E81">
        <w:t xml:space="preserve">financial year </w:t>
      </w:r>
      <w:r>
        <w:t>2015-16.</w:t>
      </w:r>
    </w:p>
    <w:p w:rsidR="00A43AA9" w:rsidRDefault="00A43AA9" w:rsidP="007F08EC">
      <w:pPr>
        <w:shd w:val="clear" w:color="auto" w:fill="F2F2F2" w:themeFill="background2" w:themeFillShade="F2"/>
        <w:ind w:left="340"/>
      </w:pPr>
      <w:r>
        <w:t>A</w:t>
      </w:r>
      <w:r w:rsidRPr="005066BF">
        <w:rPr>
          <w:vertAlign w:val="subscript"/>
        </w:rPr>
        <w:t>2015-16</w:t>
      </w:r>
      <w:r>
        <w:rPr>
          <w:vertAlign w:val="subscript"/>
        </w:rPr>
        <w:t xml:space="preserve"> </w:t>
      </w:r>
      <w:r>
        <w:t xml:space="preserve">is the actual operating expenditure for </w:t>
      </w:r>
      <w:r w:rsidR="00623E81">
        <w:t xml:space="preserve">financial year </w:t>
      </w:r>
      <w:r>
        <w:t>2015-16.</w:t>
      </w:r>
    </w:p>
    <w:p w:rsidR="00A43AA9" w:rsidRDefault="00A43AA9" w:rsidP="007F08EC">
      <w:pPr>
        <w:shd w:val="clear" w:color="auto" w:fill="F2F2F2" w:themeFill="background2" w:themeFillShade="F2"/>
        <w:ind w:left="340"/>
      </w:pPr>
      <w:r>
        <w:t>F</w:t>
      </w:r>
      <w:r w:rsidR="00900725">
        <w:rPr>
          <w:vertAlign w:val="subscript"/>
        </w:rPr>
        <w:t>2014-15</w:t>
      </w:r>
      <w:r>
        <w:t xml:space="preserve"> is the forecast operating expenditure for </w:t>
      </w:r>
      <w:r w:rsidR="00623E81">
        <w:t xml:space="preserve">financial year </w:t>
      </w:r>
      <w:r w:rsidR="00900725">
        <w:t>2014-15</w:t>
      </w:r>
      <w:r>
        <w:t>.</w:t>
      </w:r>
    </w:p>
    <w:p w:rsidR="00A43AA9" w:rsidRDefault="00900725" w:rsidP="007F08EC">
      <w:pPr>
        <w:shd w:val="clear" w:color="auto" w:fill="F2F2F2" w:themeFill="background2" w:themeFillShade="F2"/>
        <w:ind w:left="340"/>
      </w:pPr>
      <w:r>
        <w:t>A</w:t>
      </w:r>
      <w:r>
        <w:rPr>
          <w:vertAlign w:val="subscript"/>
        </w:rPr>
        <w:t>2014-15</w:t>
      </w:r>
      <w:r>
        <w:t xml:space="preserve"> </w:t>
      </w:r>
      <w:r w:rsidR="00A43AA9">
        <w:t xml:space="preserve">is the actual operating expenditure for </w:t>
      </w:r>
      <w:r w:rsidR="00623E81">
        <w:t xml:space="preserve">financial year </w:t>
      </w:r>
      <w:r>
        <w:t>2014-15</w:t>
      </w:r>
      <w:r w:rsidR="00A43AA9">
        <w:t>.</w:t>
      </w:r>
    </w:p>
    <w:p w:rsidR="00A43AA9" w:rsidRDefault="00A43AA9" w:rsidP="007F08EC">
      <w:pPr>
        <w:shd w:val="clear" w:color="auto" w:fill="F2F2F2" w:themeFill="background2" w:themeFillShade="F2"/>
        <w:ind w:left="340"/>
      </w:pPr>
      <w:r>
        <w:t>Non-recurrent efficiency gains</w:t>
      </w:r>
      <w:r w:rsidR="00900725">
        <w:rPr>
          <w:vertAlign w:val="subscript"/>
        </w:rPr>
        <w:t>2014-15</w:t>
      </w:r>
      <w:r>
        <w:t xml:space="preserve"> is the adjustment made to base year </w:t>
      </w:r>
      <w:r w:rsidR="002E11BB">
        <w:t>(2014</w:t>
      </w:r>
      <w:r w:rsidR="00316279">
        <w:t>–</w:t>
      </w:r>
      <w:r w:rsidR="002E11BB">
        <w:t xml:space="preserve">15) </w:t>
      </w:r>
      <w:r>
        <w:t>opex used to forecast opex for the 2016</w:t>
      </w:r>
      <w:r w:rsidR="00316279">
        <w:t>–</w:t>
      </w:r>
      <w:r>
        <w:t xml:space="preserve">21 access arrangement period to account for opex associated with one-off factors. </w:t>
      </w:r>
    </w:p>
    <w:p w:rsidR="00A43AA9" w:rsidRDefault="00A43AA9" w:rsidP="007F08EC">
      <w:pPr>
        <w:pStyle w:val="AERnumberedlistsecondstyle"/>
        <w:shd w:val="clear" w:color="auto" w:fill="F2F2F2" w:themeFill="background2" w:themeFillShade="F2"/>
        <w:ind w:left="340"/>
      </w:pPr>
      <w:r>
        <w:t xml:space="preserve">The incremental efficiency gain (or loss) for </w:t>
      </w:r>
      <w:r w:rsidR="00623E81">
        <w:t xml:space="preserve">financial years 2017-18 to 2019-20 (inclusive) will be </w:t>
      </w:r>
      <w:r>
        <w:t>calculated using:</w:t>
      </w:r>
    </w:p>
    <w:p w:rsidR="00A43AA9" w:rsidRDefault="00A43AA9" w:rsidP="007F08EC">
      <w:pPr>
        <w:shd w:val="clear" w:color="auto" w:fill="F2F2F2" w:themeFill="background2" w:themeFillShade="F2"/>
      </w:pPr>
      <w:proofErr w:type="spellStart"/>
      <w:r>
        <w:t>E</w:t>
      </w:r>
      <w:r>
        <w:rPr>
          <w:vertAlign w:val="subscript"/>
        </w:rPr>
        <w:t>i</w:t>
      </w:r>
      <w:proofErr w:type="spellEnd"/>
      <w:r w:rsidRPr="005066BF">
        <w:rPr>
          <w:vertAlign w:val="subscript"/>
        </w:rPr>
        <w:t xml:space="preserve"> </w:t>
      </w:r>
      <w:r>
        <w:t>= (F</w:t>
      </w:r>
      <w:r>
        <w:rPr>
          <w:vertAlign w:val="subscript"/>
        </w:rPr>
        <w:t>i</w:t>
      </w:r>
      <w:r>
        <w:t>-A</w:t>
      </w:r>
      <w:r>
        <w:rPr>
          <w:vertAlign w:val="subscript"/>
        </w:rPr>
        <w:t>i</w:t>
      </w:r>
      <w:r>
        <w:t>) - (</w:t>
      </w:r>
      <w:proofErr w:type="gramStart"/>
      <w:r>
        <w:t>F</w:t>
      </w:r>
      <w:r w:rsidR="00623E81">
        <w:rPr>
          <w:vertAlign w:val="subscript"/>
        </w:rPr>
        <w:t>(</w:t>
      </w:r>
      <w:proofErr w:type="gramEnd"/>
      <w:r w:rsidR="00623E81">
        <w:rPr>
          <w:vertAlign w:val="subscript"/>
        </w:rPr>
        <w:t>i</w:t>
      </w:r>
      <w:r>
        <w:rPr>
          <w:vertAlign w:val="subscript"/>
        </w:rPr>
        <w:t>-1</w:t>
      </w:r>
      <w:r w:rsidR="00623E81">
        <w:rPr>
          <w:vertAlign w:val="subscript"/>
        </w:rPr>
        <w:t>)</w:t>
      </w:r>
      <w:r>
        <w:t xml:space="preserve"> – A</w:t>
      </w:r>
      <w:r w:rsidR="00623E81">
        <w:rPr>
          <w:vertAlign w:val="subscript"/>
        </w:rPr>
        <w:t>(</w:t>
      </w:r>
      <w:proofErr w:type="spellStart"/>
      <w:r w:rsidR="00623E81">
        <w:rPr>
          <w:vertAlign w:val="subscript"/>
        </w:rPr>
        <w:t>i</w:t>
      </w:r>
      <w:proofErr w:type="spellEnd"/>
      <w:r w:rsidR="00623E81">
        <w:rPr>
          <w:vertAlign w:val="subscript"/>
        </w:rPr>
        <w:t>—</w:t>
      </w:r>
      <w:r>
        <w:rPr>
          <w:vertAlign w:val="subscript"/>
        </w:rPr>
        <w:t>1</w:t>
      </w:r>
      <w:r w:rsidR="00623E81">
        <w:rPr>
          <w:vertAlign w:val="subscript"/>
        </w:rPr>
        <w:t>)</w:t>
      </w:r>
      <w:r>
        <w:t>)</w:t>
      </w:r>
    </w:p>
    <w:p w:rsidR="00A43AA9" w:rsidRDefault="00A43AA9" w:rsidP="007F08EC">
      <w:pPr>
        <w:shd w:val="clear" w:color="auto" w:fill="F2F2F2" w:themeFill="background2" w:themeFillShade="F2"/>
        <w:ind w:left="340"/>
      </w:pPr>
      <w:proofErr w:type="gramStart"/>
      <w:r>
        <w:t>where</w:t>
      </w:r>
      <w:proofErr w:type="gramEnd"/>
    </w:p>
    <w:p w:rsidR="00A43AA9" w:rsidRDefault="00A43AA9" w:rsidP="007F08EC">
      <w:pPr>
        <w:shd w:val="clear" w:color="auto" w:fill="F2F2F2" w:themeFill="background2" w:themeFillShade="F2"/>
        <w:ind w:left="340"/>
      </w:pPr>
      <w:proofErr w:type="spellStart"/>
      <w:r>
        <w:t>E</w:t>
      </w:r>
      <w:r>
        <w:rPr>
          <w:vertAlign w:val="subscript"/>
        </w:rPr>
        <w:t>i</w:t>
      </w:r>
      <w:proofErr w:type="spellEnd"/>
      <w:r>
        <w:t xml:space="preserve"> is the incremental efficiency gain in </w:t>
      </w:r>
      <w:r w:rsidR="00AC7036">
        <w:t xml:space="preserve">financial </w:t>
      </w:r>
      <w:r>
        <w:t xml:space="preserve">year </w:t>
      </w:r>
      <w:proofErr w:type="spellStart"/>
      <w:r>
        <w:t>i</w:t>
      </w:r>
      <w:proofErr w:type="spellEnd"/>
      <w:r>
        <w:t xml:space="preserve"> of the access arrangement period.</w:t>
      </w:r>
    </w:p>
    <w:p w:rsidR="00A43AA9" w:rsidRDefault="00A43AA9" w:rsidP="007F08EC">
      <w:pPr>
        <w:shd w:val="clear" w:color="auto" w:fill="F2F2F2" w:themeFill="background2" w:themeFillShade="F2"/>
        <w:ind w:left="340"/>
      </w:pPr>
      <w:r>
        <w:t>F</w:t>
      </w:r>
      <w:r>
        <w:rPr>
          <w:vertAlign w:val="subscript"/>
        </w:rPr>
        <w:t>i</w:t>
      </w:r>
      <w:r>
        <w:t xml:space="preserve"> is the forecast operating expenditure in </w:t>
      </w:r>
      <w:r w:rsidR="00AC7036">
        <w:t xml:space="preserve">financial </w:t>
      </w:r>
      <w:r>
        <w:t xml:space="preserve">year </w:t>
      </w:r>
      <w:proofErr w:type="spellStart"/>
      <w:r>
        <w:t>i</w:t>
      </w:r>
      <w:proofErr w:type="spellEnd"/>
      <w:r>
        <w:t xml:space="preserve"> of the access arrangement period.</w:t>
      </w:r>
    </w:p>
    <w:p w:rsidR="00A43AA9" w:rsidRDefault="00A43AA9" w:rsidP="007F08EC">
      <w:pPr>
        <w:shd w:val="clear" w:color="auto" w:fill="F2F2F2" w:themeFill="background2" w:themeFillShade="F2"/>
        <w:ind w:left="340"/>
      </w:pPr>
      <w:r>
        <w:t>A</w:t>
      </w:r>
      <w:r>
        <w:rPr>
          <w:vertAlign w:val="subscript"/>
        </w:rPr>
        <w:t>i</w:t>
      </w:r>
      <w:r>
        <w:t xml:space="preserve"> is the actual operating expenditure in </w:t>
      </w:r>
      <w:r w:rsidR="00AC7036">
        <w:t xml:space="preserve">financial </w:t>
      </w:r>
      <w:r>
        <w:t xml:space="preserve">year </w:t>
      </w:r>
      <w:proofErr w:type="spellStart"/>
      <w:r>
        <w:t>i</w:t>
      </w:r>
      <w:proofErr w:type="spellEnd"/>
      <w:r>
        <w:t xml:space="preserve"> of the access arrangement period.</w:t>
      </w:r>
    </w:p>
    <w:p w:rsidR="002A1336" w:rsidRDefault="002A1336" w:rsidP="007F08EC">
      <w:pPr>
        <w:shd w:val="clear" w:color="auto" w:fill="F2F2F2" w:themeFill="background2" w:themeFillShade="F2"/>
        <w:ind w:left="340"/>
      </w:pPr>
      <w:r>
        <w:t>F</w:t>
      </w:r>
      <w:r>
        <w:rPr>
          <w:vertAlign w:val="subscript"/>
        </w:rPr>
        <w:t>i-1</w:t>
      </w:r>
      <w:r>
        <w:t xml:space="preserve"> is the forecast operating expenditure in </w:t>
      </w:r>
      <w:r w:rsidR="00AC7036">
        <w:t xml:space="preserve">financial </w:t>
      </w:r>
      <w:r>
        <w:t>year i</w:t>
      </w:r>
      <w:r w:rsidR="00D023AB">
        <w:t>-1</w:t>
      </w:r>
      <w:r>
        <w:t xml:space="preserve"> of the access arrangement period.</w:t>
      </w:r>
    </w:p>
    <w:p w:rsidR="002A1336" w:rsidRDefault="002A1336" w:rsidP="007F08EC">
      <w:pPr>
        <w:shd w:val="clear" w:color="auto" w:fill="F2F2F2" w:themeFill="background2" w:themeFillShade="F2"/>
        <w:ind w:left="340"/>
      </w:pPr>
      <w:r>
        <w:t>A</w:t>
      </w:r>
      <w:r>
        <w:rPr>
          <w:vertAlign w:val="subscript"/>
        </w:rPr>
        <w:t>i-1</w:t>
      </w:r>
      <w:r>
        <w:t xml:space="preserve"> is the actual operating expenditure in </w:t>
      </w:r>
      <w:r w:rsidR="00AC7036">
        <w:t xml:space="preserve">financial </w:t>
      </w:r>
      <w:r>
        <w:t>year i</w:t>
      </w:r>
      <w:r w:rsidR="00D023AB">
        <w:t>-1</w:t>
      </w:r>
      <w:r>
        <w:t xml:space="preserve"> of the access arrangement period.</w:t>
      </w:r>
    </w:p>
    <w:p w:rsidR="00A43AA9" w:rsidRDefault="00A43AA9" w:rsidP="007F08EC">
      <w:pPr>
        <w:pStyle w:val="AERnumberedlistsecondstyle"/>
        <w:shd w:val="clear" w:color="auto" w:fill="F2F2F2" w:themeFill="background2" w:themeFillShade="F2"/>
        <w:ind w:left="340"/>
      </w:pPr>
      <w:r>
        <w:t xml:space="preserve">Actual operating </w:t>
      </w:r>
      <w:r w:rsidR="00260D58">
        <w:t xml:space="preserve">expenditure in </w:t>
      </w:r>
      <w:r w:rsidR="00945F81">
        <w:t xml:space="preserve">the final </w:t>
      </w:r>
      <w:r w:rsidR="00623E81">
        <w:t xml:space="preserve">financial year </w:t>
      </w:r>
      <w:r w:rsidR="00945F81">
        <w:t xml:space="preserve">of the access arrangement period </w:t>
      </w:r>
      <w:r w:rsidR="00623E81">
        <w:t xml:space="preserve">is </w:t>
      </w:r>
      <w:r w:rsidR="00260D58">
        <w:t xml:space="preserve">to be estimated using: </w:t>
      </w:r>
    </w:p>
    <w:p w:rsidR="00260D58" w:rsidRPr="006369D7" w:rsidRDefault="00260D58" w:rsidP="007F08EC">
      <w:pPr>
        <w:pStyle w:val="AERrevisionbox"/>
        <w:ind w:left="340"/>
        <w:rPr>
          <w:b/>
        </w:rPr>
      </w:pPr>
      <w:r>
        <w:t>A*</w:t>
      </w:r>
      <w:r w:rsidR="00945F81">
        <w:rPr>
          <w:vertAlign w:val="subscript"/>
        </w:rPr>
        <w:t>f</w:t>
      </w:r>
      <w:r>
        <w:t xml:space="preserve"> = </w:t>
      </w:r>
      <w:proofErr w:type="spellStart"/>
      <w:r>
        <w:t>F</w:t>
      </w:r>
      <w:r w:rsidR="00945F81">
        <w:rPr>
          <w:vertAlign w:val="subscript"/>
        </w:rPr>
        <w:t>f</w:t>
      </w:r>
      <w:proofErr w:type="spellEnd"/>
      <w:r>
        <w:t xml:space="preserve"> </w:t>
      </w:r>
      <w:r>
        <w:noBreakHyphen/>
        <w:t xml:space="preserve"> (F</w:t>
      </w:r>
      <w:r w:rsidR="00945F81">
        <w:rPr>
          <w:vertAlign w:val="subscript"/>
        </w:rPr>
        <w:t>b</w:t>
      </w:r>
      <w:r>
        <w:t xml:space="preserve"> – A</w:t>
      </w:r>
      <w:r w:rsidR="00945F81">
        <w:rPr>
          <w:vertAlign w:val="subscript"/>
        </w:rPr>
        <w:t>b</w:t>
      </w:r>
      <w:r>
        <w:t xml:space="preserve">) + non recurrent efficiency </w:t>
      </w:r>
      <w:proofErr w:type="spellStart"/>
      <w:r>
        <w:t>gains</w:t>
      </w:r>
      <w:r w:rsidR="00945F81">
        <w:rPr>
          <w:vertAlign w:val="subscript"/>
        </w:rPr>
        <w:t>b</w:t>
      </w:r>
      <w:proofErr w:type="spellEnd"/>
    </w:p>
    <w:p w:rsidR="00260D58" w:rsidRDefault="00260D58" w:rsidP="007F08EC">
      <w:pPr>
        <w:pStyle w:val="AERrevisionbox"/>
        <w:ind w:left="340"/>
      </w:pPr>
      <w:proofErr w:type="gramStart"/>
      <w:r>
        <w:t>where</w:t>
      </w:r>
      <w:proofErr w:type="gramEnd"/>
    </w:p>
    <w:p w:rsidR="00260D58" w:rsidRDefault="00260D58" w:rsidP="007F08EC">
      <w:pPr>
        <w:pStyle w:val="AERrevisionbox"/>
        <w:ind w:left="340"/>
      </w:pPr>
      <w:r>
        <w:t>A*</w:t>
      </w:r>
      <w:r w:rsidR="00945F81">
        <w:rPr>
          <w:vertAlign w:val="subscript"/>
        </w:rPr>
        <w:t>f</w:t>
      </w:r>
      <w:r w:rsidR="00F4650C">
        <w:t xml:space="preserve"> </w:t>
      </w:r>
      <w:r w:rsidR="00D73082">
        <w:t xml:space="preserve">is the estimate of opex for </w:t>
      </w:r>
      <w:r w:rsidR="00623E81">
        <w:t xml:space="preserve">the </w:t>
      </w:r>
      <w:r w:rsidR="00D73082">
        <w:t>final year of the access arrangement</w:t>
      </w:r>
      <w:r w:rsidR="007B45BC">
        <w:t xml:space="preserve">. </w:t>
      </w:r>
    </w:p>
    <w:p w:rsidR="00260D58" w:rsidRDefault="00260D58" w:rsidP="007F08EC">
      <w:pPr>
        <w:pStyle w:val="AERrevisionbox"/>
        <w:ind w:left="340"/>
      </w:pPr>
      <w:proofErr w:type="spellStart"/>
      <w:r>
        <w:t>F</w:t>
      </w:r>
      <w:r w:rsidR="00945F81">
        <w:rPr>
          <w:vertAlign w:val="subscript"/>
        </w:rPr>
        <w:t>f</w:t>
      </w:r>
      <w:proofErr w:type="spellEnd"/>
      <w:r w:rsidR="00261897">
        <w:rPr>
          <w:vertAlign w:val="subscript"/>
        </w:rPr>
        <w:t xml:space="preserve"> </w:t>
      </w:r>
      <w:r w:rsidR="00D73082">
        <w:t>is the forecast opex for the final year of the access arrangement period</w:t>
      </w:r>
      <w:r w:rsidR="00623E81">
        <w:t>.</w:t>
      </w:r>
    </w:p>
    <w:p w:rsidR="00260D58" w:rsidRDefault="00260D58" w:rsidP="007F08EC">
      <w:pPr>
        <w:pStyle w:val="AERrevisionbox"/>
        <w:ind w:left="340"/>
      </w:pPr>
      <w:r>
        <w:t>F</w:t>
      </w:r>
      <w:r w:rsidR="00945F81">
        <w:rPr>
          <w:vertAlign w:val="subscript"/>
        </w:rPr>
        <w:t>b</w:t>
      </w:r>
      <w:r w:rsidR="00D73082">
        <w:t xml:space="preserve"> is the forecast opex for </w:t>
      </w:r>
      <w:r w:rsidR="007C358B">
        <w:t xml:space="preserve">the </w:t>
      </w:r>
      <w:r w:rsidR="00623E81">
        <w:t xml:space="preserve">base </w:t>
      </w:r>
      <w:r w:rsidR="00D73082">
        <w:t xml:space="preserve">year </w:t>
      </w:r>
      <w:r w:rsidR="00261897">
        <w:t>used to forecast opex in the access arrangement period following this access arrangement</w:t>
      </w:r>
      <w:r w:rsidR="00945F81">
        <w:t>.</w:t>
      </w:r>
      <w:r w:rsidR="00623E81">
        <w:t xml:space="preserve"> </w:t>
      </w:r>
    </w:p>
    <w:p w:rsidR="00260D58" w:rsidRDefault="00260D58" w:rsidP="007F08EC">
      <w:pPr>
        <w:pStyle w:val="AERrevisionbox"/>
        <w:ind w:left="340"/>
      </w:pPr>
      <w:r>
        <w:t>A</w:t>
      </w:r>
      <w:r w:rsidR="00945F81">
        <w:rPr>
          <w:vertAlign w:val="subscript"/>
        </w:rPr>
        <w:t>b</w:t>
      </w:r>
      <w:r w:rsidR="00D73082">
        <w:t xml:space="preserve"> is the actual opex</w:t>
      </w:r>
      <w:r w:rsidR="00D73082" w:rsidRPr="00D73082">
        <w:t xml:space="preserve"> </w:t>
      </w:r>
      <w:r w:rsidR="00D73082">
        <w:t xml:space="preserve">for the base year </w:t>
      </w:r>
      <w:r w:rsidR="00261897">
        <w:t>used to forecast opex in the access arrangement period following this access arrangement</w:t>
      </w:r>
      <w:r w:rsidR="00D73082">
        <w:t>.</w:t>
      </w:r>
    </w:p>
    <w:p w:rsidR="00A43AA9" w:rsidRDefault="00D73082" w:rsidP="007F08EC">
      <w:pPr>
        <w:pStyle w:val="AERrevisionbox"/>
        <w:ind w:left="340"/>
      </w:pPr>
      <w:r>
        <w:t>Non</w:t>
      </w:r>
      <w:r w:rsidR="00374A32">
        <w:t>-</w:t>
      </w:r>
      <w:r>
        <w:t xml:space="preserve">recurrent efficiency </w:t>
      </w:r>
      <w:proofErr w:type="spellStart"/>
      <w:r>
        <w:t>gains</w:t>
      </w:r>
      <w:r w:rsidR="00945F81">
        <w:rPr>
          <w:vertAlign w:val="subscript"/>
        </w:rPr>
        <w:t>b</w:t>
      </w:r>
      <w:proofErr w:type="spellEnd"/>
      <w:r w:rsidR="007B45BC">
        <w:t xml:space="preserve"> is the adjustment made to base year opex used to forecast opex for </w:t>
      </w:r>
      <w:r w:rsidR="00661F8C">
        <w:t xml:space="preserve">the access arrangement period expected to commence 1 July 2021 </w:t>
      </w:r>
      <w:r w:rsidR="007B45BC">
        <w:t>to account for opex associated with one-off factors.</w:t>
      </w:r>
    </w:p>
    <w:p w:rsidR="00F4650C" w:rsidRDefault="00F4650C" w:rsidP="007F08EC">
      <w:pPr>
        <w:pStyle w:val="AERnumberedlistsecondstyle"/>
        <w:shd w:val="clear" w:color="auto" w:fill="F2F2F2" w:themeFill="background2" w:themeFillShade="F2"/>
        <w:ind w:left="340"/>
      </w:pPr>
      <w:r>
        <w:t>The carryover amount</w:t>
      </w:r>
      <w:r w:rsidR="007B45BC">
        <w:t xml:space="preserve"> for </w:t>
      </w:r>
      <w:r w:rsidR="00FF1C8A">
        <w:t xml:space="preserve">final </w:t>
      </w:r>
      <w:r w:rsidR="009E7F71">
        <w:t xml:space="preserve">financial year </w:t>
      </w:r>
      <w:r w:rsidR="007B45BC">
        <w:t xml:space="preserve">of the access arrangement period, </w:t>
      </w:r>
      <w:r>
        <w:t xml:space="preserve">is </w:t>
      </w:r>
      <w:r w:rsidR="007B45BC">
        <w:t>to be estimated using the following equation:</w:t>
      </w:r>
    </w:p>
    <w:p w:rsidR="00F4650C" w:rsidRPr="00F4650C" w:rsidRDefault="00F4650C" w:rsidP="007F08EC">
      <w:pPr>
        <w:shd w:val="clear" w:color="auto" w:fill="F2F2F2" w:themeFill="background2" w:themeFillShade="F2"/>
      </w:pPr>
      <w:proofErr w:type="spellStart"/>
      <w:r w:rsidRPr="00F4650C">
        <w:t>E</w:t>
      </w:r>
      <w:r w:rsidR="00FF1C8A">
        <w:rPr>
          <w:vertAlign w:val="subscript"/>
        </w:rPr>
        <w:t>f</w:t>
      </w:r>
      <w:proofErr w:type="spellEnd"/>
      <w:r w:rsidRPr="00F4650C">
        <w:t>= (</w:t>
      </w:r>
      <w:proofErr w:type="spellStart"/>
      <w:r w:rsidRPr="00F4650C">
        <w:t>F</w:t>
      </w:r>
      <w:r w:rsidR="00FF1C8A">
        <w:rPr>
          <w:vertAlign w:val="subscript"/>
        </w:rPr>
        <w:t>f</w:t>
      </w:r>
      <w:proofErr w:type="spellEnd"/>
      <w:r w:rsidR="00792F71">
        <w:rPr>
          <w:vertAlign w:val="subscript"/>
        </w:rPr>
        <w:t xml:space="preserve"> </w:t>
      </w:r>
      <w:r w:rsidR="00792F71">
        <w:t xml:space="preserve">– </w:t>
      </w:r>
      <w:r w:rsidRPr="00F4650C">
        <w:t>A*</w:t>
      </w:r>
      <w:r w:rsidR="00FF1C8A">
        <w:rPr>
          <w:vertAlign w:val="subscript"/>
        </w:rPr>
        <w:t>f</w:t>
      </w:r>
      <w:r w:rsidRPr="00F4650C">
        <w:t xml:space="preserve">) </w:t>
      </w:r>
      <w:r w:rsidR="00792F71">
        <w:t>–</w:t>
      </w:r>
      <w:r w:rsidRPr="00F4650C">
        <w:t xml:space="preserve"> (F</w:t>
      </w:r>
      <w:r w:rsidR="00DD13C3">
        <w:rPr>
          <w:vertAlign w:val="subscript"/>
        </w:rPr>
        <w:t>f-1</w:t>
      </w:r>
      <w:r w:rsidRPr="00F4650C">
        <w:t xml:space="preserve"> – A</w:t>
      </w:r>
      <w:r w:rsidR="00DD13C3">
        <w:rPr>
          <w:vertAlign w:val="subscript"/>
        </w:rPr>
        <w:t>f-1</w:t>
      </w:r>
      <w:r w:rsidRPr="00F4650C">
        <w:t>)</w:t>
      </w:r>
    </w:p>
    <w:p w:rsidR="00F4650C" w:rsidRPr="00F4650C" w:rsidRDefault="00F4650C" w:rsidP="007F08EC">
      <w:pPr>
        <w:shd w:val="clear" w:color="auto" w:fill="F2F2F2" w:themeFill="background2" w:themeFillShade="F2"/>
        <w:ind w:left="340"/>
      </w:pPr>
      <w:proofErr w:type="gramStart"/>
      <w:r w:rsidRPr="00F4650C">
        <w:t>where</w:t>
      </w:r>
      <w:proofErr w:type="gramEnd"/>
    </w:p>
    <w:p w:rsidR="00F4650C" w:rsidRPr="00F4650C" w:rsidRDefault="00F4650C" w:rsidP="007F08EC">
      <w:pPr>
        <w:shd w:val="clear" w:color="auto" w:fill="F2F2F2" w:themeFill="background2" w:themeFillShade="F2"/>
        <w:ind w:left="340"/>
      </w:pPr>
      <w:proofErr w:type="spellStart"/>
      <w:r w:rsidRPr="00F4650C">
        <w:t>E</w:t>
      </w:r>
      <w:r w:rsidR="00FF1C8A">
        <w:rPr>
          <w:vertAlign w:val="subscript"/>
        </w:rPr>
        <w:t>f</w:t>
      </w:r>
      <w:proofErr w:type="spellEnd"/>
      <w:r w:rsidRPr="00F4650C">
        <w:t xml:space="preserve"> is the incremental efficiency gain </w:t>
      </w:r>
      <w:r w:rsidR="00AF3D1E">
        <w:t xml:space="preserve">for </w:t>
      </w:r>
      <w:r w:rsidR="006D647C">
        <w:t>the</w:t>
      </w:r>
      <w:r w:rsidR="007C1C82">
        <w:t xml:space="preserve"> </w:t>
      </w:r>
      <w:r w:rsidR="00AF3D1E">
        <w:t>final year of the access arrangement</w:t>
      </w:r>
      <w:r w:rsidR="00FF1C8A">
        <w:t>, expected to be the financial year 2020</w:t>
      </w:r>
      <w:r w:rsidR="00792F71">
        <w:t>–</w:t>
      </w:r>
      <w:r w:rsidR="00FF1C8A">
        <w:t>21</w:t>
      </w:r>
      <w:r w:rsidR="00AF3D1E">
        <w:t>.</w:t>
      </w:r>
      <w:r w:rsidR="006179EC">
        <w:t xml:space="preserve"> </w:t>
      </w:r>
    </w:p>
    <w:p w:rsidR="00D8628A" w:rsidRPr="00F4650C" w:rsidRDefault="00F4650C" w:rsidP="007F08EC">
      <w:pPr>
        <w:shd w:val="clear" w:color="auto" w:fill="F2F2F2" w:themeFill="background2" w:themeFillShade="F2"/>
        <w:ind w:left="340"/>
      </w:pPr>
      <w:proofErr w:type="spellStart"/>
      <w:r w:rsidRPr="00F4650C">
        <w:t>F</w:t>
      </w:r>
      <w:r w:rsidR="00FF1C8A">
        <w:rPr>
          <w:vertAlign w:val="subscript"/>
        </w:rPr>
        <w:t>f</w:t>
      </w:r>
      <w:proofErr w:type="spellEnd"/>
      <w:r w:rsidRPr="00F4650C">
        <w:t xml:space="preserve"> is the forecast </w:t>
      </w:r>
      <w:r w:rsidR="00D8628A">
        <w:t xml:space="preserve">opex for </w:t>
      </w:r>
      <w:r w:rsidR="006D647C">
        <w:t xml:space="preserve">the </w:t>
      </w:r>
      <w:r w:rsidR="00D8628A">
        <w:t>final year of the access arrangement.</w:t>
      </w:r>
    </w:p>
    <w:p w:rsidR="00F4650C" w:rsidRDefault="00F4650C" w:rsidP="007F08EC">
      <w:pPr>
        <w:shd w:val="clear" w:color="auto" w:fill="F2F2F2" w:themeFill="background2" w:themeFillShade="F2"/>
        <w:ind w:left="340"/>
      </w:pPr>
      <w:r w:rsidRPr="00F4650C">
        <w:t>A*</w:t>
      </w:r>
      <w:r w:rsidR="0019507A">
        <w:rPr>
          <w:vertAlign w:val="subscript"/>
        </w:rPr>
        <w:t>f</w:t>
      </w:r>
      <w:r w:rsidR="00D8628A">
        <w:t xml:space="preserve"> is the estimate of opex</w:t>
      </w:r>
      <w:r w:rsidR="00850665">
        <w:t xml:space="preserve"> fo</w:t>
      </w:r>
      <w:r w:rsidR="00D8628A">
        <w:t>r</w:t>
      </w:r>
      <w:r w:rsidR="00850665">
        <w:t xml:space="preserve"> </w:t>
      </w:r>
      <w:r w:rsidR="0019507A">
        <w:t xml:space="preserve">the </w:t>
      </w:r>
      <w:r w:rsidR="006D647C">
        <w:t xml:space="preserve">final </w:t>
      </w:r>
      <w:r w:rsidR="00D8628A">
        <w:t>year of the access arrangement period.</w:t>
      </w:r>
    </w:p>
    <w:p w:rsidR="00A43AA9" w:rsidRDefault="00D8628A" w:rsidP="007F08EC">
      <w:pPr>
        <w:pStyle w:val="AERnumberedlistsecondstyle"/>
        <w:shd w:val="clear" w:color="auto" w:fill="F2F2F2" w:themeFill="background2" w:themeFillShade="F2"/>
        <w:ind w:left="340"/>
      </w:pPr>
      <w:r>
        <w:t xml:space="preserve">The carryover amount for the </w:t>
      </w:r>
      <w:r w:rsidR="006179EC">
        <w:t xml:space="preserve">first year of the subsequent </w:t>
      </w:r>
      <w:r>
        <w:t>access arrangement period</w:t>
      </w:r>
      <w:r w:rsidR="006179EC">
        <w:t>,</w:t>
      </w:r>
      <w:r>
        <w:t xml:space="preserve"> </w:t>
      </w:r>
      <w:r w:rsidR="00792671">
        <w:t xml:space="preserve">expected to </w:t>
      </w:r>
      <w:r w:rsidR="006179EC">
        <w:t>commenc</w:t>
      </w:r>
      <w:r w:rsidR="00792671">
        <w:t>e</w:t>
      </w:r>
      <w:r w:rsidR="006179EC">
        <w:t xml:space="preserve"> 1 July 2021, is to be estimated using:</w:t>
      </w:r>
    </w:p>
    <w:p w:rsidR="00FD0AB9" w:rsidRDefault="00FD0AB9" w:rsidP="007F08EC">
      <w:pPr>
        <w:shd w:val="clear" w:color="auto" w:fill="F2F2F2" w:themeFill="background2" w:themeFillShade="F2"/>
      </w:pPr>
      <w:r>
        <w:t>E</w:t>
      </w:r>
      <w:r w:rsidR="005D12DE">
        <w:rPr>
          <w:vertAlign w:val="subscript"/>
        </w:rPr>
        <w:t>1</w:t>
      </w:r>
      <w:proofErr w:type="gramStart"/>
      <w:r w:rsidR="005D12DE">
        <w:rPr>
          <w:vertAlign w:val="subscript"/>
        </w:rPr>
        <w:t>,t</w:t>
      </w:r>
      <w:proofErr w:type="gramEnd"/>
      <w:r w:rsidR="005D12DE">
        <w:rPr>
          <w:vertAlign w:val="subscript"/>
        </w:rPr>
        <w:t>+1</w:t>
      </w:r>
      <w:r w:rsidRPr="005066BF">
        <w:rPr>
          <w:vertAlign w:val="subscript"/>
        </w:rPr>
        <w:t xml:space="preserve"> </w:t>
      </w:r>
      <w:r>
        <w:t>= (F</w:t>
      </w:r>
      <w:r w:rsidR="005D12DE">
        <w:rPr>
          <w:vertAlign w:val="subscript"/>
        </w:rPr>
        <w:t>1,t+1</w:t>
      </w:r>
      <w:r w:rsidR="00792F71">
        <w:rPr>
          <w:vertAlign w:val="subscript"/>
        </w:rPr>
        <w:t xml:space="preserve"> </w:t>
      </w:r>
      <w:r w:rsidR="00792F71">
        <w:t xml:space="preserve">– </w:t>
      </w:r>
      <w:r>
        <w:t>A</w:t>
      </w:r>
      <w:r w:rsidR="005D12DE">
        <w:rPr>
          <w:vertAlign w:val="subscript"/>
        </w:rPr>
        <w:t>1,t+1</w:t>
      </w:r>
      <w:r>
        <w:t xml:space="preserve">) </w:t>
      </w:r>
      <w:r w:rsidR="00792F71">
        <w:t>–</w:t>
      </w:r>
      <w:r>
        <w:t xml:space="preserve"> (</w:t>
      </w:r>
      <w:proofErr w:type="spellStart"/>
      <w:r>
        <w:t>F</w:t>
      </w:r>
      <w:r w:rsidR="005D12DE">
        <w:rPr>
          <w:vertAlign w:val="subscript"/>
        </w:rPr>
        <w:t>f</w:t>
      </w:r>
      <w:proofErr w:type="spellEnd"/>
      <w:r>
        <w:t xml:space="preserve"> </w:t>
      </w:r>
      <w:r w:rsidR="005D12DE">
        <w:t>–</w:t>
      </w:r>
      <w:r>
        <w:t xml:space="preserve"> </w:t>
      </w:r>
      <w:proofErr w:type="spellStart"/>
      <w:r>
        <w:t>A</w:t>
      </w:r>
      <w:r w:rsidR="005D12DE">
        <w:rPr>
          <w:vertAlign w:val="subscript"/>
        </w:rPr>
        <w:t>f</w:t>
      </w:r>
      <w:proofErr w:type="spellEnd"/>
      <w:r>
        <w:t>) + (F</w:t>
      </w:r>
      <w:r w:rsidR="00580B7A">
        <w:rPr>
          <w:vertAlign w:val="subscript"/>
        </w:rPr>
        <w:t>b</w:t>
      </w:r>
      <w:r>
        <w:t xml:space="preserve"> – A</w:t>
      </w:r>
      <w:r w:rsidR="00580B7A">
        <w:rPr>
          <w:vertAlign w:val="subscript"/>
        </w:rPr>
        <w:t>b</w:t>
      </w:r>
      <w:r>
        <w:t xml:space="preserve">) - non-recurrent efficiency </w:t>
      </w:r>
      <w:proofErr w:type="spellStart"/>
      <w:r>
        <w:t>gains</w:t>
      </w:r>
      <w:r w:rsidR="00580B7A">
        <w:rPr>
          <w:vertAlign w:val="subscript"/>
        </w:rPr>
        <w:t>b</w:t>
      </w:r>
      <w:proofErr w:type="spellEnd"/>
      <w:r>
        <w:t xml:space="preserve"> </w:t>
      </w:r>
    </w:p>
    <w:p w:rsidR="00FD0AB9" w:rsidRDefault="00FD0AB9" w:rsidP="007F08EC">
      <w:pPr>
        <w:shd w:val="clear" w:color="auto" w:fill="F2F2F2" w:themeFill="background2" w:themeFillShade="F2"/>
        <w:ind w:left="340"/>
      </w:pPr>
      <w:proofErr w:type="gramStart"/>
      <w:r>
        <w:t>where</w:t>
      </w:r>
      <w:proofErr w:type="gramEnd"/>
    </w:p>
    <w:p w:rsidR="00FD0AB9" w:rsidRDefault="00FD0AB9" w:rsidP="007F08EC">
      <w:pPr>
        <w:shd w:val="clear" w:color="auto" w:fill="F2F2F2" w:themeFill="background2" w:themeFillShade="F2"/>
        <w:ind w:left="340"/>
      </w:pPr>
      <w:r>
        <w:t>E</w:t>
      </w:r>
      <w:r w:rsidR="005D12DE">
        <w:rPr>
          <w:vertAlign w:val="subscript"/>
        </w:rPr>
        <w:t>1</w:t>
      </w:r>
      <w:proofErr w:type="gramStart"/>
      <w:r w:rsidR="005D12DE">
        <w:rPr>
          <w:vertAlign w:val="subscript"/>
        </w:rPr>
        <w:t>,t</w:t>
      </w:r>
      <w:proofErr w:type="gramEnd"/>
      <w:r w:rsidR="005D12DE">
        <w:rPr>
          <w:vertAlign w:val="subscript"/>
        </w:rPr>
        <w:t>+1</w:t>
      </w:r>
      <w:r w:rsidR="005D12DE">
        <w:t xml:space="preserve"> </w:t>
      </w:r>
      <w:r>
        <w:t>is the incremental</w:t>
      </w:r>
      <w:r w:rsidR="00DE05BE">
        <w:t xml:space="preserve"> efficiency gain (loss) for </w:t>
      </w:r>
      <w:r w:rsidR="005D12DE">
        <w:t xml:space="preserve">the first </w:t>
      </w:r>
      <w:r w:rsidR="007C1C82">
        <w:t xml:space="preserve">financial year </w:t>
      </w:r>
      <w:r w:rsidR="005D12DE">
        <w:t>of the access arrangement</w:t>
      </w:r>
      <w:r w:rsidR="00CF69A3">
        <w:t xml:space="preserve"> following this access arrangement</w:t>
      </w:r>
      <w:r>
        <w:t>.</w:t>
      </w:r>
    </w:p>
    <w:p w:rsidR="00FD0AB9" w:rsidRDefault="00FD0AB9" w:rsidP="007F08EC">
      <w:pPr>
        <w:shd w:val="clear" w:color="auto" w:fill="F2F2F2" w:themeFill="background2" w:themeFillShade="F2"/>
        <w:ind w:left="340"/>
      </w:pPr>
      <w:r>
        <w:t>F</w:t>
      </w:r>
      <w:r w:rsidR="005D12DE">
        <w:rPr>
          <w:vertAlign w:val="subscript"/>
        </w:rPr>
        <w:t>1, t+1</w:t>
      </w:r>
      <w:r>
        <w:t xml:space="preserve"> is the forecas</w:t>
      </w:r>
      <w:r w:rsidR="00DE05BE">
        <w:t xml:space="preserve">t operating expenditure for </w:t>
      </w:r>
      <w:r w:rsidR="005D12DE">
        <w:t xml:space="preserve">the first </w:t>
      </w:r>
      <w:r w:rsidR="007C1C82">
        <w:t xml:space="preserve">financial year </w:t>
      </w:r>
      <w:r w:rsidR="005D12DE">
        <w:t xml:space="preserve">of the </w:t>
      </w:r>
      <w:r w:rsidR="00CF69A3">
        <w:t>access arrangement following this access arrangement</w:t>
      </w:r>
      <w:r w:rsidR="005D12DE">
        <w:t xml:space="preserve">. </w:t>
      </w:r>
    </w:p>
    <w:p w:rsidR="00FD0AB9" w:rsidRDefault="00FD0AB9" w:rsidP="007F08EC">
      <w:pPr>
        <w:shd w:val="clear" w:color="auto" w:fill="F2F2F2" w:themeFill="background2" w:themeFillShade="F2"/>
        <w:ind w:left="340"/>
      </w:pPr>
      <w:r>
        <w:t>A</w:t>
      </w:r>
      <w:r w:rsidR="005D12DE">
        <w:rPr>
          <w:vertAlign w:val="subscript"/>
        </w:rPr>
        <w:t xml:space="preserve">1, t+1 </w:t>
      </w:r>
      <w:r>
        <w:t>is the actua</w:t>
      </w:r>
      <w:r w:rsidR="00DE05BE">
        <w:t xml:space="preserve">l operating expenditure for </w:t>
      </w:r>
      <w:r w:rsidR="005D12DE">
        <w:t xml:space="preserve">the first </w:t>
      </w:r>
      <w:r w:rsidR="007C1C82">
        <w:t xml:space="preserve">financial year </w:t>
      </w:r>
      <w:r w:rsidR="00CF69A3">
        <w:t>of the access arrangement following this access arrangement</w:t>
      </w:r>
      <w:r>
        <w:t>.</w:t>
      </w:r>
    </w:p>
    <w:p w:rsidR="00FD0AB9" w:rsidRDefault="00FD0AB9" w:rsidP="007F08EC">
      <w:pPr>
        <w:shd w:val="clear" w:color="auto" w:fill="F2F2F2" w:themeFill="background2" w:themeFillShade="F2"/>
        <w:ind w:left="340"/>
      </w:pPr>
      <w:proofErr w:type="spellStart"/>
      <w:r>
        <w:t>F</w:t>
      </w:r>
      <w:r w:rsidR="005D12DE">
        <w:rPr>
          <w:vertAlign w:val="subscript"/>
        </w:rPr>
        <w:t>f</w:t>
      </w:r>
      <w:proofErr w:type="spellEnd"/>
      <w:r>
        <w:t xml:space="preserve"> is the forecast operating exp</w:t>
      </w:r>
      <w:r w:rsidR="00DE05BE">
        <w:t>enditure</w:t>
      </w:r>
      <w:r w:rsidR="007C358B">
        <w:t xml:space="preserve"> for</w:t>
      </w:r>
      <w:r w:rsidR="00DE05BE">
        <w:t xml:space="preserve"> </w:t>
      </w:r>
      <w:r w:rsidR="007C1C82">
        <w:t xml:space="preserve">the final </w:t>
      </w:r>
      <w:r w:rsidR="00DE05BE">
        <w:t>year of the 2016</w:t>
      </w:r>
      <w:r w:rsidR="00316279">
        <w:t>–</w:t>
      </w:r>
      <w:r w:rsidR="00DE05BE">
        <w:t xml:space="preserve">21 access arrangement </w:t>
      </w:r>
      <w:proofErr w:type="gramStart"/>
      <w:r w:rsidR="00DE05BE">
        <w:t>period</w:t>
      </w:r>
      <w:proofErr w:type="gramEnd"/>
      <w:r>
        <w:t>.</w:t>
      </w:r>
    </w:p>
    <w:p w:rsidR="00FD0AB9" w:rsidRDefault="00FD0AB9" w:rsidP="007F08EC">
      <w:pPr>
        <w:shd w:val="clear" w:color="auto" w:fill="F2F2F2" w:themeFill="background2" w:themeFillShade="F2"/>
        <w:ind w:left="340"/>
      </w:pPr>
      <w:proofErr w:type="spellStart"/>
      <w:proofErr w:type="gramStart"/>
      <w:r>
        <w:t>A</w:t>
      </w:r>
      <w:r w:rsidR="005D12DE">
        <w:rPr>
          <w:vertAlign w:val="subscript"/>
        </w:rPr>
        <w:t>f</w:t>
      </w:r>
      <w:proofErr w:type="spellEnd"/>
      <w:proofErr w:type="gramEnd"/>
      <w:r>
        <w:rPr>
          <w:vertAlign w:val="subscript"/>
        </w:rPr>
        <w:t xml:space="preserve"> </w:t>
      </w:r>
      <w:r>
        <w:t>is the actua</w:t>
      </w:r>
      <w:r w:rsidR="00DE05BE">
        <w:t>l operating expenditure for the</w:t>
      </w:r>
      <w:r w:rsidR="007C1C82">
        <w:t xml:space="preserve"> final</w:t>
      </w:r>
      <w:r w:rsidR="00DE05BE">
        <w:t xml:space="preserve"> year of the 2016</w:t>
      </w:r>
      <w:r w:rsidR="00316279">
        <w:t>–</w:t>
      </w:r>
      <w:r w:rsidR="00DE05BE">
        <w:t>21 access arrangement period.</w:t>
      </w:r>
    </w:p>
    <w:p w:rsidR="007C1C82" w:rsidRDefault="00FD0AB9" w:rsidP="007F08EC">
      <w:pPr>
        <w:shd w:val="clear" w:color="auto" w:fill="F2F2F2" w:themeFill="background2" w:themeFillShade="F2"/>
        <w:ind w:left="340"/>
      </w:pPr>
      <w:r>
        <w:t>F</w:t>
      </w:r>
      <w:r w:rsidR="00580B7A">
        <w:rPr>
          <w:vertAlign w:val="subscript"/>
        </w:rPr>
        <w:t>b</w:t>
      </w:r>
      <w:r>
        <w:t xml:space="preserve"> is the forecast operating expenditure for </w:t>
      </w:r>
      <w:r w:rsidR="007C1C82">
        <w:t xml:space="preserve">the </w:t>
      </w:r>
      <w:r>
        <w:t>ba</w:t>
      </w:r>
      <w:r w:rsidR="007C1C82">
        <w:t>se year</w:t>
      </w:r>
      <w:r w:rsidR="007C1C82" w:rsidRPr="007C1C82">
        <w:t xml:space="preserve"> </w:t>
      </w:r>
      <w:r w:rsidR="007C1C82">
        <w:t>used to forecast opex in the access arrangement period</w:t>
      </w:r>
      <w:r w:rsidR="00CF69A3">
        <w:t xml:space="preserve"> following this access arrangement</w:t>
      </w:r>
      <w:r w:rsidR="004D0B2A">
        <w:t>.</w:t>
      </w:r>
    </w:p>
    <w:p w:rsidR="00FD0AB9" w:rsidRDefault="00FD0AB9" w:rsidP="007F08EC">
      <w:pPr>
        <w:shd w:val="clear" w:color="auto" w:fill="F2F2F2" w:themeFill="background2" w:themeFillShade="F2"/>
        <w:ind w:left="340"/>
      </w:pPr>
      <w:r>
        <w:t>A</w:t>
      </w:r>
      <w:r w:rsidR="00580B7A">
        <w:rPr>
          <w:vertAlign w:val="subscript"/>
        </w:rPr>
        <w:t>b</w:t>
      </w:r>
      <w:r>
        <w:t xml:space="preserve"> is the actual operating expenditure for </w:t>
      </w:r>
      <w:r w:rsidR="007C1C82">
        <w:t xml:space="preserve">the </w:t>
      </w:r>
      <w:r>
        <w:t xml:space="preserve">base year </w:t>
      </w:r>
      <w:r w:rsidR="007C1C82">
        <w:t>used to forecast opex in the</w:t>
      </w:r>
      <w:r w:rsidR="00CF69A3">
        <w:t xml:space="preserve"> access arrangement period following this </w:t>
      </w:r>
      <w:r>
        <w:t>access a</w:t>
      </w:r>
      <w:r w:rsidR="00DE05BE">
        <w:t>rrangement</w:t>
      </w:r>
      <w:r>
        <w:t>.</w:t>
      </w:r>
    </w:p>
    <w:p w:rsidR="00FD0AB9" w:rsidRDefault="00FD0AB9" w:rsidP="007F08EC">
      <w:pPr>
        <w:shd w:val="clear" w:color="auto" w:fill="F2F2F2" w:themeFill="background2" w:themeFillShade="F2"/>
        <w:ind w:left="340"/>
      </w:pPr>
      <w:r>
        <w:t xml:space="preserve">Non-recurrent efficiency </w:t>
      </w:r>
      <w:proofErr w:type="spellStart"/>
      <w:r>
        <w:t>gains</w:t>
      </w:r>
      <w:r w:rsidR="00580B7A">
        <w:rPr>
          <w:vertAlign w:val="subscript"/>
        </w:rPr>
        <w:t>b</w:t>
      </w:r>
      <w:proofErr w:type="spellEnd"/>
      <w:r w:rsidR="007C1C82">
        <w:rPr>
          <w:vertAlign w:val="subscript"/>
        </w:rPr>
        <w:t xml:space="preserve"> </w:t>
      </w:r>
      <w:r>
        <w:t>is the adjustment made to base year opex us</w:t>
      </w:r>
      <w:r w:rsidR="009C18DF">
        <w:t>ed to forecast opex for the</w:t>
      </w:r>
      <w:r w:rsidR="007C358B">
        <w:t xml:space="preserve"> </w:t>
      </w:r>
      <w:r>
        <w:t xml:space="preserve">access arrangement period </w:t>
      </w:r>
      <w:r w:rsidR="009C18DF">
        <w:t xml:space="preserve">following this access arrangement </w:t>
      </w:r>
      <w:r>
        <w:t xml:space="preserve">to account for opex associated with one-off factors. </w:t>
      </w:r>
    </w:p>
    <w:p w:rsidR="00DE1932" w:rsidRDefault="00DE1932" w:rsidP="007F08EC">
      <w:pPr>
        <w:pStyle w:val="AERnumberedlistsecondstyle"/>
        <w:shd w:val="clear" w:color="auto" w:fill="F2F2F2" w:themeFill="background2" w:themeFillShade="F2"/>
        <w:ind w:left="340"/>
      </w:pPr>
      <w:r>
        <w:t>For the avoidance of doubt</w:t>
      </w:r>
      <w:r w:rsidR="00636E7E">
        <w:t xml:space="preserve"> the incremental efficiency gains (or losses) are carried over from financial year to financial year in real dollars to ensure that these gains (or losses) are not eroded by inflation. The price indices used in this calculation are to be consistent with those used in the access arrangement.</w:t>
      </w:r>
    </w:p>
    <w:p w:rsidR="00DE1932" w:rsidRDefault="00DE1932" w:rsidP="007F08EC">
      <w:pPr>
        <w:pStyle w:val="AERnumberedlistsecondstyle"/>
        <w:shd w:val="clear" w:color="auto" w:fill="F2F2F2" w:themeFill="background2" w:themeFillShade="F2"/>
        <w:ind w:left="340"/>
      </w:pPr>
      <w:r>
        <w:t>Increments or decrements from the summation of incremental efficiency gains or losses calculated in accordance with the approved incentive mechanism in the Access Arrangement Period will give rise to an additional ‘building block’ in the calculation of the Total Revenue amounts for each Financial Year of the subsequent access arrangement period.</w:t>
      </w:r>
    </w:p>
    <w:p w:rsidR="00DE1932" w:rsidRDefault="00DE1932" w:rsidP="007F08EC">
      <w:pPr>
        <w:pStyle w:val="AERnumberedlistsecondstyle"/>
        <w:shd w:val="clear" w:color="auto" w:fill="F2F2F2" w:themeFill="background2" w:themeFillShade="F2"/>
        <w:ind w:left="340"/>
      </w:pPr>
      <w:r>
        <w:t>The following costs will be excluded from the operation of the efficiency carryover mechanism:</w:t>
      </w:r>
    </w:p>
    <w:p w:rsidR="001C604F" w:rsidRDefault="001C604F" w:rsidP="007F08EC">
      <w:pPr>
        <w:pStyle w:val="AERnumberedlistthirdstyle"/>
        <w:numPr>
          <w:ilvl w:val="0"/>
          <w:numId w:val="41"/>
        </w:numPr>
        <w:shd w:val="clear" w:color="auto" w:fill="F2F2F2" w:themeFill="background2" w:themeFillShade="F2"/>
      </w:pPr>
      <w:r>
        <w:t>any cost category that</w:t>
      </w:r>
    </w:p>
    <w:p w:rsidR="001C604F" w:rsidRDefault="001C604F" w:rsidP="007F08EC">
      <w:pPr>
        <w:pStyle w:val="AERnumberedlistthirdstyle"/>
        <w:numPr>
          <w:ilvl w:val="1"/>
          <w:numId w:val="41"/>
        </w:numPr>
        <w:shd w:val="clear" w:color="auto" w:fill="F2F2F2" w:themeFill="background2" w:themeFillShade="F2"/>
      </w:pPr>
      <w:r>
        <w:t>is not forecast using a single year revealed cost approach in the access arrangement period following this Access Arrangement Period (intended to commence 1 July 2021); and</w:t>
      </w:r>
    </w:p>
    <w:p w:rsidR="001C604F" w:rsidRDefault="001C604F" w:rsidP="007F08EC">
      <w:pPr>
        <w:pStyle w:val="AERnumberedlistthirdstyle"/>
        <w:numPr>
          <w:ilvl w:val="1"/>
          <w:numId w:val="41"/>
        </w:numPr>
        <w:shd w:val="clear" w:color="auto" w:fill="F2F2F2" w:themeFill="background2" w:themeFillShade="F2"/>
      </w:pPr>
      <w:proofErr w:type="gramStart"/>
      <w:r>
        <w:t>the</w:t>
      </w:r>
      <w:proofErr w:type="gramEnd"/>
      <w:r>
        <w:t xml:space="preserve"> AER determines, as part of a decision on revisions to apply to this Access Arrangement, to exclude from the operation of the efficiency carryover mechanism because it is satisfied that it would not promote the National Gas Objective. </w:t>
      </w:r>
    </w:p>
    <w:p w:rsidR="00792F71" w:rsidRDefault="002975A0" w:rsidP="007F08EC">
      <w:pPr>
        <w:pStyle w:val="AERnumberedlistsecondstyle"/>
        <w:shd w:val="clear" w:color="auto" w:fill="F2F2F2" w:themeFill="background2" w:themeFillShade="F2"/>
        <w:ind w:left="340"/>
      </w:pPr>
      <w:r w:rsidRPr="00792F71">
        <w:t xml:space="preserve">The </w:t>
      </w:r>
      <w:r w:rsidR="00792F71" w:rsidRPr="00792F71">
        <w:t xml:space="preserve">forecast operating expenditure amount for each year of </w:t>
      </w:r>
      <w:r w:rsidR="00091AAF">
        <w:t xml:space="preserve">the </w:t>
      </w:r>
      <w:r w:rsidR="00792F71" w:rsidRPr="00792F71">
        <w:t>Applicable Access Arrangement Period will be adjusted to include any Determined Pass Through Amounts or other AER approved expenditure arising from Cost Pass Through Events which apply in respect of that year</w:t>
      </w:r>
    </w:p>
    <w:p w:rsidR="00EA7B76" w:rsidRDefault="00BF2C8A" w:rsidP="007F08EC">
      <w:pPr>
        <w:pStyle w:val="AERnumberedlistsecondstyle"/>
        <w:shd w:val="clear" w:color="auto" w:fill="F2F2F2" w:themeFill="background2" w:themeFillShade="F2"/>
        <w:ind w:left="340"/>
      </w:pPr>
      <w:r w:rsidRPr="00F6740A">
        <w:t xml:space="preserve">Where the </w:t>
      </w:r>
      <w:r>
        <w:t xml:space="preserve">AGN </w:t>
      </w:r>
      <w:r w:rsidRPr="00F6740A">
        <w:t>changes its approach to classifying costs as either capital expenditure or op</w:t>
      </w:r>
      <w:r>
        <w:t>erating expenditure during the access arrangement p</w:t>
      </w:r>
      <w:r w:rsidRPr="00F6740A">
        <w:t xml:space="preserve">eriod, </w:t>
      </w:r>
      <w:r>
        <w:t xml:space="preserve">AGN </w:t>
      </w:r>
      <w:r w:rsidRPr="00F6740A">
        <w:t xml:space="preserve">will adjust the forecast operating expenditure </w:t>
      </w:r>
      <w:r>
        <w:t>in the access arrangement i</w:t>
      </w:r>
      <w:r w:rsidRPr="00F6740A">
        <w:t>nformation so that the forecast expenditures are consistent with the capitalisation policy changes</w:t>
      </w:r>
      <w:r>
        <w:t>.</w:t>
      </w:r>
    </w:p>
    <w:p w:rsidR="00DE1932" w:rsidRDefault="00BF2C8A" w:rsidP="007F08EC">
      <w:pPr>
        <w:pStyle w:val="AERnumberedlistsecondstyle"/>
        <w:shd w:val="clear" w:color="auto" w:fill="F2F2F2" w:themeFill="background2" w:themeFillShade="F2"/>
        <w:ind w:left="340"/>
      </w:pPr>
      <w:r>
        <w:t xml:space="preserve">If there is a change in AGN’s </w:t>
      </w:r>
      <w:r w:rsidRPr="00F6740A">
        <w:t xml:space="preserve">approach to classifying costs as either capital expenditure or operating expenditure, </w:t>
      </w:r>
      <w:r>
        <w:t xml:space="preserve">AGN </w:t>
      </w:r>
      <w:r w:rsidRPr="00F6740A">
        <w:t>must provide to the AER a detailed description of the change and a calculation of its impact on forecast and actual operating expenditure.</w:t>
      </w:r>
    </w:p>
    <w:p w:rsidR="00C03885" w:rsidRDefault="00C03885" w:rsidP="001A1FA6">
      <w:pPr>
        <w:spacing w:line="240" w:lineRule="auto"/>
      </w:pPr>
    </w:p>
    <w:sectPr w:rsidR="00C03885"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C9A" w:rsidRPr="00290C63" w:rsidRDefault="00F50C9A" w:rsidP="00290C63">
      <w:r>
        <w:separator/>
      </w:r>
    </w:p>
    <w:p w:rsidR="00F50C9A" w:rsidRDefault="00F50C9A"/>
  </w:endnote>
  <w:endnote w:type="continuationSeparator" w:id="0">
    <w:p w:rsidR="00F50C9A" w:rsidRPr="00290C63" w:rsidRDefault="00F50C9A" w:rsidP="00290C63">
      <w:r>
        <w:continuationSeparator/>
      </w:r>
    </w:p>
    <w:p w:rsidR="00F50C9A" w:rsidRDefault="00F50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9A" w:rsidRDefault="00F50C9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F50C9A" w:rsidRDefault="00F50C9A">
    <w:pPr>
      <w:pStyle w:val="Footer"/>
    </w:pPr>
  </w:p>
  <w:p w:rsidR="00F50C9A" w:rsidRDefault="00F50C9A">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F50C9A" w:rsidRPr="00CA52A2" w:rsidRDefault="00F50C9A" w:rsidP="00CA52A2">
        <w:pPr>
          <w:pStyle w:val="Footer"/>
        </w:pPr>
        <w:r w:rsidRPr="00CA52A2">
          <w:fldChar w:fldCharType="begin"/>
        </w:r>
        <w:r>
          <w:instrText xml:space="preserve"> PAGE   \* MERGEFORMAT </w:instrText>
        </w:r>
        <w:r w:rsidRPr="00CA52A2">
          <w:fldChar w:fldCharType="separate"/>
        </w:r>
        <w:r w:rsidR="00FD2110">
          <w:rPr>
            <w:noProof/>
          </w:rPr>
          <w:t>9-3</w:t>
        </w:r>
        <w:r w:rsidRPr="00CA52A2">
          <w:fldChar w:fldCharType="end"/>
        </w:r>
        <w:r w:rsidRPr="00CA52A2">
          <w:t xml:space="preserve">          Attachment </w:t>
        </w:r>
        <w:r>
          <w:t xml:space="preserve">9 </w:t>
        </w:r>
        <w:r w:rsidRPr="00CA52A2">
          <w:t xml:space="preserve">– </w:t>
        </w:r>
        <w:r>
          <w:t xml:space="preserve">Efficiency carryover mechanism </w:t>
        </w:r>
        <w:r w:rsidRPr="00CA52A2">
          <w:t xml:space="preserve">| </w:t>
        </w:r>
        <w:r>
          <w:t>Draft decision: Australian Gas Networks Access Arrangement 2016</w:t>
        </w:r>
        <w:r w:rsidRPr="00CA52A2">
          <w:t>–</w:t>
        </w:r>
        <w:r>
          <w:t>21</w:t>
        </w:r>
      </w:p>
    </w:sdtContent>
  </w:sdt>
  <w:p w:rsidR="00F50C9A" w:rsidRDefault="00F50C9A">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C9A" w:rsidRPr="00290C63" w:rsidRDefault="00F50C9A" w:rsidP="00290C63">
      <w:r>
        <w:separator/>
      </w:r>
    </w:p>
    <w:p w:rsidR="00F50C9A" w:rsidRDefault="00F50C9A"/>
  </w:footnote>
  <w:footnote w:type="continuationSeparator" w:id="0">
    <w:p w:rsidR="00F50C9A" w:rsidRPr="00290C63" w:rsidRDefault="00F50C9A" w:rsidP="00290C63">
      <w:r>
        <w:continuationSeparator/>
      </w:r>
    </w:p>
    <w:p w:rsidR="00F50C9A" w:rsidRDefault="00F50C9A"/>
  </w:footnote>
  <w:footnote w:id="1">
    <w:p w:rsidR="00F50C9A" w:rsidRDefault="00F50C9A">
      <w:pPr>
        <w:pStyle w:val="FootnoteText"/>
      </w:pPr>
      <w:r>
        <w:rPr>
          <w:rStyle w:val="FootnoteReference"/>
        </w:rPr>
        <w:footnoteRef/>
      </w:r>
      <w:r>
        <w:t xml:space="preserve"> </w:t>
      </w:r>
      <w:r>
        <w:tab/>
        <w:t xml:space="preserve">AGN, </w:t>
      </w:r>
      <w:r w:rsidRPr="00E348EC">
        <w:rPr>
          <w:rStyle w:val="AERtextitalic"/>
        </w:rPr>
        <w:t>Australian Gas Networks SA Access Arrangement Information</w:t>
      </w:r>
      <w:r>
        <w:t>, July 2015, p. 193, and RIN:</w:t>
      </w:r>
      <w:r w:rsidRPr="004664BA">
        <w:t xml:space="preserve"> ‘7.5 Efficiency Benefit Sharing</w:t>
      </w:r>
      <w:r>
        <w:t xml:space="preserve"> Scheme – Rolling Carry</w:t>
      </w:r>
      <w:r>
        <w:noBreakHyphen/>
        <w:t>over mechanism for opex’.</w:t>
      </w:r>
    </w:p>
  </w:footnote>
  <w:footnote w:id="2">
    <w:p w:rsidR="00F50C9A" w:rsidRDefault="00F50C9A">
      <w:pPr>
        <w:pStyle w:val="FootnoteText"/>
      </w:pPr>
      <w:r>
        <w:rPr>
          <w:rStyle w:val="FootnoteReference"/>
        </w:rPr>
        <w:footnoteRef/>
      </w:r>
      <w:r>
        <w:t xml:space="preserve"> </w:t>
      </w:r>
      <w:r>
        <w:tab/>
      </w:r>
      <w:proofErr w:type="gramStart"/>
      <w:r>
        <w:t>AGN, response to AER Information request – AER AGN 027 – Opex model.</w:t>
      </w:r>
      <w:proofErr w:type="gramEnd"/>
    </w:p>
  </w:footnote>
  <w:footnote w:id="3">
    <w:p w:rsidR="00F50C9A" w:rsidRDefault="00F50C9A" w:rsidP="00356282">
      <w:pPr>
        <w:pStyle w:val="FootnoteText"/>
      </w:pPr>
      <w:r>
        <w:rPr>
          <w:rStyle w:val="FootnoteReference"/>
        </w:rPr>
        <w:footnoteRef/>
      </w:r>
      <w:r>
        <w:t xml:space="preserve"> </w:t>
      </w:r>
      <w:r>
        <w:tab/>
      </w:r>
      <w:proofErr w:type="gramStart"/>
      <w:r>
        <w:t>AER,</w:t>
      </w:r>
      <w:r w:rsidRPr="000501E8">
        <w:t xml:space="preserve"> </w:t>
      </w:r>
      <w:r w:rsidRPr="002776CB">
        <w:rPr>
          <w:rStyle w:val="AERtextitalic"/>
        </w:rPr>
        <w:t>Efficiency Benefit Sharing Scheme for Electricity Network Service Providers</w:t>
      </w:r>
      <w:r>
        <w:t>, November 2013, pp. 7–9.</w:t>
      </w:r>
      <w:proofErr w:type="gramEnd"/>
      <w:r>
        <w:t xml:space="preserve"> </w:t>
      </w:r>
    </w:p>
  </w:footnote>
  <w:footnote w:id="4">
    <w:p w:rsidR="00F50C9A" w:rsidRDefault="00F50C9A">
      <w:pPr>
        <w:pStyle w:val="FootnoteText"/>
      </w:pPr>
      <w:r>
        <w:rPr>
          <w:rStyle w:val="FootnoteReference"/>
        </w:rPr>
        <w:footnoteRef/>
      </w:r>
      <w:r>
        <w:t xml:space="preserve"> </w:t>
      </w:r>
      <w:r>
        <w:tab/>
        <w:t>AGN used the term, Efficiency Benefits Sharing Scheme (EBSS). The term EBSS is defined under the National Electricity Rules (NER). We prefer to use the term, efficiency carryover mechanism.</w:t>
      </w:r>
    </w:p>
  </w:footnote>
  <w:footnote w:id="5">
    <w:p w:rsidR="00F50C9A" w:rsidRDefault="00F50C9A">
      <w:pPr>
        <w:pStyle w:val="FootnoteText"/>
      </w:pPr>
      <w:r>
        <w:rPr>
          <w:rStyle w:val="FootnoteReference"/>
        </w:rPr>
        <w:footnoteRef/>
      </w:r>
      <w:r>
        <w:t xml:space="preserve"> </w:t>
      </w:r>
      <w:r>
        <w:tab/>
        <w:t>An outcome of the carryover efficiency mechanism that applied to AGN in the 2011</w:t>
      </w:r>
      <w:r w:rsidR="00316279">
        <w:t>–</w:t>
      </w:r>
      <w:r>
        <w:t>16 period is that increases or decreases in opex relative to allowances are shared approximately 30:70 between service providers and customers respectively.</w:t>
      </w:r>
    </w:p>
  </w:footnote>
  <w:footnote w:id="6">
    <w:p w:rsidR="00F50C9A" w:rsidRDefault="00F50C9A" w:rsidP="001F08FA">
      <w:pPr>
        <w:pStyle w:val="FootnoteText"/>
      </w:pPr>
      <w:r>
        <w:rPr>
          <w:rStyle w:val="FootnoteReference"/>
        </w:rPr>
        <w:footnoteRef/>
      </w:r>
      <w:r>
        <w:t xml:space="preserve"> </w:t>
      </w:r>
      <w:r>
        <w:tab/>
        <w:t xml:space="preserve">AGN, </w:t>
      </w:r>
      <w:r w:rsidRPr="00E348EC">
        <w:rPr>
          <w:rStyle w:val="AERtextitalic"/>
        </w:rPr>
        <w:t>Australian Gas Networks SA Access Arrangement Information</w:t>
      </w:r>
      <w:r>
        <w:t>, July 2015, p. 195.</w:t>
      </w:r>
    </w:p>
  </w:footnote>
  <w:footnote w:id="7">
    <w:p w:rsidR="00F50C9A" w:rsidRPr="005439F9" w:rsidRDefault="00F50C9A">
      <w:pPr>
        <w:pStyle w:val="FootnoteText"/>
        <w:rPr>
          <w:rFonts w:eastAsiaTheme="minorEastAsia"/>
        </w:rPr>
      </w:pPr>
      <w:r>
        <w:rPr>
          <w:rStyle w:val="FootnoteReference"/>
        </w:rPr>
        <w:footnoteRef/>
      </w:r>
      <w:r>
        <w:t xml:space="preserve"> </w:t>
      </w:r>
      <w:r>
        <w:tab/>
        <w:t>Adjustments are also made to remove the impacts of efficiency gains made between the base and final year of the previous access arrangement:</w:t>
      </w:r>
    </w:p>
    <w:p w:rsidR="00F50C9A" w:rsidRDefault="00FD2110" w:rsidP="00F56B8C">
      <w:pPr>
        <w:pStyle w:val="FootnoteText"/>
        <w:jc w:val="center"/>
      </w:pPr>
      <m:oMath>
        <m:sSub>
          <m:sSubPr>
            <m:ctrlPr>
              <w:rPr>
                <w:rFonts w:ascii="Cambria Math" w:hAnsi="Cambria Math"/>
                <w:i/>
              </w:rPr>
            </m:ctrlPr>
          </m:sSubPr>
          <m:e>
            <m:sSub>
              <m:sSubPr>
                <m:ctrlPr>
                  <w:rPr>
                    <w:rFonts w:ascii="Cambria Math" w:hAnsi="Cambria Math"/>
                    <w:i/>
                  </w:rPr>
                </m:ctrlPr>
              </m:sSubPr>
              <m:e>
                <m:r>
                  <w:rPr>
                    <w:rFonts w:ascii="Cambria Math" w:hAnsi="Cambria Math"/>
                  </w:rPr>
                  <m:t>Adj Forecast</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Forecast</m:t>
                </m:r>
              </m:e>
              <m:sub>
                <m:r>
                  <w:rPr>
                    <w:rFonts w:ascii="Cambria Math" w:hAnsi="Cambria Math"/>
                  </w:rPr>
                  <m:t>i</m:t>
                </m:r>
              </m:sub>
            </m:sSub>
            <m:r>
              <w:rPr>
                <w:rFonts w:ascii="Cambria Math" w:hAnsi="Cambria Math"/>
              </w:rPr>
              <m:t>-</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Forecast</m:t>
                        </m:r>
                      </m:e>
                      <m:sub>
                        <m:r>
                          <w:rPr>
                            <w:rFonts w:ascii="Cambria Math" w:hAnsi="Cambria Math"/>
                          </w:rPr>
                          <m:t>2015-16</m:t>
                        </m:r>
                      </m:sub>
                    </m:sSub>
                    <m:r>
                      <w:rPr>
                        <w:rFonts w:ascii="Cambria Math" w:hAnsi="Cambria Math"/>
                      </w:rPr>
                      <m:t xml:space="preserve">- </m:t>
                    </m:r>
                    <m:sSub>
                      <m:sSubPr>
                        <m:ctrlPr>
                          <w:rPr>
                            <w:rFonts w:ascii="Cambria Math" w:hAnsi="Cambria Math"/>
                            <w:i/>
                          </w:rPr>
                        </m:ctrlPr>
                      </m:sSubPr>
                      <m:e>
                        <m:r>
                          <w:rPr>
                            <w:rFonts w:ascii="Cambria Math" w:hAnsi="Cambria Math"/>
                          </w:rPr>
                          <m:t>Forecast</m:t>
                        </m:r>
                      </m:e>
                      <m:sub>
                        <m:r>
                          <w:rPr>
                            <w:rFonts w:ascii="Cambria Math" w:hAnsi="Cambria Math"/>
                          </w:rPr>
                          <m:t>2014-15</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Actual</m:t>
                        </m:r>
                      </m:e>
                      <m:sub>
                        <m:r>
                          <w:rPr>
                            <w:rFonts w:ascii="Cambria Math" w:hAnsi="Cambria Math"/>
                          </w:rPr>
                          <m:t>2015-16</m:t>
                        </m:r>
                      </m:sub>
                    </m:sSub>
                    <m:r>
                      <w:rPr>
                        <w:rFonts w:ascii="Cambria Math" w:hAnsi="Cambria Math"/>
                      </w:rPr>
                      <m:t xml:space="preserve">- </m:t>
                    </m:r>
                    <m:sSub>
                      <m:sSubPr>
                        <m:ctrlPr>
                          <w:rPr>
                            <w:rFonts w:ascii="Cambria Math" w:hAnsi="Cambria Math"/>
                            <w:i/>
                          </w:rPr>
                        </m:ctrlPr>
                      </m:sSubPr>
                      <m:e>
                        <m:r>
                          <w:rPr>
                            <w:rFonts w:ascii="Cambria Math" w:hAnsi="Cambria Math"/>
                          </w:rPr>
                          <m:t>Actual</m:t>
                        </m:r>
                      </m:e>
                      <m:sub>
                        <m:r>
                          <w:rPr>
                            <w:rFonts w:ascii="Cambria Math" w:hAnsi="Cambria Math"/>
                          </w:rPr>
                          <m:t>2014-15</m:t>
                        </m:r>
                      </m:sub>
                    </m:sSub>
                  </m:e>
                </m:d>
                <m:r>
                  <w:rPr>
                    <w:rFonts w:ascii="Cambria Math" w:hAnsi="Cambria Math"/>
                  </w:rPr>
                  <m:t xml:space="preserve"> </m:t>
                </m:r>
              </m:e>
            </m:d>
          </m:e>
          <m:sub/>
        </m:sSub>
      </m:oMath>
      <w:r w:rsidR="00F50C9A">
        <w:t>.</w:t>
      </w:r>
    </w:p>
  </w:footnote>
  <w:footnote w:id="8">
    <w:p w:rsidR="00F50C9A" w:rsidRDefault="00F50C9A" w:rsidP="001F08FA">
      <w:pPr>
        <w:pStyle w:val="FootnoteText"/>
      </w:pPr>
      <w:r>
        <w:rPr>
          <w:rStyle w:val="FootnoteReference"/>
        </w:rPr>
        <w:footnoteRef/>
      </w:r>
      <w:r>
        <w:t xml:space="preserve"> </w:t>
      </w:r>
      <w:r>
        <w:tab/>
      </w:r>
      <w:proofErr w:type="gramStart"/>
      <w:r>
        <w:t xml:space="preserve">Australian Gas Networks, </w:t>
      </w:r>
      <w:r w:rsidRPr="00AA46EC">
        <w:rPr>
          <w:i/>
        </w:rPr>
        <w:t>Access Arrangement for AGN’s South Australian Gas Distribution Network 1 July 2016 – 30 June 2021</w:t>
      </w:r>
      <w:r>
        <w:rPr>
          <w:i/>
        </w:rPr>
        <w:t>,</w:t>
      </w:r>
      <w:r w:rsidRPr="00AA46EC">
        <w:rPr>
          <w:i/>
        </w:rPr>
        <w:t xml:space="preserve"> </w:t>
      </w:r>
      <w:r>
        <w:t>July 2015 p. 15.</w:t>
      </w:r>
      <w:proofErr w:type="gramEnd"/>
    </w:p>
  </w:footnote>
  <w:footnote w:id="9">
    <w:p w:rsidR="00F50C9A" w:rsidRDefault="00F50C9A">
      <w:pPr>
        <w:pStyle w:val="FootnoteText"/>
      </w:pPr>
      <w:r>
        <w:rPr>
          <w:rStyle w:val="FootnoteReference"/>
        </w:rPr>
        <w:footnoteRef/>
      </w:r>
      <w:r>
        <w:t xml:space="preserve"> </w:t>
      </w:r>
      <w:r>
        <w:tab/>
      </w:r>
      <w:proofErr w:type="gramStart"/>
      <w:r>
        <w:t xml:space="preserve">Australian Gas Networks, </w:t>
      </w:r>
      <w:r w:rsidRPr="00E47280">
        <w:rPr>
          <w:rStyle w:val="AERtextitalic"/>
        </w:rPr>
        <w:t>Access Arrangement for AGN’s South Australian Gas Distribution Network 1 July 2016 – 30 June 2021</w:t>
      </w:r>
      <w:r>
        <w:t>, July 2015 p. 15.</w:t>
      </w:r>
      <w:proofErr w:type="gramEnd"/>
    </w:p>
  </w:footnote>
  <w:footnote w:id="10">
    <w:p w:rsidR="00F50C9A" w:rsidRDefault="00F50C9A">
      <w:pPr>
        <w:pStyle w:val="FootnoteText"/>
      </w:pPr>
      <w:r>
        <w:rPr>
          <w:rStyle w:val="FootnoteReference"/>
        </w:rPr>
        <w:footnoteRef/>
      </w:r>
      <w:r>
        <w:t xml:space="preserve"> </w:t>
      </w:r>
      <w:r>
        <w:tab/>
      </w:r>
      <w:proofErr w:type="gramStart"/>
      <w:r>
        <w:t>NGR, r. 98(1).</w:t>
      </w:r>
      <w:proofErr w:type="gramEnd"/>
    </w:p>
  </w:footnote>
  <w:footnote w:id="11">
    <w:p w:rsidR="00F50C9A" w:rsidRDefault="00F50C9A">
      <w:pPr>
        <w:pStyle w:val="FootnoteText"/>
      </w:pPr>
      <w:r>
        <w:rPr>
          <w:rStyle w:val="FootnoteReference"/>
        </w:rPr>
        <w:footnoteRef/>
      </w:r>
      <w:r>
        <w:t xml:space="preserve"> </w:t>
      </w:r>
      <w:r>
        <w:tab/>
      </w:r>
      <w:proofErr w:type="gramStart"/>
      <w:r>
        <w:t>NGR, r. 98 (2).</w:t>
      </w:r>
      <w:proofErr w:type="gramEnd"/>
    </w:p>
  </w:footnote>
  <w:footnote w:id="12">
    <w:p w:rsidR="00F50C9A" w:rsidRDefault="00F50C9A" w:rsidP="0084144C">
      <w:pPr>
        <w:pStyle w:val="FootnoteText"/>
      </w:pPr>
      <w:r>
        <w:rPr>
          <w:rStyle w:val="FootnoteReference"/>
        </w:rPr>
        <w:footnoteRef/>
      </w:r>
      <w:r>
        <w:t xml:space="preserve"> </w:t>
      </w:r>
      <w:r>
        <w:tab/>
      </w:r>
      <w:proofErr w:type="gramStart"/>
      <w:r>
        <w:t>NGR, r. 98 (3).</w:t>
      </w:r>
      <w:proofErr w:type="gramEnd"/>
    </w:p>
  </w:footnote>
  <w:footnote w:id="13">
    <w:p w:rsidR="00F50C9A" w:rsidRDefault="00F50C9A" w:rsidP="0084144C">
      <w:pPr>
        <w:pStyle w:val="FootnoteText"/>
      </w:pPr>
      <w:r>
        <w:rPr>
          <w:rStyle w:val="FootnoteReference"/>
        </w:rPr>
        <w:footnoteRef/>
      </w:r>
      <w:r>
        <w:t xml:space="preserve"> </w:t>
      </w:r>
      <w:r>
        <w:tab/>
      </w:r>
      <w:proofErr w:type="gramStart"/>
      <w:r>
        <w:t>NGL, s. 24(3).</w:t>
      </w:r>
      <w:proofErr w:type="gramEnd"/>
    </w:p>
  </w:footnote>
  <w:footnote w:id="14">
    <w:p w:rsidR="00F50C9A" w:rsidRDefault="00F50C9A">
      <w:pPr>
        <w:pStyle w:val="FootnoteText"/>
      </w:pPr>
      <w:r>
        <w:rPr>
          <w:rStyle w:val="FootnoteReference"/>
        </w:rPr>
        <w:footnoteRef/>
      </w:r>
      <w:r>
        <w:t xml:space="preserve"> </w:t>
      </w:r>
      <w:r>
        <w:tab/>
      </w:r>
      <w:proofErr w:type="gramStart"/>
      <w:r>
        <w:t>NGR, r. 40(3).</w:t>
      </w:r>
      <w:proofErr w:type="gramEnd"/>
    </w:p>
  </w:footnote>
  <w:footnote w:id="15">
    <w:p w:rsidR="00F50C9A" w:rsidRDefault="00F50C9A"/>
  </w:footnote>
  <w:footnote w:id="16">
    <w:p w:rsidR="00F50C9A" w:rsidRDefault="00F50C9A" w:rsidP="008261F1">
      <w:pPr>
        <w:pStyle w:val="FootnoteText"/>
      </w:pPr>
      <w:r>
        <w:rPr>
          <w:rStyle w:val="FootnoteReference"/>
        </w:rPr>
        <w:footnoteRef/>
      </w:r>
      <w:r>
        <w:t xml:space="preserve"> </w:t>
      </w:r>
      <w:r>
        <w:tab/>
        <w:t xml:space="preserve">This was also noted in the Government of South Australia’s submission on AGN’s proposed access arrangement, </w:t>
      </w:r>
      <w:hyperlink r:id="rId1" w:history="1">
        <w:r w:rsidRPr="00155497">
          <w:t>SA Government</w:t>
        </w:r>
        <w:r>
          <w:t>,</w:t>
        </w:r>
        <w:r w:rsidRPr="00155497">
          <w:t xml:space="preserve"> </w:t>
        </w:r>
        <w:r w:rsidRPr="009103B7">
          <w:rPr>
            <w:rStyle w:val="AERtextitalic"/>
          </w:rPr>
          <w:t>Submission on Australian Gas Networks SA Access Arrangement Proposal 2016-2021</w:t>
        </w:r>
        <w:r>
          <w:t>,</w:t>
        </w:r>
        <w:r w:rsidRPr="00155497">
          <w:t xml:space="preserve"> 21 August 2015</w:t>
        </w:r>
      </w:hyperlink>
      <w:r w:rsidRPr="00155497">
        <w:t>, p5</w:t>
      </w:r>
      <w:r>
        <w:t>.</w:t>
      </w:r>
    </w:p>
  </w:footnote>
  <w:footnote w:id="17">
    <w:p w:rsidR="00F50C9A" w:rsidRDefault="00F50C9A">
      <w:pPr>
        <w:pStyle w:val="FootnoteText"/>
      </w:pPr>
      <w:r>
        <w:rPr>
          <w:rStyle w:val="FootnoteReference"/>
        </w:rPr>
        <w:footnoteRef/>
      </w:r>
      <w:r>
        <w:t xml:space="preserve"> </w:t>
      </w:r>
      <w:r>
        <w:tab/>
      </w:r>
      <w:hyperlink r:id="rId2" w:history="1">
        <w:r w:rsidRPr="00155497">
          <w:t>Consumer Challenge Panel</w:t>
        </w:r>
        <w:r>
          <w:t xml:space="preserve">, </w:t>
        </w:r>
        <w:r w:rsidRPr="009103B7">
          <w:rPr>
            <w:rStyle w:val="AERtextitalic"/>
          </w:rPr>
          <w:t>Advice to AER from Consumer Challenge Panel sub-panel 8 regarding Australian Gas Networks’ (SA) Access Arrangement 2016-2021 Proposal</w:t>
        </w:r>
        <w:r w:rsidRPr="00155497">
          <w:t>, 25 August 2015</w:t>
        </w:r>
      </w:hyperlink>
      <w:r w:rsidRPr="00155497">
        <w:t>, p</w:t>
      </w:r>
      <w:r>
        <w:t>.</w:t>
      </w:r>
      <w:r w:rsidRPr="00155497">
        <w:t xml:space="preserve"> 15;</w:t>
      </w:r>
      <w:r>
        <w:t xml:space="preserve"> Business South Australia, </w:t>
      </w:r>
      <w:r w:rsidRPr="009103B7">
        <w:rPr>
          <w:rStyle w:val="AERtextitalic"/>
        </w:rPr>
        <w:t>Submission to AER on proposed Australian Gas Networks Access Arrangement (2016-21)</w:t>
      </w:r>
      <w:r>
        <w:t xml:space="preserve">, August 2015, p. 8; </w:t>
      </w:r>
      <w:hyperlink r:id="rId3" w:history="1">
        <w:r w:rsidRPr="00155497">
          <w:t>Energy Consumers Coalition of South Australia</w:t>
        </w:r>
        <w:r>
          <w:t>,</w:t>
        </w:r>
        <w:r w:rsidRPr="00155497">
          <w:t xml:space="preserve"> </w:t>
        </w:r>
        <w:r w:rsidRPr="009103B7">
          <w:rPr>
            <w:rStyle w:val="AERtextitalic"/>
          </w:rPr>
          <w:t>Submission on Australian Gas Networks (South Australia) Access Arrangement Proposal 2016-21</w:t>
        </w:r>
        <w:r>
          <w:t>,</w:t>
        </w:r>
        <w:r w:rsidRPr="00155497">
          <w:t xml:space="preserve"> 16 August 2015</w:t>
        </w:r>
      </w:hyperlink>
      <w:r w:rsidRPr="00155497">
        <w:t>, p</w:t>
      </w:r>
      <w:r>
        <w:t>.</w:t>
      </w:r>
      <w:r w:rsidRPr="00155497">
        <w:t xml:space="preserve"> 48; </w:t>
      </w:r>
      <w:hyperlink r:id="rId4" w:history="1">
        <w:r w:rsidRPr="00155497">
          <w:t xml:space="preserve">South Australian Council of Social Service (SACOSS) </w:t>
        </w:r>
        <w:r w:rsidRPr="009103B7">
          <w:rPr>
            <w:rStyle w:val="AERtextitalic"/>
          </w:rPr>
          <w:t>Submission on Australian Gas Networks (South Australia) Access Arrangement Proposal 2016-21</w:t>
        </w:r>
        <w:r w:rsidRPr="00155497">
          <w:t>, 8 August 2015</w:t>
        </w:r>
      </w:hyperlink>
      <w:r w:rsidRPr="00155497">
        <w:t>, p</w:t>
      </w:r>
      <w:r>
        <w:t>.</w:t>
      </w:r>
      <w:r w:rsidRPr="00155497">
        <w:t xml:space="preserve"> 8</w:t>
      </w:r>
      <w:r>
        <w:t>.</w:t>
      </w:r>
    </w:p>
  </w:footnote>
  <w:footnote w:id="18">
    <w:p w:rsidR="00F50C9A" w:rsidRDefault="00F50C9A">
      <w:pPr>
        <w:pStyle w:val="FootnoteText"/>
      </w:pPr>
      <w:r>
        <w:rPr>
          <w:rStyle w:val="FootnoteReference"/>
        </w:rPr>
        <w:footnoteRef/>
      </w:r>
      <w:r>
        <w:t xml:space="preserve"> </w:t>
      </w:r>
      <w:r>
        <w:tab/>
      </w:r>
      <w:hyperlink r:id="rId5" w:history="1">
        <w:r w:rsidRPr="00155497">
          <w:t>Origin Energy</w:t>
        </w:r>
        <w:r>
          <w:t>,</w:t>
        </w:r>
        <w:r w:rsidRPr="00155497">
          <w:t xml:space="preserve"> S</w:t>
        </w:r>
        <w:r w:rsidRPr="009103B7">
          <w:rPr>
            <w:rStyle w:val="AERtextitalic"/>
          </w:rPr>
          <w:t>ubmission on Australian Gas Networks (South Australia) Access Arrangement Proposal 2016-21</w:t>
        </w:r>
        <w:r>
          <w:t>,</w:t>
        </w:r>
        <w:r w:rsidRPr="00155497">
          <w:t xml:space="preserve"> 10 August 2015</w:t>
        </w:r>
      </w:hyperlink>
      <w:r w:rsidRPr="00155497">
        <w:t>, p</w:t>
      </w:r>
      <w:r>
        <w:t xml:space="preserve">. </w:t>
      </w:r>
      <w:r w:rsidRPr="00155497">
        <w:t>6.</w:t>
      </w:r>
    </w:p>
  </w:footnote>
  <w:footnote w:id="19">
    <w:p w:rsidR="00F50C9A" w:rsidRDefault="00F50C9A">
      <w:pPr>
        <w:pStyle w:val="FootnoteText"/>
      </w:pPr>
      <w:r>
        <w:rPr>
          <w:rStyle w:val="FootnoteReference"/>
        </w:rPr>
        <w:footnoteRef/>
      </w:r>
      <w:r>
        <w:t xml:space="preserve"> </w:t>
      </w:r>
      <w:r>
        <w:tab/>
        <w:t>AGL, Australian Gas Networks (South Australia), Access Arrangement Proposal (2016-21).</w:t>
      </w:r>
    </w:p>
  </w:footnote>
  <w:footnote w:id="20">
    <w:p w:rsidR="00F50C9A" w:rsidRDefault="00F50C9A" w:rsidP="00B13C91">
      <w:pPr>
        <w:pStyle w:val="FootnoteText"/>
      </w:pPr>
      <w:r>
        <w:rPr>
          <w:rStyle w:val="FootnoteReference"/>
        </w:rPr>
        <w:footnoteRef/>
      </w:r>
      <w:r>
        <w:t xml:space="preserve"> </w:t>
      </w:r>
      <w:r>
        <w:tab/>
        <w:t xml:space="preserve">AER, </w:t>
      </w:r>
      <w:r w:rsidRPr="00A049C4">
        <w:rPr>
          <w:rStyle w:val="AERtextitalic"/>
        </w:rPr>
        <w:t>Efficient Benefit Sharing Scheme for Electricity Network Service Providers</w:t>
      </w:r>
      <w:r>
        <w:t>, November 2013.</w:t>
      </w:r>
    </w:p>
  </w:footnote>
  <w:footnote w:id="21">
    <w:p w:rsidR="00F50C9A" w:rsidRDefault="00F50C9A" w:rsidP="00766F5C">
      <w:pPr>
        <w:pStyle w:val="FootnoteText"/>
      </w:pPr>
      <w:r>
        <w:rPr>
          <w:rStyle w:val="FootnoteReference"/>
        </w:rPr>
        <w:footnoteRef/>
      </w:r>
      <w:r>
        <w:t xml:space="preserve"> </w:t>
      </w:r>
      <w:r>
        <w:tab/>
        <w:t xml:space="preserve">AER, </w:t>
      </w:r>
      <w:r w:rsidRPr="00F2098C">
        <w:rPr>
          <w:i/>
        </w:rPr>
        <w:t>Efficiency Benefit Sharing Scheme for Electricity Network Service Providers</w:t>
      </w:r>
      <w:r w:rsidR="00E91F60">
        <w:rPr>
          <w:i/>
        </w:rPr>
        <w:t>,</w:t>
      </w:r>
      <w:r>
        <w:t xml:space="preserve"> November 2013.</w:t>
      </w:r>
    </w:p>
  </w:footnote>
  <w:footnote w:id="22">
    <w:p w:rsidR="00F50C9A" w:rsidRDefault="00F50C9A" w:rsidP="00B45E17">
      <w:pPr>
        <w:pStyle w:val="FootnoteText"/>
      </w:pPr>
      <w:r>
        <w:rPr>
          <w:rStyle w:val="FootnoteReference"/>
        </w:rPr>
        <w:footnoteRef/>
      </w:r>
      <w:r>
        <w:t xml:space="preserve"> </w:t>
      </w:r>
      <w:r>
        <w:tab/>
        <w:t>Attachment 7 contains our total opex forecast that complies with the opex criteria. Insurance and superannuation costs have been forecast using a single year approach.</w:t>
      </w:r>
    </w:p>
  </w:footnote>
  <w:footnote w:id="23">
    <w:p w:rsidR="00F50C9A" w:rsidRDefault="00F50C9A">
      <w:pPr>
        <w:pStyle w:val="FootnoteText"/>
      </w:pPr>
      <w:r>
        <w:rPr>
          <w:rStyle w:val="FootnoteReference"/>
        </w:rPr>
        <w:footnoteRef/>
      </w:r>
      <w:r>
        <w:t xml:space="preserve"> </w:t>
      </w:r>
      <w:r>
        <w:tab/>
        <w:t>This clause was included in the efficiency carryover mechanism provisions contained in AGN’s 2011</w:t>
      </w:r>
      <w:r w:rsidR="00E91F60">
        <w:t>–</w:t>
      </w:r>
      <w:r>
        <w:t>16 access arrangement.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9A" w:rsidRDefault="00FD2110">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F50C9A">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9A" w:rsidRDefault="00FD2110">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9EE1E47"/>
    <w:multiLevelType w:val="hybridMultilevel"/>
    <w:tmpl w:val="D4765D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E9D6160"/>
    <w:multiLevelType w:val="hybridMultilevel"/>
    <w:tmpl w:val="11762886"/>
    <w:lvl w:ilvl="0" w:tplc="13A2959C">
      <w:start w:val="2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786"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D9869CE6"/>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1040" w:hanging="360"/>
      </w:p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nsid w:val="7B7A396C"/>
    <w:multiLevelType w:val="hybridMultilevel"/>
    <w:tmpl w:val="666E0184"/>
    <w:lvl w:ilvl="0" w:tplc="26E47E94">
      <w:start w:val="9"/>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1"/>
  </w:num>
  <w:num w:numId="15">
    <w:abstractNumId w:val="14"/>
  </w:num>
  <w:num w:numId="16">
    <w:abstractNumId w:val="20"/>
  </w:num>
  <w:num w:numId="17">
    <w:abstractNumId w:val="10"/>
  </w:num>
  <w:num w:numId="18">
    <w:abstractNumId w:val="16"/>
  </w:num>
  <w:num w:numId="19">
    <w:abstractNumId w:val="21"/>
  </w:num>
  <w:num w:numId="20">
    <w:abstractNumId w:val="27"/>
  </w:num>
  <w:num w:numId="21">
    <w:abstractNumId w:val="24"/>
  </w:num>
  <w:num w:numId="22">
    <w:abstractNumId w:val="22"/>
  </w:num>
  <w:num w:numId="23">
    <w:abstractNumId w:val="17"/>
  </w:num>
  <w:num w:numId="24">
    <w:abstractNumId w:val="23"/>
  </w:num>
  <w:num w:numId="25">
    <w:abstractNumId w:val="25"/>
  </w:num>
  <w:num w:numId="26">
    <w:abstractNumId w:val="18"/>
  </w:num>
  <w:num w:numId="27">
    <w:abstractNumId w:val="15"/>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7"/>
    <w:lvlOverride w:ilvl="0">
      <w:startOverride w:val="1"/>
    </w:lvlOverride>
  </w:num>
  <w:num w:numId="31">
    <w:abstractNumId w:val="27"/>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27"/>
    <w:lvlOverride w:ilvl="0">
      <w:startOverride w:val="1"/>
    </w:lvlOverride>
  </w:num>
  <w:num w:numId="35">
    <w:abstractNumId w:val="27"/>
  </w:num>
  <w:num w:numId="36">
    <w:abstractNumId w:val="27"/>
    <w:lvlOverride w:ilvl="0">
      <w:startOverride w:val="1"/>
    </w:lvlOverride>
  </w:num>
  <w:num w:numId="37">
    <w:abstractNumId w:val="27"/>
    <w:lvlOverride w:ilvl="0">
      <w:startOverride w:val="1"/>
    </w:lvlOverride>
  </w:num>
  <w:num w:numId="38">
    <w:abstractNumId w:val="27"/>
    <w:lvlOverride w:ilvl="0">
      <w:startOverride w:val="1"/>
    </w:lvlOverride>
  </w:num>
  <w:num w:numId="39">
    <w:abstractNumId w:val="27"/>
    <w:lvlOverride w:ilvl="0">
      <w:startOverride w:val="1"/>
    </w:lvlOverride>
  </w:num>
  <w:num w:numId="40">
    <w:abstractNumId w:val="9"/>
  </w:num>
  <w:num w:numId="41">
    <w:abstractNumId w:val="27"/>
    <w:lvlOverride w:ilvl="0">
      <w:startOverride w:val="1"/>
    </w:lvlOverride>
  </w:num>
  <w:num w:numId="42">
    <w:abstractNumId w:val="28"/>
  </w:num>
  <w:num w:numId="4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240\AER15 2725 (Revision 3)  AER - Draft decision Australian Gas Networks access arrangement - Attachment 9 - Efficiency carryover mechanism - November 2015.docx"/>
  </w:docVars>
  <w:rsids>
    <w:rsidRoot w:val="00961A4A"/>
    <w:rsid w:val="00001F8B"/>
    <w:rsid w:val="00004644"/>
    <w:rsid w:val="00010286"/>
    <w:rsid w:val="0001037D"/>
    <w:rsid w:val="0001143B"/>
    <w:rsid w:val="00013194"/>
    <w:rsid w:val="00020754"/>
    <w:rsid w:val="00021202"/>
    <w:rsid w:val="00021C2B"/>
    <w:rsid w:val="00023B7D"/>
    <w:rsid w:val="0002517F"/>
    <w:rsid w:val="00026495"/>
    <w:rsid w:val="00026642"/>
    <w:rsid w:val="00027EF3"/>
    <w:rsid w:val="00031B1D"/>
    <w:rsid w:val="00033220"/>
    <w:rsid w:val="000350D1"/>
    <w:rsid w:val="0003578C"/>
    <w:rsid w:val="00036BA7"/>
    <w:rsid w:val="000401AF"/>
    <w:rsid w:val="00043119"/>
    <w:rsid w:val="00043FDE"/>
    <w:rsid w:val="0005015F"/>
    <w:rsid w:val="000501E8"/>
    <w:rsid w:val="000521CD"/>
    <w:rsid w:val="000568C0"/>
    <w:rsid w:val="000602F9"/>
    <w:rsid w:val="000618F7"/>
    <w:rsid w:val="00063247"/>
    <w:rsid w:val="0006357A"/>
    <w:rsid w:val="00070F9F"/>
    <w:rsid w:val="0007137B"/>
    <w:rsid w:val="00083756"/>
    <w:rsid w:val="00085663"/>
    <w:rsid w:val="00085EBF"/>
    <w:rsid w:val="00091AAF"/>
    <w:rsid w:val="00091B15"/>
    <w:rsid w:val="00093211"/>
    <w:rsid w:val="000A3020"/>
    <w:rsid w:val="000A6C7B"/>
    <w:rsid w:val="000C20C4"/>
    <w:rsid w:val="000C214A"/>
    <w:rsid w:val="000C2B40"/>
    <w:rsid w:val="000C49BF"/>
    <w:rsid w:val="000D06C1"/>
    <w:rsid w:val="000D122C"/>
    <w:rsid w:val="000D3016"/>
    <w:rsid w:val="000D5B10"/>
    <w:rsid w:val="000E0363"/>
    <w:rsid w:val="000E132A"/>
    <w:rsid w:val="000E1819"/>
    <w:rsid w:val="000E3EB7"/>
    <w:rsid w:val="000E4821"/>
    <w:rsid w:val="000E58B1"/>
    <w:rsid w:val="000E6C72"/>
    <w:rsid w:val="000F0B2B"/>
    <w:rsid w:val="000F3E72"/>
    <w:rsid w:val="000F48B1"/>
    <w:rsid w:val="00101131"/>
    <w:rsid w:val="00103A67"/>
    <w:rsid w:val="00110507"/>
    <w:rsid w:val="0011307F"/>
    <w:rsid w:val="00116EB2"/>
    <w:rsid w:val="00117BEA"/>
    <w:rsid w:val="00120830"/>
    <w:rsid w:val="00124609"/>
    <w:rsid w:val="00126A4C"/>
    <w:rsid w:val="00137459"/>
    <w:rsid w:val="001408BD"/>
    <w:rsid w:val="00142AB6"/>
    <w:rsid w:val="0014573B"/>
    <w:rsid w:val="00154801"/>
    <w:rsid w:val="00155497"/>
    <w:rsid w:val="001557D4"/>
    <w:rsid w:val="00155EDE"/>
    <w:rsid w:val="0015666F"/>
    <w:rsid w:val="00156CCE"/>
    <w:rsid w:val="001573E4"/>
    <w:rsid w:val="00157946"/>
    <w:rsid w:val="00160756"/>
    <w:rsid w:val="001624A2"/>
    <w:rsid w:val="00165177"/>
    <w:rsid w:val="00165339"/>
    <w:rsid w:val="001674A6"/>
    <w:rsid w:val="0017232E"/>
    <w:rsid w:val="00174102"/>
    <w:rsid w:val="001754EE"/>
    <w:rsid w:val="00176E21"/>
    <w:rsid w:val="00180157"/>
    <w:rsid w:val="00180C7C"/>
    <w:rsid w:val="0018368A"/>
    <w:rsid w:val="00185CB9"/>
    <w:rsid w:val="00186F77"/>
    <w:rsid w:val="001926A4"/>
    <w:rsid w:val="00192AD5"/>
    <w:rsid w:val="0019507A"/>
    <w:rsid w:val="00196D24"/>
    <w:rsid w:val="001A1FA6"/>
    <w:rsid w:val="001A5CA0"/>
    <w:rsid w:val="001B1D36"/>
    <w:rsid w:val="001B45A0"/>
    <w:rsid w:val="001B6E18"/>
    <w:rsid w:val="001B7D00"/>
    <w:rsid w:val="001C0B66"/>
    <w:rsid w:val="001C52F0"/>
    <w:rsid w:val="001C5433"/>
    <w:rsid w:val="001C604F"/>
    <w:rsid w:val="001C7EAC"/>
    <w:rsid w:val="001D055E"/>
    <w:rsid w:val="001D0E36"/>
    <w:rsid w:val="001D615E"/>
    <w:rsid w:val="001E0AAE"/>
    <w:rsid w:val="001E1BA1"/>
    <w:rsid w:val="001E364C"/>
    <w:rsid w:val="001F05A4"/>
    <w:rsid w:val="001F08FA"/>
    <w:rsid w:val="001F15BD"/>
    <w:rsid w:val="001F18AA"/>
    <w:rsid w:val="001F492E"/>
    <w:rsid w:val="001F6DA3"/>
    <w:rsid w:val="00200218"/>
    <w:rsid w:val="00200D86"/>
    <w:rsid w:val="002010BC"/>
    <w:rsid w:val="002016E7"/>
    <w:rsid w:val="00201F98"/>
    <w:rsid w:val="00202E03"/>
    <w:rsid w:val="0020478D"/>
    <w:rsid w:val="0020492C"/>
    <w:rsid w:val="00204B6B"/>
    <w:rsid w:val="00205A33"/>
    <w:rsid w:val="00211FD5"/>
    <w:rsid w:val="00212F22"/>
    <w:rsid w:val="00223F72"/>
    <w:rsid w:val="00224DB9"/>
    <w:rsid w:val="0022743A"/>
    <w:rsid w:val="00227DCE"/>
    <w:rsid w:val="0023276C"/>
    <w:rsid w:val="00233775"/>
    <w:rsid w:val="00235919"/>
    <w:rsid w:val="00241C6E"/>
    <w:rsid w:val="00251745"/>
    <w:rsid w:val="00256FBA"/>
    <w:rsid w:val="00260D58"/>
    <w:rsid w:val="0026184F"/>
    <w:rsid w:val="00261897"/>
    <w:rsid w:val="00263AC0"/>
    <w:rsid w:val="00264264"/>
    <w:rsid w:val="0026772D"/>
    <w:rsid w:val="00270E81"/>
    <w:rsid w:val="0027133D"/>
    <w:rsid w:val="00275761"/>
    <w:rsid w:val="002762E0"/>
    <w:rsid w:val="002776CB"/>
    <w:rsid w:val="0028106B"/>
    <w:rsid w:val="00281CE1"/>
    <w:rsid w:val="00286874"/>
    <w:rsid w:val="00287194"/>
    <w:rsid w:val="00290C63"/>
    <w:rsid w:val="00291D87"/>
    <w:rsid w:val="00292820"/>
    <w:rsid w:val="00292FBB"/>
    <w:rsid w:val="00293975"/>
    <w:rsid w:val="002965F7"/>
    <w:rsid w:val="00296B65"/>
    <w:rsid w:val="002975A0"/>
    <w:rsid w:val="002A1336"/>
    <w:rsid w:val="002A65E5"/>
    <w:rsid w:val="002A6E95"/>
    <w:rsid w:val="002A7DEF"/>
    <w:rsid w:val="002B1003"/>
    <w:rsid w:val="002B4CF9"/>
    <w:rsid w:val="002B573C"/>
    <w:rsid w:val="002C0423"/>
    <w:rsid w:val="002C233C"/>
    <w:rsid w:val="002C5B36"/>
    <w:rsid w:val="002C6C34"/>
    <w:rsid w:val="002C6C5B"/>
    <w:rsid w:val="002C7AB4"/>
    <w:rsid w:val="002D2E38"/>
    <w:rsid w:val="002D72E8"/>
    <w:rsid w:val="002E11BB"/>
    <w:rsid w:val="002E729D"/>
    <w:rsid w:val="002E7608"/>
    <w:rsid w:val="002E7B22"/>
    <w:rsid w:val="002F6F7E"/>
    <w:rsid w:val="002F7986"/>
    <w:rsid w:val="00300DDD"/>
    <w:rsid w:val="00301B40"/>
    <w:rsid w:val="003029EE"/>
    <w:rsid w:val="0030370B"/>
    <w:rsid w:val="00303908"/>
    <w:rsid w:val="00305CC8"/>
    <w:rsid w:val="00307F6D"/>
    <w:rsid w:val="00311CBC"/>
    <w:rsid w:val="00312918"/>
    <w:rsid w:val="0031421E"/>
    <w:rsid w:val="003145B2"/>
    <w:rsid w:val="00316279"/>
    <w:rsid w:val="003177A2"/>
    <w:rsid w:val="0032686B"/>
    <w:rsid w:val="003271B5"/>
    <w:rsid w:val="00327A1E"/>
    <w:rsid w:val="00330369"/>
    <w:rsid w:val="00331264"/>
    <w:rsid w:val="00332956"/>
    <w:rsid w:val="00332E55"/>
    <w:rsid w:val="00334C8D"/>
    <w:rsid w:val="00335CBA"/>
    <w:rsid w:val="00342D33"/>
    <w:rsid w:val="00343A18"/>
    <w:rsid w:val="00344473"/>
    <w:rsid w:val="003518B3"/>
    <w:rsid w:val="003525B1"/>
    <w:rsid w:val="00353B07"/>
    <w:rsid w:val="00356282"/>
    <w:rsid w:val="003575C4"/>
    <w:rsid w:val="00364D4A"/>
    <w:rsid w:val="0036780F"/>
    <w:rsid w:val="003728AD"/>
    <w:rsid w:val="00372A4C"/>
    <w:rsid w:val="00374A32"/>
    <w:rsid w:val="003846F1"/>
    <w:rsid w:val="00385910"/>
    <w:rsid w:val="00391561"/>
    <w:rsid w:val="003931A7"/>
    <w:rsid w:val="003A2A81"/>
    <w:rsid w:val="003A3012"/>
    <w:rsid w:val="003A578D"/>
    <w:rsid w:val="003B02F6"/>
    <w:rsid w:val="003B2586"/>
    <w:rsid w:val="003B484F"/>
    <w:rsid w:val="003B7EBC"/>
    <w:rsid w:val="003B7FBA"/>
    <w:rsid w:val="003C1E51"/>
    <w:rsid w:val="003D19C7"/>
    <w:rsid w:val="003D2347"/>
    <w:rsid w:val="003D4D1F"/>
    <w:rsid w:val="003D4DBD"/>
    <w:rsid w:val="003D639D"/>
    <w:rsid w:val="003E11BB"/>
    <w:rsid w:val="003F174D"/>
    <w:rsid w:val="003F7442"/>
    <w:rsid w:val="00400F42"/>
    <w:rsid w:val="004023E9"/>
    <w:rsid w:val="004031BE"/>
    <w:rsid w:val="004038AC"/>
    <w:rsid w:val="00403CBB"/>
    <w:rsid w:val="004048F2"/>
    <w:rsid w:val="00405539"/>
    <w:rsid w:val="0041292F"/>
    <w:rsid w:val="004139F6"/>
    <w:rsid w:val="00413F95"/>
    <w:rsid w:val="00414DEE"/>
    <w:rsid w:val="00415F31"/>
    <w:rsid w:val="00416F36"/>
    <w:rsid w:val="00421E5C"/>
    <w:rsid w:val="00422E15"/>
    <w:rsid w:val="00423A77"/>
    <w:rsid w:val="00423EF5"/>
    <w:rsid w:val="00442E98"/>
    <w:rsid w:val="004441A3"/>
    <w:rsid w:val="00445608"/>
    <w:rsid w:val="00447C6B"/>
    <w:rsid w:val="00453038"/>
    <w:rsid w:val="00453087"/>
    <w:rsid w:val="004537A4"/>
    <w:rsid w:val="004545E8"/>
    <w:rsid w:val="0045777E"/>
    <w:rsid w:val="00461029"/>
    <w:rsid w:val="004612B4"/>
    <w:rsid w:val="00465CE9"/>
    <w:rsid w:val="00465F62"/>
    <w:rsid w:val="004664BA"/>
    <w:rsid w:val="00472D35"/>
    <w:rsid w:val="004730A2"/>
    <w:rsid w:val="00473B03"/>
    <w:rsid w:val="00474EC7"/>
    <w:rsid w:val="00475D95"/>
    <w:rsid w:val="00480B4B"/>
    <w:rsid w:val="004859B5"/>
    <w:rsid w:val="00485DC4"/>
    <w:rsid w:val="004864B9"/>
    <w:rsid w:val="00491602"/>
    <w:rsid w:val="00495136"/>
    <w:rsid w:val="004A0F29"/>
    <w:rsid w:val="004A13F7"/>
    <w:rsid w:val="004A1B58"/>
    <w:rsid w:val="004A1D38"/>
    <w:rsid w:val="004A43D1"/>
    <w:rsid w:val="004A78B2"/>
    <w:rsid w:val="004B1C5B"/>
    <w:rsid w:val="004B2F0E"/>
    <w:rsid w:val="004B355D"/>
    <w:rsid w:val="004B4412"/>
    <w:rsid w:val="004B4D5F"/>
    <w:rsid w:val="004C0759"/>
    <w:rsid w:val="004C3243"/>
    <w:rsid w:val="004C348C"/>
    <w:rsid w:val="004C3D8A"/>
    <w:rsid w:val="004D0192"/>
    <w:rsid w:val="004D0B2A"/>
    <w:rsid w:val="004D55BA"/>
    <w:rsid w:val="004D7058"/>
    <w:rsid w:val="004E22EC"/>
    <w:rsid w:val="004E41E8"/>
    <w:rsid w:val="004E4D59"/>
    <w:rsid w:val="004F52CD"/>
    <w:rsid w:val="004F6A0E"/>
    <w:rsid w:val="00506646"/>
    <w:rsid w:val="00507306"/>
    <w:rsid w:val="005114D8"/>
    <w:rsid w:val="00512B46"/>
    <w:rsid w:val="00517A60"/>
    <w:rsid w:val="00523362"/>
    <w:rsid w:val="00530128"/>
    <w:rsid w:val="00532467"/>
    <w:rsid w:val="00537FD6"/>
    <w:rsid w:val="005439F9"/>
    <w:rsid w:val="005456C5"/>
    <w:rsid w:val="0055082C"/>
    <w:rsid w:val="005543F9"/>
    <w:rsid w:val="00556870"/>
    <w:rsid w:val="00564A4D"/>
    <w:rsid w:val="0056588A"/>
    <w:rsid w:val="00567BA5"/>
    <w:rsid w:val="00570F74"/>
    <w:rsid w:val="00571B35"/>
    <w:rsid w:val="00571D57"/>
    <w:rsid w:val="00572C7C"/>
    <w:rsid w:val="00577828"/>
    <w:rsid w:val="00577A09"/>
    <w:rsid w:val="00580B7A"/>
    <w:rsid w:val="005829C2"/>
    <w:rsid w:val="00583EDD"/>
    <w:rsid w:val="00584D8F"/>
    <w:rsid w:val="00586819"/>
    <w:rsid w:val="00593356"/>
    <w:rsid w:val="0059704C"/>
    <w:rsid w:val="005A404D"/>
    <w:rsid w:val="005B1E3C"/>
    <w:rsid w:val="005B3E8A"/>
    <w:rsid w:val="005B3FB7"/>
    <w:rsid w:val="005B704A"/>
    <w:rsid w:val="005B7FF8"/>
    <w:rsid w:val="005C0A7F"/>
    <w:rsid w:val="005C26CC"/>
    <w:rsid w:val="005C4C9C"/>
    <w:rsid w:val="005C5D7E"/>
    <w:rsid w:val="005C6B35"/>
    <w:rsid w:val="005D12DE"/>
    <w:rsid w:val="005D5ED5"/>
    <w:rsid w:val="005D7BA2"/>
    <w:rsid w:val="005E2D6A"/>
    <w:rsid w:val="005E36C2"/>
    <w:rsid w:val="005E45E6"/>
    <w:rsid w:val="005E5C99"/>
    <w:rsid w:val="005F34EE"/>
    <w:rsid w:val="005F6A83"/>
    <w:rsid w:val="006007DE"/>
    <w:rsid w:val="00601638"/>
    <w:rsid w:val="0060721A"/>
    <w:rsid w:val="006073DE"/>
    <w:rsid w:val="006074B2"/>
    <w:rsid w:val="00610EF9"/>
    <w:rsid w:val="0061188E"/>
    <w:rsid w:val="00612BDA"/>
    <w:rsid w:val="00612F4F"/>
    <w:rsid w:val="0061341F"/>
    <w:rsid w:val="00615C6B"/>
    <w:rsid w:val="006179EC"/>
    <w:rsid w:val="00621DCE"/>
    <w:rsid w:val="00623E81"/>
    <w:rsid w:val="006255AA"/>
    <w:rsid w:val="00627CEC"/>
    <w:rsid w:val="00630F21"/>
    <w:rsid w:val="00632D6D"/>
    <w:rsid w:val="0063307A"/>
    <w:rsid w:val="006339E2"/>
    <w:rsid w:val="006369D7"/>
    <w:rsid w:val="00636E7E"/>
    <w:rsid w:val="00641C14"/>
    <w:rsid w:val="00642C3E"/>
    <w:rsid w:val="00650063"/>
    <w:rsid w:val="0065006D"/>
    <w:rsid w:val="00651C3A"/>
    <w:rsid w:val="00651CB2"/>
    <w:rsid w:val="006560CA"/>
    <w:rsid w:val="00656D96"/>
    <w:rsid w:val="006574F3"/>
    <w:rsid w:val="00657AAF"/>
    <w:rsid w:val="00657E7F"/>
    <w:rsid w:val="0066104A"/>
    <w:rsid w:val="006613F6"/>
    <w:rsid w:val="00661537"/>
    <w:rsid w:val="00661F8C"/>
    <w:rsid w:val="00663DAD"/>
    <w:rsid w:val="00665649"/>
    <w:rsid w:val="006672AA"/>
    <w:rsid w:val="0067230F"/>
    <w:rsid w:val="00675E20"/>
    <w:rsid w:val="00676679"/>
    <w:rsid w:val="00680EAF"/>
    <w:rsid w:val="00683C89"/>
    <w:rsid w:val="00690CCA"/>
    <w:rsid w:val="00691D9A"/>
    <w:rsid w:val="006A1C4A"/>
    <w:rsid w:val="006A2DE2"/>
    <w:rsid w:val="006B058F"/>
    <w:rsid w:val="006B2395"/>
    <w:rsid w:val="006B2DB5"/>
    <w:rsid w:val="006B45A4"/>
    <w:rsid w:val="006B4CF9"/>
    <w:rsid w:val="006B785B"/>
    <w:rsid w:val="006B7AC8"/>
    <w:rsid w:val="006B7B62"/>
    <w:rsid w:val="006C1736"/>
    <w:rsid w:val="006C4798"/>
    <w:rsid w:val="006D1780"/>
    <w:rsid w:val="006D1FCD"/>
    <w:rsid w:val="006D550F"/>
    <w:rsid w:val="006D647C"/>
    <w:rsid w:val="006D7A4E"/>
    <w:rsid w:val="006E2CEF"/>
    <w:rsid w:val="006E7952"/>
    <w:rsid w:val="006E7AAA"/>
    <w:rsid w:val="006F3AD1"/>
    <w:rsid w:val="006F3FC8"/>
    <w:rsid w:val="006F7D03"/>
    <w:rsid w:val="0070011E"/>
    <w:rsid w:val="00701CAB"/>
    <w:rsid w:val="00701E01"/>
    <w:rsid w:val="00702C6C"/>
    <w:rsid w:val="007034AC"/>
    <w:rsid w:val="00707563"/>
    <w:rsid w:val="00707F9C"/>
    <w:rsid w:val="00713328"/>
    <w:rsid w:val="007134D9"/>
    <w:rsid w:val="00713B51"/>
    <w:rsid w:val="00713BAD"/>
    <w:rsid w:val="00713BFA"/>
    <w:rsid w:val="007210B0"/>
    <w:rsid w:val="0072348C"/>
    <w:rsid w:val="00724A37"/>
    <w:rsid w:val="007303C3"/>
    <w:rsid w:val="00730565"/>
    <w:rsid w:val="00732D57"/>
    <w:rsid w:val="007341A3"/>
    <w:rsid w:val="00735CD0"/>
    <w:rsid w:val="00741C46"/>
    <w:rsid w:val="00741E23"/>
    <w:rsid w:val="007429BE"/>
    <w:rsid w:val="00742AD8"/>
    <w:rsid w:val="00743223"/>
    <w:rsid w:val="00743F94"/>
    <w:rsid w:val="0074554A"/>
    <w:rsid w:val="00746E01"/>
    <w:rsid w:val="00747244"/>
    <w:rsid w:val="00747EEA"/>
    <w:rsid w:val="0075330E"/>
    <w:rsid w:val="00753706"/>
    <w:rsid w:val="0075547A"/>
    <w:rsid w:val="00757364"/>
    <w:rsid w:val="00757BDF"/>
    <w:rsid w:val="007609D0"/>
    <w:rsid w:val="007616CB"/>
    <w:rsid w:val="007621D2"/>
    <w:rsid w:val="00763E5D"/>
    <w:rsid w:val="00763E72"/>
    <w:rsid w:val="00764EAB"/>
    <w:rsid w:val="00765904"/>
    <w:rsid w:val="00766F5C"/>
    <w:rsid w:val="0076747B"/>
    <w:rsid w:val="00767740"/>
    <w:rsid w:val="00771EB6"/>
    <w:rsid w:val="00773499"/>
    <w:rsid w:val="00777EE6"/>
    <w:rsid w:val="00782EEA"/>
    <w:rsid w:val="00792671"/>
    <w:rsid w:val="00792F71"/>
    <w:rsid w:val="007A73EC"/>
    <w:rsid w:val="007A7806"/>
    <w:rsid w:val="007A7B32"/>
    <w:rsid w:val="007B186E"/>
    <w:rsid w:val="007B26FC"/>
    <w:rsid w:val="007B2C72"/>
    <w:rsid w:val="007B36A4"/>
    <w:rsid w:val="007B3ADF"/>
    <w:rsid w:val="007B45BC"/>
    <w:rsid w:val="007C1C53"/>
    <w:rsid w:val="007C1C82"/>
    <w:rsid w:val="007C27E3"/>
    <w:rsid w:val="007C358B"/>
    <w:rsid w:val="007C74BB"/>
    <w:rsid w:val="007D1F59"/>
    <w:rsid w:val="007D3C26"/>
    <w:rsid w:val="007D456E"/>
    <w:rsid w:val="007E161B"/>
    <w:rsid w:val="007E16E1"/>
    <w:rsid w:val="007E4904"/>
    <w:rsid w:val="007E4CB4"/>
    <w:rsid w:val="007E4CB5"/>
    <w:rsid w:val="007E5549"/>
    <w:rsid w:val="007E77BE"/>
    <w:rsid w:val="007F066B"/>
    <w:rsid w:val="007F08EC"/>
    <w:rsid w:val="007F213A"/>
    <w:rsid w:val="007F75C4"/>
    <w:rsid w:val="007F7E73"/>
    <w:rsid w:val="0080221E"/>
    <w:rsid w:val="008033C4"/>
    <w:rsid w:val="00806C1C"/>
    <w:rsid w:val="00806C88"/>
    <w:rsid w:val="0081034E"/>
    <w:rsid w:val="008106C5"/>
    <w:rsid w:val="00814239"/>
    <w:rsid w:val="00817F84"/>
    <w:rsid w:val="00817FB0"/>
    <w:rsid w:val="008221F2"/>
    <w:rsid w:val="0082272C"/>
    <w:rsid w:val="008227A6"/>
    <w:rsid w:val="00824BB2"/>
    <w:rsid w:val="00825985"/>
    <w:rsid w:val="008261F1"/>
    <w:rsid w:val="00832507"/>
    <w:rsid w:val="008344F6"/>
    <w:rsid w:val="008345F3"/>
    <w:rsid w:val="008347C2"/>
    <w:rsid w:val="0083510F"/>
    <w:rsid w:val="00835FBA"/>
    <w:rsid w:val="00837BCF"/>
    <w:rsid w:val="0084012B"/>
    <w:rsid w:val="008408C5"/>
    <w:rsid w:val="00840E46"/>
    <w:rsid w:val="0084144C"/>
    <w:rsid w:val="0084261D"/>
    <w:rsid w:val="0084335E"/>
    <w:rsid w:val="00843422"/>
    <w:rsid w:val="00850665"/>
    <w:rsid w:val="00851209"/>
    <w:rsid w:val="00854AB9"/>
    <w:rsid w:val="0085722A"/>
    <w:rsid w:val="00860D2A"/>
    <w:rsid w:val="00864B35"/>
    <w:rsid w:val="00871C1C"/>
    <w:rsid w:val="008720EF"/>
    <w:rsid w:val="00873861"/>
    <w:rsid w:val="00874273"/>
    <w:rsid w:val="00874611"/>
    <w:rsid w:val="00877458"/>
    <w:rsid w:val="00882481"/>
    <w:rsid w:val="008837AC"/>
    <w:rsid w:val="0088659C"/>
    <w:rsid w:val="00887892"/>
    <w:rsid w:val="008907B2"/>
    <w:rsid w:val="00891DFE"/>
    <w:rsid w:val="00893AD0"/>
    <w:rsid w:val="00896F4C"/>
    <w:rsid w:val="00897B03"/>
    <w:rsid w:val="008A1A15"/>
    <w:rsid w:val="008A587D"/>
    <w:rsid w:val="008A7DAE"/>
    <w:rsid w:val="008B35CD"/>
    <w:rsid w:val="008B5FCC"/>
    <w:rsid w:val="008B7544"/>
    <w:rsid w:val="008C1D9C"/>
    <w:rsid w:val="008C3374"/>
    <w:rsid w:val="008C37AE"/>
    <w:rsid w:val="008C3E29"/>
    <w:rsid w:val="008C4E19"/>
    <w:rsid w:val="008C5486"/>
    <w:rsid w:val="008C708B"/>
    <w:rsid w:val="008D1661"/>
    <w:rsid w:val="008D6800"/>
    <w:rsid w:val="008D7D47"/>
    <w:rsid w:val="008E4219"/>
    <w:rsid w:val="008E51E2"/>
    <w:rsid w:val="008E5636"/>
    <w:rsid w:val="008E6D10"/>
    <w:rsid w:val="008E7031"/>
    <w:rsid w:val="008E77DE"/>
    <w:rsid w:val="008E7872"/>
    <w:rsid w:val="008F03E8"/>
    <w:rsid w:val="008F07A3"/>
    <w:rsid w:val="008F34DD"/>
    <w:rsid w:val="008F41D3"/>
    <w:rsid w:val="009001B6"/>
    <w:rsid w:val="00900725"/>
    <w:rsid w:val="00900E1B"/>
    <w:rsid w:val="009013DE"/>
    <w:rsid w:val="00901C3C"/>
    <w:rsid w:val="009103B7"/>
    <w:rsid w:val="009104CB"/>
    <w:rsid w:val="00912CAA"/>
    <w:rsid w:val="00914289"/>
    <w:rsid w:val="00916A87"/>
    <w:rsid w:val="0092182A"/>
    <w:rsid w:val="009233EE"/>
    <w:rsid w:val="00924B23"/>
    <w:rsid w:val="009255B7"/>
    <w:rsid w:val="00926F73"/>
    <w:rsid w:val="009272AD"/>
    <w:rsid w:val="009274B7"/>
    <w:rsid w:val="009277DC"/>
    <w:rsid w:val="00927AA7"/>
    <w:rsid w:val="009367D5"/>
    <w:rsid w:val="00940CC1"/>
    <w:rsid w:val="00941327"/>
    <w:rsid w:val="009443D7"/>
    <w:rsid w:val="00944F34"/>
    <w:rsid w:val="00945857"/>
    <w:rsid w:val="00945F81"/>
    <w:rsid w:val="009460AA"/>
    <w:rsid w:val="00947086"/>
    <w:rsid w:val="0094758D"/>
    <w:rsid w:val="00951978"/>
    <w:rsid w:val="00956F6F"/>
    <w:rsid w:val="009603D2"/>
    <w:rsid w:val="00960874"/>
    <w:rsid w:val="00961A4A"/>
    <w:rsid w:val="00962694"/>
    <w:rsid w:val="00965702"/>
    <w:rsid w:val="009661DE"/>
    <w:rsid w:val="00973989"/>
    <w:rsid w:val="0098196A"/>
    <w:rsid w:val="00983C25"/>
    <w:rsid w:val="009856B7"/>
    <w:rsid w:val="00985C86"/>
    <w:rsid w:val="00985F9E"/>
    <w:rsid w:val="009929DE"/>
    <w:rsid w:val="0099576D"/>
    <w:rsid w:val="0099644E"/>
    <w:rsid w:val="009970BD"/>
    <w:rsid w:val="009A5113"/>
    <w:rsid w:val="009A5FC3"/>
    <w:rsid w:val="009B6F84"/>
    <w:rsid w:val="009B74B0"/>
    <w:rsid w:val="009C02BD"/>
    <w:rsid w:val="009C085A"/>
    <w:rsid w:val="009C08A9"/>
    <w:rsid w:val="009C0901"/>
    <w:rsid w:val="009C18DF"/>
    <w:rsid w:val="009C35DF"/>
    <w:rsid w:val="009C4D7F"/>
    <w:rsid w:val="009C5D44"/>
    <w:rsid w:val="009C77AC"/>
    <w:rsid w:val="009C7AF6"/>
    <w:rsid w:val="009D32BC"/>
    <w:rsid w:val="009D3906"/>
    <w:rsid w:val="009D6B46"/>
    <w:rsid w:val="009D6D17"/>
    <w:rsid w:val="009E0634"/>
    <w:rsid w:val="009E7F71"/>
    <w:rsid w:val="009F4940"/>
    <w:rsid w:val="009F52D3"/>
    <w:rsid w:val="009F5BA1"/>
    <w:rsid w:val="009F68E1"/>
    <w:rsid w:val="00A02A88"/>
    <w:rsid w:val="00A049C4"/>
    <w:rsid w:val="00A0562E"/>
    <w:rsid w:val="00A05F54"/>
    <w:rsid w:val="00A06085"/>
    <w:rsid w:val="00A0726D"/>
    <w:rsid w:val="00A10CBB"/>
    <w:rsid w:val="00A21078"/>
    <w:rsid w:val="00A21A04"/>
    <w:rsid w:val="00A22485"/>
    <w:rsid w:val="00A2552A"/>
    <w:rsid w:val="00A26DEF"/>
    <w:rsid w:val="00A32FBB"/>
    <w:rsid w:val="00A358D0"/>
    <w:rsid w:val="00A428EE"/>
    <w:rsid w:val="00A43AA9"/>
    <w:rsid w:val="00A4478A"/>
    <w:rsid w:val="00A44852"/>
    <w:rsid w:val="00A452EF"/>
    <w:rsid w:val="00A4650A"/>
    <w:rsid w:val="00A50502"/>
    <w:rsid w:val="00A57D04"/>
    <w:rsid w:val="00A606D5"/>
    <w:rsid w:val="00A60A26"/>
    <w:rsid w:val="00A61598"/>
    <w:rsid w:val="00A641E2"/>
    <w:rsid w:val="00A64A82"/>
    <w:rsid w:val="00A6628F"/>
    <w:rsid w:val="00A726A6"/>
    <w:rsid w:val="00A73A23"/>
    <w:rsid w:val="00A81264"/>
    <w:rsid w:val="00A82D36"/>
    <w:rsid w:val="00A84A99"/>
    <w:rsid w:val="00A84F46"/>
    <w:rsid w:val="00A85FFF"/>
    <w:rsid w:val="00A871F4"/>
    <w:rsid w:val="00A904AA"/>
    <w:rsid w:val="00A94781"/>
    <w:rsid w:val="00AA46EC"/>
    <w:rsid w:val="00AA59B1"/>
    <w:rsid w:val="00AB5611"/>
    <w:rsid w:val="00AC0EB5"/>
    <w:rsid w:val="00AC1B2C"/>
    <w:rsid w:val="00AC3264"/>
    <w:rsid w:val="00AC660C"/>
    <w:rsid w:val="00AC7036"/>
    <w:rsid w:val="00AE0CC1"/>
    <w:rsid w:val="00AE1BF1"/>
    <w:rsid w:val="00AF0DD2"/>
    <w:rsid w:val="00AF3D1E"/>
    <w:rsid w:val="00B0209D"/>
    <w:rsid w:val="00B07CEA"/>
    <w:rsid w:val="00B13048"/>
    <w:rsid w:val="00B13B21"/>
    <w:rsid w:val="00B13C91"/>
    <w:rsid w:val="00B1716D"/>
    <w:rsid w:val="00B17A1D"/>
    <w:rsid w:val="00B207A0"/>
    <w:rsid w:val="00B21CE8"/>
    <w:rsid w:val="00B30D05"/>
    <w:rsid w:val="00B36AB9"/>
    <w:rsid w:val="00B4044A"/>
    <w:rsid w:val="00B40CAA"/>
    <w:rsid w:val="00B417A4"/>
    <w:rsid w:val="00B42AAC"/>
    <w:rsid w:val="00B43A49"/>
    <w:rsid w:val="00B456EC"/>
    <w:rsid w:val="00B45E17"/>
    <w:rsid w:val="00B514DD"/>
    <w:rsid w:val="00B51F3F"/>
    <w:rsid w:val="00B52AF0"/>
    <w:rsid w:val="00B55966"/>
    <w:rsid w:val="00B561BD"/>
    <w:rsid w:val="00B56E03"/>
    <w:rsid w:val="00B61EDF"/>
    <w:rsid w:val="00B6581D"/>
    <w:rsid w:val="00B757A6"/>
    <w:rsid w:val="00B77E63"/>
    <w:rsid w:val="00B80791"/>
    <w:rsid w:val="00B8080B"/>
    <w:rsid w:val="00B82223"/>
    <w:rsid w:val="00B831B2"/>
    <w:rsid w:val="00B8390B"/>
    <w:rsid w:val="00B85AFF"/>
    <w:rsid w:val="00B86B3F"/>
    <w:rsid w:val="00B87BA5"/>
    <w:rsid w:val="00B87C39"/>
    <w:rsid w:val="00B912A2"/>
    <w:rsid w:val="00B9562D"/>
    <w:rsid w:val="00BA01C0"/>
    <w:rsid w:val="00BA2083"/>
    <w:rsid w:val="00BA2B6A"/>
    <w:rsid w:val="00BA4665"/>
    <w:rsid w:val="00BB2F28"/>
    <w:rsid w:val="00BB2FB2"/>
    <w:rsid w:val="00BB3304"/>
    <w:rsid w:val="00BB3FD7"/>
    <w:rsid w:val="00BB48EE"/>
    <w:rsid w:val="00BB513F"/>
    <w:rsid w:val="00BB7528"/>
    <w:rsid w:val="00BC4E59"/>
    <w:rsid w:val="00BC5040"/>
    <w:rsid w:val="00BD310B"/>
    <w:rsid w:val="00BD3446"/>
    <w:rsid w:val="00BD39C8"/>
    <w:rsid w:val="00BD4C36"/>
    <w:rsid w:val="00BE1F1B"/>
    <w:rsid w:val="00BE41DA"/>
    <w:rsid w:val="00BE42E7"/>
    <w:rsid w:val="00BE47B5"/>
    <w:rsid w:val="00BE77C2"/>
    <w:rsid w:val="00BF2C8A"/>
    <w:rsid w:val="00BF472A"/>
    <w:rsid w:val="00BF48D6"/>
    <w:rsid w:val="00C03885"/>
    <w:rsid w:val="00C04223"/>
    <w:rsid w:val="00C06356"/>
    <w:rsid w:val="00C11FAD"/>
    <w:rsid w:val="00C12544"/>
    <w:rsid w:val="00C12EAB"/>
    <w:rsid w:val="00C203FC"/>
    <w:rsid w:val="00C20922"/>
    <w:rsid w:val="00C229E6"/>
    <w:rsid w:val="00C22B31"/>
    <w:rsid w:val="00C2484C"/>
    <w:rsid w:val="00C25FA6"/>
    <w:rsid w:val="00C275C4"/>
    <w:rsid w:val="00C3627F"/>
    <w:rsid w:val="00C41117"/>
    <w:rsid w:val="00C42ACA"/>
    <w:rsid w:val="00C508B5"/>
    <w:rsid w:val="00C50A15"/>
    <w:rsid w:val="00C51960"/>
    <w:rsid w:val="00C538A9"/>
    <w:rsid w:val="00C53B5A"/>
    <w:rsid w:val="00C54F5A"/>
    <w:rsid w:val="00C569B4"/>
    <w:rsid w:val="00C56A3E"/>
    <w:rsid w:val="00C60C9C"/>
    <w:rsid w:val="00C67A92"/>
    <w:rsid w:val="00C739DF"/>
    <w:rsid w:val="00C7497E"/>
    <w:rsid w:val="00C74E7F"/>
    <w:rsid w:val="00C82DBE"/>
    <w:rsid w:val="00C84560"/>
    <w:rsid w:val="00C84F52"/>
    <w:rsid w:val="00C85B1D"/>
    <w:rsid w:val="00C86679"/>
    <w:rsid w:val="00C92347"/>
    <w:rsid w:val="00CA1847"/>
    <w:rsid w:val="00CA489E"/>
    <w:rsid w:val="00CA52A2"/>
    <w:rsid w:val="00CA6D7E"/>
    <w:rsid w:val="00CB0279"/>
    <w:rsid w:val="00CB2884"/>
    <w:rsid w:val="00CB4172"/>
    <w:rsid w:val="00CB666B"/>
    <w:rsid w:val="00CC2EC0"/>
    <w:rsid w:val="00CC6210"/>
    <w:rsid w:val="00CC7F1D"/>
    <w:rsid w:val="00CD2290"/>
    <w:rsid w:val="00CD2F05"/>
    <w:rsid w:val="00CD36AB"/>
    <w:rsid w:val="00CD4FCE"/>
    <w:rsid w:val="00CD7E0D"/>
    <w:rsid w:val="00CE1EA4"/>
    <w:rsid w:val="00CE484B"/>
    <w:rsid w:val="00CF0DEE"/>
    <w:rsid w:val="00CF2C05"/>
    <w:rsid w:val="00CF6498"/>
    <w:rsid w:val="00CF69A3"/>
    <w:rsid w:val="00CF6EDE"/>
    <w:rsid w:val="00D00505"/>
    <w:rsid w:val="00D006AE"/>
    <w:rsid w:val="00D01CF0"/>
    <w:rsid w:val="00D01EFD"/>
    <w:rsid w:val="00D023AB"/>
    <w:rsid w:val="00D0442A"/>
    <w:rsid w:val="00D045F5"/>
    <w:rsid w:val="00D05FC3"/>
    <w:rsid w:val="00D113DA"/>
    <w:rsid w:val="00D12911"/>
    <w:rsid w:val="00D12F37"/>
    <w:rsid w:val="00D17683"/>
    <w:rsid w:val="00D20E5D"/>
    <w:rsid w:val="00D217D4"/>
    <w:rsid w:val="00D23CF6"/>
    <w:rsid w:val="00D341A3"/>
    <w:rsid w:val="00D379F6"/>
    <w:rsid w:val="00D4201F"/>
    <w:rsid w:val="00D43423"/>
    <w:rsid w:val="00D4343E"/>
    <w:rsid w:val="00D43EAF"/>
    <w:rsid w:val="00D454F0"/>
    <w:rsid w:val="00D45694"/>
    <w:rsid w:val="00D45A44"/>
    <w:rsid w:val="00D517C1"/>
    <w:rsid w:val="00D53CC4"/>
    <w:rsid w:val="00D5470D"/>
    <w:rsid w:val="00D61388"/>
    <w:rsid w:val="00D61A54"/>
    <w:rsid w:val="00D64473"/>
    <w:rsid w:val="00D64934"/>
    <w:rsid w:val="00D64DEA"/>
    <w:rsid w:val="00D659C1"/>
    <w:rsid w:val="00D666F2"/>
    <w:rsid w:val="00D7168E"/>
    <w:rsid w:val="00D71E57"/>
    <w:rsid w:val="00D73082"/>
    <w:rsid w:val="00D75AA2"/>
    <w:rsid w:val="00D8072A"/>
    <w:rsid w:val="00D80893"/>
    <w:rsid w:val="00D84854"/>
    <w:rsid w:val="00D848B4"/>
    <w:rsid w:val="00D8614C"/>
    <w:rsid w:val="00D8628A"/>
    <w:rsid w:val="00D8769C"/>
    <w:rsid w:val="00D92CF1"/>
    <w:rsid w:val="00D92D38"/>
    <w:rsid w:val="00D950F5"/>
    <w:rsid w:val="00DA0823"/>
    <w:rsid w:val="00DA0E5D"/>
    <w:rsid w:val="00DA2F42"/>
    <w:rsid w:val="00DA4752"/>
    <w:rsid w:val="00DA61F3"/>
    <w:rsid w:val="00DA6B93"/>
    <w:rsid w:val="00DB0F93"/>
    <w:rsid w:val="00DB1A67"/>
    <w:rsid w:val="00DB3783"/>
    <w:rsid w:val="00DB5074"/>
    <w:rsid w:val="00DB5B21"/>
    <w:rsid w:val="00DB792E"/>
    <w:rsid w:val="00DC25B9"/>
    <w:rsid w:val="00DC705D"/>
    <w:rsid w:val="00DC7981"/>
    <w:rsid w:val="00DD13C3"/>
    <w:rsid w:val="00DD6D17"/>
    <w:rsid w:val="00DE05BE"/>
    <w:rsid w:val="00DE1093"/>
    <w:rsid w:val="00DE1932"/>
    <w:rsid w:val="00DE4EFA"/>
    <w:rsid w:val="00DE5520"/>
    <w:rsid w:val="00DE563D"/>
    <w:rsid w:val="00DE5E2E"/>
    <w:rsid w:val="00DE6FDB"/>
    <w:rsid w:val="00DE772C"/>
    <w:rsid w:val="00DF312A"/>
    <w:rsid w:val="00DF5E88"/>
    <w:rsid w:val="00E00FD6"/>
    <w:rsid w:val="00E03013"/>
    <w:rsid w:val="00E04818"/>
    <w:rsid w:val="00E06442"/>
    <w:rsid w:val="00E06BCF"/>
    <w:rsid w:val="00E079A9"/>
    <w:rsid w:val="00E1001C"/>
    <w:rsid w:val="00E21DB5"/>
    <w:rsid w:val="00E23993"/>
    <w:rsid w:val="00E244E0"/>
    <w:rsid w:val="00E257D6"/>
    <w:rsid w:val="00E25B8C"/>
    <w:rsid w:val="00E25CDD"/>
    <w:rsid w:val="00E265F3"/>
    <w:rsid w:val="00E26C27"/>
    <w:rsid w:val="00E31AF6"/>
    <w:rsid w:val="00E31B59"/>
    <w:rsid w:val="00E348EC"/>
    <w:rsid w:val="00E4020C"/>
    <w:rsid w:val="00E4108B"/>
    <w:rsid w:val="00E44AAF"/>
    <w:rsid w:val="00E47280"/>
    <w:rsid w:val="00E51D65"/>
    <w:rsid w:val="00E55053"/>
    <w:rsid w:val="00E570A8"/>
    <w:rsid w:val="00E6200B"/>
    <w:rsid w:val="00E634D3"/>
    <w:rsid w:val="00E65C85"/>
    <w:rsid w:val="00E66199"/>
    <w:rsid w:val="00E667F6"/>
    <w:rsid w:val="00E711C7"/>
    <w:rsid w:val="00E755EC"/>
    <w:rsid w:val="00E759E4"/>
    <w:rsid w:val="00E7624D"/>
    <w:rsid w:val="00E83F64"/>
    <w:rsid w:val="00E850D1"/>
    <w:rsid w:val="00E91F60"/>
    <w:rsid w:val="00EA063B"/>
    <w:rsid w:val="00EA081D"/>
    <w:rsid w:val="00EA2306"/>
    <w:rsid w:val="00EA3D42"/>
    <w:rsid w:val="00EA5A7B"/>
    <w:rsid w:val="00EA6B1B"/>
    <w:rsid w:val="00EA7B76"/>
    <w:rsid w:val="00EB1980"/>
    <w:rsid w:val="00EB35C8"/>
    <w:rsid w:val="00EB5BA9"/>
    <w:rsid w:val="00EB5BC8"/>
    <w:rsid w:val="00EB606C"/>
    <w:rsid w:val="00EB7D78"/>
    <w:rsid w:val="00EC04F1"/>
    <w:rsid w:val="00EC5160"/>
    <w:rsid w:val="00EC57B5"/>
    <w:rsid w:val="00EC7D48"/>
    <w:rsid w:val="00ED0EC2"/>
    <w:rsid w:val="00ED14EE"/>
    <w:rsid w:val="00ED1B8C"/>
    <w:rsid w:val="00ED3BB0"/>
    <w:rsid w:val="00ED3FF5"/>
    <w:rsid w:val="00ED69B7"/>
    <w:rsid w:val="00ED7323"/>
    <w:rsid w:val="00EE28F3"/>
    <w:rsid w:val="00EE3DF3"/>
    <w:rsid w:val="00EE50D1"/>
    <w:rsid w:val="00EE65A9"/>
    <w:rsid w:val="00EE77FA"/>
    <w:rsid w:val="00EE7F03"/>
    <w:rsid w:val="00EF13ED"/>
    <w:rsid w:val="00EF210E"/>
    <w:rsid w:val="00EF3DE9"/>
    <w:rsid w:val="00EF5110"/>
    <w:rsid w:val="00EF5E5B"/>
    <w:rsid w:val="00EF6044"/>
    <w:rsid w:val="00EF662D"/>
    <w:rsid w:val="00EF6F9E"/>
    <w:rsid w:val="00F01D3B"/>
    <w:rsid w:val="00F0334E"/>
    <w:rsid w:val="00F05C7F"/>
    <w:rsid w:val="00F10411"/>
    <w:rsid w:val="00F11B33"/>
    <w:rsid w:val="00F1391E"/>
    <w:rsid w:val="00F15882"/>
    <w:rsid w:val="00F171E0"/>
    <w:rsid w:val="00F2098C"/>
    <w:rsid w:val="00F20BD3"/>
    <w:rsid w:val="00F21648"/>
    <w:rsid w:val="00F22822"/>
    <w:rsid w:val="00F24D31"/>
    <w:rsid w:val="00F2526A"/>
    <w:rsid w:val="00F337F0"/>
    <w:rsid w:val="00F33F19"/>
    <w:rsid w:val="00F368B4"/>
    <w:rsid w:val="00F373A5"/>
    <w:rsid w:val="00F4217A"/>
    <w:rsid w:val="00F4280C"/>
    <w:rsid w:val="00F4629D"/>
    <w:rsid w:val="00F4650C"/>
    <w:rsid w:val="00F47559"/>
    <w:rsid w:val="00F477F5"/>
    <w:rsid w:val="00F50C9A"/>
    <w:rsid w:val="00F53F2E"/>
    <w:rsid w:val="00F5647E"/>
    <w:rsid w:val="00F56B8C"/>
    <w:rsid w:val="00F57165"/>
    <w:rsid w:val="00F61176"/>
    <w:rsid w:val="00F64C7B"/>
    <w:rsid w:val="00F65B25"/>
    <w:rsid w:val="00F6740A"/>
    <w:rsid w:val="00F676DD"/>
    <w:rsid w:val="00F71667"/>
    <w:rsid w:val="00F7258F"/>
    <w:rsid w:val="00F7576A"/>
    <w:rsid w:val="00F75A26"/>
    <w:rsid w:val="00F76706"/>
    <w:rsid w:val="00F768C8"/>
    <w:rsid w:val="00F776DA"/>
    <w:rsid w:val="00F81B8D"/>
    <w:rsid w:val="00F83FAD"/>
    <w:rsid w:val="00F8653A"/>
    <w:rsid w:val="00F8669C"/>
    <w:rsid w:val="00F866DE"/>
    <w:rsid w:val="00F9004E"/>
    <w:rsid w:val="00F92349"/>
    <w:rsid w:val="00F952A0"/>
    <w:rsid w:val="00F97F22"/>
    <w:rsid w:val="00FA0537"/>
    <w:rsid w:val="00FA30A0"/>
    <w:rsid w:val="00FA3C7F"/>
    <w:rsid w:val="00FB4402"/>
    <w:rsid w:val="00FB4DA9"/>
    <w:rsid w:val="00FB5A51"/>
    <w:rsid w:val="00FB6025"/>
    <w:rsid w:val="00FB60FE"/>
    <w:rsid w:val="00FB6CF0"/>
    <w:rsid w:val="00FB74E2"/>
    <w:rsid w:val="00FC1125"/>
    <w:rsid w:val="00FC1788"/>
    <w:rsid w:val="00FC71DC"/>
    <w:rsid w:val="00FD0AB9"/>
    <w:rsid w:val="00FD189B"/>
    <w:rsid w:val="00FD1E59"/>
    <w:rsid w:val="00FD2110"/>
    <w:rsid w:val="00FD2ED2"/>
    <w:rsid w:val="00FD35C1"/>
    <w:rsid w:val="00FD505C"/>
    <w:rsid w:val="00FD5614"/>
    <w:rsid w:val="00FD5946"/>
    <w:rsid w:val="00FD5E78"/>
    <w:rsid w:val="00FD6359"/>
    <w:rsid w:val="00FD6B9A"/>
    <w:rsid w:val="00FE0374"/>
    <w:rsid w:val="00FE0BE1"/>
    <w:rsid w:val="00FE1697"/>
    <w:rsid w:val="00FE1DE9"/>
    <w:rsid w:val="00FE36AF"/>
    <w:rsid w:val="00FE39C2"/>
    <w:rsid w:val="00FE3C32"/>
    <w:rsid w:val="00FE64AE"/>
    <w:rsid w:val="00FF1C8A"/>
    <w:rsid w:val="00FF305A"/>
    <w:rsid w:val="00FF4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customStyle="1" w:styleId="accc-document-title">
    <w:name w:val="accc-document-title"/>
    <w:basedOn w:val="DefaultParagraphFont"/>
    <w:rsid w:val="00196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customStyle="1" w:styleId="accc-document-title">
    <w:name w:val="accc-document-title"/>
    <w:basedOn w:val="DefaultParagraphFont"/>
    <w:rsid w:val="0019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8381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60149068">
      <w:bodyDiv w:val="1"/>
      <w:marLeft w:val="0"/>
      <w:marRight w:val="0"/>
      <w:marTop w:val="0"/>
      <w:marBottom w:val="0"/>
      <w:divBdr>
        <w:top w:val="none" w:sz="0" w:space="0" w:color="auto"/>
        <w:left w:val="none" w:sz="0" w:space="0" w:color="auto"/>
        <w:bottom w:val="none" w:sz="0" w:space="0" w:color="auto"/>
        <w:right w:val="none" w:sz="0" w:space="0" w:color="auto"/>
      </w:divBdr>
    </w:div>
    <w:div w:id="1536458058">
      <w:bodyDiv w:val="1"/>
      <w:marLeft w:val="0"/>
      <w:marRight w:val="0"/>
      <w:marTop w:val="0"/>
      <w:marBottom w:val="0"/>
      <w:divBdr>
        <w:top w:val="none" w:sz="0" w:space="0" w:color="auto"/>
        <w:left w:val="none" w:sz="0" w:space="0" w:color="auto"/>
        <w:bottom w:val="none" w:sz="0" w:space="0" w:color="auto"/>
        <w:right w:val="none" w:sz="0" w:space="0" w:color="auto"/>
      </w:divBdr>
    </w:div>
    <w:div w:id="21098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system/files/ECCSA%20to%20Envestra%20GDPR%20applic%202015.pdf" TargetMode="External"/><Relationship Id="rId2" Type="http://schemas.openxmlformats.org/officeDocument/2006/relationships/hyperlink" Target="http://www.aer.gov.au/system/files/CCP8%20-%20Advice%20to%20AER%20from%20Consumer%20Challenge%20Panel%20sub-panel%208%20regarding%20Australian%20Gas%20Networks%E2%80%99%20%28SA%29%20Access%20Arrangement%202016-2021%20Proposal%20-%2025%20August%202015.pdf" TargetMode="External"/><Relationship Id="rId1" Type="http://schemas.openxmlformats.org/officeDocument/2006/relationships/hyperlink" Target="http://www.aer.gov.au/system/files/SA%20Government%20%20-%20Submission%20on%20AGN%20SA%20Access%20Arrangement%20Proposal%202016-2021%20-%2021%20August%202015.pdf" TargetMode="External"/><Relationship Id="rId5" Type="http://schemas.openxmlformats.org/officeDocument/2006/relationships/hyperlink" Target="http://www.aer.gov.au/system/files/Origin%20-%20Submission%20on%20AGN%202016-21%20Access%20Arrangement%20Proposal%20for%20its%20SA%20Gas%20Distribution%20Network%20-%2010%20August%202015.pdf" TargetMode="External"/><Relationship Id="rId4" Type="http://schemas.openxmlformats.org/officeDocument/2006/relationships/hyperlink" Target="http://www.aer.gov.au/system/files/SACOSS%20-%20Submission%20on%20AGN%E2%80%99s%20regulatory%20proposal%20for%20the%202016-2021%20Access%20Arrangement%20%28AA%29%20period%20-%208%20August%202015.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667BDA-7D38-4FAD-86F3-F9B9E731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AE7CCC50</Template>
  <TotalTime>0</TotalTime>
  <Pages>21</Pages>
  <Words>5392</Words>
  <Characters>30741</Characters>
  <Application>Microsoft Office Word</Application>
  <DocSecurity>0</DocSecurity>
  <Lines>256</Lines>
  <Paragraphs>72</Paragraphs>
  <ScaleCrop>false</ScaleCrop>
  <Company/>
  <LinksUpToDate>false</LinksUpToDate>
  <CharactersWithSpaces>36061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2015-11-23T04:09:00Z</dcterms:created>
  <dcterms:modified xsi:type="dcterms:W3CDTF">2015-11-23T04:09:00Z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8431918</vt:lpwstr>
  </property>
</Properties>
</file>