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B56BB3" w:rsidP="00290C63">
          <w:r w:rsidRPr="00DB723B">
            <w:rPr>
              <w:noProof/>
              <w:lang w:eastAsia="en-AU"/>
            </w:rPr>
            <w:drawing>
              <wp:anchor distT="0" distB="0" distL="114300" distR="114300" simplePos="0" relativeHeight="251661312" behindDoc="1" locked="0" layoutInCell="1" allowOverlap="1" wp14:anchorId="1F3651BB" wp14:editId="01EA25D0">
                <wp:simplePos x="0" y="0"/>
                <wp:positionH relativeFrom="column">
                  <wp:posOffset>-1101689</wp:posOffset>
                </wp:positionH>
                <wp:positionV relativeFrom="paragraph">
                  <wp:posOffset>-913993</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B9733D">
            <w:t>DRAFT</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0A6C7B" w:rsidRDefault="00DA4752" w:rsidP="008F07A3">
          <w:pPr>
            <w:pStyle w:val="ReportSubtitle"/>
          </w:pPr>
          <w:r>
            <w:t xml:space="preserve"> </w:t>
          </w:r>
          <w:r w:rsidRPr="00BB089B">
            <w:t>201</w:t>
          </w:r>
          <w:r w:rsidR="00BB089B" w:rsidRPr="00BB089B">
            <w:t>7</w:t>
          </w:r>
          <w:r w:rsidRPr="00BB089B">
            <w:rPr>
              <w:rFonts w:cs="Arial"/>
            </w:rPr>
            <w:t>−</w:t>
          </w:r>
          <w:r w:rsidRPr="00BB089B">
            <w:t>1</w:t>
          </w:r>
          <w:r w:rsidR="00BB089B" w:rsidRPr="00BB089B">
            <w:t>8</w:t>
          </w:r>
          <w:r w:rsidRPr="00BB089B">
            <w:t xml:space="preserve"> to 20</w:t>
          </w:r>
          <w:r w:rsidR="00B9733D" w:rsidRPr="00BB089B">
            <w:t>21</w:t>
          </w:r>
          <w:r w:rsidRPr="00BB089B">
            <w:rPr>
              <w:rFonts w:cs="Arial"/>
            </w:rPr>
            <w:t>−</w:t>
          </w:r>
          <w:r w:rsidR="00B9733D" w:rsidRPr="00BB089B">
            <w:rPr>
              <w:rFonts w:cs="Arial"/>
            </w:rPr>
            <w:t>22</w:t>
          </w:r>
        </w:p>
        <w:p w:rsidR="008F07A3" w:rsidRPr="000A6C7B" w:rsidRDefault="008F07A3" w:rsidP="008F07A3">
          <w:pPr>
            <w:pStyle w:val="ReportSubtitle"/>
          </w:pPr>
        </w:p>
        <w:p w:rsidR="000A6C7B" w:rsidRPr="000A6C7B" w:rsidRDefault="00D842E4" w:rsidP="008F07A3">
          <w:pPr>
            <w:pStyle w:val="ReportSubtitle"/>
          </w:pPr>
          <w:r>
            <w:t>Attachment 8</w:t>
          </w:r>
          <w:r w:rsidR="00DA4752">
            <w:t xml:space="preserve"> </w:t>
          </w:r>
          <w:r w:rsidR="00415F31">
            <w:rPr>
              <w:rFonts w:cs="Arial"/>
            </w:rPr>
            <w:t>–</w:t>
          </w:r>
          <w:r w:rsidR="00DA4752">
            <w:t xml:space="preserve"> </w:t>
          </w:r>
          <w:r>
            <w:t>Corporate income tax</w:t>
          </w:r>
        </w:p>
        <w:p w:rsidR="00B9733D" w:rsidRDefault="00B9733D" w:rsidP="00327A1E">
          <w:pPr>
            <w:pStyle w:val="ReportDate"/>
          </w:pPr>
        </w:p>
        <w:p w:rsidR="000A6C7B" w:rsidRPr="00327A1E" w:rsidRDefault="00B56BB3" w:rsidP="00327A1E">
          <w:pPr>
            <w:pStyle w:val="ReportDate"/>
          </w:pPr>
          <w:r>
            <w:t xml:space="preserve">July </w:t>
          </w:r>
          <w:r w:rsidR="00DA4752">
            <w:t>201</w:t>
          </w:r>
          <w:r w:rsidR="00B9733D">
            <w:t>6</w:t>
          </w:r>
        </w:p>
      </w:sdtContent>
    </w:sdt>
    <w:p w:rsidR="00327A1E" w:rsidRPr="00290C63" w:rsidRDefault="00327A1E" w:rsidP="00290C63">
      <w:r>
        <w:br w:type="page"/>
      </w:r>
    </w:p>
    <w:p w:rsidR="000A6C7B" w:rsidRDefault="008F07A3" w:rsidP="00961A4A">
      <w:pPr>
        <w:pStyle w:val="Copyright"/>
      </w:pPr>
      <w:r>
        <w:lastRenderedPageBreak/>
        <w:t xml:space="preserve">© Commonwealth of Australia </w:t>
      </w:r>
      <w:r w:rsidR="00C72FBA">
        <w:t>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B9562D" w:rsidRDefault="000A6C7B" w:rsidP="00B9562D">
      <w:pPr>
        <w:pStyle w:val="Copyright"/>
      </w:pPr>
      <w:r>
        <w:t xml:space="preserve">Tel: </w:t>
      </w:r>
      <w:r w:rsidR="00276718">
        <w:t>1300 585 165</w:t>
      </w:r>
      <w:r w:rsidR="00951978">
        <w:br/>
      </w:r>
      <w:r>
        <w:t xml:space="preserve">Email: </w:t>
      </w:r>
      <w:hyperlink r:id="rId11"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53444</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56602239"/>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w:t>
      </w:r>
      <w:r w:rsidR="000B321F">
        <w:t>draft</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0B321F">
        <w:t>draft</w:t>
      </w:r>
      <w:r w:rsidR="00415F31">
        <w:t xml:space="preserve"> decision.</w:t>
      </w:r>
    </w:p>
    <w:p w:rsidR="00415F31" w:rsidRDefault="00415F31" w:rsidP="00415F31">
      <w:pPr>
        <w:numPr>
          <w:ilvl w:val="0"/>
          <w:numId w:val="25"/>
        </w:numPr>
        <w:spacing w:before="0" w:after="240" w:line="288" w:lineRule="auto"/>
        <w:jc w:val="both"/>
      </w:pPr>
      <w:r>
        <w:t xml:space="preserve">The </w:t>
      </w:r>
      <w:r w:rsidR="000B321F">
        <w:t>draft</w:t>
      </w:r>
      <w:r>
        <w:t xml:space="preserve">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56602240"/>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bookmarkStart w:id="7" w:name="_GoBack" w:displacedByCustomXml="prev"/>
        <w:bookmarkEnd w:id="7" w:displacedByCustomXml="prev"/>
        <w:p w:rsidR="00996061"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56602239" w:history="1">
            <w:r w:rsidR="00996061" w:rsidRPr="0060739D">
              <w:rPr>
                <w:rStyle w:val="Hyperlink"/>
              </w:rPr>
              <w:t>Note</w:t>
            </w:r>
            <w:r w:rsidR="00996061">
              <w:rPr>
                <w:webHidden/>
              </w:rPr>
              <w:tab/>
            </w:r>
            <w:r w:rsidR="00996061">
              <w:rPr>
                <w:webHidden/>
              </w:rPr>
              <w:fldChar w:fldCharType="begin"/>
            </w:r>
            <w:r w:rsidR="00996061">
              <w:rPr>
                <w:webHidden/>
              </w:rPr>
              <w:instrText xml:space="preserve"> PAGEREF _Toc456602239 \h </w:instrText>
            </w:r>
            <w:r w:rsidR="00996061">
              <w:rPr>
                <w:webHidden/>
              </w:rPr>
            </w:r>
            <w:r w:rsidR="00996061">
              <w:rPr>
                <w:webHidden/>
              </w:rPr>
              <w:fldChar w:fldCharType="separate"/>
            </w:r>
            <w:r w:rsidR="00996061">
              <w:rPr>
                <w:webHidden/>
              </w:rPr>
              <w:t>8-2</w:t>
            </w:r>
            <w:r w:rsidR="00996061">
              <w:rPr>
                <w:webHidden/>
              </w:rPr>
              <w:fldChar w:fldCharType="end"/>
            </w:r>
          </w:hyperlink>
        </w:p>
        <w:p w:rsidR="00996061" w:rsidRDefault="0058189B">
          <w:pPr>
            <w:pStyle w:val="TOC1"/>
            <w:rPr>
              <w:rFonts w:asciiTheme="minorHAnsi" w:eastAsiaTheme="minorEastAsia" w:hAnsiTheme="minorHAnsi"/>
              <w:b w:val="0"/>
              <w:color w:val="auto"/>
              <w:sz w:val="22"/>
              <w:lang w:val="en-AU" w:eastAsia="en-AU"/>
            </w:rPr>
          </w:pPr>
          <w:hyperlink w:anchor="_Toc456602240" w:history="1">
            <w:r w:rsidR="00996061" w:rsidRPr="0060739D">
              <w:rPr>
                <w:rStyle w:val="Hyperlink"/>
              </w:rPr>
              <w:t>Contents</w:t>
            </w:r>
            <w:r w:rsidR="00996061">
              <w:rPr>
                <w:webHidden/>
              </w:rPr>
              <w:tab/>
            </w:r>
            <w:r w:rsidR="00996061">
              <w:rPr>
                <w:webHidden/>
              </w:rPr>
              <w:fldChar w:fldCharType="begin"/>
            </w:r>
            <w:r w:rsidR="00996061">
              <w:rPr>
                <w:webHidden/>
              </w:rPr>
              <w:instrText xml:space="preserve"> PAGEREF _Toc456602240 \h </w:instrText>
            </w:r>
            <w:r w:rsidR="00996061">
              <w:rPr>
                <w:webHidden/>
              </w:rPr>
            </w:r>
            <w:r w:rsidR="00996061">
              <w:rPr>
                <w:webHidden/>
              </w:rPr>
              <w:fldChar w:fldCharType="separate"/>
            </w:r>
            <w:r w:rsidR="00996061">
              <w:rPr>
                <w:webHidden/>
              </w:rPr>
              <w:t>8-3</w:t>
            </w:r>
            <w:r w:rsidR="00996061">
              <w:rPr>
                <w:webHidden/>
              </w:rPr>
              <w:fldChar w:fldCharType="end"/>
            </w:r>
          </w:hyperlink>
        </w:p>
        <w:p w:rsidR="00996061" w:rsidRDefault="0058189B">
          <w:pPr>
            <w:pStyle w:val="TOC1"/>
            <w:rPr>
              <w:rFonts w:asciiTheme="minorHAnsi" w:eastAsiaTheme="minorEastAsia" w:hAnsiTheme="minorHAnsi"/>
              <w:b w:val="0"/>
              <w:color w:val="auto"/>
              <w:sz w:val="22"/>
              <w:lang w:val="en-AU" w:eastAsia="en-AU"/>
            </w:rPr>
          </w:pPr>
          <w:hyperlink w:anchor="_Toc456602241" w:history="1">
            <w:r w:rsidR="00996061" w:rsidRPr="0060739D">
              <w:rPr>
                <w:rStyle w:val="Hyperlink"/>
              </w:rPr>
              <w:t>Shortened forms</w:t>
            </w:r>
            <w:r w:rsidR="00996061">
              <w:rPr>
                <w:webHidden/>
              </w:rPr>
              <w:tab/>
            </w:r>
            <w:r w:rsidR="00996061">
              <w:rPr>
                <w:webHidden/>
              </w:rPr>
              <w:fldChar w:fldCharType="begin"/>
            </w:r>
            <w:r w:rsidR="00996061">
              <w:rPr>
                <w:webHidden/>
              </w:rPr>
              <w:instrText xml:space="preserve"> PAGEREF _Toc456602241 \h </w:instrText>
            </w:r>
            <w:r w:rsidR="00996061">
              <w:rPr>
                <w:webHidden/>
              </w:rPr>
            </w:r>
            <w:r w:rsidR="00996061">
              <w:rPr>
                <w:webHidden/>
              </w:rPr>
              <w:fldChar w:fldCharType="separate"/>
            </w:r>
            <w:r w:rsidR="00996061">
              <w:rPr>
                <w:webHidden/>
              </w:rPr>
              <w:t>8-4</w:t>
            </w:r>
            <w:r w:rsidR="00996061">
              <w:rPr>
                <w:webHidden/>
              </w:rPr>
              <w:fldChar w:fldCharType="end"/>
            </w:r>
          </w:hyperlink>
        </w:p>
        <w:p w:rsidR="00996061" w:rsidRDefault="0058189B">
          <w:pPr>
            <w:pStyle w:val="TOC1"/>
            <w:rPr>
              <w:rFonts w:asciiTheme="minorHAnsi" w:eastAsiaTheme="minorEastAsia" w:hAnsiTheme="minorHAnsi"/>
              <w:b w:val="0"/>
              <w:color w:val="auto"/>
              <w:sz w:val="22"/>
              <w:lang w:val="en-AU" w:eastAsia="en-AU"/>
            </w:rPr>
          </w:pPr>
          <w:hyperlink w:anchor="_Toc456602242" w:history="1">
            <w:r w:rsidR="00996061" w:rsidRPr="0060739D">
              <w:rPr>
                <w:rStyle w:val="Hyperlink"/>
              </w:rPr>
              <w:t>8</w:t>
            </w:r>
            <w:r w:rsidR="00996061">
              <w:rPr>
                <w:rFonts w:asciiTheme="minorHAnsi" w:eastAsiaTheme="minorEastAsia" w:hAnsiTheme="minorHAnsi"/>
                <w:b w:val="0"/>
                <w:color w:val="auto"/>
                <w:sz w:val="22"/>
                <w:lang w:val="en-AU" w:eastAsia="en-AU"/>
              </w:rPr>
              <w:tab/>
            </w:r>
            <w:r w:rsidR="00996061" w:rsidRPr="0060739D">
              <w:rPr>
                <w:rStyle w:val="Hyperlink"/>
              </w:rPr>
              <w:t>Corporate income tax</w:t>
            </w:r>
            <w:r w:rsidR="00996061">
              <w:rPr>
                <w:webHidden/>
              </w:rPr>
              <w:tab/>
            </w:r>
            <w:r w:rsidR="00996061">
              <w:rPr>
                <w:webHidden/>
              </w:rPr>
              <w:fldChar w:fldCharType="begin"/>
            </w:r>
            <w:r w:rsidR="00996061">
              <w:rPr>
                <w:webHidden/>
              </w:rPr>
              <w:instrText xml:space="preserve"> PAGEREF _Toc456602242 \h </w:instrText>
            </w:r>
            <w:r w:rsidR="00996061">
              <w:rPr>
                <w:webHidden/>
              </w:rPr>
            </w:r>
            <w:r w:rsidR="00996061">
              <w:rPr>
                <w:webHidden/>
              </w:rPr>
              <w:fldChar w:fldCharType="separate"/>
            </w:r>
            <w:r w:rsidR="00996061">
              <w:rPr>
                <w:webHidden/>
              </w:rPr>
              <w:t>8-6</w:t>
            </w:r>
            <w:r w:rsidR="00996061">
              <w:rPr>
                <w:webHidden/>
              </w:rPr>
              <w:fldChar w:fldCharType="end"/>
            </w:r>
          </w:hyperlink>
        </w:p>
        <w:p w:rsidR="00996061" w:rsidRDefault="0058189B">
          <w:pPr>
            <w:pStyle w:val="TOC2"/>
            <w:rPr>
              <w:rFonts w:asciiTheme="minorHAnsi" w:eastAsiaTheme="minorEastAsia" w:hAnsiTheme="minorHAnsi"/>
              <w:b w:val="0"/>
              <w:color w:val="auto"/>
              <w:sz w:val="22"/>
              <w:lang w:eastAsia="en-AU"/>
            </w:rPr>
          </w:pPr>
          <w:hyperlink w:anchor="_Toc456602243" w:history="1">
            <w:r w:rsidR="00996061" w:rsidRPr="0060739D">
              <w:rPr>
                <w:rStyle w:val="Hyperlink"/>
              </w:rPr>
              <w:t>8.1</w:t>
            </w:r>
            <w:r w:rsidR="00996061">
              <w:rPr>
                <w:rFonts w:asciiTheme="minorHAnsi" w:eastAsiaTheme="minorEastAsia" w:hAnsiTheme="minorHAnsi"/>
                <w:b w:val="0"/>
                <w:color w:val="auto"/>
                <w:sz w:val="22"/>
                <w:lang w:eastAsia="en-AU"/>
              </w:rPr>
              <w:tab/>
            </w:r>
            <w:r w:rsidR="00996061" w:rsidRPr="0060739D">
              <w:rPr>
                <w:rStyle w:val="Hyperlink"/>
              </w:rPr>
              <w:t>Draft decision</w:t>
            </w:r>
            <w:r w:rsidR="00996061">
              <w:rPr>
                <w:webHidden/>
              </w:rPr>
              <w:tab/>
            </w:r>
            <w:r w:rsidR="00996061">
              <w:rPr>
                <w:webHidden/>
              </w:rPr>
              <w:fldChar w:fldCharType="begin"/>
            </w:r>
            <w:r w:rsidR="00996061">
              <w:rPr>
                <w:webHidden/>
              </w:rPr>
              <w:instrText xml:space="preserve"> PAGEREF _Toc456602243 \h </w:instrText>
            </w:r>
            <w:r w:rsidR="00996061">
              <w:rPr>
                <w:webHidden/>
              </w:rPr>
            </w:r>
            <w:r w:rsidR="00996061">
              <w:rPr>
                <w:webHidden/>
              </w:rPr>
              <w:fldChar w:fldCharType="separate"/>
            </w:r>
            <w:r w:rsidR="00996061">
              <w:rPr>
                <w:webHidden/>
              </w:rPr>
              <w:t>8-6</w:t>
            </w:r>
            <w:r w:rsidR="00996061">
              <w:rPr>
                <w:webHidden/>
              </w:rPr>
              <w:fldChar w:fldCharType="end"/>
            </w:r>
          </w:hyperlink>
        </w:p>
        <w:p w:rsidR="00996061" w:rsidRDefault="0058189B">
          <w:pPr>
            <w:pStyle w:val="TOC2"/>
            <w:rPr>
              <w:rFonts w:asciiTheme="minorHAnsi" w:eastAsiaTheme="minorEastAsia" w:hAnsiTheme="minorHAnsi"/>
              <w:b w:val="0"/>
              <w:color w:val="auto"/>
              <w:sz w:val="22"/>
              <w:lang w:eastAsia="en-AU"/>
            </w:rPr>
          </w:pPr>
          <w:hyperlink w:anchor="_Toc456602244" w:history="1">
            <w:r w:rsidR="00996061" w:rsidRPr="0060739D">
              <w:rPr>
                <w:rStyle w:val="Hyperlink"/>
              </w:rPr>
              <w:t>8.2</w:t>
            </w:r>
            <w:r w:rsidR="00996061">
              <w:rPr>
                <w:rFonts w:asciiTheme="minorHAnsi" w:eastAsiaTheme="minorEastAsia" w:hAnsiTheme="minorHAnsi"/>
                <w:b w:val="0"/>
                <w:color w:val="auto"/>
                <w:sz w:val="22"/>
                <w:lang w:eastAsia="en-AU"/>
              </w:rPr>
              <w:tab/>
            </w:r>
            <w:r w:rsidR="00996061" w:rsidRPr="0060739D">
              <w:rPr>
                <w:rStyle w:val="Hyperlink"/>
              </w:rPr>
              <w:t>AusNet Services’ proposal</w:t>
            </w:r>
            <w:r w:rsidR="00996061">
              <w:rPr>
                <w:webHidden/>
              </w:rPr>
              <w:tab/>
            </w:r>
            <w:r w:rsidR="00996061">
              <w:rPr>
                <w:webHidden/>
              </w:rPr>
              <w:fldChar w:fldCharType="begin"/>
            </w:r>
            <w:r w:rsidR="00996061">
              <w:rPr>
                <w:webHidden/>
              </w:rPr>
              <w:instrText xml:space="preserve"> PAGEREF _Toc456602244 \h </w:instrText>
            </w:r>
            <w:r w:rsidR="00996061">
              <w:rPr>
                <w:webHidden/>
              </w:rPr>
            </w:r>
            <w:r w:rsidR="00996061">
              <w:rPr>
                <w:webHidden/>
              </w:rPr>
              <w:fldChar w:fldCharType="separate"/>
            </w:r>
            <w:r w:rsidR="00996061">
              <w:rPr>
                <w:webHidden/>
              </w:rPr>
              <w:t>8-7</w:t>
            </w:r>
            <w:r w:rsidR="00996061">
              <w:rPr>
                <w:webHidden/>
              </w:rPr>
              <w:fldChar w:fldCharType="end"/>
            </w:r>
          </w:hyperlink>
        </w:p>
        <w:p w:rsidR="00996061" w:rsidRDefault="0058189B">
          <w:pPr>
            <w:pStyle w:val="TOC2"/>
            <w:rPr>
              <w:rFonts w:asciiTheme="minorHAnsi" w:eastAsiaTheme="minorEastAsia" w:hAnsiTheme="minorHAnsi"/>
              <w:b w:val="0"/>
              <w:color w:val="auto"/>
              <w:sz w:val="22"/>
              <w:lang w:eastAsia="en-AU"/>
            </w:rPr>
          </w:pPr>
          <w:hyperlink w:anchor="_Toc456602245" w:history="1">
            <w:r w:rsidR="00996061" w:rsidRPr="0060739D">
              <w:rPr>
                <w:rStyle w:val="Hyperlink"/>
              </w:rPr>
              <w:t>8.3</w:t>
            </w:r>
            <w:r w:rsidR="00996061">
              <w:rPr>
                <w:rFonts w:asciiTheme="minorHAnsi" w:eastAsiaTheme="minorEastAsia" w:hAnsiTheme="minorHAnsi"/>
                <w:b w:val="0"/>
                <w:color w:val="auto"/>
                <w:sz w:val="22"/>
                <w:lang w:eastAsia="en-AU"/>
              </w:rPr>
              <w:tab/>
            </w:r>
            <w:r w:rsidR="00996061" w:rsidRPr="0060739D">
              <w:rPr>
                <w:rStyle w:val="Hyperlink"/>
              </w:rPr>
              <w:t>AER’s assessment approach</w:t>
            </w:r>
            <w:r w:rsidR="00996061">
              <w:rPr>
                <w:webHidden/>
              </w:rPr>
              <w:tab/>
            </w:r>
            <w:r w:rsidR="00996061">
              <w:rPr>
                <w:webHidden/>
              </w:rPr>
              <w:fldChar w:fldCharType="begin"/>
            </w:r>
            <w:r w:rsidR="00996061">
              <w:rPr>
                <w:webHidden/>
              </w:rPr>
              <w:instrText xml:space="preserve"> PAGEREF _Toc456602245 \h </w:instrText>
            </w:r>
            <w:r w:rsidR="00996061">
              <w:rPr>
                <w:webHidden/>
              </w:rPr>
            </w:r>
            <w:r w:rsidR="00996061">
              <w:rPr>
                <w:webHidden/>
              </w:rPr>
              <w:fldChar w:fldCharType="separate"/>
            </w:r>
            <w:r w:rsidR="00996061">
              <w:rPr>
                <w:webHidden/>
              </w:rPr>
              <w:t>8-8</w:t>
            </w:r>
            <w:r w:rsidR="00996061">
              <w:rPr>
                <w:webHidden/>
              </w:rPr>
              <w:fldChar w:fldCharType="end"/>
            </w:r>
          </w:hyperlink>
        </w:p>
        <w:p w:rsidR="00996061" w:rsidRDefault="0058189B">
          <w:pPr>
            <w:pStyle w:val="TOC3"/>
            <w:rPr>
              <w:rFonts w:asciiTheme="minorHAnsi" w:eastAsiaTheme="minorEastAsia" w:hAnsiTheme="minorHAnsi"/>
              <w:lang w:eastAsia="en-AU"/>
            </w:rPr>
          </w:pPr>
          <w:hyperlink w:anchor="_Toc456602246" w:history="1">
            <w:r w:rsidR="00996061" w:rsidRPr="0060739D">
              <w:rPr>
                <w:rStyle w:val="Hyperlink"/>
              </w:rPr>
              <w:t>8.3.1</w:t>
            </w:r>
            <w:r w:rsidR="00996061">
              <w:rPr>
                <w:rFonts w:asciiTheme="minorHAnsi" w:eastAsiaTheme="minorEastAsia" w:hAnsiTheme="minorHAnsi"/>
                <w:lang w:eastAsia="en-AU"/>
              </w:rPr>
              <w:tab/>
            </w:r>
            <w:r w:rsidR="00996061" w:rsidRPr="0060739D">
              <w:rPr>
                <w:rStyle w:val="Hyperlink"/>
              </w:rPr>
              <w:t>Interrelationships</w:t>
            </w:r>
            <w:r w:rsidR="00996061">
              <w:rPr>
                <w:webHidden/>
              </w:rPr>
              <w:tab/>
            </w:r>
            <w:r w:rsidR="00996061">
              <w:rPr>
                <w:webHidden/>
              </w:rPr>
              <w:fldChar w:fldCharType="begin"/>
            </w:r>
            <w:r w:rsidR="00996061">
              <w:rPr>
                <w:webHidden/>
              </w:rPr>
              <w:instrText xml:space="preserve"> PAGEREF _Toc456602246 \h </w:instrText>
            </w:r>
            <w:r w:rsidR="00996061">
              <w:rPr>
                <w:webHidden/>
              </w:rPr>
            </w:r>
            <w:r w:rsidR="00996061">
              <w:rPr>
                <w:webHidden/>
              </w:rPr>
              <w:fldChar w:fldCharType="separate"/>
            </w:r>
            <w:r w:rsidR="00996061">
              <w:rPr>
                <w:webHidden/>
              </w:rPr>
              <w:t>8-9</w:t>
            </w:r>
            <w:r w:rsidR="00996061">
              <w:rPr>
                <w:webHidden/>
              </w:rPr>
              <w:fldChar w:fldCharType="end"/>
            </w:r>
          </w:hyperlink>
        </w:p>
        <w:p w:rsidR="00996061" w:rsidRDefault="0058189B">
          <w:pPr>
            <w:pStyle w:val="TOC2"/>
            <w:rPr>
              <w:rFonts w:asciiTheme="minorHAnsi" w:eastAsiaTheme="minorEastAsia" w:hAnsiTheme="minorHAnsi"/>
              <w:b w:val="0"/>
              <w:color w:val="auto"/>
              <w:sz w:val="22"/>
              <w:lang w:eastAsia="en-AU"/>
            </w:rPr>
          </w:pPr>
          <w:hyperlink w:anchor="_Toc456602247" w:history="1">
            <w:r w:rsidR="00996061" w:rsidRPr="0060739D">
              <w:rPr>
                <w:rStyle w:val="Hyperlink"/>
              </w:rPr>
              <w:t>8.4</w:t>
            </w:r>
            <w:r w:rsidR="00996061">
              <w:rPr>
                <w:rFonts w:asciiTheme="minorHAnsi" w:eastAsiaTheme="minorEastAsia" w:hAnsiTheme="minorHAnsi"/>
                <w:b w:val="0"/>
                <w:color w:val="auto"/>
                <w:sz w:val="22"/>
                <w:lang w:eastAsia="en-AU"/>
              </w:rPr>
              <w:tab/>
            </w:r>
            <w:r w:rsidR="00996061" w:rsidRPr="0060739D">
              <w:rPr>
                <w:rStyle w:val="Hyperlink"/>
              </w:rPr>
              <w:t>Reasons for draft decision</w:t>
            </w:r>
            <w:r w:rsidR="00996061">
              <w:rPr>
                <w:webHidden/>
              </w:rPr>
              <w:tab/>
            </w:r>
            <w:r w:rsidR="00996061">
              <w:rPr>
                <w:webHidden/>
              </w:rPr>
              <w:fldChar w:fldCharType="begin"/>
            </w:r>
            <w:r w:rsidR="00996061">
              <w:rPr>
                <w:webHidden/>
              </w:rPr>
              <w:instrText xml:space="preserve"> PAGEREF _Toc456602247 \h </w:instrText>
            </w:r>
            <w:r w:rsidR="00996061">
              <w:rPr>
                <w:webHidden/>
              </w:rPr>
            </w:r>
            <w:r w:rsidR="00996061">
              <w:rPr>
                <w:webHidden/>
              </w:rPr>
              <w:fldChar w:fldCharType="separate"/>
            </w:r>
            <w:r w:rsidR="00996061">
              <w:rPr>
                <w:webHidden/>
              </w:rPr>
              <w:t>8-10</w:t>
            </w:r>
            <w:r w:rsidR="00996061">
              <w:rPr>
                <w:webHidden/>
              </w:rPr>
              <w:fldChar w:fldCharType="end"/>
            </w:r>
          </w:hyperlink>
        </w:p>
        <w:p w:rsidR="00996061" w:rsidRDefault="0058189B">
          <w:pPr>
            <w:pStyle w:val="TOC3"/>
            <w:rPr>
              <w:rFonts w:asciiTheme="minorHAnsi" w:eastAsiaTheme="minorEastAsia" w:hAnsiTheme="minorHAnsi"/>
              <w:lang w:eastAsia="en-AU"/>
            </w:rPr>
          </w:pPr>
          <w:hyperlink w:anchor="_Toc456602248" w:history="1">
            <w:r w:rsidR="00996061" w:rsidRPr="0060739D">
              <w:rPr>
                <w:rStyle w:val="Hyperlink"/>
              </w:rPr>
              <w:t>8.4.1</w:t>
            </w:r>
            <w:r w:rsidR="00996061">
              <w:rPr>
                <w:rFonts w:asciiTheme="minorHAnsi" w:eastAsiaTheme="minorEastAsia" w:hAnsiTheme="minorHAnsi"/>
                <w:lang w:eastAsia="en-AU"/>
              </w:rPr>
              <w:tab/>
            </w:r>
            <w:r w:rsidR="00996061" w:rsidRPr="0060739D">
              <w:rPr>
                <w:rStyle w:val="Hyperlink"/>
              </w:rPr>
              <w:t>Opening tax asset base at 1 April 2017</w:t>
            </w:r>
            <w:r w:rsidR="00996061">
              <w:rPr>
                <w:webHidden/>
              </w:rPr>
              <w:tab/>
            </w:r>
            <w:r w:rsidR="00996061">
              <w:rPr>
                <w:webHidden/>
              </w:rPr>
              <w:fldChar w:fldCharType="begin"/>
            </w:r>
            <w:r w:rsidR="00996061">
              <w:rPr>
                <w:webHidden/>
              </w:rPr>
              <w:instrText xml:space="preserve"> PAGEREF _Toc456602248 \h </w:instrText>
            </w:r>
            <w:r w:rsidR="00996061">
              <w:rPr>
                <w:webHidden/>
              </w:rPr>
            </w:r>
            <w:r w:rsidR="00996061">
              <w:rPr>
                <w:webHidden/>
              </w:rPr>
              <w:fldChar w:fldCharType="separate"/>
            </w:r>
            <w:r w:rsidR="00996061">
              <w:rPr>
                <w:webHidden/>
              </w:rPr>
              <w:t>8-11</w:t>
            </w:r>
            <w:r w:rsidR="00996061">
              <w:rPr>
                <w:webHidden/>
              </w:rPr>
              <w:fldChar w:fldCharType="end"/>
            </w:r>
          </w:hyperlink>
        </w:p>
        <w:p w:rsidR="00996061" w:rsidRDefault="0058189B">
          <w:pPr>
            <w:pStyle w:val="TOC3"/>
            <w:rPr>
              <w:rFonts w:asciiTheme="minorHAnsi" w:eastAsiaTheme="minorEastAsia" w:hAnsiTheme="minorHAnsi"/>
              <w:lang w:eastAsia="en-AU"/>
            </w:rPr>
          </w:pPr>
          <w:hyperlink w:anchor="_Toc456602249" w:history="1">
            <w:r w:rsidR="00996061" w:rsidRPr="0060739D">
              <w:rPr>
                <w:rStyle w:val="Hyperlink"/>
              </w:rPr>
              <w:t>8.4.2</w:t>
            </w:r>
            <w:r w:rsidR="00996061">
              <w:rPr>
                <w:rFonts w:asciiTheme="minorHAnsi" w:eastAsiaTheme="minorEastAsia" w:hAnsiTheme="minorHAnsi"/>
                <w:lang w:eastAsia="en-AU"/>
              </w:rPr>
              <w:tab/>
            </w:r>
            <w:r w:rsidR="00996061" w:rsidRPr="0060739D">
              <w:rPr>
                <w:rStyle w:val="Hyperlink"/>
              </w:rPr>
              <w:t>Standard tax asset lives</w:t>
            </w:r>
            <w:r w:rsidR="00996061">
              <w:rPr>
                <w:webHidden/>
              </w:rPr>
              <w:tab/>
            </w:r>
            <w:r w:rsidR="00996061">
              <w:rPr>
                <w:webHidden/>
              </w:rPr>
              <w:fldChar w:fldCharType="begin"/>
            </w:r>
            <w:r w:rsidR="00996061">
              <w:rPr>
                <w:webHidden/>
              </w:rPr>
              <w:instrText xml:space="preserve"> PAGEREF _Toc456602249 \h </w:instrText>
            </w:r>
            <w:r w:rsidR="00996061">
              <w:rPr>
                <w:webHidden/>
              </w:rPr>
            </w:r>
            <w:r w:rsidR="00996061">
              <w:rPr>
                <w:webHidden/>
              </w:rPr>
              <w:fldChar w:fldCharType="separate"/>
            </w:r>
            <w:r w:rsidR="00996061">
              <w:rPr>
                <w:webHidden/>
              </w:rPr>
              <w:t>8-11</w:t>
            </w:r>
            <w:r w:rsidR="00996061">
              <w:rPr>
                <w:webHidden/>
              </w:rPr>
              <w:fldChar w:fldCharType="end"/>
            </w:r>
          </w:hyperlink>
        </w:p>
        <w:p w:rsidR="00996061" w:rsidRDefault="0058189B">
          <w:pPr>
            <w:pStyle w:val="TOC3"/>
            <w:rPr>
              <w:rFonts w:asciiTheme="minorHAnsi" w:eastAsiaTheme="minorEastAsia" w:hAnsiTheme="minorHAnsi"/>
              <w:lang w:eastAsia="en-AU"/>
            </w:rPr>
          </w:pPr>
          <w:hyperlink w:anchor="_Toc456602250" w:history="1">
            <w:r w:rsidR="00996061" w:rsidRPr="0060739D">
              <w:rPr>
                <w:rStyle w:val="Hyperlink"/>
              </w:rPr>
              <w:t>8.4.3</w:t>
            </w:r>
            <w:r w:rsidR="00996061">
              <w:rPr>
                <w:rFonts w:asciiTheme="minorHAnsi" w:eastAsiaTheme="minorEastAsia" w:hAnsiTheme="minorHAnsi"/>
                <w:lang w:eastAsia="en-AU"/>
              </w:rPr>
              <w:tab/>
            </w:r>
            <w:r w:rsidR="00996061" w:rsidRPr="0060739D">
              <w:rPr>
                <w:rStyle w:val="Hyperlink"/>
              </w:rPr>
              <w:t>Remaining tax asset lives</w:t>
            </w:r>
            <w:r w:rsidR="00996061">
              <w:rPr>
                <w:webHidden/>
              </w:rPr>
              <w:tab/>
            </w:r>
            <w:r w:rsidR="00996061">
              <w:rPr>
                <w:webHidden/>
              </w:rPr>
              <w:fldChar w:fldCharType="begin"/>
            </w:r>
            <w:r w:rsidR="00996061">
              <w:rPr>
                <w:webHidden/>
              </w:rPr>
              <w:instrText xml:space="preserve"> PAGEREF _Toc456602250 \h </w:instrText>
            </w:r>
            <w:r w:rsidR="00996061">
              <w:rPr>
                <w:webHidden/>
              </w:rPr>
            </w:r>
            <w:r w:rsidR="00996061">
              <w:rPr>
                <w:webHidden/>
              </w:rPr>
              <w:fldChar w:fldCharType="separate"/>
            </w:r>
            <w:r w:rsidR="00996061">
              <w:rPr>
                <w:webHidden/>
              </w:rPr>
              <w:t>8-12</w:t>
            </w:r>
            <w:r w:rsidR="00996061">
              <w:rPr>
                <w:webHidden/>
              </w:rPr>
              <w:fldChar w:fldCharType="end"/>
            </w:r>
          </w:hyperlink>
        </w:p>
        <w:p w:rsidR="00996061" w:rsidRDefault="0058189B">
          <w:pPr>
            <w:pStyle w:val="TOC3"/>
            <w:rPr>
              <w:rFonts w:asciiTheme="minorHAnsi" w:eastAsiaTheme="minorEastAsia" w:hAnsiTheme="minorHAnsi"/>
              <w:lang w:eastAsia="en-AU"/>
            </w:rPr>
          </w:pPr>
          <w:hyperlink w:anchor="_Toc456602251" w:history="1">
            <w:r w:rsidR="00996061" w:rsidRPr="0060739D">
              <w:rPr>
                <w:rStyle w:val="Hyperlink"/>
              </w:rPr>
              <w:t>8.4.4</w:t>
            </w:r>
            <w:r w:rsidR="00996061">
              <w:rPr>
                <w:rFonts w:asciiTheme="minorHAnsi" w:eastAsiaTheme="minorEastAsia" w:hAnsiTheme="minorHAnsi"/>
                <w:lang w:eastAsia="en-AU"/>
              </w:rPr>
              <w:tab/>
            </w:r>
            <w:r w:rsidR="00996061" w:rsidRPr="0060739D">
              <w:rPr>
                <w:rStyle w:val="Hyperlink"/>
              </w:rPr>
              <w:t>Tax treatment of revenue adjustments</w:t>
            </w:r>
            <w:r w:rsidR="00996061">
              <w:rPr>
                <w:webHidden/>
              </w:rPr>
              <w:tab/>
            </w:r>
            <w:r w:rsidR="00996061">
              <w:rPr>
                <w:webHidden/>
              </w:rPr>
              <w:fldChar w:fldCharType="begin"/>
            </w:r>
            <w:r w:rsidR="00996061">
              <w:rPr>
                <w:webHidden/>
              </w:rPr>
              <w:instrText xml:space="preserve"> PAGEREF _Toc456602251 \h </w:instrText>
            </w:r>
            <w:r w:rsidR="00996061">
              <w:rPr>
                <w:webHidden/>
              </w:rPr>
            </w:r>
            <w:r w:rsidR="00996061">
              <w:rPr>
                <w:webHidden/>
              </w:rPr>
              <w:fldChar w:fldCharType="separate"/>
            </w:r>
            <w:r w:rsidR="00996061">
              <w:rPr>
                <w:webHidden/>
              </w:rPr>
              <w:t>8-14</w:t>
            </w:r>
            <w:r w:rsidR="00996061">
              <w:rPr>
                <w:webHidden/>
              </w:rPr>
              <w:fldChar w:fldCharType="end"/>
            </w:r>
          </w:hyperlink>
        </w:p>
        <w:p w:rsidR="00DE563D" w:rsidRDefault="00DE563D">
          <w:pPr>
            <w:spacing w:line="240" w:lineRule="auto"/>
          </w:pPr>
          <w: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56602241"/>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D842E4" w:rsidP="00EB0444">
      <w:pPr>
        <w:pStyle w:val="Heading1"/>
        <w:ind w:hanging="574"/>
      </w:pPr>
      <w:bookmarkStart w:id="10" w:name="_Toc456602242"/>
      <w:r>
        <w:lastRenderedPageBreak/>
        <w:t>Corporate income tax</w:t>
      </w:r>
      <w:bookmarkEnd w:id="10"/>
    </w:p>
    <w:p w:rsidR="00435E07" w:rsidRPr="00435E07" w:rsidRDefault="00387B59" w:rsidP="00435E07">
      <w:bookmarkStart w:id="11" w:name="_Toc403144136"/>
      <w:r>
        <w:t>Our revenue determination includes</w:t>
      </w:r>
      <w:r w:rsidR="00435E07" w:rsidRPr="00435E07">
        <w:t xml:space="preserve"> the estimated cost of corporate income tax for </w:t>
      </w:r>
      <w:r w:rsidR="00435E07">
        <w:t>AusNet Services’ 2017–22 regulatory control period.</w:t>
      </w:r>
      <w:r w:rsidR="00435E07">
        <w:rPr>
          <w:rStyle w:val="FootnoteReference"/>
        </w:rPr>
        <w:footnoteReference w:id="1"/>
      </w:r>
      <w:r w:rsidR="00435E07" w:rsidRPr="00435E07">
        <w:t xml:space="preserve"> Under the post-tax framework, a corporate income tax allowance is calculated as</w:t>
      </w:r>
      <w:r w:rsidR="00435E07">
        <w:t xml:space="preserve"> </w:t>
      </w:r>
      <w:r w:rsidR="00435E07" w:rsidRPr="00435E07">
        <w:t>part of the building block assessment using our post-tax revenue model (PTRM).</w:t>
      </w:r>
      <w:r w:rsidR="00435E07">
        <w:t xml:space="preserve"> </w:t>
      </w:r>
      <w:r w:rsidR="00435E07" w:rsidRPr="00435E07">
        <w:t xml:space="preserve">This amount </w:t>
      </w:r>
      <w:r w:rsidR="001344BE">
        <w:t>allows</w:t>
      </w:r>
      <w:r w:rsidR="00435E07" w:rsidRPr="00435E07">
        <w:t xml:space="preserve"> </w:t>
      </w:r>
      <w:r w:rsidR="00435E07">
        <w:t>AusNet Services</w:t>
      </w:r>
      <w:r w:rsidR="00435E07" w:rsidRPr="00435E07">
        <w:t xml:space="preserve"> to recover the costs associated with the estimated corporate income tax payable during the 201</w:t>
      </w:r>
      <w:r w:rsidR="00435E07">
        <w:t>7</w:t>
      </w:r>
      <w:r w:rsidR="00435E07" w:rsidRPr="00435E07">
        <w:t>–</w:t>
      </w:r>
      <w:r w:rsidR="00435E07">
        <w:t>22</w:t>
      </w:r>
      <w:r w:rsidR="00435E07" w:rsidRPr="00435E07">
        <w:t xml:space="preserve"> regulatory control period.</w:t>
      </w:r>
    </w:p>
    <w:p w:rsidR="00435E07" w:rsidRPr="00435E07" w:rsidRDefault="00435E07" w:rsidP="00435E07">
      <w:r w:rsidRPr="00435E07">
        <w:t xml:space="preserve">This attachment sets out our draft decision on </w:t>
      </w:r>
      <w:r>
        <w:t>AusNet Services’</w:t>
      </w:r>
      <w:r w:rsidRPr="00435E07">
        <w:t xml:space="preserve"> proposed corporate income tax allowance</w:t>
      </w:r>
      <w:r w:rsidR="00146EB7">
        <w:t xml:space="preserve"> for the 2017–22 regulatory control period</w:t>
      </w:r>
      <w:r w:rsidRPr="00435E07">
        <w:t>.</w:t>
      </w:r>
      <w:r>
        <w:t xml:space="preserve"> </w:t>
      </w:r>
      <w:r w:rsidRPr="00435E07">
        <w:t>It also presents our assessment of the proposed opening tax asset base (TAB), and the standard and</w:t>
      </w:r>
      <w:r>
        <w:t xml:space="preserve"> </w:t>
      </w:r>
      <w:r w:rsidRPr="00435E07">
        <w:t>remaining tax asset lives used to estimate tax depreciation for the purpose of calculating tax expenses</w:t>
      </w:r>
      <w:r>
        <w:t>.</w:t>
      </w:r>
    </w:p>
    <w:p w:rsidR="00DE563D" w:rsidRPr="001754EE" w:rsidRDefault="000B321F" w:rsidP="00EB0444">
      <w:pPr>
        <w:pStyle w:val="Heading2"/>
        <w:ind w:hanging="718"/>
      </w:pPr>
      <w:bookmarkStart w:id="12" w:name="_Toc456602243"/>
      <w:r>
        <w:t>D</w:t>
      </w:r>
      <w:r w:rsidR="00667AB1">
        <w:t>raft</w:t>
      </w:r>
      <w:r w:rsidR="00DE563D" w:rsidRPr="001754EE">
        <w:t xml:space="preserve"> decision</w:t>
      </w:r>
      <w:bookmarkEnd w:id="11"/>
      <w:bookmarkEnd w:id="12"/>
    </w:p>
    <w:p w:rsidR="00146EB7" w:rsidRDefault="00435E07" w:rsidP="00435E07">
      <w:bookmarkStart w:id="13" w:name="_Toc403144137"/>
      <w:r>
        <w:t xml:space="preserve">We do not accept </w:t>
      </w:r>
      <w:r w:rsidR="00667AB1">
        <w:t>AusNet Services’</w:t>
      </w:r>
      <w:r>
        <w:t xml:space="preserve"> proposed cost of corporate income tax allowance of $</w:t>
      </w:r>
      <w:r w:rsidR="00667AB1">
        <w:t>167.9 </w:t>
      </w:r>
      <w:r>
        <w:t>million ($</w:t>
      </w:r>
      <w:r w:rsidR="00667AB1">
        <w:t> </w:t>
      </w:r>
      <w:r>
        <w:t>nominal). Our draft decision on the estimated cost of corporate income tax is $</w:t>
      </w:r>
      <w:r w:rsidR="00FF465E">
        <w:t>60.</w:t>
      </w:r>
      <w:r w:rsidR="00FC188B">
        <w:t>6</w:t>
      </w:r>
      <w:r w:rsidR="00FF465E">
        <w:rPr>
          <w:rStyle w:val="CommentReference"/>
          <w:rFonts w:asciiTheme="minorHAnsi" w:eastAsia="Calibri" w:hAnsiTheme="minorHAnsi" w:cs="Times New Roman"/>
        </w:rPr>
        <w:t> </w:t>
      </w:r>
      <w:r>
        <w:t>million ($ nominal) over the 201</w:t>
      </w:r>
      <w:r w:rsidR="00667AB1">
        <w:t>7</w:t>
      </w:r>
      <w:r>
        <w:t>–</w:t>
      </w:r>
      <w:r w:rsidR="00667AB1">
        <w:t>22</w:t>
      </w:r>
      <w:r>
        <w:t xml:space="preserve"> </w:t>
      </w:r>
      <w:r w:rsidR="00667AB1">
        <w:t xml:space="preserve">regulatory control </w:t>
      </w:r>
      <w:r>
        <w:t>period</w:t>
      </w:r>
      <w:r w:rsidR="00146EB7">
        <w:t>. This represents</w:t>
      </w:r>
      <w:r>
        <w:t xml:space="preserve"> a reduction of $</w:t>
      </w:r>
      <w:r w:rsidR="00FF465E">
        <w:t>107.</w:t>
      </w:r>
      <w:r w:rsidR="008F2FCF">
        <w:t>3</w:t>
      </w:r>
      <w:r w:rsidR="00FF465E">
        <w:t> </w:t>
      </w:r>
      <w:r>
        <w:t xml:space="preserve">(or </w:t>
      </w:r>
      <w:r w:rsidR="00FF465E">
        <w:t>6</w:t>
      </w:r>
      <w:r w:rsidR="0053618F">
        <w:t>3.</w:t>
      </w:r>
      <w:r w:rsidR="00FC188B">
        <w:t>9</w:t>
      </w:r>
      <w:r>
        <w:t xml:space="preserve"> per cent) from </w:t>
      </w:r>
      <w:r w:rsidR="00146EB7">
        <w:t>AusNet Services’</w:t>
      </w:r>
      <w:r>
        <w:t xml:space="preserve"> proposal.</w:t>
      </w:r>
    </w:p>
    <w:p w:rsidR="00492389" w:rsidRDefault="00950B6F" w:rsidP="00435E07">
      <w:r w:rsidRPr="00950B6F">
        <w:t xml:space="preserve">The reduction reflects our amendments to some of </w:t>
      </w:r>
      <w:r>
        <w:t>AusNet Services’</w:t>
      </w:r>
      <w:r w:rsidRPr="00950B6F">
        <w:t xml:space="preserve"> proposed inputs for forecasting the cost of corporate income tax such as the opening TAB (section </w:t>
      </w:r>
      <w:r w:rsidR="00276718">
        <w:fldChar w:fldCharType="begin"/>
      </w:r>
      <w:r w:rsidR="00276718">
        <w:instrText xml:space="preserve"> REF _Ref456184765 \r \h </w:instrText>
      </w:r>
      <w:r w:rsidR="00276718">
        <w:fldChar w:fldCharType="separate"/>
      </w:r>
      <w:r w:rsidR="00E34901">
        <w:t>8.4.1</w:t>
      </w:r>
      <w:r w:rsidR="00276718">
        <w:fldChar w:fldCharType="end"/>
      </w:r>
      <w:r w:rsidRPr="00950B6F">
        <w:t>), and the remaining tax asset lives (section</w:t>
      </w:r>
      <w:r w:rsidR="00276718">
        <w:t xml:space="preserve"> </w:t>
      </w:r>
      <w:r w:rsidR="00276718">
        <w:fldChar w:fldCharType="begin"/>
      </w:r>
      <w:r w:rsidR="00276718">
        <w:instrText xml:space="preserve"> REF _Ref456184778 \r \h </w:instrText>
      </w:r>
      <w:r w:rsidR="00276718">
        <w:fldChar w:fldCharType="separate"/>
      </w:r>
      <w:r w:rsidR="00E34901">
        <w:t>8.4.3</w:t>
      </w:r>
      <w:r w:rsidR="00276718">
        <w:fldChar w:fldCharType="end"/>
      </w:r>
      <w:r w:rsidRPr="00950B6F">
        <w:t xml:space="preserve">). It also reflects </w:t>
      </w:r>
      <w:r w:rsidR="001344BE">
        <w:t>a change to the proposed tax treatment of revenue adjustments associated with the efficiency benefit sharing scheme (section</w:t>
      </w:r>
      <w:r w:rsidR="00276718">
        <w:t xml:space="preserve"> </w:t>
      </w:r>
      <w:r w:rsidR="00276718">
        <w:fldChar w:fldCharType="begin"/>
      </w:r>
      <w:r w:rsidR="00276718">
        <w:instrText xml:space="preserve"> REF _Ref456184808 \r \h </w:instrText>
      </w:r>
      <w:r w:rsidR="00276718">
        <w:fldChar w:fldCharType="separate"/>
      </w:r>
      <w:r w:rsidR="00E34901">
        <w:t>8.4.4</w:t>
      </w:r>
      <w:r w:rsidR="00276718">
        <w:fldChar w:fldCharType="end"/>
      </w:r>
      <w:r w:rsidR="001830F8">
        <w:t>)</w:t>
      </w:r>
      <w:r w:rsidR="001344BE">
        <w:t xml:space="preserve">, and </w:t>
      </w:r>
      <w:r w:rsidRPr="00950B6F">
        <w:t xml:space="preserve">our </w:t>
      </w:r>
      <w:r w:rsidR="00E66803">
        <w:t>draft</w:t>
      </w:r>
      <w:r w:rsidRPr="00950B6F">
        <w:t xml:space="preserve"> decision on the value of imputation credits—gamma (attachment 4). </w:t>
      </w:r>
      <w:r w:rsidR="00146EB7">
        <w:t>Changes to building block</w:t>
      </w:r>
      <w:r w:rsidR="00435E07">
        <w:t xml:space="preserve"> </w:t>
      </w:r>
      <w:r w:rsidR="00146EB7">
        <w:t xml:space="preserve">costs also </w:t>
      </w:r>
      <w:r w:rsidR="00435E07">
        <w:t xml:space="preserve">affect revenues, which </w:t>
      </w:r>
      <w:r>
        <w:t>in turn impact</w:t>
      </w:r>
      <w:r w:rsidR="00146EB7">
        <w:t xml:space="preserve"> </w:t>
      </w:r>
      <w:r w:rsidR="00435E07">
        <w:t>the tax calculation.</w:t>
      </w:r>
      <w:r w:rsidR="00146EB7">
        <w:t xml:space="preserve"> The changes affecting revenues are discussed in attachment 1.</w:t>
      </w:r>
    </w:p>
    <w:p w:rsidR="00667AB1" w:rsidRDefault="00617922" w:rsidP="00667AB1">
      <w:r>
        <w:fldChar w:fldCharType="begin"/>
      </w:r>
      <w:r>
        <w:instrText xml:space="preserve"> REF _Ref437589583 \h </w:instrText>
      </w:r>
      <w:r>
        <w:fldChar w:fldCharType="separate"/>
      </w:r>
      <w:r w:rsidR="00E34901">
        <w:t xml:space="preserve">Table </w:t>
      </w:r>
      <w:r w:rsidR="00E34901">
        <w:rPr>
          <w:noProof/>
        </w:rPr>
        <w:t>8</w:t>
      </w:r>
      <w:r w:rsidR="00E34901">
        <w:t>.</w:t>
      </w:r>
      <w:r w:rsidR="00E34901">
        <w:rPr>
          <w:noProof/>
        </w:rPr>
        <w:t>1</w:t>
      </w:r>
      <w:r>
        <w:fldChar w:fldCharType="end"/>
      </w:r>
      <w:r>
        <w:t xml:space="preserve"> </w:t>
      </w:r>
      <w:r w:rsidR="00667AB1">
        <w:t>sets out our draft decision on the estimated cost of corporate income tax allowance for AusNet Services</w:t>
      </w:r>
      <w:r w:rsidR="00146EB7">
        <w:t xml:space="preserve"> over the 2017–22 regulatory control period</w:t>
      </w:r>
      <w:r w:rsidR="00667AB1">
        <w:t>.</w:t>
      </w:r>
    </w:p>
    <w:p w:rsidR="00667AB1" w:rsidRDefault="00667AB1" w:rsidP="00EB0444">
      <w:pPr>
        <w:pStyle w:val="Caption"/>
        <w:keepLines/>
      </w:pPr>
      <w:bookmarkStart w:id="14" w:name="_Ref437589583"/>
      <w:r>
        <w:lastRenderedPageBreak/>
        <w:t xml:space="preserve">Table </w:t>
      </w:r>
      <w:fldSimple w:instr=" STYLEREF 1 \s ">
        <w:r w:rsidR="00E34901">
          <w:rPr>
            <w:noProof/>
          </w:rPr>
          <w:t>8</w:t>
        </w:r>
      </w:fldSimple>
      <w:r w:rsidR="0002597E">
        <w:t>.</w:t>
      </w:r>
      <w:fldSimple w:instr=" SEQ Table \* ARABIC \s 1 ">
        <w:r w:rsidR="00E34901">
          <w:rPr>
            <w:noProof/>
          </w:rPr>
          <w:t>1</w:t>
        </w:r>
      </w:fldSimple>
      <w:bookmarkEnd w:id="14"/>
      <w:r>
        <w:tab/>
        <w:t>AER's draft decision on AusNet Services’ corporate income tax allowance for the 2017–</w:t>
      </w:r>
      <w:r w:rsidR="00617922">
        <w:t>2</w:t>
      </w:r>
      <w:r>
        <w:t>2 regulatory control period ($ million, nominal)</w:t>
      </w:r>
    </w:p>
    <w:tbl>
      <w:tblPr>
        <w:tblStyle w:val="AERtable-numbers"/>
        <w:tblW w:w="8644" w:type="dxa"/>
        <w:tblLayout w:type="fixed"/>
        <w:tblLook w:val="04A0" w:firstRow="1" w:lastRow="0" w:firstColumn="1" w:lastColumn="0" w:noHBand="0" w:noVBand="1"/>
      </w:tblPr>
      <w:tblGrid>
        <w:gridCol w:w="3085"/>
        <w:gridCol w:w="926"/>
        <w:gridCol w:w="927"/>
        <w:gridCol w:w="926"/>
        <w:gridCol w:w="927"/>
        <w:gridCol w:w="926"/>
        <w:gridCol w:w="927"/>
      </w:tblGrid>
      <w:tr w:rsidR="00AA3722" w:rsidRPr="00667AB1" w:rsidTr="00AA372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AA3722" w:rsidRPr="00913C74" w:rsidRDefault="00AA3722" w:rsidP="00EB0444">
            <w:pPr>
              <w:keepNext/>
            </w:pPr>
            <w:r w:rsidRPr="00521143">
              <w:t> </w:t>
            </w:r>
          </w:p>
        </w:tc>
        <w:tc>
          <w:tcPr>
            <w:tcW w:w="926" w:type="dxa"/>
            <w:noWrap/>
          </w:tcPr>
          <w:p w:rsidR="00AA3722" w:rsidRPr="00913C74" w:rsidRDefault="00AA3722" w:rsidP="00EB0444">
            <w:pPr>
              <w:keepNext/>
              <w:cnfStyle w:val="100000000000" w:firstRow="1" w:lastRow="0" w:firstColumn="0" w:lastColumn="0" w:oddVBand="0" w:evenVBand="0" w:oddHBand="0" w:evenHBand="0" w:firstRowFirstColumn="0" w:firstRowLastColumn="0" w:lastRowFirstColumn="0" w:lastRowLastColumn="0"/>
            </w:pPr>
            <w:r>
              <w:t>201</w:t>
            </w:r>
            <w:r w:rsidR="00E121EE">
              <w:t>7–18</w:t>
            </w:r>
          </w:p>
        </w:tc>
        <w:tc>
          <w:tcPr>
            <w:tcW w:w="927" w:type="dxa"/>
            <w:noWrap/>
          </w:tcPr>
          <w:p w:rsidR="00AA3722" w:rsidRPr="00913C74" w:rsidRDefault="00AA3722" w:rsidP="00EB0444">
            <w:pPr>
              <w:keepNext/>
              <w:cnfStyle w:val="100000000000" w:firstRow="1" w:lastRow="0" w:firstColumn="0" w:lastColumn="0" w:oddVBand="0" w:evenVBand="0" w:oddHBand="0" w:evenHBand="0" w:firstRowFirstColumn="0" w:firstRowLastColumn="0" w:lastRowFirstColumn="0" w:lastRowLastColumn="0"/>
            </w:pPr>
            <w:r w:rsidRPr="00521143">
              <w:t>201</w:t>
            </w:r>
            <w:r w:rsidR="00E121EE">
              <w:t>8–19</w:t>
            </w:r>
          </w:p>
        </w:tc>
        <w:tc>
          <w:tcPr>
            <w:tcW w:w="926" w:type="dxa"/>
            <w:noWrap/>
          </w:tcPr>
          <w:p w:rsidR="00AA3722" w:rsidRPr="00913C74" w:rsidRDefault="00AA3722" w:rsidP="00EB0444">
            <w:pPr>
              <w:keepNext/>
              <w:cnfStyle w:val="100000000000" w:firstRow="1" w:lastRow="0" w:firstColumn="0" w:lastColumn="0" w:oddVBand="0" w:evenVBand="0" w:oddHBand="0" w:evenHBand="0" w:firstRowFirstColumn="0" w:firstRowLastColumn="0" w:lastRowFirstColumn="0" w:lastRowLastColumn="0"/>
            </w:pPr>
            <w:r w:rsidRPr="00521143">
              <w:t>201</w:t>
            </w:r>
            <w:r w:rsidR="00E121EE">
              <w:t>9–20</w:t>
            </w:r>
          </w:p>
        </w:tc>
        <w:tc>
          <w:tcPr>
            <w:tcW w:w="927" w:type="dxa"/>
            <w:noWrap/>
          </w:tcPr>
          <w:p w:rsidR="00AA3722" w:rsidRPr="00913C74" w:rsidRDefault="00AA3722" w:rsidP="00EB0444">
            <w:pPr>
              <w:keepNext/>
              <w:cnfStyle w:val="100000000000" w:firstRow="1" w:lastRow="0" w:firstColumn="0" w:lastColumn="0" w:oddVBand="0" w:evenVBand="0" w:oddHBand="0" w:evenHBand="0" w:firstRowFirstColumn="0" w:firstRowLastColumn="0" w:lastRowFirstColumn="0" w:lastRowLastColumn="0"/>
            </w:pPr>
            <w:r w:rsidRPr="00521143">
              <w:t>20</w:t>
            </w:r>
            <w:r w:rsidR="00E121EE">
              <w:t>20–21</w:t>
            </w:r>
          </w:p>
        </w:tc>
        <w:tc>
          <w:tcPr>
            <w:tcW w:w="926" w:type="dxa"/>
            <w:noWrap/>
          </w:tcPr>
          <w:p w:rsidR="00AA3722" w:rsidRPr="00913C74" w:rsidRDefault="00AA3722" w:rsidP="00EB0444">
            <w:pPr>
              <w:keepNext/>
              <w:cnfStyle w:val="100000000000" w:firstRow="1" w:lastRow="0" w:firstColumn="0" w:lastColumn="0" w:oddVBand="0" w:evenVBand="0" w:oddHBand="0" w:evenHBand="0" w:firstRowFirstColumn="0" w:firstRowLastColumn="0" w:lastRowFirstColumn="0" w:lastRowLastColumn="0"/>
            </w:pPr>
            <w:r w:rsidRPr="00521143">
              <w:t>202</w:t>
            </w:r>
            <w:r w:rsidR="00E121EE">
              <w:t>1–22</w:t>
            </w:r>
          </w:p>
        </w:tc>
        <w:tc>
          <w:tcPr>
            <w:tcW w:w="927" w:type="dxa"/>
            <w:noWrap/>
          </w:tcPr>
          <w:p w:rsidR="00AA3722" w:rsidRPr="00913C74" w:rsidRDefault="00AA3722" w:rsidP="00EB0444">
            <w:pPr>
              <w:keepNext/>
              <w:cnfStyle w:val="100000000000" w:firstRow="1" w:lastRow="0" w:firstColumn="0" w:lastColumn="0" w:oddVBand="0" w:evenVBand="0" w:oddHBand="0" w:evenHBand="0" w:firstRowFirstColumn="0" w:firstRowLastColumn="0" w:lastRowFirstColumn="0" w:lastRowLastColumn="0"/>
            </w:pPr>
            <w:r w:rsidRPr="00521143">
              <w:t>Total</w:t>
            </w:r>
          </w:p>
        </w:tc>
      </w:tr>
      <w:tr w:rsidR="00FC188B" w:rsidRPr="00667AB1" w:rsidTr="00D66138">
        <w:trPr>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FC188B" w:rsidRPr="00E74CAF" w:rsidRDefault="00FC188B" w:rsidP="00EB0444">
            <w:pPr>
              <w:keepNext/>
            </w:pPr>
            <w:r w:rsidRPr="00E74CAF">
              <w:t>Tax payable</w:t>
            </w:r>
          </w:p>
        </w:tc>
        <w:tc>
          <w:tcPr>
            <w:tcW w:w="926" w:type="dxa"/>
            <w:noWrap/>
            <w:vAlign w:val="top"/>
          </w:tcPr>
          <w:p w:rsidR="00FC188B" w:rsidRPr="0053618F" w:rsidRDefault="00FC188B" w:rsidP="0053618F">
            <w:pPr>
              <w:cnfStyle w:val="000000000000" w:firstRow="0" w:lastRow="0" w:firstColumn="0" w:lastColumn="0" w:oddVBand="0" w:evenVBand="0" w:oddHBand="0" w:evenHBand="0" w:firstRowFirstColumn="0" w:firstRowLastColumn="0" w:lastRowFirstColumn="0" w:lastRowLastColumn="0"/>
            </w:pPr>
            <w:r w:rsidRPr="00E033D5">
              <w:t>22.4</w:t>
            </w:r>
          </w:p>
        </w:tc>
        <w:tc>
          <w:tcPr>
            <w:tcW w:w="927" w:type="dxa"/>
            <w:noWrap/>
            <w:vAlign w:val="top"/>
          </w:tcPr>
          <w:p w:rsidR="00FC188B" w:rsidRPr="0053618F" w:rsidRDefault="00FC188B" w:rsidP="0053618F">
            <w:pPr>
              <w:cnfStyle w:val="000000000000" w:firstRow="0" w:lastRow="0" w:firstColumn="0" w:lastColumn="0" w:oddVBand="0" w:evenVBand="0" w:oddHBand="0" w:evenHBand="0" w:firstRowFirstColumn="0" w:firstRowLastColumn="0" w:lastRowFirstColumn="0" w:lastRowLastColumn="0"/>
            </w:pPr>
            <w:r w:rsidRPr="00E033D5">
              <w:t>18.1</w:t>
            </w:r>
          </w:p>
        </w:tc>
        <w:tc>
          <w:tcPr>
            <w:tcW w:w="926" w:type="dxa"/>
            <w:noWrap/>
            <w:vAlign w:val="top"/>
          </w:tcPr>
          <w:p w:rsidR="00FC188B" w:rsidRPr="0053618F" w:rsidRDefault="00FC188B" w:rsidP="0053618F">
            <w:pPr>
              <w:cnfStyle w:val="000000000000" w:firstRow="0" w:lastRow="0" w:firstColumn="0" w:lastColumn="0" w:oddVBand="0" w:evenVBand="0" w:oddHBand="0" w:evenHBand="0" w:firstRowFirstColumn="0" w:firstRowLastColumn="0" w:lastRowFirstColumn="0" w:lastRowLastColumn="0"/>
            </w:pPr>
            <w:r w:rsidRPr="00E033D5">
              <w:t>21.0</w:t>
            </w:r>
          </w:p>
        </w:tc>
        <w:tc>
          <w:tcPr>
            <w:tcW w:w="927" w:type="dxa"/>
            <w:noWrap/>
            <w:vAlign w:val="top"/>
          </w:tcPr>
          <w:p w:rsidR="00FC188B" w:rsidRPr="0053618F" w:rsidRDefault="00FC188B" w:rsidP="0053618F">
            <w:pPr>
              <w:cnfStyle w:val="000000000000" w:firstRow="0" w:lastRow="0" w:firstColumn="0" w:lastColumn="0" w:oddVBand="0" w:evenVBand="0" w:oddHBand="0" w:evenHBand="0" w:firstRowFirstColumn="0" w:firstRowLastColumn="0" w:lastRowFirstColumn="0" w:lastRowLastColumn="0"/>
            </w:pPr>
            <w:r w:rsidRPr="00E033D5">
              <w:t>23.8</w:t>
            </w:r>
          </w:p>
        </w:tc>
        <w:tc>
          <w:tcPr>
            <w:tcW w:w="926" w:type="dxa"/>
            <w:noWrap/>
            <w:vAlign w:val="top"/>
          </w:tcPr>
          <w:p w:rsidR="00FC188B" w:rsidRPr="0053618F" w:rsidRDefault="00FC188B" w:rsidP="0053618F">
            <w:pPr>
              <w:cnfStyle w:val="000000000000" w:firstRow="0" w:lastRow="0" w:firstColumn="0" w:lastColumn="0" w:oddVBand="0" w:evenVBand="0" w:oddHBand="0" w:evenHBand="0" w:firstRowFirstColumn="0" w:firstRowLastColumn="0" w:lastRowFirstColumn="0" w:lastRowLastColumn="0"/>
            </w:pPr>
            <w:r w:rsidRPr="00E033D5">
              <w:t>15.7</w:t>
            </w:r>
          </w:p>
        </w:tc>
        <w:tc>
          <w:tcPr>
            <w:tcW w:w="927" w:type="dxa"/>
            <w:noWrap/>
            <w:vAlign w:val="top"/>
          </w:tcPr>
          <w:p w:rsidR="00FC188B" w:rsidRPr="0053618F" w:rsidRDefault="008F2FCF" w:rsidP="0053618F">
            <w:pPr>
              <w:cnfStyle w:val="000000000000" w:firstRow="0" w:lastRow="0" w:firstColumn="0" w:lastColumn="0" w:oddVBand="0" w:evenVBand="0" w:oddHBand="0" w:evenHBand="0" w:firstRowFirstColumn="0" w:firstRowLastColumn="0" w:lastRowFirstColumn="0" w:lastRowLastColumn="0"/>
            </w:pPr>
            <w:r>
              <w:t>101.0</w:t>
            </w:r>
          </w:p>
        </w:tc>
      </w:tr>
      <w:tr w:rsidR="00FC188B" w:rsidRPr="00667AB1" w:rsidTr="00D66138">
        <w:trPr>
          <w:cnfStyle w:val="000000010000" w:firstRow="0" w:lastRow="0" w:firstColumn="0" w:lastColumn="0" w:oddVBand="0" w:evenVBand="0" w:oddHBand="0" w:evenHBand="1"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FC188B" w:rsidRPr="00E74CAF" w:rsidRDefault="00FC188B" w:rsidP="00EB0444">
            <w:pPr>
              <w:keepNext/>
            </w:pPr>
            <w:r w:rsidRPr="00E74CAF">
              <w:rPr>
                <w:rStyle w:val="AERtextitalic"/>
              </w:rPr>
              <w:t xml:space="preserve">Less: </w:t>
            </w:r>
            <w:r w:rsidRPr="00E74CAF">
              <w:t>value of imputation credits</w:t>
            </w:r>
          </w:p>
        </w:tc>
        <w:tc>
          <w:tcPr>
            <w:tcW w:w="926" w:type="dxa"/>
            <w:noWrap/>
            <w:vAlign w:val="top"/>
          </w:tcPr>
          <w:p w:rsidR="00FC188B" w:rsidRPr="0053618F" w:rsidRDefault="00FC188B" w:rsidP="0053618F">
            <w:pPr>
              <w:cnfStyle w:val="000000010000" w:firstRow="0" w:lastRow="0" w:firstColumn="0" w:lastColumn="0" w:oddVBand="0" w:evenVBand="0" w:oddHBand="0" w:evenHBand="1" w:firstRowFirstColumn="0" w:firstRowLastColumn="0" w:lastRowFirstColumn="0" w:lastRowLastColumn="0"/>
            </w:pPr>
            <w:r w:rsidRPr="00E033D5">
              <w:t>9.0</w:t>
            </w:r>
          </w:p>
        </w:tc>
        <w:tc>
          <w:tcPr>
            <w:tcW w:w="927" w:type="dxa"/>
            <w:noWrap/>
            <w:vAlign w:val="top"/>
          </w:tcPr>
          <w:p w:rsidR="00FC188B" w:rsidRPr="0053618F" w:rsidRDefault="00FC188B" w:rsidP="0053618F">
            <w:pPr>
              <w:cnfStyle w:val="000000010000" w:firstRow="0" w:lastRow="0" w:firstColumn="0" w:lastColumn="0" w:oddVBand="0" w:evenVBand="0" w:oddHBand="0" w:evenHBand="1" w:firstRowFirstColumn="0" w:firstRowLastColumn="0" w:lastRowFirstColumn="0" w:lastRowLastColumn="0"/>
            </w:pPr>
            <w:r w:rsidRPr="00E033D5">
              <w:t>7.2</w:t>
            </w:r>
          </w:p>
        </w:tc>
        <w:tc>
          <w:tcPr>
            <w:tcW w:w="926" w:type="dxa"/>
            <w:noWrap/>
            <w:vAlign w:val="top"/>
          </w:tcPr>
          <w:p w:rsidR="00FC188B" w:rsidRPr="0053618F" w:rsidRDefault="00FC188B" w:rsidP="0053618F">
            <w:pPr>
              <w:cnfStyle w:val="000000010000" w:firstRow="0" w:lastRow="0" w:firstColumn="0" w:lastColumn="0" w:oddVBand="0" w:evenVBand="0" w:oddHBand="0" w:evenHBand="1" w:firstRowFirstColumn="0" w:firstRowLastColumn="0" w:lastRowFirstColumn="0" w:lastRowLastColumn="0"/>
            </w:pPr>
            <w:r w:rsidRPr="00E033D5">
              <w:t>8.4</w:t>
            </w:r>
          </w:p>
        </w:tc>
        <w:tc>
          <w:tcPr>
            <w:tcW w:w="927" w:type="dxa"/>
            <w:noWrap/>
            <w:vAlign w:val="top"/>
          </w:tcPr>
          <w:p w:rsidR="00FC188B" w:rsidRPr="0053618F" w:rsidRDefault="00FC188B" w:rsidP="0053618F">
            <w:pPr>
              <w:cnfStyle w:val="000000010000" w:firstRow="0" w:lastRow="0" w:firstColumn="0" w:lastColumn="0" w:oddVBand="0" w:evenVBand="0" w:oddHBand="0" w:evenHBand="1" w:firstRowFirstColumn="0" w:firstRowLastColumn="0" w:lastRowFirstColumn="0" w:lastRowLastColumn="0"/>
            </w:pPr>
            <w:r w:rsidRPr="00E033D5">
              <w:t>9.5</w:t>
            </w:r>
          </w:p>
        </w:tc>
        <w:tc>
          <w:tcPr>
            <w:tcW w:w="926" w:type="dxa"/>
            <w:noWrap/>
            <w:vAlign w:val="top"/>
          </w:tcPr>
          <w:p w:rsidR="00FC188B" w:rsidRPr="0053618F" w:rsidRDefault="00FC188B" w:rsidP="0053618F">
            <w:pPr>
              <w:cnfStyle w:val="000000010000" w:firstRow="0" w:lastRow="0" w:firstColumn="0" w:lastColumn="0" w:oddVBand="0" w:evenVBand="0" w:oddHBand="0" w:evenHBand="1" w:firstRowFirstColumn="0" w:firstRowLastColumn="0" w:lastRowFirstColumn="0" w:lastRowLastColumn="0"/>
            </w:pPr>
            <w:r w:rsidRPr="00E033D5">
              <w:t>6.3</w:t>
            </w:r>
          </w:p>
        </w:tc>
        <w:tc>
          <w:tcPr>
            <w:tcW w:w="927" w:type="dxa"/>
            <w:noWrap/>
            <w:vAlign w:val="top"/>
          </w:tcPr>
          <w:p w:rsidR="00FC188B" w:rsidRPr="0053618F" w:rsidRDefault="00FC188B" w:rsidP="0053618F">
            <w:pPr>
              <w:cnfStyle w:val="000000010000" w:firstRow="0" w:lastRow="0" w:firstColumn="0" w:lastColumn="0" w:oddVBand="0" w:evenVBand="0" w:oddHBand="0" w:evenHBand="1" w:firstRowFirstColumn="0" w:firstRowLastColumn="0" w:lastRowFirstColumn="0" w:lastRowLastColumn="0"/>
            </w:pPr>
            <w:r w:rsidRPr="00E033D5">
              <w:t>40.4</w:t>
            </w:r>
          </w:p>
        </w:tc>
      </w:tr>
      <w:tr w:rsidR="00FC188B" w:rsidRPr="0053618F" w:rsidTr="00D66138">
        <w:trPr>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FC188B" w:rsidRPr="0053618F" w:rsidRDefault="00FC188B" w:rsidP="00EB0444">
            <w:pPr>
              <w:keepNext/>
              <w:rPr>
                <w:rStyle w:val="Strong"/>
              </w:rPr>
            </w:pPr>
            <w:r w:rsidRPr="0053618F">
              <w:rPr>
                <w:rStyle w:val="Strong"/>
              </w:rPr>
              <w:t>Net corporate income tax allowance</w:t>
            </w:r>
          </w:p>
        </w:tc>
        <w:tc>
          <w:tcPr>
            <w:tcW w:w="926" w:type="dxa"/>
            <w:noWrap/>
            <w:vAlign w:val="top"/>
          </w:tcPr>
          <w:p w:rsidR="00FC188B" w:rsidRPr="00FC188B" w:rsidRDefault="00FC188B" w:rsidP="0053618F">
            <w:pPr>
              <w:cnfStyle w:val="000000000000" w:firstRow="0" w:lastRow="0" w:firstColumn="0" w:lastColumn="0" w:oddVBand="0" w:evenVBand="0" w:oddHBand="0" w:evenHBand="0" w:firstRowFirstColumn="0" w:firstRowLastColumn="0" w:lastRowFirstColumn="0" w:lastRowLastColumn="0"/>
              <w:rPr>
                <w:rStyle w:val="Strong"/>
              </w:rPr>
            </w:pPr>
            <w:r w:rsidRPr="00D66138">
              <w:rPr>
                <w:rStyle w:val="Strong"/>
              </w:rPr>
              <w:t>13.4</w:t>
            </w:r>
          </w:p>
        </w:tc>
        <w:tc>
          <w:tcPr>
            <w:tcW w:w="927" w:type="dxa"/>
            <w:noWrap/>
            <w:vAlign w:val="top"/>
          </w:tcPr>
          <w:p w:rsidR="00FC188B" w:rsidRPr="00FC188B" w:rsidRDefault="00FC188B" w:rsidP="0053618F">
            <w:pPr>
              <w:cnfStyle w:val="000000000000" w:firstRow="0" w:lastRow="0" w:firstColumn="0" w:lastColumn="0" w:oddVBand="0" w:evenVBand="0" w:oddHBand="0" w:evenHBand="0" w:firstRowFirstColumn="0" w:firstRowLastColumn="0" w:lastRowFirstColumn="0" w:lastRowLastColumn="0"/>
              <w:rPr>
                <w:rStyle w:val="Strong"/>
              </w:rPr>
            </w:pPr>
            <w:r w:rsidRPr="00D66138">
              <w:rPr>
                <w:rStyle w:val="Strong"/>
              </w:rPr>
              <w:t>10.9</w:t>
            </w:r>
          </w:p>
        </w:tc>
        <w:tc>
          <w:tcPr>
            <w:tcW w:w="926" w:type="dxa"/>
            <w:noWrap/>
            <w:vAlign w:val="top"/>
          </w:tcPr>
          <w:p w:rsidR="00FC188B" w:rsidRPr="00FC188B" w:rsidRDefault="00FC188B" w:rsidP="0053618F">
            <w:pPr>
              <w:cnfStyle w:val="000000000000" w:firstRow="0" w:lastRow="0" w:firstColumn="0" w:lastColumn="0" w:oddVBand="0" w:evenVBand="0" w:oddHBand="0" w:evenHBand="0" w:firstRowFirstColumn="0" w:firstRowLastColumn="0" w:lastRowFirstColumn="0" w:lastRowLastColumn="0"/>
              <w:rPr>
                <w:rStyle w:val="Strong"/>
              </w:rPr>
            </w:pPr>
            <w:r w:rsidRPr="00D66138">
              <w:rPr>
                <w:rStyle w:val="Strong"/>
              </w:rPr>
              <w:t>12.6</w:t>
            </w:r>
          </w:p>
        </w:tc>
        <w:tc>
          <w:tcPr>
            <w:tcW w:w="927" w:type="dxa"/>
            <w:noWrap/>
            <w:vAlign w:val="top"/>
          </w:tcPr>
          <w:p w:rsidR="00FC188B" w:rsidRPr="00FC188B" w:rsidRDefault="00FC188B" w:rsidP="0053618F">
            <w:pPr>
              <w:cnfStyle w:val="000000000000" w:firstRow="0" w:lastRow="0" w:firstColumn="0" w:lastColumn="0" w:oddVBand="0" w:evenVBand="0" w:oddHBand="0" w:evenHBand="0" w:firstRowFirstColumn="0" w:firstRowLastColumn="0" w:lastRowFirstColumn="0" w:lastRowLastColumn="0"/>
              <w:rPr>
                <w:rStyle w:val="Strong"/>
              </w:rPr>
            </w:pPr>
            <w:r w:rsidRPr="00D66138">
              <w:rPr>
                <w:rStyle w:val="Strong"/>
              </w:rPr>
              <w:t>14.3</w:t>
            </w:r>
          </w:p>
        </w:tc>
        <w:tc>
          <w:tcPr>
            <w:tcW w:w="926" w:type="dxa"/>
            <w:noWrap/>
            <w:vAlign w:val="top"/>
          </w:tcPr>
          <w:p w:rsidR="00FC188B" w:rsidRPr="00FC188B" w:rsidRDefault="00FC188B" w:rsidP="0053618F">
            <w:pPr>
              <w:cnfStyle w:val="000000000000" w:firstRow="0" w:lastRow="0" w:firstColumn="0" w:lastColumn="0" w:oddVBand="0" w:evenVBand="0" w:oddHBand="0" w:evenHBand="0" w:firstRowFirstColumn="0" w:firstRowLastColumn="0" w:lastRowFirstColumn="0" w:lastRowLastColumn="0"/>
              <w:rPr>
                <w:rStyle w:val="Strong"/>
              </w:rPr>
            </w:pPr>
            <w:r w:rsidRPr="00D66138">
              <w:rPr>
                <w:rStyle w:val="Strong"/>
              </w:rPr>
              <w:t>9.4</w:t>
            </w:r>
          </w:p>
        </w:tc>
        <w:tc>
          <w:tcPr>
            <w:tcW w:w="927" w:type="dxa"/>
            <w:noWrap/>
            <w:vAlign w:val="top"/>
          </w:tcPr>
          <w:p w:rsidR="00FC188B" w:rsidRPr="00FC188B" w:rsidRDefault="00FC188B" w:rsidP="0053618F">
            <w:pPr>
              <w:cnfStyle w:val="000000000000" w:firstRow="0" w:lastRow="0" w:firstColumn="0" w:lastColumn="0" w:oddVBand="0" w:evenVBand="0" w:oddHBand="0" w:evenHBand="0" w:firstRowFirstColumn="0" w:firstRowLastColumn="0" w:lastRowFirstColumn="0" w:lastRowLastColumn="0"/>
              <w:rPr>
                <w:rStyle w:val="Strong"/>
              </w:rPr>
            </w:pPr>
            <w:r w:rsidRPr="00D66138">
              <w:rPr>
                <w:rStyle w:val="Strong"/>
              </w:rPr>
              <w:t>60.6</w:t>
            </w:r>
          </w:p>
        </w:tc>
      </w:tr>
    </w:tbl>
    <w:p w:rsidR="00667AB1" w:rsidRDefault="00667AB1" w:rsidP="00667AB1">
      <w:pPr>
        <w:pStyle w:val="AERtablesource"/>
      </w:pPr>
      <w:r>
        <w:t>Source:</w:t>
      </w:r>
      <w:r>
        <w:tab/>
        <w:t>AER analysis.</w:t>
      </w:r>
    </w:p>
    <w:p w:rsidR="00DE563D" w:rsidRPr="001754EE" w:rsidRDefault="000B321F" w:rsidP="00EB0444">
      <w:pPr>
        <w:pStyle w:val="Heading2"/>
        <w:keepNext/>
        <w:ind w:left="720" w:hanging="720"/>
      </w:pPr>
      <w:bookmarkStart w:id="15" w:name="_Toc456602244"/>
      <w:r>
        <w:t>AusNet Services</w:t>
      </w:r>
      <w:r w:rsidR="00415F31" w:rsidRPr="001754EE">
        <w:t>’</w:t>
      </w:r>
      <w:r w:rsidR="00DE563D" w:rsidRPr="001754EE">
        <w:t xml:space="preserve"> proposal</w:t>
      </w:r>
      <w:bookmarkEnd w:id="13"/>
      <w:bookmarkEnd w:id="15"/>
    </w:p>
    <w:p w:rsidR="00667AB1" w:rsidRDefault="00617922" w:rsidP="00667AB1">
      <w:r>
        <w:t>AusNet Services</w:t>
      </w:r>
      <w:r w:rsidR="00667AB1">
        <w:t xml:space="preserve"> proposed a forecast cost of corporate income tax of $</w:t>
      </w:r>
      <w:r>
        <w:t>167.9 </w:t>
      </w:r>
      <w:r w:rsidR="00667AB1">
        <w:t>million ($</w:t>
      </w:r>
      <w:r>
        <w:t> </w:t>
      </w:r>
      <w:r w:rsidR="00667AB1">
        <w:t>nominal) using the AER's PTRM, which adopts a straight-line tax depreciation approach and the following inputs:</w:t>
      </w:r>
      <w:r w:rsidR="00667AB1">
        <w:rPr>
          <w:rStyle w:val="FootnoteReference"/>
        </w:rPr>
        <w:footnoteReference w:id="2"/>
      </w:r>
    </w:p>
    <w:p w:rsidR="00667AB1" w:rsidRDefault="00667AB1" w:rsidP="00667AB1">
      <w:pPr>
        <w:pStyle w:val="AERbulletlistfirststyle"/>
      </w:pPr>
      <w:r>
        <w:t xml:space="preserve">an opening TAB as at 1 </w:t>
      </w:r>
      <w:r w:rsidR="00617922">
        <w:t>April</w:t>
      </w:r>
      <w:r>
        <w:t xml:space="preserve"> 201</w:t>
      </w:r>
      <w:r w:rsidR="00617922">
        <w:t>7</w:t>
      </w:r>
      <w:r>
        <w:t xml:space="preserve"> of $</w:t>
      </w:r>
      <w:r w:rsidR="00617922">
        <w:t>2544.1 </w:t>
      </w:r>
      <w:r>
        <w:t>million ($</w:t>
      </w:r>
      <w:r w:rsidR="00617922">
        <w:t> </w:t>
      </w:r>
      <w:r>
        <w:t>nominal)</w:t>
      </w:r>
    </w:p>
    <w:p w:rsidR="00667AB1" w:rsidRDefault="00667AB1" w:rsidP="00667AB1">
      <w:pPr>
        <w:pStyle w:val="AERbulletlistfirststyle"/>
      </w:pPr>
      <w:r>
        <w:t>an expected statutory income tax rate of 30 per cent per year</w:t>
      </w:r>
    </w:p>
    <w:p w:rsidR="00667AB1" w:rsidRDefault="00667AB1" w:rsidP="00667AB1">
      <w:pPr>
        <w:pStyle w:val="AERbulletlistfirststyle"/>
      </w:pPr>
      <w:r>
        <w:t>a value for gamma of 0.25</w:t>
      </w:r>
    </w:p>
    <w:p w:rsidR="00667AB1" w:rsidRDefault="00667AB1" w:rsidP="00667AB1">
      <w:pPr>
        <w:pStyle w:val="AERbulletlistfirststyle"/>
      </w:pPr>
      <w:r>
        <w:t xml:space="preserve">remaining tax asset lives </w:t>
      </w:r>
      <w:r w:rsidR="00AA3722">
        <w:t>for each asset class</w:t>
      </w:r>
      <w:r>
        <w:t xml:space="preserve"> </w:t>
      </w:r>
      <w:r w:rsidR="001830F8">
        <w:t xml:space="preserve">in </w:t>
      </w:r>
      <w:r>
        <w:t xml:space="preserve">existence as at </w:t>
      </w:r>
      <w:r w:rsidR="00AA3722">
        <w:t>1 April</w:t>
      </w:r>
      <w:r>
        <w:t xml:space="preserve"> 201</w:t>
      </w:r>
      <w:r w:rsidR="00617922">
        <w:t>7</w:t>
      </w:r>
      <w:r>
        <w:t xml:space="preserve"> calculated </w:t>
      </w:r>
      <w:r w:rsidR="00617922">
        <w:t>using a weighted average approach</w:t>
      </w:r>
    </w:p>
    <w:p w:rsidR="000B321F" w:rsidRDefault="00667AB1" w:rsidP="00667AB1">
      <w:pPr>
        <w:pStyle w:val="AERbulletlistfirststyle"/>
      </w:pPr>
      <w:r>
        <w:t xml:space="preserve">standard tax asset lives </w:t>
      </w:r>
      <w:r w:rsidR="00617922">
        <w:t xml:space="preserve">as approved at the 2014–17 </w:t>
      </w:r>
      <w:r w:rsidR="00E121EE">
        <w:t>transmission</w:t>
      </w:r>
      <w:r w:rsidR="00617922">
        <w:t xml:space="preserve"> determination</w:t>
      </w:r>
      <w:r>
        <w:t>.</w:t>
      </w:r>
    </w:p>
    <w:p w:rsidR="00617922" w:rsidRDefault="00617922" w:rsidP="00AA3722">
      <w:r>
        <w:fldChar w:fldCharType="begin"/>
      </w:r>
      <w:r>
        <w:instrText xml:space="preserve"> REF _Ref437589710 \h </w:instrText>
      </w:r>
      <w:r>
        <w:fldChar w:fldCharType="separate"/>
      </w:r>
      <w:r w:rsidR="00E34901">
        <w:t xml:space="preserve">Table </w:t>
      </w:r>
      <w:r w:rsidR="00E34901">
        <w:rPr>
          <w:noProof/>
        </w:rPr>
        <w:t>8</w:t>
      </w:r>
      <w:r w:rsidR="00E34901">
        <w:t>.</w:t>
      </w:r>
      <w:r w:rsidR="00E34901">
        <w:rPr>
          <w:noProof/>
        </w:rPr>
        <w:t>2</w:t>
      </w:r>
      <w:r>
        <w:fldChar w:fldCharType="end"/>
      </w:r>
      <w:r>
        <w:t xml:space="preserve"> </w:t>
      </w:r>
      <w:r w:rsidRPr="00617922">
        <w:t xml:space="preserve">sets out </w:t>
      </w:r>
      <w:r>
        <w:t>AusNet Services’</w:t>
      </w:r>
      <w:r w:rsidRPr="00617922">
        <w:t xml:space="preserve"> proposed corporate income tax allowance for the 201</w:t>
      </w:r>
      <w:r>
        <w:t>7</w:t>
      </w:r>
      <w:r w:rsidRPr="00617922">
        <w:t>–2</w:t>
      </w:r>
      <w:r>
        <w:t>2</w:t>
      </w:r>
      <w:r w:rsidRPr="00617922">
        <w:t xml:space="preserve"> regulatory control period.</w:t>
      </w:r>
    </w:p>
    <w:p w:rsidR="00617922" w:rsidRDefault="00617922" w:rsidP="00617922">
      <w:pPr>
        <w:pStyle w:val="Caption"/>
        <w:keepLines/>
      </w:pPr>
      <w:bookmarkStart w:id="16" w:name="_Ref437589710"/>
      <w:r>
        <w:t xml:space="preserve">Table </w:t>
      </w:r>
      <w:fldSimple w:instr=" STYLEREF 1 \s ">
        <w:r w:rsidR="00E34901">
          <w:rPr>
            <w:noProof/>
          </w:rPr>
          <w:t>8</w:t>
        </w:r>
      </w:fldSimple>
      <w:r w:rsidR="0002597E">
        <w:t>.</w:t>
      </w:r>
      <w:fldSimple w:instr=" SEQ Table \* ARABIC \s 1 ">
        <w:r w:rsidR="00E34901">
          <w:rPr>
            <w:noProof/>
          </w:rPr>
          <w:t>2</w:t>
        </w:r>
      </w:fldSimple>
      <w:bookmarkEnd w:id="16"/>
      <w:r>
        <w:tab/>
        <w:t>AusNet Services’ proposed corporate income tax allowance for the 2017–22 regulatory control period ($ million, nominal)</w:t>
      </w:r>
    </w:p>
    <w:tbl>
      <w:tblPr>
        <w:tblStyle w:val="AERtable-numbers"/>
        <w:tblW w:w="8644" w:type="dxa"/>
        <w:tblLayout w:type="fixed"/>
        <w:tblLook w:val="04A0" w:firstRow="1" w:lastRow="0" w:firstColumn="1" w:lastColumn="0" w:noHBand="0" w:noVBand="1"/>
      </w:tblPr>
      <w:tblGrid>
        <w:gridCol w:w="3085"/>
        <w:gridCol w:w="926"/>
        <w:gridCol w:w="927"/>
        <w:gridCol w:w="926"/>
        <w:gridCol w:w="927"/>
        <w:gridCol w:w="926"/>
        <w:gridCol w:w="927"/>
      </w:tblGrid>
      <w:tr w:rsidR="00AA3722" w:rsidRPr="00667AB1" w:rsidTr="00BF25F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AA3722" w:rsidRPr="00913C74" w:rsidRDefault="00AA3722" w:rsidP="00F770F6">
            <w:r w:rsidRPr="00521143">
              <w:t> </w:t>
            </w:r>
          </w:p>
        </w:tc>
        <w:tc>
          <w:tcPr>
            <w:tcW w:w="926" w:type="dxa"/>
            <w:noWrap/>
            <w:hideMark/>
          </w:tcPr>
          <w:p w:rsidR="00AA3722" w:rsidRPr="00913C74" w:rsidRDefault="00AA3722" w:rsidP="00E121EE">
            <w:pPr>
              <w:cnfStyle w:val="100000000000" w:firstRow="1" w:lastRow="0" w:firstColumn="0" w:lastColumn="0" w:oddVBand="0" w:evenVBand="0" w:oddHBand="0" w:evenHBand="0" w:firstRowFirstColumn="0" w:firstRowLastColumn="0" w:lastRowFirstColumn="0" w:lastRowLastColumn="0"/>
            </w:pPr>
            <w:r>
              <w:t>201</w:t>
            </w:r>
            <w:r w:rsidR="00E121EE">
              <w:t>7–18</w:t>
            </w:r>
          </w:p>
        </w:tc>
        <w:tc>
          <w:tcPr>
            <w:tcW w:w="927" w:type="dxa"/>
            <w:noWrap/>
            <w:hideMark/>
          </w:tcPr>
          <w:p w:rsidR="00AA3722" w:rsidRPr="00913C74" w:rsidRDefault="00AA3722" w:rsidP="00E121EE">
            <w:pPr>
              <w:cnfStyle w:val="100000000000" w:firstRow="1" w:lastRow="0" w:firstColumn="0" w:lastColumn="0" w:oddVBand="0" w:evenVBand="0" w:oddHBand="0" w:evenHBand="0" w:firstRowFirstColumn="0" w:firstRowLastColumn="0" w:lastRowFirstColumn="0" w:lastRowLastColumn="0"/>
            </w:pPr>
            <w:r w:rsidRPr="00521143">
              <w:t>201</w:t>
            </w:r>
            <w:r w:rsidR="00E121EE">
              <w:t>8–19</w:t>
            </w:r>
          </w:p>
        </w:tc>
        <w:tc>
          <w:tcPr>
            <w:tcW w:w="926" w:type="dxa"/>
            <w:noWrap/>
            <w:hideMark/>
          </w:tcPr>
          <w:p w:rsidR="00AA3722" w:rsidRPr="00913C74" w:rsidRDefault="00AA3722" w:rsidP="00E121EE">
            <w:pPr>
              <w:cnfStyle w:val="100000000000" w:firstRow="1" w:lastRow="0" w:firstColumn="0" w:lastColumn="0" w:oddVBand="0" w:evenVBand="0" w:oddHBand="0" w:evenHBand="0" w:firstRowFirstColumn="0" w:firstRowLastColumn="0" w:lastRowFirstColumn="0" w:lastRowLastColumn="0"/>
            </w:pPr>
            <w:r w:rsidRPr="00521143">
              <w:t>201</w:t>
            </w:r>
            <w:r w:rsidR="00E121EE">
              <w:t>9–20</w:t>
            </w:r>
          </w:p>
        </w:tc>
        <w:tc>
          <w:tcPr>
            <w:tcW w:w="927" w:type="dxa"/>
            <w:noWrap/>
            <w:hideMark/>
          </w:tcPr>
          <w:p w:rsidR="00AA3722" w:rsidRPr="00913C74" w:rsidRDefault="00AA3722" w:rsidP="00E121EE">
            <w:pPr>
              <w:cnfStyle w:val="100000000000" w:firstRow="1" w:lastRow="0" w:firstColumn="0" w:lastColumn="0" w:oddVBand="0" w:evenVBand="0" w:oddHBand="0" w:evenHBand="0" w:firstRowFirstColumn="0" w:firstRowLastColumn="0" w:lastRowFirstColumn="0" w:lastRowLastColumn="0"/>
            </w:pPr>
            <w:r w:rsidRPr="00521143">
              <w:t>20</w:t>
            </w:r>
            <w:r w:rsidR="00E121EE">
              <w:t>20–2</w:t>
            </w:r>
            <w:r w:rsidRPr="00521143">
              <w:t>1</w:t>
            </w:r>
          </w:p>
        </w:tc>
        <w:tc>
          <w:tcPr>
            <w:tcW w:w="926" w:type="dxa"/>
            <w:noWrap/>
            <w:hideMark/>
          </w:tcPr>
          <w:p w:rsidR="00AA3722" w:rsidRPr="00913C74" w:rsidRDefault="00AA3722" w:rsidP="00E121EE">
            <w:pPr>
              <w:cnfStyle w:val="100000000000" w:firstRow="1" w:lastRow="0" w:firstColumn="0" w:lastColumn="0" w:oddVBand="0" w:evenVBand="0" w:oddHBand="0" w:evenHBand="0" w:firstRowFirstColumn="0" w:firstRowLastColumn="0" w:lastRowFirstColumn="0" w:lastRowLastColumn="0"/>
            </w:pPr>
            <w:r w:rsidRPr="00521143">
              <w:t>202</w:t>
            </w:r>
            <w:r w:rsidR="00E121EE">
              <w:t>1–22</w:t>
            </w:r>
          </w:p>
        </w:tc>
        <w:tc>
          <w:tcPr>
            <w:tcW w:w="927" w:type="dxa"/>
            <w:noWrap/>
            <w:hideMark/>
          </w:tcPr>
          <w:p w:rsidR="00AA3722" w:rsidRPr="00913C74" w:rsidRDefault="00AA3722" w:rsidP="00F770F6">
            <w:pPr>
              <w:cnfStyle w:val="100000000000" w:firstRow="1" w:lastRow="0" w:firstColumn="0" w:lastColumn="0" w:oddVBand="0" w:evenVBand="0" w:oddHBand="0" w:evenHBand="0" w:firstRowFirstColumn="0" w:firstRowLastColumn="0" w:lastRowFirstColumn="0" w:lastRowLastColumn="0"/>
            </w:pPr>
            <w:r w:rsidRPr="00521143">
              <w:t>Total</w:t>
            </w:r>
          </w:p>
        </w:tc>
      </w:tr>
      <w:tr w:rsidR="00AA3722" w:rsidRPr="00667AB1" w:rsidTr="00BF25F1">
        <w:trPr>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AA3722" w:rsidRPr="00E74CAF" w:rsidRDefault="00AA3722" w:rsidP="00F770F6">
            <w:r w:rsidRPr="00E74CAF">
              <w:t>Tax payable</w:t>
            </w:r>
          </w:p>
        </w:tc>
        <w:tc>
          <w:tcPr>
            <w:tcW w:w="926" w:type="dxa"/>
            <w:noWrap/>
            <w:vAlign w:val="bottom"/>
          </w:tcPr>
          <w:p w:rsidR="00AA3722" w:rsidRPr="00617922" w:rsidRDefault="00AA3722" w:rsidP="00617922">
            <w:pPr>
              <w:cnfStyle w:val="000000000000" w:firstRow="0" w:lastRow="0" w:firstColumn="0" w:lastColumn="0" w:oddVBand="0" w:evenVBand="0" w:oddHBand="0" w:evenHBand="0" w:firstRowFirstColumn="0" w:firstRowLastColumn="0" w:lastRowFirstColumn="0" w:lastRowLastColumn="0"/>
            </w:pPr>
            <w:r w:rsidRPr="00617922">
              <w:t>41.6</w:t>
            </w:r>
          </w:p>
        </w:tc>
        <w:tc>
          <w:tcPr>
            <w:tcW w:w="927" w:type="dxa"/>
            <w:noWrap/>
            <w:vAlign w:val="bottom"/>
          </w:tcPr>
          <w:p w:rsidR="00AA3722" w:rsidRPr="00617922" w:rsidRDefault="00AA3722" w:rsidP="00617922">
            <w:pPr>
              <w:cnfStyle w:val="000000000000" w:firstRow="0" w:lastRow="0" w:firstColumn="0" w:lastColumn="0" w:oddVBand="0" w:evenVBand="0" w:oddHBand="0" w:evenHBand="0" w:firstRowFirstColumn="0" w:firstRowLastColumn="0" w:lastRowFirstColumn="0" w:lastRowLastColumn="0"/>
            </w:pPr>
            <w:r w:rsidRPr="00617922">
              <w:t>42.3</w:t>
            </w:r>
          </w:p>
        </w:tc>
        <w:tc>
          <w:tcPr>
            <w:tcW w:w="926" w:type="dxa"/>
            <w:noWrap/>
            <w:vAlign w:val="bottom"/>
          </w:tcPr>
          <w:p w:rsidR="00AA3722" w:rsidRPr="00617922" w:rsidRDefault="00AA3722" w:rsidP="00617922">
            <w:pPr>
              <w:cnfStyle w:val="000000000000" w:firstRow="0" w:lastRow="0" w:firstColumn="0" w:lastColumn="0" w:oddVBand="0" w:evenVBand="0" w:oddHBand="0" w:evenHBand="0" w:firstRowFirstColumn="0" w:firstRowLastColumn="0" w:lastRowFirstColumn="0" w:lastRowLastColumn="0"/>
            </w:pPr>
            <w:r w:rsidRPr="00617922">
              <w:t>47.7</w:t>
            </w:r>
          </w:p>
        </w:tc>
        <w:tc>
          <w:tcPr>
            <w:tcW w:w="927" w:type="dxa"/>
            <w:noWrap/>
            <w:vAlign w:val="bottom"/>
          </w:tcPr>
          <w:p w:rsidR="00AA3722" w:rsidRPr="00617922" w:rsidRDefault="00AA3722" w:rsidP="00617922">
            <w:pPr>
              <w:cnfStyle w:val="000000000000" w:firstRow="0" w:lastRow="0" w:firstColumn="0" w:lastColumn="0" w:oddVBand="0" w:evenVBand="0" w:oddHBand="0" w:evenHBand="0" w:firstRowFirstColumn="0" w:firstRowLastColumn="0" w:lastRowFirstColumn="0" w:lastRowLastColumn="0"/>
            </w:pPr>
            <w:r w:rsidRPr="00617922">
              <w:t>50.3</w:t>
            </w:r>
          </w:p>
        </w:tc>
        <w:tc>
          <w:tcPr>
            <w:tcW w:w="926" w:type="dxa"/>
            <w:noWrap/>
            <w:vAlign w:val="bottom"/>
          </w:tcPr>
          <w:p w:rsidR="00AA3722" w:rsidRPr="00617922" w:rsidRDefault="00AA3722" w:rsidP="00617922">
            <w:pPr>
              <w:cnfStyle w:val="000000000000" w:firstRow="0" w:lastRow="0" w:firstColumn="0" w:lastColumn="0" w:oddVBand="0" w:evenVBand="0" w:oddHBand="0" w:evenHBand="0" w:firstRowFirstColumn="0" w:firstRowLastColumn="0" w:lastRowFirstColumn="0" w:lastRowLastColumn="0"/>
            </w:pPr>
            <w:r w:rsidRPr="00617922">
              <w:t>41.9</w:t>
            </w:r>
          </w:p>
        </w:tc>
        <w:tc>
          <w:tcPr>
            <w:tcW w:w="927" w:type="dxa"/>
            <w:noWrap/>
            <w:vAlign w:val="bottom"/>
          </w:tcPr>
          <w:p w:rsidR="00AA3722" w:rsidRPr="00617922" w:rsidRDefault="00AA3722" w:rsidP="00617922">
            <w:pPr>
              <w:cnfStyle w:val="000000000000" w:firstRow="0" w:lastRow="0" w:firstColumn="0" w:lastColumn="0" w:oddVBand="0" w:evenVBand="0" w:oddHBand="0" w:evenHBand="0" w:firstRowFirstColumn="0" w:firstRowLastColumn="0" w:lastRowFirstColumn="0" w:lastRowLastColumn="0"/>
            </w:pPr>
            <w:r w:rsidRPr="00617922">
              <w:t>223.9</w:t>
            </w:r>
          </w:p>
        </w:tc>
      </w:tr>
      <w:tr w:rsidR="00AA3722" w:rsidRPr="00667AB1" w:rsidTr="00BF25F1">
        <w:trPr>
          <w:cnfStyle w:val="000000010000" w:firstRow="0" w:lastRow="0" w:firstColumn="0" w:lastColumn="0" w:oddVBand="0" w:evenVBand="0" w:oddHBand="0" w:evenHBand="1"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AA3722" w:rsidRPr="00E74CAF" w:rsidRDefault="00AA3722" w:rsidP="00F770F6">
            <w:r w:rsidRPr="00E74CAF">
              <w:rPr>
                <w:rStyle w:val="AERtextitalic"/>
              </w:rPr>
              <w:t xml:space="preserve">Less: </w:t>
            </w:r>
            <w:r w:rsidRPr="00E74CAF">
              <w:t>value of imputation credits</w:t>
            </w:r>
          </w:p>
        </w:tc>
        <w:tc>
          <w:tcPr>
            <w:tcW w:w="926" w:type="dxa"/>
            <w:noWrap/>
            <w:vAlign w:val="bottom"/>
          </w:tcPr>
          <w:p w:rsidR="00AA3722" w:rsidRPr="00617922" w:rsidRDefault="00AA3722" w:rsidP="00617922">
            <w:pPr>
              <w:cnfStyle w:val="000000010000" w:firstRow="0" w:lastRow="0" w:firstColumn="0" w:lastColumn="0" w:oddVBand="0" w:evenVBand="0" w:oddHBand="0" w:evenHBand="1" w:firstRowFirstColumn="0" w:firstRowLastColumn="0" w:lastRowFirstColumn="0" w:lastRowLastColumn="0"/>
            </w:pPr>
            <w:r w:rsidRPr="00617922">
              <w:t>10.4</w:t>
            </w:r>
          </w:p>
        </w:tc>
        <w:tc>
          <w:tcPr>
            <w:tcW w:w="927" w:type="dxa"/>
            <w:noWrap/>
            <w:vAlign w:val="bottom"/>
          </w:tcPr>
          <w:p w:rsidR="00AA3722" w:rsidRPr="00617922" w:rsidRDefault="00AA3722" w:rsidP="00617922">
            <w:pPr>
              <w:cnfStyle w:val="000000010000" w:firstRow="0" w:lastRow="0" w:firstColumn="0" w:lastColumn="0" w:oddVBand="0" w:evenVBand="0" w:oddHBand="0" w:evenHBand="1" w:firstRowFirstColumn="0" w:firstRowLastColumn="0" w:lastRowFirstColumn="0" w:lastRowLastColumn="0"/>
            </w:pPr>
            <w:r w:rsidRPr="00617922">
              <w:t>10.6</w:t>
            </w:r>
          </w:p>
        </w:tc>
        <w:tc>
          <w:tcPr>
            <w:tcW w:w="926" w:type="dxa"/>
            <w:noWrap/>
            <w:vAlign w:val="bottom"/>
          </w:tcPr>
          <w:p w:rsidR="00AA3722" w:rsidRPr="00617922" w:rsidRDefault="00AA3722" w:rsidP="00617922">
            <w:pPr>
              <w:cnfStyle w:val="000000010000" w:firstRow="0" w:lastRow="0" w:firstColumn="0" w:lastColumn="0" w:oddVBand="0" w:evenVBand="0" w:oddHBand="0" w:evenHBand="1" w:firstRowFirstColumn="0" w:firstRowLastColumn="0" w:lastRowFirstColumn="0" w:lastRowLastColumn="0"/>
            </w:pPr>
            <w:r w:rsidRPr="00617922">
              <w:t>11.9</w:t>
            </w:r>
          </w:p>
        </w:tc>
        <w:tc>
          <w:tcPr>
            <w:tcW w:w="927" w:type="dxa"/>
            <w:noWrap/>
            <w:vAlign w:val="bottom"/>
          </w:tcPr>
          <w:p w:rsidR="00AA3722" w:rsidRPr="00617922" w:rsidRDefault="00AA3722" w:rsidP="00617922">
            <w:pPr>
              <w:cnfStyle w:val="000000010000" w:firstRow="0" w:lastRow="0" w:firstColumn="0" w:lastColumn="0" w:oddVBand="0" w:evenVBand="0" w:oddHBand="0" w:evenHBand="1" w:firstRowFirstColumn="0" w:firstRowLastColumn="0" w:lastRowFirstColumn="0" w:lastRowLastColumn="0"/>
            </w:pPr>
            <w:r w:rsidRPr="00617922">
              <w:t>12.6</w:t>
            </w:r>
          </w:p>
        </w:tc>
        <w:tc>
          <w:tcPr>
            <w:tcW w:w="926" w:type="dxa"/>
            <w:noWrap/>
            <w:vAlign w:val="bottom"/>
          </w:tcPr>
          <w:p w:rsidR="00AA3722" w:rsidRPr="00617922" w:rsidRDefault="00AA3722" w:rsidP="00617922">
            <w:pPr>
              <w:cnfStyle w:val="000000010000" w:firstRow="0" w:lastRow="0" w:firstColumn="0" w:lastColumn="0" w:oddVBand="0" w:evenVBand="0" w:oddHBand="0" w:evenHBand="1" w:firstRowFirstColumn="0" w:firstRowLastColumn="0" w:lastRowFirstColumn="0" w:lastRowLastColumn="0"/>
            </w:pPr>
            <w:r w:rsidRPr="00617922">
              <w:t>10.5</w:t>
            </w:r>
          </w:p>
        </w:tc>
        <w:tc>
          <w:tcPr>
            <w:tcW w:w="927" w:type="dxa"/>
            <w:noWrap/>
            <w:vAlign w:val="bottom"/>
          </w:tcPr>
          <w:p w:rsidR="00AA3722" w:rsidRPr="00617922" w:rsidRDefault="00AA3722" w:rsidP="00617922">
            <w:pPr>
              <w:cnfStyle w:val="000000010000" w:firstRow="0" w:lastRow="0" w:firstColumn="0" w:lastColumn="0" w:oddVBand="0" w:evenVBand="0" w:oddHBand="0" w:evenHBand="1" w:firstRowFirstColumn="0" w:firstRowLastColumn="0" w:lastRowFirstColumn="0" w:lastRowLastColumn="0"/>
            </w:pPr>
            <w:r w:rsidRPr="00617922">
              <w:t>56.0</w:t>
            </w:r>
          </w:p>
        </w:tc>
      </w:tr>
      <w:tr w:rsidR="00AA3722" w:rsidRPr="00617922" w:rsidTr="00BF25F1">
        <w:trPr>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AA3722" w:rsidRPr="00E74CAF" w:rsidRDefault="00AA3722" w:rsidP="00F770F6">
            <w:pPr>
              <w:rPr>
                <w:rStyle w:val="Strong"/>
              </w:rPr>
            </w:pPr>
            <w:r w:rsidRPr="00E74CAF">
              <w:rPr>
                <w:rStyle w:val="Strong"/>
              </w:rPr>
              <w:t>Net corporate income tax allowance</w:t>
            </w:r>
          </w:p>
        </w:tc>
        <w:tc>
          <w:tcPr>
            <w:tcW w:w="926" w:type="dxa"/>
            <w:noWrap/>
            <w:vAlign w:val="bottom"/>
          </w:tcPr>
          <w:p w:rsidR="00AA3722" w:rsidRPr="00617922" w:rsidRDefault="00AA3722" w:rsidP="00617922">
            <w:pPr>
              <w:cnfStyle w:val="000000000000" w:firstRow="0" w:lastRow="0" w:firstColumn="0" w:lastColumn="0" w:oddVBand="0" w:evenVBand="0" w:oddHBand="0" w:evenHBand="0" w:firstRowFirstColumn="0" w:firstRowLastColumn="0" w:lastRowFirstColumn="0" w:lastRowLastColumn="0"/>
              <w:rPr>
                <w:rStyle w:val="Strong"/>
              </w:rPr>
            </w:pPr>
            <w:r w:rsidRPr="00617922">
              <w:rPr>
                <w:rStyle w:val="Strong"/>
              </w:rPr>
              <w:t>31.2</w:t>
            </w:r>
          </w:p>
        </w:tc>
        <w:tc>
          <w:tcPr>
            <w:tcW w:w="927" w:type="dxa"/>
            <w:noWrap/>
            <w:vAlign w:val="bottom"/>
          </w:tcPr>
          <w:p w:rsidR="00AA3722" w:rsidRPr="00617922" w:rsidRDefault="00AA3722" w:rsidP="00617922">
            <w:pPr>
              <w:cnfStyle w:val="000000000000" w:firstRow="0" w:lastRow="0" w:firstColumn="0" w:lastColumn="0" w:oddVBand="0" w:evenVBand="0" w:oddHBand="0" w:evenHBand="0" w:firstRowFirstColumn="0" w:firstRowLastColumn="0" w:lastRowFirstColumn="0" w:lastRowLastColumn="0"/>
              <w:rPr>
                <w:rStyle w:val="Strong"/>
              </w:rPr>
            </w:pPr>
            <w:r w:rsidRPr="00617922">
              <w:rPr>
                <w:rStyle w:val="Strong"/>
              </w:rPr>
              <w:t>31.7</w:t>
            </w:r>
          </w:p>
        </w:tc>
        <w:tc>
          <w:tcPr>
            <w:tcW w:w="926" w:type="dxa"/>
            <w:noWrap/>
            <w:vAlign w:val="bottom"/>
          </w:tcPr>
          <w:p w:rsidR="00AA3722" w:rsidRPr="00617922" w:rsidRDefault="00AA3722" w:rsidP="00617922">
            <w:pPr>
              <w:cnfStyle w:val="000000000000" w:firstRow="0" w:lastRow="0" w:firstColumn="0" w:lastColumn="0" w:oddVBand="0" w:evenVBand="0" w:oddHBand="0" w:evenHBand="0" w:firstRowFirstColumn="0" w:firstRowLastColumn="0" w:lastRowFirstColumn="0" w:lastRowLastColumn="0"/>
              <w:rPr>
                <w:rStyle w:val="Strong"/>
              </w:rPr>
            </w:pPr>
            <w:r w:rsidRPr="00617922">
              <w:rPr>
                <w:rStyle w:val="Strong"/>
              </w:rPr>
              <w:t>35.8</w:t>
            </w:r>
          </w:p>
        </w:tc>
        <w:tc>
          <w:tcPr>
            <w:tcW w:w="927" w:type="dxa"/>
            <w:noWrap/>
            <w:vAlign w:val="bottom"/>
          </w:tcPr>
          <w:p w:rsidR="00AA3722" w:rsidRPr="00617922" w:rsidRDefault="00AA3722" w:rsidP="00617922">
            <w:pPr>
              <w:cnfStyle w:val="000000000000" w:firstRow="0" w:lastRow="0" w:firstColumn="0" w:lastColumn="0" w:oddVBand="0" w:evenVBand="0" w:oddHBand="0" w:evenHBand="0" w:firstRowFirstColumn="0" w:firstRowLastColumn="0" w:lastRowFirstColumn="0" w:lastRowLastColumn="0"/>
              <w:rPr>
                <w:rStyle w:val="Strong"/>
              </w:rPr>
            </w:pPr>
            <w:r w:rsidRPr="00617922">
              <w:rPr>
                <w:rStyle w:val="Strong"/>
              </w:rPr>
              <w:t>37.8</w:t>
            </w:r>
          </w:p>
        </w:tc>
        <w:tc>
          <w:tcPr>
            <w:tcW w:w="926" w:type="dxa"/>
            <w:noWrap/>
            <w:vAlign w:val="bottom"/>
          </w:tcPr>
          <w:p w:rsidR="00AA3722" w:rsidRPr="00617922" w:rsidRDefault="00AA3722" w:rsidP="00617922">
            <w:pPr>
              <w:cnfStyle w:val="000000000000" w:firstRow="0" w:lastRow="0" w:firstColumn="0" w:lastColumn="0" w:oddVBand="0" w:evenVBand="0" w:oddHBand="0" w:evenHBand="0" w:firstRowFirstColumn="0" w:firstRowLastColumn="0" w:lastRowFirstColumn="0" w:lastRowLastColumn="0"/>
              <w:rPr>
                <w:rStyle w:val="Strong"/>
              </w:rPr>
            </w:pPr>
            <w:r w:rsidRPr="00617922">
              <w:rPr>
                <w:rStyle w:val="Strong"/>
              </w:rPr>
              <w:t>31.5</w:t>
            </w:r>
          </w:p>
        </w:tc>
        <w:tc>
          <w:tcPr>
            <w:tcW w:w="927" w:type="dxa"/>
            <w:noWrap/>
            <w:vAlign w:val="bottom"/>
          </w:tcPr>
          <w:p w:rsidR="00AA3722" w:rsidRPr="00617922" w:rsidRDefault="00AA3722" w:rsidP="00617922">
            <w:pPr>
              <w:cnfStyle w:val="000000000000" w:firstRow="0" w:lastRow="0" w:firstColumn="0" w:lastColumn="0" w:oddVBand="0" w:evenVBand="0" w:oddHBand="0" w:evenHBand="0" w:firstRowFirstColumn="0" w:firstRowLastColumn="0" w:lastRowFirstColumn="0" w:lastRowLastColumn="0"/>
              <w:rPr>
                <w:rStyle w:val="Strong"/>
              </w:rPr>
            </w:pPr>
            <w:r w:rsidRPr="00617922">
              <w:rPr>
                <w:rStyle w:val="Strong"/>
              </w:rPr>
              <w:t>167.9</w:t>
            </w:r>
          </w:p>
        </w:tc>
      </w:tr>
    </w:tbl>
    <w:p w:rsidR="00617922" w:rsidRDefault="00617922" w:rsidP="00617922">
      <w:pPr>
        <w:pStyle w:val="AERtablesource"/>
      </w:pPr>
      <w:r>
        <w:t>Source:</w:t>
      </w:r>
      <w:r>
        <w:tab/>
        <w:t>AusNet Services</w:t>
      </w:r>
      <w:r w:rsidRPr="00617922">
        <w:t xml:space="preserve">, </w:t>
      </w:r>
      <w:r w:rsidR="00AA3722" w:rsidRPr="00AA3722">
        <w:rPr>
          <w:rStyle w:val="AERtextitalic"/>
        </w:rPr>
        <w:t>Re</w:t>
      </w:r>
      <w:r w:rsidR="00811363">
        <w:rPr>
          <w:rStyle w:val="AERtextitalic"/>
        </w:rPr>
        <w:t>venue</w:t>
      </w:r>
      <w:r w:rsidR="00AA3722" w:rsidRPr="00AA3722">
        <w:rPr>
          <w:rStyle w:val="AERtextitalic"/>
        </w:rPr>
        <w:t xml:space="preserve"> proposal</w:t>
      </w:r>
      <w:r w:rsidR="00AA3722">
        <w:t xml:space="preserve">, October 2015, </w:t>
      </w:r>
      <w:r w:rsidR="00E25903">
        <w:t>PTRM</w:t>
      </w:r>
      <w:r w:rsidRPr="00617922">
        <w:t>.</w:t>
      </w:r>
    </w:p>
    <w:p w:rsidR="00DE563D" w:rsidRDefault="00DE563D" w:rsidP="00EB0444">
      <w:pPr>
        <w:pStyle w:val="Heading2"/>
        <w:keepNext/>
        <w:ind w:left="720" w:hanging="720"/>
      </w:pPr>
      <w:bookmarkStart w:id="17" w:name="_Toc403144138"/>
      <w:bookmarkStart w:id="18" w:name="_Toc456602245"/>
      <w:r w:rsidRPr="001754EE">
        <w:lastRenderedPageBreak/>
        <w:t>AER’s</w:t>
      </w:r>
      <w:r>
        <w:t xml:space="preserve"> assessment approach</w:t>
      </w:r>
      <w:bookmarkEnd w:id="17"/>
      <w:bookmarkEnd w:id="18"/>
    </w:p>
    <w:p w:rsidR="000B321F" w:rsidRDefault="00387B59" w:rsidP="00617922">
      <w:r>
        <w:t>W</w:t>
      </w:r>
      <w:r w:rsidR="00617922">
        <w:t>e make an estimate of taxable income for each regulatory year</w:t>
      </w:r>
      <w:r>
        <w:t xml:space="preserve"> as part of our revenue determination</w:t>
      </w:r>
      <w:r w:rsidR="00617922">
        <w:t>.</w:t>
      </w:r>
      <w:r>
        <w:rPr>
          <w:rStyle w:val="FootnoteReference"/>
        </w:rPr>
        <w:footnoteReference w:id="3"/>
      </w:r>
      <w:r w:rsidR="00617922">
        <w:t xml:space="preserve"> Our estimate </w:t>
      </w:r>
      <w:r w:rsidR="00380547">
        <w:t>is</w:t>
      </w:r>
      <w:r w:rsidR="00617922">
        <w:t xml:space="preserve"> for the taxable income a benchmark efficient entity would earn for providing prescribed transmission services if it operated AusNet Services’ business. Our approach for calculating a TNSP's cost of corporate income tax is set out in our PTRM and involves the following steps:</w:t>
      </w:r>
      <w:r w:rsidR="00380547">
        <w:rPr>
          <w:rStyle w:val="FootnoteReference"/>
        </w:rPr>
        <w:footnoteReference w:id="4"/>
      </w:r>
    </w:p>
    <w:p w:rsidR="00617922" w:rsidRPr="00BF25F1" w:rsidRDefault="00CB0598" w:rsidP="00233D13">
      <w:pPr>
        <w:pStyle w:val="ListNumber"/>
      </w:pPr>
      <w:r>
        <w:t>W</w:t>
      </w:r>
      <w:r w:rsidR="00617922" w:rsidRPr="00BF25F1">
        <w:t>e estimate the annual taxable income that would be earned by a benchmark efficient entity operating the TNSP's business.</w:t>
      </w:r>
      <w:r w:rsidR="00BF25F1">
        <w:rPr>
          <w:rStyle w:val="FootnoteReference"/>
        </w:rPr>
        <w:footnoteReference w:id="5"/>
      </w:r>
      <w:r w:rsidR="00617922" w:rsidRPr="00BF25F1">
        <w:t xml:space="preserve"> A TNSP's taxable income is calculated by netting the approved forecast revenues by benchmark estimates of tax expenses. Using the PTRM, we model the TNSP's benchmark tax expenses, including interest tax expense and tax depreciation, over the regulatory control period. The interest tax expense is estimated using the benchmark 60 per cent gearing. Tax depreciation is calculated using a separate value for the TAB, and standard and remaining tax asset lives for taxation purposes. All tax expenses (including other expenses such as opex) are offset against the TNSP's forecast revenue to estimate the taxable income.</w:t>
      </w:r>
    </w:p>
    <w:p w:rsidR="00617922" w:rsidRPr="00BF25F1" w:rsidRDefault="00617922" w:rsidP="00233D13">
      <w:pPr>
        <w:pStyle w:val="ListNumber"/>
      </w:pPr>
      <w:r w:rsidRPr="00BF25F1">
        <w:t>The statutory income tax rate is then applied to the estimated annual taxable income</w:t>
      </w:r>
      <w:r w:rsidR="00CB0598">
        <w:t xml:space="preserve"> (after adjustment for any tax loss carried forward)</w:t>
      </w:r>
      <w:r w:rsidRPr="00BF25F1">
        <w:t xml:space="preserve"> to arrive at a notional amount of tax payable.</w:t>
      </w:r>
    </w:p>
    <w:p w:rsidR="00617922" w:rsidRPr="00BF25F1" w:rsidRDefault="00617922" w:rsidP="00233D13">
      <w:pPr>
        <w:pStyle w:val="ListNumber"/>
      </w:pPr>
      <w:r w:rsidRPr="00BF25F1">
        <w:t>We apply a discount to that notional amount of tax payable to account for the assumed utilisation of imputation credits (gamma)</w:t>
      </w:r>
      <w:r w:rsidR="00CB0598">
        <w:t xml:space="preserve"> by investors</w:t>
      </w:r>
      <w:r w:rsidRPr="00BF25F1">
        <w:t>.</w:t>
      </w:r>
    </w:p>
    <w:p w:rsidR="00617922" w:rsidRDefault="00617922" w:rsidP="00233D13">
      <w:pPr>
        <w:pStyle w:val="ListNumber"/>
      </w:pPr>
      <w:r w:rsidRPr="00BF25F1">
        <w:t xml:space="preserve">The tax payable net of assumed utilised imputation credits </w:t>
      </w:r>
      <w:r w:rsidR="00CB0598">
        <w:t xml:space="preserve">represents the corporate income tax allowance and </w:t>
      </w:r>
      <w:r w:rsidRPr="00BF25F1">
        <w:t>is included as a separate building block in determining the TNSP’s annual building block revenue requirement.</w:t>
      </w:r>
    </w:p>
    <w:p w:rsidR="00BF25F1" w:rsidRPr="00BF25F1" w:rsidRDefault="00BF25F1" w:rsidP="00BF25F1">
      <w:r w:rsidRPr="00BF25F1">
        <w:t xml:space="preserve">The corporate income tax allowance is an output of our PTRM. We therefore assess the TNSP's proposed </w:t>
      </w:r>
      <w:r w:rsidR="00CB0598">
        <w:t xml:space="preserve">cost of </w:t>
      </w:r>
      <w:r w:rsidRPr="00BF25F1">
        <w:t>corporate income tax allowance by analysing the proposed inputs to the PTRM for calculating th</w:t>
      </w:r>
      <w:r w:rsidR="00CB0598">
        <w:t>at</w:t>
      </w:r>
      <w:r w:rsidRPr="00BF25F1">
        <w:t xml:space="preserve"> allowance. These inputs include:</w:t>
      </w:r>
    </w:p>
    <w:p w:rsidR="00BF25F1" w:rsidRDefault="00BF25F1" w:rsidP="00BF25F1">
      <w:pPr>
        <w:pStyle w:val="AERbulletlistfirststyle"/>
      </w:pPr>
      <w:r w:rsidRPr="00BB089B">
        <w:rPr>
          <w:rStyle w:val="Strong"/>
        </w:rPr>
        <w:t xml:space="preserve">The opening TAB as at the commencement of the </w:t>
      </w:r>
      <w:r w:rsidR="00CB0598">
        <w:rPr>
          <w:rStyle w:val="Strong"/>
        </w:rPr>
        <w:t>201</w:t>
      </w:r>
      <w:r w:rsidR="00E121EE">
        <w:rPr>
          <w:rStyle w:val="Strong"/>
        </w:rPr>
        <w:t>7</w:t>
      </w:r>
      <w:r w:rsidR="00CB0598">
        <w:rPr>
          <w:rStyle w:val="Strong"/>
        </w:rPr>
        <w:t>–</w:t>
      </w:r>
      <w:r w:rsidR="00E121EE">
        <w:rPr>
          <w:rStyle w:val="Strong"/>
        </w:rPr>
        <w:t>22</w:t>
      </w:r>
      <w:r w:rsidRPr="00BB089B">
        <w:rPr>
          <w:rStyle w:val="Strong"/>
        </w:rPr>
        <w:t xml:space="preserve"> regulatory control period:</w:t>
      </w:r>
      <w:r>
        <w:t xml:space="preserve"> We consider that the roll forward of the opening TAB should be based on the approved opening TAB as at commencement of the </w:t>
      </w:r>
      <w:r w:rsidR="00CB0598">
        <w:t>20</w:t>
      </w:r>
      <w:r w:rsidR="00E121EE">
        <w:t>14–17</w:t>
      </w:r>
      <w:r>
        <w:t xml:space="preserve"> regulatory control period and the TNSP's actual capex incurred during </w:t>
      </w:r>
      <w:r w:rsidR="00E121EE">
        <w:t>that period and the final year (2013–14) of the previous</w:t>
      </w:r>
      <w:r>
        <w:t xml:space="preserve"> regulatory control period.</w:t>
      </w:r>
      <w:r w:rsidR="006B7C5F">
        <w:rPr>
          <w:rStyle w:val="FootnoteReference"/>
        </w:rPr>
        <w:footnoteReference w:id="6"/>
      </w:r>
    </w:p>
    <w:p w:rsidR="00BF25F1" w:rsidRDefault="00BF25F1" w:rsidP="00BF25F1">
      <w:pPr>
        <w:pStyle w:val="AERbulletlistfirststyle"/>
      </w:pPr>
      <w:r w:rsidRPr="00BB089B">
        <w:rPr>
          <w:rStyle w:val="Strong"/>
        </w:rPr>
        <w:t>The standard tax asset life for each asset class:</w:t>
      </w:r>
      <w:r w:rsidRPr="00BF25F1">
        <w:t xml:space="preserve"> We assess the TNSP's proposed standard tax asset lives, where necessary, against those prescribed by </w:t>
      </w:r>
      <w:r w:rsidRPr="00BF25F1">
        <w:lastRenderedPageBreak/>
        <w:t>the Commissioner for taxation in tax ruling 2</w:t>
      </w:r>
      <w:r w:rsidR="005E0ADD">
        <w:t>015/2</w:t>
      </w:r>
      <w:r w:rsidR="00B10024">
        <w:rPr>
          <w:rStyle w:val="FootnoteReference"/>
        </w:rPr>
        <w:footnoteReference w:id="7"/>
      </w:r>
      <w:r w:rsidRPr="00BF25F1">
        <w:t xml:space="preserve"> and the approved standard tax asset lives in the TNSP's transmission determination for </w:t>
      </w:r>
      <w:r w:rsidR="00E121EE">
        <w:t>the 2014–17</w:t>
      </w:r>
      <w:r w:rsidRPr="00BF25F1">
        <w:t xml:space="preserve"> regulatory control period.</w:t>
      </w:r>
    </w:p>
    <w:p w:rsidR="00BF25F1" w:rsidRDefault="00BF25F1" w:rsidP="00BF25F1">
      <w:pPr>
        <w:pStyle w:val="AERbulletlistfirststyle"/>
      </w:pPr>
      <w:r w:rsidRPr="00BB089B">
        <w:rPr>
          <w:rStyle w:val="Strong"/>
        </w:rPr>
        <w:t xml:space="preserve">The remaining tax asset life for each asset class at the commencement of the </w:t>
      </w:r>
      <w:r w:rsidR="00E121EE">
        <w:rPr>
          <w:rStyle w:val="Strong"/>
        </w:rPr>
        <w:t>2017–22</w:t>
      </w:r>
      <w:r w:rsidRPr="00BB089B">
        <w:rPr>
          <w:rStyle w:val="Strong"/>
        </w:rPr>
        <w:t xml:space="preserve"> regulatory control period:</w:t>
      </w:r>
      <w:r>
        <w:t xml:space="preserve"> Our roll forward model (RFM) determines the remaining tax asset lives using the weighted average method.</w:t>
      </w:r>
      <w:r>
        <w:rPr>
          <w:rStyle w:val="FootnoteReference"/>
        </w:rPr>
        <w:footnoteReference w:id="8"/>
      </w:r>
      <w:r>
        <w:t xml:space="preserve"> We consider the weighted average method provides a better reflection of the mix of assets within an asset class. We will assess the outcomes of other approaches against the outcomes of this standard method in the RFM.</w:t>
      </w:r>
    </w:p>
    <w:p w:rsidR="00BF25F1" w:rsidRDefault="00BF25F1" w:rsidP="00BF25F1">
      <w:pPr>
        <w:pStyle w:val="AERbulletlistfirststyle"/>
      </w:pPr>
      <w:r w:rsidRPr="00BB089B">
        <w:rPr>
          <w:rStyle w:val="Strong"/>
        </w:rPr>
        <w:t>The income tax rate:</w:t>
      </w:r>
      <w:r>
        <w:t xml:space="preserve"> The statutory income tax rate is 30 per cent per year.</w:t>
      </w:r>
    </w:p>
    <w:p w:rsidR="00BF25F1" w:rsidRDefault="00BF25F1" w:rsidP="00BF25F1">
      <w:pPr>
        <w:pStyle w:val="AERbulletlistfirststyle"/>
      </w:pPr>
      <w:r w:rsidRPr="00BB089B">
        <w:rPr>
          <w:rStyle w:val="Strong"/>
        </w:rPr>
        <w:t>The value of gamma:</w:t>
      </w:r>
      <w:r>
        <w:t xml:space="preserve"> </w:t>
      </w:r>
      <w:r w:rsidR="00E121EE">
        <w:t>We</w:t>
      </w:r>
      <w:r>
        <w:t xml:space="preserve"> have de</w:t>
      </w:r>
      <w:r w:rsidR="00E121EE">
        <w:t>termined the gamma input</w:t>
      </w:r>
      <w:r>
        <w:t xml:space="preserve"> for AusNet Services is 0.4. Refer to attachment 4 for detailed discussion on this matter.</w:t>
      </w:r>
    </w:p>
    <w:p w:rsidR="00BF25F1" w:rsidRDefault="00BF25F1" w:rsidP="00EB0444">
      <w:pPr>
        <w:pStyle w:val="Heading3"/>
        <w:keepNext/>
        <w:ind w:hanging="862"/>
      </w:pPr>
      <w:bookmarkStart w:id="19" w:name="_Toc456602246"/>
      <w:r>
        <w:t>Interrelationships</w:t>
      </w:r>
      <w:bookmarkEnd w:id="19"/>
    </w:p>
    <w:p w:rsidR="00BF25F1" w:rsidRDefault="00BF25F1" w:rsidP="00BF25F1">
      <w:r>
        <w:t>The cost of corporate income tax building block feeds directly into the annual building block revenue requirement. This tax allowance is determined by four factors:</w:t>
      </w:r>
    </w:p>
    <w:p w:rsidR="00BF25F1" w:rsidRDefault="00BF25F1" w:rsidP="00BF25F1">
      <w:pPr>
        <w:pStyle w:val="AERbulletlistfirststyle"/>
      </w:pPr>
      <w:r>
        <w:t>pre-tax revenues</w:t>
      </w:r>
    </w:p>
    <w:p w:rsidR="00BF25F1" w:rsidRDefault="00BF25F1" w:rsidP="00BF25F1">
      <w:pPr>
        <w:pStyle w:val="AERbulletlistfirststyle"/>
      </w:pPr>
      <w:r>
        <w:t>tax expenses (including tax depreciation)</w:t>
      </w:r>
    </w:p>
    <w:p w:rsidR="00BF25F1" w:rsidRDefault="00BF25F1" w:rsidP="00BF25F1">
      <w:pPr>
        <w:pStyle w:val="AERbulletlistfirststyle"/>
      </w:pPr>
      <w:r>
        <w:t>the corporate tax rate</w:t>
      </w:r>
    </w:p>
    <w:p w:rsidR="00BF25F1" w:rsidRDefault="00BF25F1" w:rsidP="00BF25F1">
      <w:pPr>
        <w:pStyle w:val="AERbulletlistfirststyle"/>
      </w:pPr>
      <w:r>
        <w:t xml:space="preserve">gamma—the expected proportion of company tax that is returned to investors through the utilisation of imputation credits—which </w:t>
      </w:r>
      <w:r w:rsidR="006B7C5F">
        <w:t xml:space="preserve">is </w:t>
      </w:r>
      <w:r>
        <w:t>offset against the corporate income tax allowance. This is discussed further at attachment 4.</w:t>
      </w:r>
    </w:p>
    <w:p w:rsidR="00BF25F1" w:rsidRDefault="00BF25F1" w:rsidP="00BF25F1">
      <w:r>
        <w:t>Of these four factors, the corporate tax rate is set externally by the Government. The higher the tax rate the higher the required tax allowance.</w:t>
      </w:r>
    </w:p>
    <w:p w:rsidR="00BF25F1" w:rsidRDefault="00BF25F1" w:rsidP="00BF25F1">
      <w:r>
        <w:t>The pre-tax revenues depend on all the building block components. Any factor that affects revenue will therefore affect pre-tax revenues. Higher pre-tax revenues can increase the tax allowance.</w:t>
      </w:r>
      <w:r>
        <w:rPr>
          <w:rStyle w:val="FootnoteReference"/>
        </w:rPr>
        <w:footnoteReference w:id="9"/>
      </w:r>
    </w:p>
    <w:p w:rsidR="00BF25F1" w:rsidRDefault="00BF25F1" w:rsidP="00BF25F1">
      <w:r>
        <w:t>Depending on the source of the revenue increase, the tax increase may be equal to or less than proportional to the company tax rate.</w:t>
      </w:r>
      <w:r>
        <w:rPr>
          <w:rStyle w:val="FootnoteReference"/>
        </w:rPr>
        <w:footnoteReference w:id="10"/>
      </w:r>
    </w:p>
    <w:p w:rsidR="00BF25F1" w:rsidRDefault="00BF25F1" w:rsidP="00BF25F1">
      <w:r>
        <w:lastRenderedPageBreak/>
        <w:t>The tax expenses</w:t>
      </w:r>
      <w:r w:rsidR="006B7C5F">
        <w:t xml:space="preserve"> (or deductions)</w:t>
      </w:r>
      <w:r>
        <w:t xml:space="preserve">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w:t>
      </w:r>
      <w:r w:rsidR="006B7C5F">
        <w:t xml:space="preserve"> cost of corporate income</w:t>
      </w:r>
      <w:r>
        <w:t xml:space="preserve"> tax allowance (all things being equal). Tax expenses include:</w:t>
      </w:r>
    </w:p>
    <w:p w:rsidR="00BF25F1" w:rsidRDefault="00BF25F1" w:rsidP="00BF25F1">
      <w:pPr>
        <w:pStyle w:val="AERbulletlistfirststyle"/>
      </w:pPr>
      <w:r>
        <w:t>Interest on debt – Interest is a tax offset. The size of which depends on the ratio of debt to equity and therefore the proportion of the RAB funded through debt. It also depends on the allowed return on debt and the size of the RAB.</w:t>
      </w:r>
    </w:p>
    <w:p w:rsidR="00BF25F1" w:rsidRDefault="00BF25F1" w:rsidP="00BF25F1">
      <w:pPr>
        <w:pStyle w:val="AERbulletlistfirststyle"/>
      </w:pPr>
      <w:r>
        <w:t>General expenses – In the main these expenses will match the opex allowance.</w:t>
      </w:r>
    </w:p>
    <w:p w:rsidR="00BF25F1" w:rsidRDefault="00BF25F1" w:rsidP="00BF25F1">
      <w:pPr>
        <w:pStyle w:val="AERbulletlistfirststyle"/>
      </w:pPr>
      <w:r>
        <w:t>Tax depreciation – A separate TAB is maintained for the TNSPs reflecting tax rules. This TAB is affected by many of the same factors as the RAB, such as capex, although unlike the RAB value it is maintained at its historical cost with no indexation. The TAB is also affected by the depreciation rate and asset lives assigned for tax depreciation purposes.</w:t>
      </w:r>
    </w:p>
    <w:p w:rsidR="00BF25F1" w:rsidRPr="00BF25F1" w:rsidRDefault="00BF25F1" w:rsidP="00DD3F76">
      <w:r>
        <w:t xml:space="preserve">A ten per cent increase in the corporate income tax allowance would cause revenues to increase by about </w:t>
      </w:r>
      <w:r w:rsidR="00AA3722">
        <w:t>0.5 </w:t>
      </w:r>
      <w:r>
        <w:t xml:space="preserve">per cent. The proposed gamma of 0.25 compared to the AER's decision of 0.4, would increase the corporate income tax allowance by </w:t>
      </w:r>
      <w:r w:rsidR="00F770F6">
        <w:t>32 </w:t>
      </w:r>
      <w:r>
        <w:t xml:space="preserve">per cent and total revenues by about </w:t>
      </w:r>
      <w:r w:rsidR="00AA3722">
        <w:t>1.3 </w:t>
      </w:r>
      <w:r>
        <w:t>per cent.</w:t>
      </w:r>
    </w:p>
    <w:p w:rsidR="00DE563D" w:rsidRDefault="00DE563D" w:rsidP="00EB0444">
      <w:pPr>
        <w:pStyle w:val="Heading2"/>
        <w:keepNext/>
        <w:ind w:left="720" w:hanging="720"/>
      </w:pPr>
      <w:bookmarkStart w:id="20" w:name="_Toc403144140"/>
      <w:bookmarkStart w:id="21" w:name="_Toc456602247"/>
      <w:r w:rsidRPr="001754EE">
        <w:t>Reasons</w:t>
      </w:r>
      <w:r>
        <w:t xml:space="preserve"> for </w:t>
      </w:r>
      <w:r w:rsidR="000B321F">
        <w:t>draft</w:t>
      </w:r>
      <w:r>
        <w:t xml:space="preserve"> decision</w:t>
      </w:r>
      <w:bookmarkEnd w:id="20"/>
      <w:bookmarkEnd w:id="21"/>
      <w:r>
        <w:t xml:space="preserve"> </w:t>
      </w:r>
    </w:p>
    <w:p w:rsidR="00BB089B" w:rsidRPr="00BB089B" w:rsidRDefault="00BB089B" w:rsidP="00DD3F76">
      <w:pPr>
        <w:rPr>
          <w:rStyle w:val="AERbody"/>
        </w:rPr>
      </w:pPr>
      <w:r w:rsidRPr="00BB089B">
        <w:rPr>
          <w:rStyle w:val="AERbody"/>
        </w:rPr>
        <w:t xml:space="preserve">We do not accept </w:t>
      </w:r>
      <w:r>
        <w:rPr>
          <w:rStyle w:val="AERbody"/>
        </w:rPr>
        <w:t>AusNet Services’</w:t>
      </w:r>
      <w:r w:rsidRPr="00BB089B">
        <w:rPr>
          <w:rStyle w:val="AERbody"/>
        </w:rPr>
        <w:t xml:space="preserve"> proposed cost of corporate income tax</w:t>
      </w:r>
      <w:r w:rsidR="00F770F6">
        <w:rPr>
          <w:rStyle w:val="AERbody"/>
        </w:rPr>
        <w:t xml:space="preserve"> of $167.9 million ($ nominal)</w:t>
      </w:r>
      <w:r w:rsidRPr="00BB089B">
        <w:rPr>
          <w:rStyle w:val="AERbody"/>
        </w:rPr>
        <w:t>.</w:t>
      </w:r>
      <w:r>
        <w:rPr>
          <w:rStyle w:val="AERbody"/>
        </w:rPr>
        <w:t xml:space="preserve"> </w:t>
      </w:r>
      <w:r w:rsidRPr="00BB089B">
        <w:rPr>
          <w:rStyle w:val="AERbody"/>
        </w:rPr>
        <w:t>We have</w:t>
      </w:r>
      <w:r>
        <w:rPr>
          <w:rStyle w:val="AERbody"/>
        </w:rPr>
        <w:t xml:space="preserve"> </w:t>
      </w:r>
      <w:r w:rsidR="00F770F6">
        <w:rPr>
          <w:rStyle w:val="AERbody"/>
        </w:rPr>
        <w:t>instead determined a cost of corporate income tax of $</w:t>
      </w:r>
      <w:r w:rsidR="00FF465E">
        <w:rPr>
          <w:rStyle w:val="AERbody"/>
        </w:rPr>
        <w:t>60.</w:t>
      </w:r>
      <w:r w:rsidR="00FC188B">
        <w:rPr>
          <w:rStyle w:val="AERbody"/>
        </w:rPr>
        <w:t>6</w:t>
      </w:r>
      <w:r w:rsidR="00FF465E">
        <w:rPr>
          <w:rStyle w:val="AERbody"/>
        </w:rPr>
        <w:t> </w:t>
      </w:r>
      <w:r w:rsidR="00F770F6">
        <w:rPr>
          <w:rStyle w:val="AERbody"/>
        </w:rPr>
        <w:t>million. This represents a reduction of $</w:t>
      </w:r>
      <w:r w:rsidR="00FF465E">
        <w:rPr>
          <w:rStyle w:val="AERbody"/>
        </w:rPr>
        <w:t>107.</w:t>
      </w:r>
      <w:r w:rsidR="008F2FCF">
        <w:rPr>
          <w:rStyle w:val="AERbody"/>
        </w:rPr>
        <w:t>3</w:t>
      </w:r>
      <w:r w:rsidR="00F770F6">
        <w:rPr>
          <w:rStyle w:val="AERbody"/>
        </w:rPr>
        <w:t xml:space="preserve"> million (or </w:t>
      </w:r>
      <w:r w:rsidR="0053618F">
        <w:rPr>
          <w:rStyle w:val="AERbody"/>
        </w:rPr>
        <w:t>63.</w:t>
      </w:r>
      <w:r w:rsidR="00FC188B">
        <w:rPr>
          <w:rStyle w:val="AERbody"/>
        </w:rPr>
        <w:t>9</w:t>
      </w:r>
      <w:r w:rsidR="00F770F6">
        <w:rPr>
          <w:rStyle w:val="AERbody"/>
        </w:rPr>
        <w:t xml:space="preserve"> per cent) from AusNet Services’ proposal. </w:t>
      </w:r>
    </w:p>
    <w:p w:rsidR="00BB089B" w:rsidRDefault="00F770F6" w:rsidP="00BB089B">
      <w:r w:rsidRPr="009C155F">
        <w:t>This is because we adjusted the following proposed inputs to the PTRM for tax purposes</w:t>
      </w:r>
      <w:r w:rsidR="00BB089B">
        <w:t>:</w:t>
      </w:r>
    </w:p>
    <w:p w:rsidR="00BB089B" w:rsidRPr="00BB089B" w:rsidRDefault="00BB089B" w:rsidP="00BB089B">
      <w:pPr>
        <w:pStyle w:val="AERbulletlistfirststyle"/>
        <w:rPr>
          <w:rStyle w:val="AERbody"/>
        </w:rPr>
      </w:pPr>
      <w:r w:rsidRPr="00BB089B">
        <w:t>the opening TAB value at 1 April 2017 (section</w:t>
      </w:r>
      <w:r w:rsidR="00276718">
        <w:t xml:space="preserve"> </w:t>
      </w:r>
      <w:r w:rsidR="00276718">
        <w:fldChar w:fldCharType="begin"/>
      </w:r>
      <w:r w:rsidR="00276718">
        <w:instrText xml:space="preserve"> REF _Ref456184765 \r \h </w:instrText>
      </w:r>
      <w:r w:rsidR="00276718">
        <w:fldChar w:fldCharType="separate"/>
      </w:r>
      <w:r w:rsidR="00E34901">
        <w:t>8.4.1</w:t>
      </w:r>
      <w:r w:rsidR="00276718">
        <w:fldChar w:fldCharType="end"/>
      </w:r>
      <w:r w:rsidRPr="00BB089B">
        <w:t>)</w:t>
      </w:r>
    </w:p>
    <w:p w:rsidR="00F770F6" w:rsidRPr="00BB089B" w:rsidRDefault="00F770F6" w:rsidP="00F770F6">
      <w:pPr>
        <w:pStyle w:val="AERbulletlistfirststyle"/>
        <w:rPr>
          <w:rStyle w:val="AERbody"/>
        </w:rPr>
      </w:pPr>
      <w:r>
        <w:rPr>
          <w:rStyle w:val="AERbody"/>
        </w:rPr>
        <w:t>the remaining</w:t>
      </w:r>
      <w:r w:rsidR="006B7C5F">
        <w:rPr>
          <w:rStyle w:val="AERbody"/>
        </w:rPr>
        <w:t xml:space="preserve"> tax</w:t>
      </w:r>
      <w:r>
        <w:rPr>
          <w:rStyle w:val="AERbody"/>
        </w:rPr>
        <w:t xml:space="preserve"> asset lives (section</w:t>
      </w:r>
      <w:r w:rsidR="00276718">
        <w:rPr>
          <w:rStyle w:val="AERbody"/>
        </w:rPr>
        <w:t xml:space="preserve"> </w:t>
      </w:r>
      <w:r w:rsidR="00276718">
        <w:rPr>
          <w:rStyle w:val="AERbody"/>
        </w:rPr>
        <w:fldChar w:fldCharType="begin"/>
      </w:r>
      <w:r w:rsidR="00276718">
        <w:rPr>
          <w:rStyle w:val="AERbody"/>
        </w:rPr>
        <w:instrText xml:space="preserve"> REF _Ref456184778 \r \h </w:instrText>
      </w:r>
      <w:r w:rsidR="00276718">
        <w:rPr>
          <w:rStyle w:val="AERbody"/>
        </w:rPr>
      </w:r>
      <w:r w:rsidR="00276718">
        <w:rPr>
          <w:rStyle w:val="AERbody"/>
        </w:rPr>
        <w:fldChar w:fldCharType="separate"/>
      </w:r>
      <w:r w:rsidR="00E34901">
        <w:rPr>
          <w:rStyle w:val="AERbody"/>
        </w:rPr>
        <w:t>8.4.3</w:t>
      </w:r>
      <w:r w:rsidR="00276718">
        <w:rPr>
          <w:rStyle w:val="AERbody"/>
        </w:rPr>
        <w:fldChar w:fldCharType="end"/>
      </w:r>
      <w:r>
        <w:rPr>
          <w:rStyle w:val="AERbody"/>
        </w:rPr>
        <w:t>)</w:t>
      </w:r>
    </w:p>
    <w:p w:rsidR="00DD3F76" w:rsidRDefault="00BB089B" w:rsidP="00DD3F76">
      <w:pPr>
        <w:pStyle w:val="AERbulletlistfirststyle"/>
        <w:rPr>
          <w:rStyle w:val="AERbody"/>
        </w:rPr>
      </w:pPr>
      <w:r w:rsidRPr="00BB089B">
        <w:rPr>
          <w:rStyle w:val="AERbody"/>
        </w:rPr>
        <w:t>the value of gamma (attachment 4)</w:t>
      </w:r>
    </w:p>
    <w:p w:rsidR="00BB089B" w:rsidRDefault="00BB089B" w:rsidP="00BB089B">
      <w:pPr>
        <w:pStyle w:val="AERbulletlistfirststyle"/>
        <w:rPr>
          <w:rStyle w:val="AERbody"/>
        </w:rPr>
      </w:pPr>
      <w:r w:rsidRPr="00BB089B">
        <w:rPr>
          <w:rStyle w:val="AERbody"/>
        </w:rPr>
        <w:t xml:space="preserve">other building block components including forecast opex (attachment 7) and forecast capex (attachment 6) that </w:t>
      </w:r>
      <w:r w:rsidR="00F770F6">
        <w:rPr>
          <w:rStyle w:val="AERbody"/>
        </w:rPr>
        <w:t>affect</w:t>
      </w:r>
      <w:r w:rsidRPr="00BB089B">
        <w:rPr>
          <w:rStyle w:val="AERbody"/>
        </w:rPr>
        <w:t xml:space="preserve"> revenues, and therefore also impact the forecast corporate income tax allowance.</w:t>
      </w:r>
    </w:p>
    <w:p w:rsidR="00BB089B" w:rsidRDefault="00F42E43" w:rsidP="00F770F6">
      <w:pPr>
        <w:pStyle w:val="AERbulletlistfirststyle"/>
        <w:numPr>
          <w:ilvl w:val="0"/>
          <w:numId w:val="0"/>
        </w:numPr>
        <w:rPr>
          <w:rStyle w:val="AERbody"/>
        </w:rPr>
      </w:pPr>
      <w:r w:rsidRPr="0063120B">
        <w:t>We also made</w:t>
      </w:r>
      <w:r>
        <w:t xml:space="preserve"> a change</w:t>
      </w:r>
      <w:r w:rsidRPr="0063120B">
        <w:t xml:space="preserve"> to </w:t>
      </w:r>
      <w:r>
        <w:t>AusNet</w:t>
      </w:r>
      <w:r w:rsidRPr="00E74CAF">
        <w:t xml:space="preserve"> Services</w:t>
      </w:r>
      <w:r>
        <w:t>'</w:t>
      </w:r>
      <w:r w:rsidRPr="0063120B">
        <w:t xml:space="preserve"> proposed tax treatment of revenue adjustments associated with the </w:t>
      </w:r>
      <w:r>
        <w:t>efficiency benefit sharing scheme—EBSS (section</w:t>
      </w:r>
      <w:r w:rsidR="00276718">
        <w:t xml:space="preserve"> </w:t>
      </w:r>
      <w:r w:rsidR="00276718">
        <w:lastRenderedPageBreak/>
        <w:fldChar w:fldCharType="begin"/>
      </w:r>
      <w:r w:rsidR="00276718">
        <w:instrText xml:space="preserve"> REF _Ref456184808 \r \h </w:instrText>
      </w:r>
      <w:r w:rsidR="00276718">
        <w:fldChar w:fldCharType="separate"/>
      </w:r>
      <w:r w:rsidR="00E34901">
        <w:t>8.4.4</w:t>
      </w:r>
      <w:r w:rsidR="00276718">
        <w:fldChar w:fldCharType="end"/>
      </w:r>
      <w:r>
        <w:t>). However, w</w:t>
      </w:r>
      <w:r w:rsidR="00F770F6">
        <w:rPr>
          <w:rStyle w:val="AERbody"/>
        </w:rPr>
        <w:t xml:space="preserve">e have </w:t>
      </w:r>
      <w:r w:rsidR="00F770F6" w:rsidRPr="00BB089B">
        <w:rPr>
          <w:rStyle w:val="AERbody"/>
        </w:rPr>
        <w:t>acce</w:t>
      </w:r>
      <w:r w:rsidR="00F770F6">
        <w:rPr>
          <w:rStyle w:val="AERbody"/>
        </w:rPr>
        <w:t xml:space="preserve">pted </w:t>
      </w:r>
      <w:r w:rsidR="00F770F6" w:rsidRPr="00BB089B">
        <w:rPr>
          <w:rStyle w:val="AERbody"/>
        </w:rPr>
        <w:t xml:space="preserve">the </w:t>
      </w:r>
      <w:r w:rsidR="00F770F6">
        <w:rPr>
          <w:rStyle w:val="AERbody"/>
        </w:rPr>
        <w:t xml:space="preserve">proposed </w:t>
      </w:r>
      <w:r w:rsidR="00F770F6" w:rsidRPr="00BB089B">
        <w:rPr>
          <w:rStyle w:val="AERbody"/>
        </w:rPr>
        <w:t xml:space="preserve">standard </w:t>
      </w:r>
      <w:r w:rsidR="00F770F6">
        <w:rPr>
          <w:rStyle w:val="AERbody"/>
        </w:rPr>
        <w:t>tax asset lives (section</w:t>
      </w:r>
      <w:r w:rsidR="00276718">
        <w:rPr>
          <w:rStyle w:val="AERbody"/>
        </w:rPr>
        <w:t xml:space="preserve"> </w:t>
      </w:r>
      <w:r w:rsidR="00276718">
        <w:rPr>
          <w:rStyle w:val="AERbody"/>
        </w:rPr>
        <w:fldChar w:fldCharType="begin"/>
      </w:r>
      <w:r w:rsidR="00276718">
        <w:rPr>
          <w:rStyle w:val="AERbody"/>
        </w:rPr>
        <w:instrText xml:space="preserve"> REF _Ref456184820 \r \h </w:instrText>
      </w:r>
      <w:r w:rsidR="00276718">
        <w:rPr>
          <w:rStyle w:val="AERbody"/>
        </w:rPr>
      </w:r>
      <w:r w:rsidR="00276718">
        <w:rPr>
          <w:rStyle w:val="AERbody"/>
        </w:rPr>
        <w:fldChar w:fldCharType="separate"/>
      </w:r>
      <w:r w:rsidR="00E34901">
        <w:rPr>
          <w:rStyle w:val="AERbody"/>
        </w:rPr>
        <w:t>8.4.2</w:t>
      </w:r>
      <w:r w:rsidR="00276718">
        <w:rPr>
          <w:rStyle w:val="AERbody"/>
        </w:rPr>
        <w:fldChar w:fldCharType="end"/>
      </w:r>
      <w:r w:rsidR="00F770F6" w:rsidRPr="00BB089B">
        <w:rPr>
          <w:rStyle w:val="AERbody"/>
        </w:rPr>
        <w:t>)</w:t>
      </w:r>
      <w:r w:rsidR="00F770F6">
        <w:rPr>
          <w:rStyle w:val="AERbody"/>
        </w:rPr>
        <w:t>.</w:t>
      </w:r>
    </w:p>
    <w:p w:rsidR="00276718" w:rsidRDefault="00276718" w:rsidP="00276718">
      <w:pPr>
        <w:pStyle w:val="Heading3"/>
        <w:keepNext/>
        <w:ind w:hanging="862"/>
      </w:pPr>
      <w:bookmarkStart w:id="22" w:name="_Ref456184765"/>
      <w:bookmarkStart w:id="23" w:name="_Toc456602248"/>
      <w:r>
        <w:t>Opening tax asset base at 1 April 2017</w:t>
      </w:r>
      <w:bookmarkEnd w:id="22"/>
      <w:bookmarkEnd w:id="23"/>
    </w:p>
    <w:p w:rsidR="00F770F6" w:rsidRDefault="00CB10DB" w:rsidP="00CB10DB">
      <w:r w:rsidRPr="00CB10DB">
        <w:t>We accept AusNet Services proposed method to establish the opening TAB at 1</w:t>
      </w:r>
      <w:r>
        <w:t xml:space="preserve"> April </w:t>
      </w:r>
      <w:r w:rsidRPr="00CB10DB">
        <w:t>201</w:t>
      </w:r>
      <w:r>
        <w:t>7</w:t>
      </w:r>
      <w:r w:rsidRPr="00CB10DB">
        <w:t xml:space="preserve"> as it is based on the approach </w:t>
      </w:r>
      <w:r>
        <w:t>set out in our RFM. However, w</w:t>
      </w:r>
      <w:r w:rsidR="00F770F6" w:rsidRPr="008F4FB1">
        <w:t xml:space="preserve">e do not accept </w:t>
      </w:r>
      <w:r w:rsidR="00F770F6">
        <w:t xml:space="preserve">AusNet </w:t>
      </w:r>
      <w:r w:rsidR="00F770F6" w:rsidRPr="00E74CAF">
        <w:t>Services</w:t>
      </w:r>
      <w:r w:rsidR="00F770F6">
        <w:t>'</w:t>
      </w:r>
      <w:r w:rsidR="00F770F6" w:rsidRPr="008F4FB1">
        <w:t xml:space="preserve"> proposed opening TAB value at 1</w:t>
      </w:r>
      <w:r w:rsidR="00F770F6">
        <w:t> </w:t>
      </w:r>
      <w:r w:rsidR="00F0622A">
        <w:t>April 2017</w:t>
      </w:r>
      <w:r w:rsidR="00F770F6" w:rsidRPr="008F4FB1">
        <w:t xml:space="preserve"> of $</w:t>
      </w:r>
      <w:r w:rsidR="00F770F6">
        <w:t>2544.1 </w:t>
      </w:r>
      <w:r w:rsidR="00F770F6" w:rsidRPr="008F4FB1">
        <w:t>million ($</w:t>
      </w:r>
      <w:r w:rsidR="00F770F6">
        <w:t> </w:t>
      </w:r>
      <w:r w:rsidR="00F770F6" w:rsidRPr="008F4FB1">
        <w:t>nominal). Instead</w:t>
      </w:r>
      <w:r w:rsidR="006C150E">
        <w:t>,</w:t>
      </w:r>
      <w:r w:rsidR="00F770F6" w:rsidRPr="008F4FB1">
        <w:t xml:space="preserve"> we determine an ope</w:t>
      </w:r>
      <w:r w:rsidR="00F770F6">
        <w:t xml:space="preserve">ning TAB value as at </w:t>
      </w:r>
      <w:r w:rsidR="00F0622A">
        <w:t>1 April 2017</w:t>
      </w:r>
      <w:r w:rsidR="00F770F6" w:rsidRPr="008F4FB1">
        <w:t xml:space="preserve"> of $</w:t>
      </w:r>
      <w:r w:rsidR="00C72FBA">
        <w:t>253</w:t>
      </w:r>
      <w:r w:rsidR="00FF465E">
        <w:t>2.5</w:t>
      </w:r>
      <w:r w:rsidR="00F0622A">
        <w:t> </w:t>
      </w:r>
      <w:r w:rsidR="00F770F6">
        <w:t>m</w:t>
      </w:r>
      <w:r w:rsidR="00F770F6" w:rsidRPr="008F4FB1">
        <w:t>illion ($</w:t>
      </w:r>
      <w:r w:rsidR="00F770F6">
        <w:t> </w:t>
      </w:r>
      <w:r w:rsidR="00F770F6" w:rsidRPr="008F4FB1">
        <w:t>nominal).</w:t>
      </w:r>
      <w:r w:rsidR="00F770F6">
        <w:t xml:space="preserve"> </w:t>
      </w:r>
      <w:r w:rsidR="00F770F6" w:rsidRPr="008F4FB1">
        <w:t>This represents a</w:t>
      </w:r>
      <w:r w:rsidR="00F770F6">
        <w:t xml:space="preserve"> reduction </w:t>
      </w:r>
      <w:r w:rsidR="00F770F6" w:rsidRPr="008F4FB1">
        <w:t>of $</w:t>
      </w:r>
      <w:r w:rsidR="00FF465E">
        <w:t>11.6</w:t>
      </w:r>
      <w:r>
        <w:t> </w:t>
      </w:r>
      <w:r w:rsidR="00F770F6" w:rsidRPr="008F4FB1">
        <w:t>million ($</w:t>
      </w:r>
      <w:r w:rsidR="00F770F6">
        <w:t> </w:t>
      </w:r>
      <w:r w:rsidR="00F770F6" w:rsidRPr="008F4FB1">
        <w:t xml:space="preserve">nominal) or </w:t>
      </w:r>
      <w:r>
        <w:t>0.</w:t>
      </w:r>
      <w:r w:rsidR="00FF465E">
        <w:t>5</w:t>
      </w:r>
      <w:r>
        <w:t> </w:t>
      </w:r>
      <w:r w:rsidR="00F770F6" w:rsidRPr="008F4FB1">
        <w:t>per cent</w:t>
      </w:r>
      <w:r w:rsidR="006C150E">
        <w:t xml:space="preserve"> to AusNet Services’ proposal</w:t>
      </w:r>
      <w:r w:rsidR="00F770F6" w:rsidRPr="008F4FB1">
        <w:t>.</w:t>
      </w:r>
      <w:r>
        <w:t xml:space="preserve"> This reduction is due to the adjustments made to the actual capex values in AusNet Services’ proposed RFM as discussed in attachment 2.</w:t>
      </w:r>
      <w:r>
        <w:rPr>
          <w:rStyle w:val="FootnoteReference"/>
        </w:rPr>
        <w:footnoteReference w:id="11"/>
      </w:r>
    </w:p>
    <w:p w:rsidR="00BF25F1" w:rsidRDefault="00CB10DB" w:rsidP="00540418">
      <w:pPr>
        <w:rPr>
          <w:rStyle w:val="AERbody"/>
        </w:rPr>
      </w:pPr>
      <w:r>
        <w:rPr>
          <w:rStyle w:val="AERbody"/>
        </w:rPr>
        <w:fldChar w:fldCharType="begin"/>
      </w:r>
      <w:r>
        <w:rPr>
          <w:rStyle w:val="AERbody"/>
        </w:rPr>
        <w:instrText xml:space="preserve"> REF _Ref447793539 \h </w:instrText>
      </w:r>
      <w:r>
        <w:rPr>
          <w:rStyle w:val="AERbody"/>
        </w:rPr>
      </w:r>
      <w:r>
        <w:rPr>
          <w:rStyle w:val="AERbody"/>
        </w:rPr>
        <w:fldChar w:fldCharType="separate"/>
      </w:r>
      <w:r w:rsidR="00E34901">
        <w:t xml:space="preserve">Table </w:t>
      </w:r>
      <w:r w:rsidR="00E34901">
        <w:rPr>
          <w:noProof/>
        </w:rPr>
        <w:t>8</w:t>
      </w:r>
      <w:r w:rsidR="00E34901">
        <w:t>.</w:t>
      </w:r>
      <w:r w:rsidR="00E34901">
        <w:rPr>
          <w:noProof/>
        </w:rPr>
        <w:t>3</w:t>
      </w:r>
      <w:r>
        <w:rPr>
          <w:rStyle w:val="AERbody"/>
        </w:rPr>
        <w:fldChar w:fldCharType="end"/>
      </w:r>
      <w:r>
        <w:rPr>
          <w:rStyle w:val="AERbody"/>
        </w:rPr>
        <w:t xml:space="preserve"> </w:t>
      </w:r>
      <w:r w:rsidRPr="008F4FB1">
        <w:t xml:space="preserve">sets out our </w:t>
      </w:r>
      <w:r>
        <w:t>draft</w:t>
      </w:r>
      <w:r w:rsidRPr="008F4FB1">
        <w:t xml:space="preserve"> decision on the roll forward of </w:t>
      </w:r>
      <w:r>
        <w:t>AusNet</w:t>
      </w:r>
      <w:r w:rsidRPr="006B4C17">
        <w:t xml:space="preserve"> </w:t>
      </w:r>
      <w:r>
        <w:t>Services'</w:t>
      </w:r>
      <w:r w:rsidRPr="008F4FB1">
        <w:t xml:space="preserve"> TAB values over the 20</w:t>
      </w:r>
      <w:r>
        <w:t>14</w:t>
      </w:r>
      <w:r w:rsidRPr="008F4FB1">
        <w:t>–1</w:t>
      </w:r>
      <w:r>
        <w:t>7</w:t>
      </w:r>
      <w:r w:rsidRPr="008F4FB1">
        <w:t xml:space="preserve"> regulatory control period.</w:t>
      </w:r>
    </w:p>
    <w:p w:rsidR="00D83007" w:rsidRDefault="00D83007" w:rsidP="00D83007">
      <w:pPr>
        <w:pStyle w:val="Caption"/>
      </w:pPr>
      <w:bookmarkStart w:id="24" w:name="_Ref447793539"/>
      <w:r>
        <w:t xml:space="preserve">Table </w:t>
      </w:r>
      <w:fldSimple w:instr=" STYLEREF 1 \s ">
        <w:r w:rsidR="00E34901">
          <w:rPr>
            <w:noProof/>
          </w:rPr>
          <w:t>8</w:t>
        </w:r>
      </w:fldSimple>
      <w:r w:rsidR="0002597E">
        <w:t>.</w:t>
      </w:r>
      <w:fldSimple w:instr=" SEQ Table \* ARABIC \s 1 ">
        <w:r w:rsidR="00E34901">
          <w:rPr>
            <w:noProof/>
          </w:rPr>
          <w:t>3</w:t>
        </w:r>
      </w:fldSimple>
      <w:bookmarkEnd w:id="24"/>
      <w:r>
        <w:tab/>
        <w:t>AER's draft decision on AusNet Services TAB roll forward for the 2014–17 regulatory control period ($ million, nominal)</w:t>
      </w:r>
    </w:p>
    <w:tbl>
      <w:tblPr>
        <w:tblStyle w:val="AERtable-numbers"/>
        <w:tblW w:w="8513" w:type="dxa"/>
        <w:tblLook w:val="04A0" w:firstRow="1" w:lastRow="0" w:firstColumn="1" w:lastColumn="0" w:noHBand="0" w:noVBand="1"/>
      </w:tblPr>
      <w:tblGrid>
        <w:gridCol w:w="4199"/>
        <w:gridCol w:w="1438"/>
        <w:gridCol w:w="1438"/>
        <w:gridCol w:w="1438"/>
      </w:tblGrid>
      <w:tr w:rsidR="00BB089B" w:rsidRPr="00BB089B" w:rsidTr="00BB089B">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199" w:type="dxa"/>
            <w:noWrap/>
            <w:hideMark/>
          </w:tcPr>
          <w:p w:rsidR="00BB089B" w:rsidRPr="00BB089B" w:rsidRDefault="00BB089B" w:rsidP="00D83007">
            <w:pPr>
              <w:keepNext/>
            </w:pPr>
            <w:r w:rsidRPr="00BB089B">
              <w:t> </w:t>
            </w:r>
          </w:p>
        </w:tc>
        <w:tc>
          <w:tcPr>
            <w:tcW w:w="1438" w:type="dxa"/>
            <w:noWrap/>
            <w:hideMark/>
          </w:tcPr>
          <w:p w:rsidR="00BB089B" w:rsidRPr="00BB089B" w:rsidRDefault="00BB089B" w:rsidP="00D83007">
            <w:pPr>
              <w:keepNext/>
              <w:cnfStyle w:val="100000000000" w:firstRow="1" w:lastRow="0" w:firstColumn="0" w:lastColumn="0" w:oddVBand="0" w:evenVBand="0" w:oddHBand="0" w:evenHBand="0" w:firstRowFirstColumn="0" w:firstRowLastColumn="0" w:lastRowFirstColumn="0" w:lastRowLastColumn="0"/>
            </w:pPr>
            <w:r w:rsidRPr="00BB089B">
              <w:t>2014–15</w:t>
            </w:r>
          </w:p>
        </w:tc>
        <w:tc>
          <w:tcPr>
            <w:tcW w:w="1438" w:type="dxa"/>
            <w:noWrap/>
            <w:hideMark/>
          </w:tcPr>
          <w:p w:rsidR="00BB089B" w:rsidRPr="00BB089B" w:rsidRDefault="00BB089B" w:rsidP="00D83007">
            <w:pPr>
              <w:keepNext/>
              <w:cnfStyle w:val="100000000000" w:firstRow="1" w:lastRow="0" w:firstColumn="0" w:lastColumn="0" w:oddVBand="0" w:evenVBand="0" w:oddHBand="0" w:evenHBand="0" w:firstRowFirstColumn="0" w:firstRowLastColumn="0" w:lastRowFirstColumn="0" w:lastRowLastColumn="0"/>
            </w:pPr>
            <w:r w:rsidRPr="00BB089B">
              <w:t>2015–16</w:t>
            </w:r>
            <w:r w:rsidR="00D83007" w:rsidRPr="00D83007">
              <w:rPr>
                <w:rStyle w:val="AERsuperscript"/>
              </w:rPr>
              <w:t>b</w:t>
            </w:r>
          </w:p>
        </w:tc>
        <w:tc>
          <w:tcPr>
            <w:tcW w:w="1438" w:type="dxa"/>
            <w:noWrap/>
            <w:hideMark/>
          </w:tcPr>
          <w:p w:rsidR="00BB089B" w:rsidRPr="00BB089B" w:rsidRDefault="00BB089B" w:rsidP="00D83007">
            <w:pPr>
              <w:keepNext/>
              <w:cnfStyle w:val="100000000000" w:firstRow="1" w:lastRow="0" w:firstColumn="0" w:lastColumn="0" w:oddVBand="0" w:evenVBand="0" w:oddHBand="0" w:evenHBand="0" w:firstRowFirstColumn="0" w:firstRowLastColumn="0" w:lastRowFirstColumn="0" w:lastRowLastColumn="0"/>
            </w:pPr>
            <w:r w:rsidRPr="00BB089B">
              <w:t>2016–17</w:t>
            </w:r>
            <w:r w:rsidR="00D83007" w:rsidRPr="00D83007">
              <w:rPr>
                <w:rStyle w:val="AERsuperscript"/>
              </w:rPr>
              <w:t>b</w:t>
            </w:r>
          </w:p>
        </w:tc>
      </w:tr>
      <w:tr w:rsidR="00FF465E" w:rsidRPr="00BB089B" w:rsidTr="00950B6F">
        <w:trPr>
          <w:trHeight w:val="250"/>
        </w:trPr>
        <w:tc>
          <w:tcPr>
            <w:cnfStyle w:val="001000000000" w:firstRow="0" w:lastRow="0" w:firstColumn="1" w:lastColumn="0" w:oddVBand="0" w:evenVBand="0" w:oddHBand="0" w:evenHBand="0" w:firstRowFirstColumn="0" w:firstRowLastColumn="0" w:lastRowFirstColumn="0" w:lastRowLastColumn="0"/>
            <w:tcW w:w="4199" w:type="dxa"/>
            <w:noWrap/>
            <w:hideMark/>
          </w:tcPr>
          <w:p w:rsidR="00FF465E" w:rsidRPr="00BB089B" w:rsidRDefault="00FF465E" w:rsidP="00D83007">
            <w:pPr>
              <w:keepNext/>
            </w:pPr>
            <w:r w:rsidRPr="00BB089B">
              <w:t>Opening TAB</w:t>
            </w:r>
          </w:p>
        </w:tc>
        <w:tc>
          <w:tcPr>
            <w:tcW w:w="1438" w:type="dxa"/>
            <w:noWrap/>
            <w:vAlign w:val="bottom"/>
          </w:tcPr>
          <w:p w:rsidR="00FF465E" w:rsidRPr="00FF465E" w:rsidRDefault="00FF465E" w:rsidP="00FF465E">
            <w:pPr>
              <w:cnfStyle w:val="000000000000" w:firstRow="0" w:lastRow="0" w:firstColumn="0" w:lastColumn="0" w:oddVBand="0" w:evenVBand="0" w:oddHBand="0" w:evenHBand="0" w:firstRowFirstColumn="0" w:firstRowLastColumn="0" w:lastRowFirstColumn="0" w:lastRowLastColumn="0"/>
            </w:pPr>
            <w:r w:rsidRPr="00FF465E">
              <w:t>2250.0</w:t>
            </w:r>
          </w:p>
        </w:tc>
        <w:tc>
          <w:tcPr>
            <w:tcW w:w="1438" w:type="dxa"/>
            <w:noWrap/>
            <w:vAlign w:val="bottom"/>
          </w:tcPr>
          <w:p w:rsidR="00FF465E" w:rsidRPr="00FF465E" w:rsidRDefault="00FF465E" w:rsidP="00FF465E">
            <w:pPr>
              <w:cnfStyle w:val="000000000000" w:firstRow="0" w:lastRow="0" w:firstColumn="0" w:lastColumn="0" w:oddVBand="0" w:evenVBand="0" w:oddHBand="0" w:evenHBand="0" w:firstRowFirstColumn="0" w:firstRowLastColumn="0" w:lastRowFirstColumn="0" w:lastRowLastColumn="0"/>
            </w:pPr>
            <w:r w:rsidRPr="00FF465E">
              <w:t>2323.7</w:t>
            </w:r>
          </w:p>
        </w:tc>
        <w:tc>
          <w:tcPr>
            <w:tcW w:w="1438" w:type="dxa"/>
            <w:noWrap/>
            <w:vAlign w:val="bottom"/>
          </w:tcPr>
          <w:p w:rsidR="00FF465E" w:rsidRPr="00FF465E" w:rsidRDefault="00FF465E" w:rsidP="00FF465E">
            <w:pPr>
              <w:cnfStyle w:val="000000000000" w:firstRow="0" w:lastRow="0" w:firstColumn="0" w:lastColumn="0" w:oddVBand="0" w:evenVBand="0" w:oddHBand="0" w:evenHBand="0" w:firstRowFirstColumn="0" w:firstRowLastColumn="0" w:lastRowFirstColumn="0" w:lastRowLastColumn="0"/>
            </w:pPr>
            <w:r w:rsidRPr="00FF465E">
              <w:t>2392.4</w:t>
            </w:r>
          </w:p>
        </w:tc>
      </w:tr>
      <w:tr w:rsidR="00FF465E" w:rsidRPr="00BB089B" w:rsidTr="00950B6F">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199" w:type="dxa"/>
            <w:noWrap/>
            <w:hideMark/>
          </w:tcPr>
          <w:p w:rsidR="00FF465E" w:rsidRPr="00BB089B" w:rsidRDefault="00FF465E" w:rsidP="00D83007">
            <w:pPr>
              <w:keepNext/>
            </w:pPr>
            <w:r w:rsidRPr="00BB089B">
              <w:t>Capital expenditure</w:t>
            </w:r>
            <w:r w:rsidRPr="00D83007">
              <w:rPr>
                <w:rStyle w:val="AERsuperscript"/>
              </w:rPr>
              <w:t>a</w:t>
            </w:r>
          </w:p>
        </w:tc>
        <w:tc>
          <w:tcPr>
            <w:tcW w:w="1438" w:type="dxa"/>
            <w:noWrap/>
            <w:vAlign w:val="bottom"/>
          </w:tcPr>
          <w:p w:rsidR="00FF465E" w:rsidRPr="00FF465E" w:rsidRDefault="00FF465E" w:rsidP="00FF465E">
            <w:pPr>
              <w:cnfStyle w:val="000000010000" w:firstRow="0" w:lastRow="0" w:firstColumn="0" w:lastColumn="0" w:oddVBand="0" w:evenVBand="0" w:oddHBand="0" w:evenHBand="1" w:firstRowFirstColumn="0" w:firstRowLastColumn="0" w:lastRowFirstColumn="0" w:lastRowLastColumn="0"/>
            </w:pPr>
            <w:r w:rsidRPr="00FF465E">
              <w:t>178.1</w:t>
            </w:r>
          </w:p>
        </w:tc>
        <w:tc>
          <w:tcPr>
            <w:tcW w:w="1438" w:type="dxa"/>
            <w:noWrap/>
            <w:vAlign w:val="bottom"/>
          </w:tcPr>
          <w:p w:rsidR="00FF465E" w:rsidRPr="00FF465E" w:rsidRDefault="00FF465E" w:rsidP="00FF465E">
            <w:pPr>
              <w:cnfStyle w:val="000000010000" w:firstRow="0" w:lastRow="0" w:firstColumn="0" w:lastColumn="0" w:oddVBand="0" w:evenVBand="0" w:oddHBand="0" w:evenHBand="1" w:firstRowFirstColumn="0" w:firstRowLastColumn="0" w:lastRowFirstColumn="0" w:lastRowLastColumn="0"/>
            </w:pPr>
            <w:r w:rsidRPr="00FF465E">
              <w:t>182.9</w:t>
            </w:r>
          </w:p>
        </w:tc>
        <w:tc>
          <w:tcPr>
            <w:tcW w:w="1438" w:type="dxa"/>
            <w:noWrap/>
            <w:vAlign w:val="bottom"/>
          </w:tcPr>
          <w:p w:rsidR="00FF465E" w:rsidRPr="00FF465E" w:rsidRDefault="00FF465E" w:rsidP="00FF465E">
            <w:pPr>
              <w:cnfStyle w:val="000000010000" w:firstRow="0" w:lastRow="0" w:firstColumn="0" w:lastColumn="0" w:oddVBand="0" w:evenVBand="0" w:oddHBand="0" w:evenHBand="1" w:firstRowFirstColumn="0" w:firstRowLastColumn="0" w:lastRowFirstColumn="0" w:lastRowLastColumn="0"/>
            </w:pPr>
            <w:r w:rsidRPr="00FF465E">
              <w:t>177.5</w:t>
            </w:r>
          </w:p>
        </w:tc>
      </w:tr>
      <w:tr w:rsidR="00FF465E" w:rsidRPr="00BB089B" w:rsidTr="00950B6F">
        <w:trPr>
          <w:trHeight w:val="250"/>
        </w:trPr>
        <w:tc>
          <w:tcPr>
            <w:cnfStyle w:val="001000000000" w:firstRow="0" w:lastRow="0" w:firstColumn="1" w:lastColumn="0" w:oddVBand="0" w:evenVBand="0" w:oddHBand="0" w:evenHBand="0" w:firstRowFirstColumn="0" w:firstRowLastColumn="0" w:lastRowFirstColumn="0" w:lastRowLastColumn="0"/>
            <w:tcW w:w="4199" w:type="dxa"/>
            <w:noWrap/>
            <w:hideMark/>
          </w:tcPr>
          <w:p w:rsidR="00FF465E" w:rsidRPr="00BB089B" w:rsidRDefault="00FF465E" w:rsidP="00D83007">
            <w:pPr>
              <w:keepNext/>
            </w:pPr>
            <w:r w:rsidRPr="00D83007">
              <w:rPr>
                <w:rStyle w:val="AERtextitalic"/>
              </w:rPr>
              <w:t>Less:</w:t>
            </w:r>
            <w:r w:rsidRPr="00BB089B">
              <w:t xml:space="preserve"> </w:t>
            </w:r>
            <w:r w:rsidR="00811363">
              <w:t>t</w:t>
            </w:r>
            <w:r w:rsidRPr="00BB089B">
              <w:t>ax depreciation</w:t>
            </w:r>
          </w:p>
        </w:tc>
        <w:tc>
          <w:tcPr>
            <w:tcW w:w="1438" w:type="dxa"/>
            <w:noWrap/>
            <w:vAlign w:val="bottom"/>
          </w:tcPr>
          <w:p w:rsidR="00FF465E" w:rsidRPr="00FF465E" w:rsidRDefault="00FF465E" w:rsidP="00FF465E">
            <w:pPr>
              <w:cnfStyle w:val="000000000000" w:firstRow="0" w:lastRow="0" w:firstColumn="0" w:lastColumn="0" w:oddVBand="0" w:evenVBand="0" w:oddHBand="0" w:evenHBand="0" w:firstRowFirstColumn="0" w:firstRowLastColumn="0" w:lastRowFirstColumn="0" w:lastRowLastColumn="0"/>
            </w:pPr>
            <w:r w:rsidRPr="00FF465E">
              <w:t>104.4</w:t>
            </w:r>
          </w:p>
        </w:tc>
        <w:tc>
          <w:tcPr>
            <w:tcW w:w="1438" w:type="dxa"/>
            <w:noWrap/>
            <w:vAlign w:val="bottom"/>
          </w:tcPr>
          <w:p w:rsidR="00FF465E" w:rsidRPr="00FF465E" w:rsidRDefault="00FF465E" w:rsidP="00FF465E">
            <w:pPr>
              <w:cnfStyle w:val="000000000000" w:firstRow="0" w:lastRow="0" w:firstColumn="0" w:lastColumn="0" w:oddVBand="0" w:evenVBand="0" w:oddHBand="0" w:evenHBand="0" w:firstRowFirstColumn="0" w:firstRowLastColumn="0" w:lastRowFirstColumn="0" w:lastRowLastColumn="0"/>
            </w:pPr>
            <w:r w:rsidRPr="00FF465E">
              <w:t>114.3</w:t>
            </w:r>
          </w:p>
        </w:tc>
        <w:tc>
          <w:tcPr>
            <w:tcW w:w="1438" w:type="dxa"/>
            <w:noWrap/>
            <w:vAlign w:val="bottom"/>
          </w:tcPr>
          <w:p w:rsidR="00FF465E" w:rsidRPr="00FF465E" w:rsidRDefault="00FF465E" w:rsidP="00FF465E">
            <w:pPr>
              <w:cnfStyle w:val="000000000000" w:firstRow="0" w:lastRow="0" w:firstColumn="0" w:lastColumn="0" w:oddVBand="0" w:evenVBand="0" w:oddHBand="0" w:evenHBand="0" w:firstRowFirstColumn="0" w:firstRowLastColumn="0" w:lastRowFirstColumn="0" w:lastRowLastColumn="0"/>
            </w:pPr>
            <w:r w:rsidRPr="00FF465E">
              <w:t>125.9</w:t>
            </w:r>
          </w:p>
        </w:tc>
      </w:tr>
      <w:tr w:rsidR="00FF465E" w:rsidRPr="00BB089B" w:rsidTr="00950B6F">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199" w:type="dxa"/>
            <w:noWrap/>
            <w:hideMark/>
          </w:tcPr>
          <w:p w:rsidR="00FF465E" w:rsidRPr="00BB089B" w:rsidRDefault="00FF465E" w:rsidP="00D83007">
            <w:pPr>
              <w:keepNext/>
            </w:pPr>
            <w:r w:rsidRPr="00BB089B">
              <w:t>Closing TAB</w:t>
            </w:r>
          </w:p>
        </w:tc>
        <w:tc>
          <w:tcPr>
            <w:tcW w:w="1438" w:type="dxa"/>
            <w:noWrap/>
            <w:vAlign w:val="bottom"/>
          </w:tcPr>
          <w:p w:rsidR="00FF465E" w:rsidRPr="00FF465E" w:rsidRDefault="00FF465E" w:rsidP="00FF465E">
            <w:pPr>
              <w:cnfStyle w:val="000000010000" w:firstRow="0" w:lastRow="0" w:firstColumn="0" w:lastColumn="0" w:oddVBand="0" w:evenVBand="0" w:oddHBand="0" w:evenHBand="1" w:firstRowFirstColumn="0" w:firstRowLastColumn="0" w:lastRowFirstColumn="0" w:lastRowLastColumn="0"/>
            </w:pPr>
            <w:r w:rsidRPr="00FF465E">
              <w:t>2323.7</w:t>
            </w:r>
          </w:p>
        </w:tc>
        <w:tc>
          <w:tcPr>
            <w:tcW w:w="1438" w:type="dxa"/>
            <w:noWrap/>
            <w:vAlign w:val="bottom"/>
          </w:tcPr>
          <w:p w:rsidR="00FF465E" w:rsidRPr="00FF465E" w:rsidRDefault="00FF465E" w:rsidP="00FF465E">
            <w:pPr>
              <w:cnfStyle w:val="000000010000" w:firstRow="0" w:lastRow="0" w:firstColumn="0" w:lastColumn="0" w:oddVBand="0" w:evenVBand="0" w:oddHBand="0" w:evenHBand="1" w:firstRowFirstColumn="0" w:firstRowLastColumn="0" w:lastRowFirstColumn="0" w:lastRowLastColumn="0"/>
            </w:pPr>
            <w:r w:rsidRPr="00FF465E">
              <w:t>2392.4</w:t>
            </w:r>
          </w:p>
        </w:tc>
        <w:tc>
          <w:tcPr>
            <w:tcW w:w="1438" w:type="dxa"/>
            <w:noWrap/>
            <w:vAlign w:val="bottom"/>
          </w:tcPr>
          <w:p w:rsidR="00FF465E" w:rsidRPr="00FF465E" w:rsidRDefault="00FF465E" w:rsidP="00FF465E">
            <w:pPr>
              <w:cnfStyle w:val="000000010000" w:firstRow="0" w:lastRow="0" w:firstColumn="0" w:lastColumn="0" w:oddVBand="0" w:evenVBand="0" w:oddHBand="0" w:evenHBand="1" w:firstRowFirstColumn="0" w:firstRowLastColumn="0" w:lastRowFirstColumn="0" w:lastRowLastColumn="0"/>
            </w:pPr>
            <w:r w:rsidRPr="00FF465E">
              <w:t>2444.0</w:t>
            </w:r>
          </w:p>
        </w:tc>
      </w:tr>
      <w:tr w:rsidR="00FF465E" w:rsidRPr="00BB089B" w:rsidTr="00950B6F">
        <w:trPr>
          <w:trHeight w:val="250"/>
        </w:trPr>
        <w:tc>
          <w:tcPr>
            <w:cnfStyle w:val="001000000000" w:firstRow="0" w:lastRow="0" w:firstColumn="1" w:lastColumn="0" w:oddVBand="0" w:evenVBand="0" w:oddHBand="0" w:evenHBand="0" w:firstRowFirstColumn="0" w:firstRowLastColumn="0" w:lastRowFirstColumn="0" w:lastRowLastColumn="0"/>
            <w:tcW w:w="4199" w:type="dxa"/>
            <w:noWrap/>
            <w:hideMark/>
          </w:tcPr>
          <w:p w:rsidR="00FF465E" w:rsidRPr="00BB089B" w:rsidRDefault="00FF465E" w:rsidP="00D83007">
            <w:pPr>
              <w:keepNext/>
            </w:pPr>
            <w:r>
              <w:t>Group 3 asset roll-in</w:t>
            </w:r>
          </w:p>
        </w:tc>
        <w:tc>
          <w:tcPr>
            <w:tcW w:w="1438" w:type="dxa"/>
            <w:noWrap/>
            <w:vAlign w:val="bottom"/>
          </w:tcPr>
          <w:p w:rsidR="00FF465E" w:rsidRPr="00FF465E" w:rsidRDefault="00FF465E" w:rsidP="00FF465E">
            <w:pPr>
              <w:cnfStyle w:val="000000000000" w:firstRow="0" w:lastRow="0" w:firstColumn="0" w:lastColumn="0" w:oddVBand="0" w:evenVBand="0" w:oddHBand="0" w:evenHBand="0" w:firstRowFirstColumn="0" w:firstRowLastColumn="0" w:lastRowFirstColumn="0" w:lastRowLastColumn="0"/>
            </w:pPr>
            <w:r w:rsidRPr="00FF465E">
              <w:t> </w:t>
            </w:r>
          </w:p>
        </w:tc>
        <w:tc>
          <w:tcPr>
            <w:tcW w:w="1438" w:type="dxa"/>
            <w:noWrap/>
            <w:vAlign w:val="bottom"/>
          </w:tcPr>
          <w:p w:rsidR="00FF465E" w:rsidRPr="00FF465E" w:rsidRDefault="00FF465E" w:rsidP="00FF465E">
            <w:pPr>
              <w:cnfStyle w:val="000000000000" w:firstRow="0" w:lastRow="0" w:firstColumn="0" w:lastColumn="0" w:oddVBand="0" w:evenVBand="0" w:oddHBand="0" w:evenHBand="0" w:firstRowFirstColumn="0" w:firstRowLastColumn="0" w:lastRowFirstColumn="0" w:lastRowLastColumn="0"/>
            </w:pPr>
            <w:r w:rsidRPr="00FF465E">
              <w:t> </w:t>
            </w:r>
          </w:p>
        </w:tc>
        <w:tc>
          <w:tcPr>
            <w:tcW w:w="1438" w:type="dxa"/>
            <w:noWrap/>
            <w:vAlign w:val="bottom"/>
          </w:tcPr>
          <w:p w:rsidR="00FF465E" w:rsidRPr="00FF465E" w:rsidRDefault="00FF465E" w:rsidP="00FF465E">
            <w:pPr>
              <w:cnfStyle w:val="000000000000" w:firstRow="0" w:lastRow="0" w:firstColumn="0" w:lastColumn="0" w:oddVBand="0" w:evenVBand="0" w:oddHBand="0" w:evenHBand="0" w:firstRowFirstColumn="0" w:firstRowLastColumn="0" w:lastRowFirstColumn="0" w:lastRowLastColumn="0"/>
            </w:pPr>
            <w:r w:rsidRPr="00FF465E">
              <w:t>88.5</w:t>
            </w:r>
          </w:p>
        </w:tc>
      </w:tr>
      <w:tr w:rsidR="00FF465E" w:rsidRPr="00FF465E" w:rsidTr="00950B6F">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199" w:type="dxa"/>
            <w:noWrap/>
            <w:hideMark/>
          </w:tcPr>
          <w:p w:rsidR="00FF465E" w:rsidRPr="00FF465E" w:rsidRDefault="00FF465E" w:rsidP="00D83007">
            <w:pPr>
              <w:keepNext/>
              <w:rPr>
                <w:rStyle w:val="Strong"/>
              </w:rPr>
            </w:pPr>
            <w:r w:rsidRPr="00FF465E">
              <w:rPr>
                <w:rStyle w:val="Strong"/>
              </w:rPr>
              <w:t>Opening TAB as at 1 April 2017</w:t>
            </w:r>
          </w:p>
        </w:tc>
        <w:tc>
          <w:tcPr>
            <w:tcW w:w="1438" w:type="dxa"/>
            <w:noWrap/>
            <w:vAlign w:val="bottom"/>
          </w:tcPr>
          <w:p w:rsidR="00FF465E" w:rsidRPr="00FF465E" w:rsidRDefault="00FF465E" w:rsidP="00FF465E">
            <w:pPr>
              <w:cnfStyle w:val="000000010000" w:firstRow="0" w:lastRow="0" w:firstColumn="0" w:lastColumn="0" w:oddVBand="0" w:evenVBand="0" w:oddHBand="0" w:evenHBand="1" w:firstRowFirstColumn="0" w:firstRowLastColumn="0" w:lastRowFirstColumn="0" w:lastRowLastColumn="0"/>
              <w:rPr>
                <w:rStyle w:val="Strong"/>
              </w:rPr>
            </w:pPr>
            <w:r w:rsidRPr="00FF465E">
              <w:rPr>
                <w:rStyle w:val="Strong"/>
              </w:rPr>
              <w:t> </w:t>
            </w:r>
          </w:p>
        </w:tc>
        <w:tc>
          <w:tcPr>
            <w:tcW w:w="1438" w:type="dxa"/>
            <w:noWrap/>
            <w:vAlign w:val="bottom"/>
          </w:tcPr>
          <w:p w:rsidR="00FF465E" w:rsidRPr="00FF465E" w:rsidRDefault="00FF465E" w:rsidP="00FF465E">
            <w:pPr>
              <w:cnfStyle w:val="000000010000" w:firstRow="0" w:lastRow="0" w:firstColumn="0" w:lastColumn="0" w:oddVBand="0" w:evenVBand="0" w:oddHBand="0" w:evenHBand="1" w:firstRowFirstColumn="0" w:firstRowLastColumn="0" w:lastRowFirstColumn="0" w:lastRowLastColumn="0"/>
              <w:rPr>
                <w:rStyle w:val="Strong"/>
              </w:rPr>
            </w:pPr>
            <w:r w:rsidRPr="00FF465E">
              <w:rPr>
                <w:rStyle w:val="Strong"/>
              </w:rPr>
              <w:t> </w:t>
            </w:r>
          </w:p>
        </w:tc>
        <w:tc>
          <w:tcPr>
            <w:tcW w:w="1438" w:type="dxa"/>
            <w:noWrap/>
            <w:vAlign w:val="bottom"/>
          </w:tcPr>
          <w:p w:rsidR="00FF465E" w:rsidRPr="00FF465E" w:rsidRDefault="00FF465E" w:rsidP="00FF465E">
            <w:pPr>
              <w:cnfStyle w:val="000000010000" w:firstRow="0" w:lastRow="0" w:firstColumn="0" w:lastColumn="0" w:oddVBand="0" w:evenVBand="0" w:oddHBand="0" w:evenHBand="1" w:firstRowFirstColumn="0" w:firstRowLastColumn="0" w:lastRowFirstColumn="0" w:lastRowLastColumn="0"/>
              <w:rPr>
                <w:rStyle w:val="Strong"/>
              </w:rPr>
            </w:pPr>
            <w:r w:rsidRPr="00FF465E">
              <w:rPr>
                <w:rStyle w:val="Strong"/>
              </w:rPr>
              <w:t>2532.5</w:t>
            </w:r>
          </w:p>
        </w:tc>
      </w:tr>
    </w:tbl>
    <w:p w:rsidR="00BB089B" w:rsidRDefault="00D83007" w:rsidP="00D83007">
      <w:pPr>
        <w:pStyle w:val="AERtablesource"/>
        <w:keepNext/>
        <w:rPr>
          <w:rStyle w:val="AERbody"/>
          <w:sz w:val="16"/>
        </w:rPr>
      </w:pPr>
      <w:r w:rsidRPr="00D83007">
        <w:rPr>
          <w:rStyle w:val="AERbody"/>
          <w:sz w:val="16"/>
        </w:rPr>
        <w:t>Source:</w:t>
      </w:r>
      <w:r w:rsidRPr="00D83007">
        <w:rPr>
          <w:rStyle w:val="AERbody"/>
          <w:sz w:val="16"/>
        </w:rPr>
        <w:tab/>
        <w:t>AER analysis</w:t>
      </w:r>
      <w:r w:rsidR="006C150E">
        <w:rPr>
          <w:rStyle w:val="AERbody"/>
          <w:sz w:val="16"/>
        </w:rPr>
        <w:t>.</w:t>
      </w:r>
    </w:p>
    <w:p w:rsidR="00D83007" w:rsidRDefault="00D83007" w:rsidP="00D83007">
      <w:pPr>
        <w:pStyle w:val="AERtablesource"/>
        <w:keepNext/>
      </w:pPr>
      <w:r>
        <w:t>(a)</w:t>
      </w:r>
      <w:r>
        <w:tab/>
      </w:r>
      <w:r w:rsidRPr="00D83007">
        <w:t>As commissioned, net of disposals</w:t>
      </w:r>
      <w:r>
        <w:t>.</w:t>
      </w:r>
    </w:p>
    <w:p w:rsidR="00D83007" w:rsidRDefault="00D83007" w:rsidP="00D83007">
      <w:pPr>
        <w:pStyle w:val="AERtablesource"/>
      </w:pPr>
      <w:r>
        <w:t>(b)</w:t>
      </w:r>
      <w:r>
        <w:tab/>
      </w:r>
      <w:r w:rsidRPr="00D83007">
        <w:t>Based on estimated capex</w:t>
      </w:r>
      <w:r>
        <w:t>.</w:t>
      </w:r>
      <w:r w:rsidR="00FF465E">
        <w:t xml:space="preserve"> Estimate</w:t>
      </w:r>
      <w:r w:rsidR="00525652">
        <w:t xml:space="preserve"> for</w:t>
      </w:r>
      <w:r w:rsidR="00FF465E">
        <w:t xml:space="preserve"> 2016–17 reflect</w:t>
      </w:r>
      <w:r w:rsidR="00525652">
        <w:t>s</w:t>
      </w:r>
      <w:r w:rsidR="00FF465E">
        <w:t xml:space="preserve"> </w:t>
      </w:r>
      <w:r w:rsidR="0053618F">
        <w:t xml:space="preserve">AusNet Services’ proposed estimate adjusted </w:t>
      </w:r>
      <w:r w:rsidR="00FF465E">
        <w:t>for actual inflation.</w:t>
      </w:r>
    </w:p>
    <w:p w:rsidR="00276718" w:rsidRDefault="00276718" w:rsidP="00276718">
      <w:pPr>
        <w:pStyle w:val="Heading3"/>
        <w:keepNext/>
        <w:ind w:hanging="862"/>
      </w:pPr>
      <w:bookmarkStart w:id="25" w:name="_Ref456184820"/>
      <w:bookmarkStart w:id="26" w:name="_Toc456602249"/>
      <w:r>
        <w:t>Standard tax asset lives</w:t>
      </w:r>
      <w:bookmarkEnd w:id="25"/>
      <w:bookmarkEnd w:id="26"/>
    </w:p>
    <w:p w:rsidR="00D83007" w:rsidRPr="00D83007" w:rsidRDefault="00D83007" w:rsidP="00D83007">
      <w:pPr>
        <w:rPr>
          <w:rStyle w:val="AERbody"/>
        </w:rPr>
      </w:pPr>
      <w:r w:rsidRPr="00D83007">
        <w:rPr>
          <w:rStyle w:val="AERbody"/>
        </w:rPr>
        <w:t xml:space="preserve">We accept </w:t>
      </w:r>
      <w:r>
        <w:rPr>
          <w:rStyle w:val="AERbody"/>
        </w:rPr>
        <w:t>AusNet Services’</w:t>
      </w:r>
      <w:r w:rsidRPr="00D83007">
        <w:rPr>
          <w:rStyle w:val="AERbody"/>
        </w:rPr>
        <w:t xml:space="preserve"> proposed standard tax asset lives because they are:</w:t>
      </w:r>
    </w:p>
    <w:p w:rsidR="00D83007" w:rsidRPr="00D83007" w:rsidRDefault="00D83007" w:rsidP="00D83007">
      <w:pPr>
        <w:pStyle w:val="AERbulletlistfirststyle"/>
        <w:rPr>
          <w:rStyle w:val="AERbody"/>
        </w:rPr>
      </w:pPr>
      <w:r w:rsidRPr="00D83007">
        <w:rPr>
          <w:rStyle w:val="AERbody"/>
        </w:rPr>
        <w:lastRenderedPageBreak/>
        <w:t>broadly consistent with the values prescribed by the Commissioner for taxation in tax ruling</w:t>
      </w:r>
      <w:r>
        <w:rPr>
          <w:rStyle w:val="AERbody"/>
        </w:rPr>
        <w:t xml:space="preserve"> </w:t>
      </w:r>
      <w:r w:rsidRPr="00D83007">
        <w:rPr>
          <w:rStyle w:val="AERbody"/>
        </w:rPr>
        <w:t>2</w:t>
      </w:r>
      <w:r w:rsidR="00CE2DCE">
        <w:rPr>
          <w:rStyle w:val="AERbody"/>
        </w:rPr>
        <w:t>015</w:t>
      </w:r>
      <w:r w:rsidRPr="00D83007">
        <w:rPr>
          <w:rStyle w:val="AERbody"/>
        </w:rPr>
        <w:t>/</w:t>
      </w:r>
      <w:r w:rsidR="00CE2DCE">
        <w:rPr>
          <w:rStyle w:val="AERbody"/>
        </w:rPr>
        <w:t>2</w:t>
      </w:r>
      <w:r w:rsidR="00FF574B">
        <w:rPr>
          <w:rStyle w:val="FootnoteReference"/>
        </w:rPr>
        <w:footnoteReference w:id="12"/>
      </w:r>
    </w:p>
    <w:p w:rsidR="00BF25F1" w:rsidRDefault="00D83007" w:rsidP="00D83007">
      <w:pPr>
        <w:pStyle w:val="AERbulletlistfirststyle"/>
        <w:rPr>
          <w:rStyle w:val="AERbody"/>
        </w:rPr>
      </w:pPr>
      <w:r w:rsidRPr="00D83007">
        <w:rPr>
          <w:rStyle w:val="AERbody"/>
        </w:rPr>
        <w:t>the same as those approved standard tax asset lives for the 20</w:t>
      </w:r>
      <w:r w:rsidR="00CB10DB">
        <w:rPr>
          <w:rStyle w:val="AERbody"/>
        </w:rPr>
        <w:t>14</w:t>
      </w:r>
      <w:r w:rsidRPr="00D83007">
        <w:rPr>
          <w:rStyle w:val="AERbody"/>
        </w:rPr>
        <w:t>–1</w:t>
      </w:r>
      <w:r w:rsidR="00CB10DB">
        <w:rPr>
          <w:rStyle w:val="AERbody"/>
        </w:rPr>
        <w:t>7</w:t>
      </w:r>
      <w:r w:rsidRPr="00D83007">
        <w:rPr>
          <w:rStyle w:val="AERbody"/>
        </w:rPr>
        <w:t xml:space="preserve"> regulatory control period.</w:t>
      </w:r>
    </w:p>
    <w:p w:rsidR="00CB10DB" w:rsidRDefault="00CB10DB" w:rsidP="00CB10DB">
      <w:pPr>
        <w:pStyle w:val="AERbulletlistfirststyle"/>
        <w:numPr>
          <w:ilvl w:val="0"/>
          <w:numId w:val="0"/>
        </w:numPr>
        <w:rPr>
          <w:rStyle w:val="AERbody"/>
        </w:rPr>
      </w:pPr>
      <w:r w:rsidRPr="007211B2">
        <w:t xml:space="preserve">We are satisfied that the proposed standard tax asset lives </w:t>
      </w:r>
      <w:r>
        <w:t xml:space="preserve">are </w:t>
      </w:r>
      <w:r w:rsidRPr="007211B2">
        <w:t>appropriate for applying over the 201</w:t>
      </w:r>
      <w:r>
        <w:t>7</w:t>
      </w:r>
      <w:r w:rsidRPr="007211B2">
        <w:t>–</w:t>
      </w:r>
      <w:r>
        <w:t>22 regulatory control</w:t>
      </w:r>
      <w:r w:rsidRPr="007211B2">
        <w:t xml:space="preserve"> period.</w:t>
      </w:r>
      <w:r>
        <w:t xml:space="preserve"> </w:t>
      </w:r>
      <w:r w:rsidR="007976B6" w:rsidRPr="00E81469">
        <w:t xml:space="preserve">We </w:t>
      </w:r>
      <w:r w:rsidR="007976B6">
        <w:t>are also satisfied the</w:t>
      </w:r>
      <w:r w:rsidR="007976B6" w:rsidRPr="00E81469">
        <w:t xml:space="preserve"> </w:t>
      </w:r>
      <w:r w:rsidR="007976B6">
        <w:t xml:space="preserve">proposed </w:t>
      </w:r>
      <w:r w:rsidR="007976B6" w:rsidRPr="00E81469">
        <w:t>standard tax asset li</w:t>
      </w:r>
      <w:r w:rsidR="007976B6">
        <w:t>ves</w:t>
      </w:r>
      <w:r w:rsidR="007976B6" w:rsidRPr="00E81469">
        <w:t xml:space="preserve"> provide</w:t>
      </w:r>
      <w:r w:rsidR="007976B6">
        <w:t xml:space="preserve"> an appropriate</w:t>
      </w:r>
      <w:r w:rsidR="007976B6" w:rsidRPr="00E81469">
        <w:t xml:space="preserve"> estimate of the tax depreciation</w:t>
      </w:r>
      <w:r w:rsidR="007976B6">
        <w:t xml:space="preserve"> </w:t>
      </w:r>
      <w:r w:rsidR="007976B6" w:rsidRPr="00E81469">
        <w:t xml:space="preserve">amount for a benchmark efficient </w:t>
      </w:r>
      <w:r w:rsidR="007976B6">
        <w:t>TNSP as required by the NER.</w:t>
      </w:r>
      <w:r w:rsidR="007976B6">
        <w:rPr>
          <w:rStyle w:val="FootnoteReference"/>
        </w:rPr>
        <w:footnoteReference w:id="13"/>
      </w:r>
      <w:r w:rsidRPr="00470CFB">
        <w:t xml:space="preserve"> </w:t>
      </w:r>
    </w:p>
    <w:p w:rsidR="00D83007" w:rsidRDefault="0002597E" w:rsidP="00D83007">
      <w:pPr>
        <w:rPr>
          <w:rStyle w:val="AERbody"/>
        </w:rPr>
      </w:pPr>
      <w:r>
        <w:rPr>
          <w:rStyle w:val="AERbody"/>
        </w:rPr>
        <w:fldChar w:fldCharType="begin"/>
      </w:r>
      <w:r>
        <w:rPr>
          <w:rStyle w:val="AERbody"/>
        </w:rPr>
        <w:instrText xml:space="preserve"> REF _Ref437593094 \h </w:instrText>
      </w:r>
      <w:r>
        <w:rPr>
          <w:rStyle w:val="AERbody"/>
        </w:rPr>
      </w:r>
      <w:r>
        <w:rPr>
          <w:rStyle w:val="AERbody"/>
        </w:rPr>
        <w:fldChar w:fldCharType="separate"/>
      </w:r>
      <w:r w:rsidR="00E34901">
        <w:t xml:space="preserve">Table </w:t>
      </w:r>
      <w:r w:rsidR="00E34901">
        <w:rPr>
          <w:noProof/>
        </w:rPr>
        <w:t>8</w:t>
      </w:r>
      <w:r w:rsidR="00E34901">
        <w:t>.</w:t>
      </w:r>
      <w:r w:rsidR="00E34901">
        <w:rPr>
          <w:noProof/>
        </w:rPr>
        <w:t>4</w:t>
      </w:r>
      <w:r>
        <w:rPr>
          <w:rStyle w:val="AERbody"/>
        </w:rPr>
        <w:fldChar w:fldCharType="end"/>
      </w:r>
      <w:r>
        <w:rPr>
          <w:rStyle w:val="AERbody"/>
        </w:rPr>
        <w:t xml:space="preserve"> </w:t>
      </w:r>
      <w:r w:rsidRPr="0002597E">
        <w:rPr>
          <w:rStyle w:val="AERbody"/>
        </w:rPr>
        <w:t xml:space="preserve">sets out our draft decision on </w:t>
      </w:r>
      <w:r w:rsidR="00FF6837">
        <w:rPr>
          <w:rStyle w:val="AERbody"/>
        </w:rPr>
        <w:t>the standard tax asset lives for AusNet Services</w:t>
      </w:r>
      <w:r w:rsidR="007976B6">
        <w:rPr>
          <w:rStyle w:val="AERbody"/>
        </w:rPr>
        <w:t xml:space="preserve"> over the 2017–22 regulatory control period</w:t>
      </w:r>
      <w:r w:rsidRPr="0002597E">
        <w:rPr>
          <w:rStyle w:val="AERbody"/>
        </w:rPr>
        <w:t>.</w:t>
      </w:r>
    </w:p>
    <w:p w:rsidR="00276718" w:rsidRDefault="00276718" w:rsidP="00276718">
      <w:pPr>
        <w:pStyle w:val="Heading3"/>
        <w:keepNext/>
        <w:ind w:hanging="862"/>
      </w:pPr>
      <w:bookmarkStart w:id="27" w:name="_Ref456184778"/>
      <w:bookmarkStart w:id="28" w:name="_Toc456602250"/>
      <w:r>
        <w:t>Remaining tax asset lives</w:t>
      </w:r>
      <w:bookmarkEnd w:id="27"/>
      <w:bookmarkEnd w:id="28"/>
    </w:p>
    <w:p w:rsidR="007D3644" w:rsidRDefault="00D83007" w:rsidP="00D83007">
      <w:pPr>
        <w:rPr>
          <w:rStyle w:val="AERbody"/>
        </w:rPr>
      </w:pPr>
      <w:r w:rsidRPr="00D83007">
        <w:rPr>
          <w:rStyle w:val="AERbody"/>
        </w:rPr>
        <w:t xml:space="preserve">We accept </w:t>
      </w:r>
      <w:r>
        <w:rPr>
          <w:rStyle w:val="AERbody"/>
        </w:rPr>
        <w:t>AusNet Services’</w:t>
      </w:r>
      <w:r w:rsidRPr="00D83007">
        <w:rPr>
          <w:rStyle w:val="AERbody"/>
        </w:rPr>
        <w:t xml:space="preserve"> proposed weighted average method to calculate the remaining tax asset lives</w:t>
      </w:r>
      <w:r>
        <w:rPr>
          <w:rStyle w:val="AERbody"/>
        </w:rPr>
        <w:t xml:space="preserve"> </w:t>
      </w:r>
      <w:r w:rsidRPr="00D83007">
        <w:rPr>
          <w:rStyle w:val="AERbody"/>
        </w:rPr>
        <w:t xml:space="preserve">as at 1 </w:t>
      </w:r>
      <w:r>
        <w:rPr>
          <w:rStyle w:val="AERbody"/>
        </w:rPr>
        <w:t>April</w:t>
      </w:r>
      <w:r w:rsidRPr="00D83007">
        <w:rPr>
          <w:rStyle w:val="AERbody"/>
        </w:rPr>
        <w:t xml:space="preserve"> 201</w:t>
      </w:r>
      <w:r>
        <w:rPr>
          <w:rStyle w:val="AERbody"/>
        </w:rPr>
        <w:t>7</w:t>
      </w:r>
      <w:r w:rsidRPr="00D83007">
        <w:rPr>
          <w:rStyle w:val="AERbody"/>
        </w:rPr>
        <w:t xml:space="preserve">. </w:t>
      </w:r>
      <w:r w:rsidR="001F272F">
        <w:rPr>
          <w:rStyle w:val="AERbody"/>
        </w:rPr>
        <w:t>H</w:t>
      </w:r>
      <w:r w:rsidR="00945CB8">
        <w:rPr>
          <w:rStyle w:val="AERbody"/>
        </w:rPr>
        <w:t xml:space="preserve">owever, we </w:t>
      </w:r>
      <w:r w:rsidR="001F272F">
        <w:rPr>
          <w:rStyle w:val="AERbody"/>
        </w:rPr>
        <w:t xml:space="preserve">found </w:t>
      </w:r>
      <w:r w:rsidR="00945CB8">
        <w:rPr>
          <w:rStyle w:val="AERbody"/>
        </w:rPr>
        <w:t xml:space="preserve">that the remaining </w:t>
      </w:r>
      <w:r w:rsidR="00F0622A">
        <w:rPr>
          <w:rStyle w:val="AERbody"/>
        </w:rPr>
        <w:t xml:space="preserve">tax </w:t>
      </w:r>
      <w:r w:rsidR="00945CB8">
        <w:rPr>
          <w:rStyle w:val="AERbody"/>
        </w:rPr>
        <w:t xml:space="preserve">asset lives </w:t>
      </w:r>
      <w:r w:rsidR="00F0622A">
        <w:rPr>
          <w:rStyle w:val="AERbody"/>
        </w:rPr>
        <w:t xml:space="preserve">proposed for the Group 3 assets to be added to the </w:t>
      </w:r>
      <w:r w:rsidR="00F707AB">
        <w:rPr>
          <w:rStyle w:val="AERbody"/>
        </w:rPr>
        <w:t>T</w:t>
      </w:r>
      <w:r w:rsidR="00F0622A">
        <w:rPr>
          <w:rStyle w:val="AERbody"/>
        </w:rPr>
        <w:t xml:space="preserve">AB </w:t>
      </w:r>
      <w:r w:rsidR="00945CB8">
        <w:rPr>
          <w:rStyle w:val="AERbody"/>
        </w:rPr>
        <w:t xml:space="preserve">did not appear consistent with the standard </w:t>
      </w:r>
      <w:r w:rsidR="00F707AB">
        <w:rPr>
          <w:rStyle w:val="AERbody"/>
        </w:rPr>
        <w:t xml:space="preserve">tax </w:t>
      </w:r>
      <w:r w:rsidR="00945CB8">
        <w:rPr>
          <w:rStyle w:val="AERbody"/>
        </w:rPr>
        <w:t>asset lives</w:t>
      </w:r>
      <w:r w:rsidR="00F707AB">
        <w:rPr>
          <w:rStyle w:val="AERbody"/>
        </w:rPr>
        <w:t>—</w:t>
      </w:r>
      <w:r w:rsidR="00945CB8">
        <w:rPr>
          <w:rStyle w:val="AERbody"/>
        </w:rPr>
        <w:t xml:space="preserve">for example, the remaining </w:t>
      </w:r>
      <w:r w:rsidR="00F0622A">
        <w:rPr>
          <w:rStyle w:val="AERbody"/>
        </w:rPr>
        <w:t xml:space="preserve">tax </w:t>
      </w:r>
      <w:r w:rsidR="00945CB8">
        <w:rPr>
          <w:rStyle w:val="AERbody"/>
        </w:rPr>
        <w:t xml:space="preserve">asset life was actually longer than the standard </w:t>
      </w:r>
      <w:r w:rsidR="00A56B26">
        <w:rPr>
          <w:rStyle w:val="AERbody"/>
        </w:rPr>
        <w:t xml:space="preserve">tax </w:t>
      </w:r>
      <w:r w:rsidR="00945CB8">
        <w:rPr>
          <w:rStyle w:val="AERbody"/>
        </w:rPr>
        <w:t xml:space="preserve">asset life for some </w:t>
      </w:r>
      <w:r w:rsidR="00F0622A">
        <w:rPr>
          <w:rStyle w:val="AERbody"/>
        </w:rPr>
        <w:t>G</w:t>
      </w:r>
      <w:r w:rsidR="00945CB8">
        <w:rPr>
          <w:rStyle w:val="AERbody"/>
        </w:rPr>
        <w:t xml:space="preserve">roup 3 assets. </w:t>
      </w:r>
    </w:p>
    <w:p w:rsidR="001F272F" w:rsidRDefault="00A56B26" w:rsidP="00D83007">
      <w:pPr>
        <w:rPr>
          <w:rStyle w:val="AERbody"/>
        </w:rPr>
      </w:pPr>
      <w:r>
        <w:rPr>
          <w:rStyle w:val="AERbody"/>
        </w:rPr>
        <w:t xml:space="preserve">Following an information request from us, </w:t>
      </w:r>
      <w:r w:rsidR="00945CB8">
        <w:rPr>
          <w:rStyle w:val="AERbody"/>
        </w:rPr>
        <w:t>AusNet Services revised its calculations and provided updated remaining tax asset lives</w:t>
      </w:r>
      <w:r w:rsidR="004063AF">
        <w:rPr>
          <w:rStyle w:val="AERbody"/>
        </w:rPr>
        <w:t xml:space="preserve"> for these assets</w:t>
      </w:r>
      <w:r w:rsidR="00945CB8">
        <w:rPr>
          <w:rStyle w:val="AERbody"/>
        </w:rPr>
        <w:t>.</w:t>
      </w:r>
      <w:r w:rsidR="00945CB8">
        <w:rPr>
          <w:rStyle w:val="FootnoteReference"/>
        </w:rPr>
        <w:footnoteReference w:id="14"/>
      </w:r>
      <w:r w:rsidR="00945CB8">
        <w:rPr>
          <w:rStyle w:val="AERbody"/>
        </w:rPr>
        <w:t xml:space="preserve"> </w:t>
      </w:r>
      <w:r w:rsidR="004063AF">
        <w:rPr>
          <w:rStyle w:val="AERbody"/>
        </w:rPr>
        <w:t xml:space="preserve">We </w:t>
      </w:r>
      <w:r>
        <w:rPr>
          <w:rStyle w:val="AERbody"/>
        </w:rPr>
        <w:t xml:space="preserve">have reviewed and </w:t>
      </w:r>
      <w:r w:rsidR="004063AF">
        <w:rPr>
          <w:rStyle w:val="AERbody"/>
        </w:rPr>
        <w:t xml:space="preserve">accept these revised remaining </w:t>
      </w:r>
      <w:r w:rsidR="00F0622A">
        <w:rPr>
          <w:rStyle w:val="AERbody"/>
        </w:rPr>
        <w:t xml:space="preserve">tax </w:t>
      </w:r>
      <w:r w:rsidR="004063AF">
        <w:rPr>
          <w:rStyle w:val="AERbody"/>
        </w:rPr>
        <w:t xml:space="preserve">asset lives for </w:t>
      </w:r>
      <w:r w:rsidR="00F0622A">
        <w:rPr>
          <w:rStyle w:val="AERbody"/>
        </w:rPr>
        <w:t xml:space="preserve">the </w:t>
      </w:r>
      <w:r w:rsidR="004063AF">
        <w:rPr>
          <w:rStyle w:val="AERbody"/>
        </w:rPr>
        <w:t>Group 3 assets</w:t>
      </w:r>
      <w:r>
        <w:rPr>
          <w:rStyle w:val="AERbody"/>
        </w:rPr>
        <w:t>,</w:t>
      </w:r>
      <w:r w:rsidR="004063AF">
        <w:rPr>
          <w:rStyle w:val="AERbody"/>
        </w:rPr>
        <w:t xml:space="preserve"> and have </w:t>
      </w:r>
      <w:r>
        <w:rPr>
          <w:rStyle w:val="AERbody"/>
        </w:rPr>
        <w:t xml:space="preserve">therefore </w:t>
      </w:r>
      <w:r w:rsidR="004063AF">
        <w:rPr>
          <w:rStyle w:val="AERbody"/>
        </w:rPr>
        <w:t>adopted them for the draft decision.</w:t>
      </w:r>
    </w:p>
    <w:p w:rsidR="005C4624" w:rsidRDefault="00E61441" w:rsidP="00D83007">
      <w:pPr>
        <w:rPr>
          <w:rStyle w:val="AERbody"/>
        </w:rPr>
      </w:pPr>
      <w:r>
        <w:rPr>
          <w:rStyle w:val="AERbody"/>
        </w:rPr>
        <w:t>AusNet Services proposed to accelerate depreciation of the RAB value</w:t>
      </w:r>
      <w:r w:rsidR="00CA11AF">
        <w:rPr>
          <w:rStyle w:val="AERbody"/>
        </w:rPr>
        <w:t xml:space="preserve"> of </w:t>
      </w:r>
      <w:r w:rsidR="00CA11AF" w:rsidRPr="00CA11AF">
        <w:rPr>
          <w:rStyle w:val="AERbody"/>
        </w:rPr>
        <w:t xml:space="preserve">assets </w:t>
      </w:r>
      <w:r w:rsidR="00CA11AF">
        <w:rPr>
          <w:rStyle w:val="AERbody"/>
        </w:rPr>
        <w:t>that have</w:t>
      </w:r>
      <w:r w:rsidR="00CA11AF" w:rsidRPr="00CA11AF">
        <w:rPr>
          <w:rStyle w:val="AERbody"/>
        </w:rPr>
        <w:t xml:space="preserve"> been removed from service (or are expected to be removed from service over the 2017–22 regulatory control period)</w:t>
      </w:r>
      <w:r w:rsidR="00CA11AF">
        <w:rPr>
          <w:rStyle w:val="AERbody"/>
        </w:rPr>
        <w:t>. It proposed to fully depreciate</w:t>
      </w:r>
      <w:r w:rsidR="00CA11AF" w:rsidRPr="00CA11AF">
        <w:rPr>
          <w:rStyle w:val="AERbody"/>
        </w:rPr>
        <w:t xml:space="preserve"> </w:t>
      </w:r>
      <w:r w:rsidR="00CA11AF">
        <w:rPr>
          <w:rStyle w:val="AERbody"/>
        </w:rPr>
        <w:t>the remaining RAB value of these assets over</w:t>
      </w:r>
      <w:r w:rsidR="00CA11AF" w:rsidRPr="00CA11AF">
        <w:rPr>
          <w:rStyle w:val="AERbody"/>
        </w:rPr>
        <w:t xml:space="preserve"> 5 years</w:t>
      </w:r>
      <w:r w:rsidR="00CA11AF">
        <w:rPr>
          <w:rStyle w:val="AERbody"/>
        </w:rPr>
        <w:t>.</w:t>
      </w:r>
      <w:r w:rsidR="00A85F97">
        <w:rPr>
          <w:rStyle w:val="FootnoteReference"/>
        </w:rPr>
        <w:footnoteReference w:id="15"/>
      </w:r>
      <w:r w:rsidR="00CA11AF">
        <w:rPr>
          <w:rStyle w:val="AERbody"/>
        </w:rPr>
        <w:t xml:space="preserve"> </w:t>
      </w:r>
      <w:r w:rsidR="005C4624">
        <w:rPr>
          <w:rStyle w:val="AERbody"/>
        </w:rPr>
        <w:t xml:space="preserve">However, </w:t>
      </w:r>
      <w:r w:rsidR="00CA11AF">
        <w:rPr>
          <w:rStyle w:val="AERbody"/>
        </w:rPr>
        <w:t xml:space="preserve">AusNet Services did not propose an associated accelerated </w:t>
      </w:r>
      <w:r w:rsidR="00A85F97">
        <w:rPr>
          <w:rStyle w:val="AERbody"/>
        </w:rPr>
        <w:t xml:space="preserve">tax </w:t>
      </w:r>
      <w:r w:rsidR="00CA11AF">
        <w:rPr>
          <w:rStyle w:val="AERbody"/>
        </w:rPr>
        <w:t>depreciation of these assets</w:t>
      </w:r>
      <w:r w:rsidR="00DB0110">
        <w:rPr>
          <w:rStyle w:val="AERbody"/>
        </w:rPr>
        <w:t xml:space="preserve"> in respect of their</w:t>
      </w:r>
      <w:r w:rsidR="00CA11AF">
        <w:rPr>
          <w:rStyle w:val="AERbody"/>
        </w:rPr>
        <w:t xml:space="preserve"> TAB values. </w:t>
      </w:r>
      <w:r w:rsidR="00CA11AF" w:rsidRPr="00CA11AF">
        <w:rPr>
          <w:rStyle w:val="AERbody"/>
        </w:rPr>
        <w:t>Our draft decision approve</w:t>
      </w:r>
      <w:r w:rsidR="00CA11AF">
        <w:rPr>
          <w:rStyle w:val="AERbody"/>
        </w:rPr>
        <w:t>s</w:t>
      </w:r>
      <w:r w:rsidR="00CA11AF" w:rsidRPr="00CA11AF">
        <w:rPr>
          <w:rStyle w:val="AERbody"/>
        </w:rPr>
        <w:t xml:space="preserve"> </w:t>
      </w:r>
      <w:r w:rsidR="00CA11AF">
        <w:rPr>
          <w:rStyle w:val="AERbody"/>
        </w:rPr>
        <w:t>AusNet Services’</w:t>
      </w:r>
      <w:r w:rsidR="00CA11AF" w:rsidRPr="00CA11AF">
        <w:rPr>
          <w:rStyle w:val="AERbody"/>
        </w:rPr>
        <w:t xml:space="preserve"> proposed accelerated depreciation of</w:t>
      </w:r>
      <w:r w:rsidR="00CA11AF">
        <w:rPr>
          <w:rStyle w:val="AERbody"/>
        </w:rPr>
        <w:t xml:space="preserve"> the RAB value of these assets (attachment 5). </w:t>
      </w:r>
    </w:p>
    <w:p w:rsidR="00E61441" w:rsidRDefault="00CA11AF" w:rsidP="00D83007">
      <w:pPr>
        <w:rPr>
          <w:rStyle w:val="AERbody"/>
        </w:rPr>
      </w:pPr>
      <w:r>
        <w:rPr>
          <w:rStyle w:val="AERbody"/>
        </w:rPr>
        <w:t xml:space="preserve">We consider that </w:t>
      </w:r>
      <w:r w:rsidRPr="00CA11AF">
        <w:rPr>
          <w:rStyle w:val="AERbody"/>
        </w:rPr>
        <w:t xml:space="preserve">the depreciation profile of these assets </w:t>
      </w:r>
      <w:r>
        <w:rPr>
          <w:rStyle w:val="AERbody"/>
        </w:rPr>
        <w:t xml:space="preserve">should be treated </w:t>
      </w:r>
      <w:r w:rsidRPr="00CA11AF">
        <w:rPr>
          <w:rStyle w:val="AERbody"/>
        </w:rPr>
        <w:t>consistently for both RAB and TAB purposes</w:t>
      </w:r>
      <w:r>
        <w:rPr>
          <w:rStyle w:val="AERbody"/>
        </w:rPr>
        <w:t xml:space="preserve">. </w:t>
      </w:r>
      <w:r w:rsidR="005C4624">
        <w:rPr>
          <w:rStyle w:val="AERbody"/>
        </w:rPr>
        <w:t>Accordingly, for this</w:t>
      </w:r>
      <w:r>
        <w:rPr>
          <w:rStyle w:val="AERbody"/>
        </w:rPr>
        <w:t xml:space="preserve"> draft decision</w:t>
      </w:r>
      <w:r w:rsidR="005C4624">
        <w:rPr>
          <w:rStyle w:val="AERbody"/>
        </w:rPr>
        <w:t>, we propose</w:t>
      </w:r>
      <w:r>
        <w:rPr>
          <w:rStyle w:val="AERbody"/>
        </w:rPr>
        <w:t xml:space="preserve"> to also </w:t>
      </w:r>
      <w:r w:rsidR="00A85F97">
        <w:rPr>
          <w:rStyle w:val="AERbody"/>
        </w:rPr>
        <w:t>accelerate the depreciation of the</w:t>
      </w:r>
      <w:r>
        <w:rPr>
          <w:rStyle w:val="AERbody"/>
        </w:rPr>
        <w:t xml:space="preserve"> TAB value of </w:t>
      </w:r>
      <w:r w:rsidR="00A85F97" w:rsidRPr="00A85F97">
        <w:rPr>
          <w:rStyle w:val="AERbody"/>
        </w:rPr>
        <w:t>assets that have been removed from service (or are expected to be removed from service over the 2017–22 regulatory control period)</w:t>
      </w:r>
      <w:r w:rsidR="00A85F97">
        <w:rPr>
          <w:rStyle w:val="AERbody"/>
        </w:rPr>
        <w:t xml:space="preserve">. AusNet Services provided the relevant TAB values for the assets </w:t>
      </w:r>
      <w:r w:rsidR="00A85F97">
        <w:rPr>
          <w:rStyle w:val="AERbody"/>
        </w:rPr>
        <w:lastRenderedPageBreak/>
        <w:t>subject</w:t>
      </w:r>
      <w:r w:rsidR="00DB0110">
        <w:rPr>
          <w:rStyle w:val="AERbody"/>
        </w:rPr>
        <w:t>ed</w:t>
      </w:r>
      <w:r w:rsidR="00A85F97">
        <w:rPr>
          <w:rStyle w:val="AERbody"/>
        </w:rPr>
        <w:t xml:space="preserve"> to accelerated depreciation following an information request.</w:t>
      </w:r>
      <w:r w:rsidR="00A85F97">
        <w:rPr>
          <w:rStyle w:val="FootnoteReference"/>
        </w:rPr>
        <w:footnoteReference w:id="16"/>
      </w:r>
      <w:r w:rsidR="00A85F97">
        <w:rPr>
          <w:rStyle w:val="AERbody"/>
        </w:rPr>
        <w:t xml:space="preserve"> We have </w:t>
      </w:r>
      <w:r w:rsidR="00E34D53">
        <w:rPr>
          <w:rStyle w:val="AERbody"/>
        </w:rPr>
        <w:t xml:space="preserve">therefore </w:t>
      </w:r>
      <w:r w:rsidR="00A85F97">
        <w:rPr>
          <w:rStyle w:val="AERbody"/>
        </w:rPr>
        <w:t xml:space="preserve">reallocated </w:t>
      </w:r>
      <w:r w:rsidR="00E34D53">
        <w:rPr>
          <w:rStyle w:val="AERbody"/>
        </w:rPr>
        <w:t>$9.3 million from the PTRM opening TAB values of the ‘Transformers’ and ‘Reactive’ asset classes to the new ‘Accelerated depreciation’ asset class, to be depreciated over 5 years</w:t>
      </w:r>
      <w:r w:rsidR="00DB0110">
        <w:rPr>
          <w:rStyle w:val="AERbody"/>
        </w:rPr>
        <w:t xml:space="preserve"> for tax purposes</w:t>
      </w:r>
      <w:r w:rsidR="00E34D53">
        <w:rPr>
          <w:rStyle w:val="AERbody"/>
        </w:rPr>
        <w:t>.</w:t>
      </w:r>
    </w:p>
    <w:p w:rsidR="00BF25F1" w:rsidRDefault="007D3644" w:rsidP="007D3644">
      <w:pPr>
        <w:rPr>
          <w:rStyle w:val="AERbody"/>
        </w:rPr>
      </w:pPr>
      <w:r>
        <w:rPr>
          <w:rStyle w:val="AERbody"/>
        </w:rPr>
        <w:t>W</w:t>
      </w:r>
      <w:r w:rsidRPr="007D3644">
        <w:rPr>
          <w:rStyle w:val="AERbody"/>
        </w:rPr>
        <w:t xml:space="preserve">e have </w:t>
      </w:r>
      <w:r>
        <w:rPr>
          <w:rStyle w:val="AERbody"/>
        </w:rPr>
        <w:t xml:space="preserve">also </w:t>
      </w:r>
      <w:r w:rsidRPr="007D3644">
        <w:rPr>
          <w:rStyle w:val="AERbody"/>
        </w:rPr>
        <w:t>updated the proposed remaining tax asset lives</w:t>
      </w:r>
      <w:r>
        <w:rPr>
          <w:rStyle w:val="AERbody"/>
        </w:rPr>
        <w:t xml:space="preserve"> </w:t>
      </w:r>
      <w:r w:rsidRPr="007D3644">
        <w:rPr>
          <w:rStyle w:val="AERbody"/>
        </w:rPr>
        <w:t xml:space="preserve">to reflect our adjustments to </w:t>
      </w:r>
      <w:r>
        <w:rPr>
          <w:rStyle w:val="AERbody"/>
        </w:rPr>
        <w:t>AusNet Services’</w:t>
      </w:r>
      <w:r w:rsidRPr="007D3644">
        <w:rPr>
          <w:rStyle w:val="AERbody"/>
        </w:rPr>
        <w:t xml:space="preserve"> actual capex in its proposed RFM, as discussed in</w:t>
      </w:r>
      <w:r>
        <w:rPr>
          <w:rStyle w:val="AERbody"/>
        </w:rPr>
        <w:t xml:space="preserve"> </w:t>
      </w:r>
      <w:r w:rsidRPr="007D3644">
        <w:rPr>
          <w:rStyle w:val="AERbody"/>
        </w:rPr>
        <w:t>attachment 2. This is because the actual capex values are inputs for calculating the weighted</w:t>
      </w:r>
      <w:r>
        <w:rPr>
          <w:rStyle w:val="AERbody"/>
        </w:rPr>
        <w:t xml:space="preserve"> </w:t>
      </w:r>
      <w:r w:rsidRPr="007D3644">
        <w:rPr>
          <w:rStyle w:val="AERbody"/>
        </w:rPr>
        <w:t>average remaining tax asset lives in the RFM.</w:t>
      </w:r>
      <w:r>
        <w:rPr>
          <w:rStyle w:val="AERbody"/>
        </w:rPr>
        <w:t xml:space="preserve"> </w:t>
      </w:r>
      <w:r w:rsidR="001F272F">
        <w:rPr>
          <w:rStyle w:val="AERbody"/>
        </w:rPr>
        <w:t>W</w:t>
      </w:r>
      <w:r w:rsidR="00D83007" w:rsidRPr="00D83007">
        <w:rPr>
          <w:rStyle w:val="AERbody"/>
        </w:rPr>
        <w:t xml:space="preserve">e note we will </w:t>
      </w:r>
      <w:r w:rsidR="001F272F">
        <w:rPr>
          <w:rStyle w:val="AERbody"/>
        </w:rPr>
        <w:t xml:space="preserve">also </w:t>
      </w:r>
      <w:r w:rsidR="00D83007" w:rsidRPr="00D83007">
        <w:rPr>
          <w:rStyle w:val="AERbody"/>
        </w:rPr>
        <w:t>update the proposed remaining tax asset lives for</w:t>
      </w:r>
      <w:r w:rsidR="00D83007">
        <w:rPr>
          <w:rStyle w:val="AERbody"/>
        </w:rPr>
        <w:t xml:space="preserve"> </w:t>
      </w:r>
      <w:r w:rsidR="00D83007" w:rsidRPr="00D83007">
        <w:rPr>
          <w:rStyle w:val="AERbody"/>
        </w:rPr>
        <w:t>the final decision</w:t>
      </w:r>
      <w:r>
        <w:rPr>
          <w:rStyle w:val="AERbody"/>
        </w:rPr>
        <w:t xml:space="preserve"> for any changes to estimated capex</w:t>
      </w:r>
      <w:r w:rsidR="00D83007" w:rsidRPr="00D83007">
        <w:rPr>
          <w:rStyle w:val="AERbody"/>
        </w:rPr>
        <w:t>.</w:t>
      </w:r>
      <w:r w:rsidR="00D83007">
        <w:rPr>
          <w:rStyle w:val="FootnoteReference"/>
        </w:rPr>
        <w:footnoteReference w:id="17"/>
      </w:r>
      <w:r w:rsidR="00D83007">
        <w:rPr>
          <w:rStyle w:val="AERbody"/>
        </w:rPr>
        <w:t xml:space="preserve"> </w:t>
      </w:r>
    </w:p>
    <w:p w:rsidR="00D83007" w:rsidRDefault="0002597E" w:rsidP="00D83007">
      <w:pPr>
        <w:rPr>
          <w:rStyle w:val="AERbody"/>
        </w:rPr>
      </w:pPr>
      <w:r>
        <w:rPr>
          <w:rStyle w:val="AERbody"/>
        </w:rPr>
        <w:fldChar w:fldCharType="begin"/>
      </w:r>
      <w:r>
        <w:rPr>
          <w:rStyle w:val="AERbody"/>
        </w:rPr>
        <w:instrText xml:space="preserve"> REF _Ref437593094 \h </w:instrText>
      </w:r>
      <w:r>
        <w:rPr>
          <w:rStyle w:val="AERbody"/>
        </w:rPr>
      </w:r>
      <w:r>
        <w:rPr>
          <w:rStyle w:val="AERbody"/>
        </w:rPr>
        <w:fldChar w:fldCharType="separate"/>
      </w:r>
      <w:r w:rsidR="00E34901">
        <w:t xml:space="preserve">Table </w:t>
      </w:r>
      <w:r w:rsidR="00E34901">
        <w:rPr>
          <w:noProof/>
        </w:rPr>
        <w:t>8</w:t>
      </w:r>
      <w:r w:rsidR="00E34901">
        <w:t>.</w:t>
      </w:r>
      <w:r w:rsidR="00E34901">
        <w:rPr>
          <w:noProof/>
        </w:rPr>
        <w:t>4</w:t>
      </w:r>
      <w:r>
        <w:rPr>
          <w:rStyle w:val="AERbody"/>
        </w:rPr>
        <w:fldChar w:fldCharType="end"/>
      </w:r>
      <w:r>
        <w:rPr>
          <w:rStyle w:val="AERbody"/>
        </w:rPr>
        <w:t xml:space="preserve"> </w:t>
      </w:r>
      <w:r w:rsidRPr="0002597E">
        <w:rPr>
          <w:rStyle w:val="AERbody"/>
        </w:rPr>
        <w:t xml:space="preserve">sets out our draft decision on the remaining tax asset lives as at 1 </w:t>
      </w:r>
      <w:r>
        <w:rPr>
          <w:rStyle w:val="AERbody"/>
        </w:rPr>
        <w:t>April</w:t>
      </w:r>
      <w:r w:rsidRPr="0002597E">
        <w:rPr>
          <w:rStyle w:val="AERbody"/>
        </w:rPr>
        <w:t xml:space="preserve"> 201</w:t>
      </w:r>
      <w:r>
        <w:rPr>
          <w:rStyle w:val="AERbody"/>
        </w:rPr>
        <w:t>7</w:t>
      </w:r>
      <w:r w:rsidRPr="0002597E">
        <w:rPr>
          <w:rStyle w:val="AERbody"/>
        </w:rPr>
        <w:t xml:space="preserve"> for </w:t>
      </w:r>
      <w:r>
        <w:rPr>
          <w:rStyle w:val="AERbody"/>
        </w:rPr>
        <w:t>AusNet Services</w:t>
      </w:r>
      <w:r w:rsidRPr="0002597E">
        <w:rPr>
          <w:rStyle w:val="AERbody"/>
        </w:rPr>
        <w:t>.</w:t>
      </w:r>
      <w:r w:rsidR="00ED107D">
        <w:rPr>
          <w:rStyle w:val="AERbody"/>
        </w:rPr>
        <w:t xml:space="preserve"> </w:t>
      </w:r>
    </w:p>
    <w:p w:rsidR="0002597E" w:rsidRDefault="0002597E" w:rsidP="0002597E">
      <w:pPr>
        <w:pStyle w:val="Caption"/>
      </w:pPr>
      <w:bookmarkStart w:id="29" w:name="_Ref437593094"/>
      <w:r>
        <w:t xml:space="preserve">Table </w:t>
      </w:r>
      <w:fldSimple w:instr=" STYLEREF 1 \s ">
        <w:r w:rsidR="00E34901">
          <w:rPr>
            <w:noProof/>
          </w:rPr>
          <w:t>8</w:t>
        </w:r>
      </w:fldSimple>
      <w:r>
        <w:t>.</w:t>
      </w:r>
      <w:fldSimple w:instr=" SEQ Table \* ARABIC \s 1 ">
        <w:r w:rsidR="00E34901">
          <w:rPr>
            <w:noProof/>
          </w:rPr>
          <w:t>4</w:t>
        </w:r>
      </w:fldSimple>
      <w:bookmarkEnd w:id="29"/>
      <w:r>
        <w:tab/>
        <w:t>AER's draft decision on AusNet Services’ standard and remaining tax asset lives as at 1 April 2017 (years)</w:t>
      </w:r>
    </w:p>
    <w:tbl>
      <w:tblPr>
        <w:tblStyle w:val="AERtable-numbers"/>
        <w:tblW w:w="0" w:type="auto"/>
        <w:tblLook w:val="04A0" w:firstRow="1" w:lastRow="0" w:firstColumn="1" w:lastColumn="0" w:noHBand="0" w:noVBand="1"/>
      </w:tblPr>
      <w:tblGrid>
        <w:gridCol w:w="2897"/>
        <w:gridCol w:w="2898"/>
        <w:gridCol w:w="2898"/>
      </w:tblGrid>
      <w:tr w:rsidR="0002597E" w:rsidRPr="0002597E" w:rsidTr="00BF0A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97" w:type="dxa"/>
          </w:tcPr>
          <w:p w:rsidR="0002597E" w:rsidRPr="0002597E" w:rsidRDefault="0002597E" w:rsidP="0002597E">
            <w:r>
              <w:t>Asset class</w:t>
            </w:r>
          </w:p>
        </w:tc>
        <w:tc>
          <w:tcPr>
            <w:tcW w:w="2898" w:type="dxa"/>
          </w:tcPr>
          <w:p w:rsidR="0002597E" w:rsidRPr="0002597E" w:rsidRDefault="0002597E" w:rsidP="0002597E">
            <w:pPr>
              <w:cnfStyle w:val="100000000000" w:firstRow="1" w:lastRow="0" w:firstColumn="0" w:lastColumn="0" w:oddVBand="0" w:evenVBand="0" w:oddHBand="0" w:evenHBand="0" w:firstRowFirstColumn="0" w:firstRowLastColumn="0" w:lastRowFirstColumn="0" w:lastRowLastColumn="0"/>
            </w:pPr>
            <w:r>
              <w:t>Standard tax asset life</w:t>
            </w:r>
          </w:p>
        </w:tc>
        <w:tc>
          <w:tcPr>
            <w:tcW w:w="2898" w:type="dxa"/>
          </w:tcPr>
          <w:p w:rsidR="0002597E" w:rsidRPr="0002597E" w:rsidRDefault="00BF0A78" w:rsidP="0002597E">
            <w:pPr>
              <w:cnfStyle w:val="100000000000" w:firstRow="1" w:lastRow="0" w:firstColumn="0" w:lastColumn="0" w:oddVBand="0" w:evenVBand="0" w:oddHBand="0" w:evenHBand="0" w:firstRowFirstColumn="0" w:firstRowLastColumn="0" w:lastRowFirstColumn="0" w:lastRowLastColumn="0"/>
            </w:pPr>
            <w:r>
              <w:t>Remaining tax asset life</w:t>
            </w:r>
            <w:r>
              <w:br/>
            </w:r>
            <w:r w:rsidR="0002597E">
              <w:t>as at 1 April 2017</w:t>
            </w:r>
          </w:p>
        </w:tc>
      </w:tr>
      <w:tr w:rsidR="00C72FBA" w:rsidRPr="0002597E" w:rsidTr="00BF0A78">
        <w:tc>
          <w:tcPr>
            <w:cnfStyle w:val="001000000000" w:firstRow="0" w:lastRow="0" w:firstColumn="1" w:lastColumn="0" w:oddVBand="0" w:evenVBand="0" w:oddHBand="0" w:evenHBand="0" w:firstRowFirstColumn="0" w:firstRowLastColumn="0" w:lastRowFirstColumn="0" w:lastRowLastColumn="0"/>
            <w:tcW w:w="2897" w:type="dxa"/>
          </w:tcPr>
          <w:p w:rsidR="00C72FBA" w:rsidRPr="00921736" w:rsidRDefault="00C72FBA" w:rsidP="00F770F6">
            <w:r w:rsidRPr="00921736">
              <w:t>Secondary</w:t>
            </w:r>
          </w:p>
        </w:tc>
        <w:tc>
          <w:tcPr>
            <w:tcW w:w="2898" w:type="dxa"/>
            <w:vAlign w:val="bottom"/>
          </w:tcPr>
          <w:p w:rsidR="00C72FBA" w:rsidRPr="00C72FBA" w:rsidRDefault="00C72FBA" w:rsidP="00C72FBA">
            <w:pPr>
              <w:cnfStyle w:val="000000000000" w:firstRow="0" w:lastRow="0" w:firstColumn="0" w:lastColumn="0" w:oddVBand="0" w:evenVBand="0" w:oddHBand="0" w:evenHBand="0" w:firstRowFirstColumn="0" w:firstRowLastColumn="0" w:lastRowFirstColumn="0" w:lastRowLastColumn="0"/>
            </w:pPr>
            <w:bookmarkStart w:id="30" w:name="RANGE!P7"/>
            <w:r w:rsidRPr="00C72FBA">
              <w:t>12.5</w:t>
            </w:r>
            <w:bookmarkEnd w:id="30"/>
          </w:p>
        </w:tc>
        <w:tc>
          <w:tcPr>
            <w:tcW w:w="2898" w:type="dxa"/>
          </w:tcPr>
          <w:p w:rsidR="00C72FBA" w:rsidRPr="00C72FBA" w:rsidRDefault="00C72FBA" w:rsidP="00C72FBA">
            <w:pPr>
              <w:cnfStyle w:val="000000000000" w:firstRow="0" w:lastRow="0" w:firstColumn="0" w:lastColumn="0" w:oddVBand="0" w:evenVBand="0" w:oddHBand="0" w:evenHBand="0" w:firstRowFirstColumn="0" w:firstRowLastColumn="0" w:lastRowFirstColumn="0" w:lastRowLastColumn="0"/>
            </w:pPr>
            <w:bookmarkStart w:id="31" w:name="RANGE!O7"/>
            <w:r w:rsidRPr="00C72FBA">
              <w:t>11.6</w:t>
            </w:r>
            <w:bookmarkEnd w:id="31"/>
          </w:p>
        </w:tc>
      </w:tr>
      <w:tr w:rsidR="00C72FBA" w:rsidRPr="0002597E" w:rsidTr="00BF0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C72FBA" w:rsidRPr="00921736" w:rsidRDefault="00C72FBA" w:rsidP="00F770F6">
            <w:r w:rsidRPr="00921736">
              <w:t>Switchgear</w:t>
            </w:r>
          </w:p>
        </w:tc>
        <w:tc>
          <w:tcPr>
            <w:tcW w:w="2898" w:type="dxa"/>
          </w:tcPr>
          <w:p w:rsidR="00C72FBA" w:rsidRPr="00C72FBA" w:rsidRDefault="00C72FBA" w:rsidP="00C72FBA">
            <w:pPr>
              <w:cnfStyle w:val="000000010000" w:firstRow="0" w:lastRow="0" w:firstColumn="0" w:lastColumn="0" w:oddVBand="0" w:evenVBand="0" w:oddHBand="0" w:evenHBand="1" w:firstRowFirstColumn="0" w:firstRowLastColumn="0" w:lastRowFirstColumn="0" w:lastRowLastColumn="0"/>
            </w:pPr>
            <w:bookmarkStart w:id="32" w:name="RANGE!P8"/>
            <w:r w:rsidRPr="00C72FBA">
              <w:t>40.0</w:t>
            </w:r>
            <w:bookmarkEnd w:id="32"/>
          </w:p>
        </w:tc>
        <w:tc>
          <w:tcPr>
            <w:tcW w:w="2898" w:type="dxa"/>
          </w:tcPr>
          <w:p w:rsidR="00C72FBA" w:rsidRPr="00C72FBA" w:rsidRDefault="00C72FBA" w:rsidP="00756E14">
            <w:pPr>
              <w:cnfStyle w:val="000000010000" w:firstRow="0" w:lastRow="0" w:firstColumn="0" w:lastColumn="0" w:oddVBand="0" w:evenVBand="0" w:oddHBand="0" w:evenHBand="1" w:firstRowFirstColumn="0" w:firstRowLastColumn="0" w:lastRowFirstColumn="0" w:lastRowLastColumn="0"/>
            </w:pPr>
            <w:bookmarkStart w:id="33" w:name="RANGE!O8"/>
            <w:r w:rsidRPr="00C72FBA">
              <w:t>29.</w:t>
            </w:r>
            <w:r w:rsidR="00756E14">
              <w:t>2</w:t>
            </w:r>
            <w:bookmarkEnd w:id="33"/>
          </w:p>
        </w:tc>
      </w:tr>
      <w:tr w:rsidR="00C72FBA" w:rsidRPr="0002597E" w:rsidTr="00BF0A78">
        <w:tc>
          <w:tcPr>
            <w:cnfStyle w:val="001000000000" w:firstRow="0" w:lastRow="0" w:firstColumn="1" w:lastColumn="0" w:oddVBand="0" w:evenVBand="0" w:oddHBand="0" w:evenHBand="0" w:firstRowFirstColumn="0" w:firstRowLastColumn="0" w:lastRowFirstColumn="0" w:lastRowLastColumn="0"/>
            <w:tcW w:w="2897" w:type="dxa"/>
          </w:tcPr>
          <w:p w:rsidR="00C72FBA" w:rsidRPr="00921736" w:rsidRDefault="00C72FBA" w:rsidP="00F770F6">
            <w:r w:rsidRPr="00921736">
              <w:t>Transformers</w:t>
            </w:r>
          </w:p>
        </w:tc>
        <w:tc>
          <w:tcPr>
            <w:tcW w:w="2898" w:type="dxa"/>
            <w:vAlign w:val="bottom"/>
          </w:tcPr>
          <w:p w:rsidR="00C72FBA" w:rsidRPr="00C72FBA" w:rsidRDefault="00C72FBA" w:rsidP="00C72FBA">
            <w:pPr>
              <w:cnfStyle w:val="000000000000" w:firstRow="0" w:lastRow="0" w:firstColumn="0" w:lastColumn="0" w:oddVBand="0" w:evenVBand="0" w:oddHBand="0" w:evenHBand="0" w:firstRowFirstColumn="0" w:firstRowLastColumn="0" w:lastRowFirstColumn="0" w:lastRowLastColumn="0"/>
            </w:pPr>
            <w:bookmarkStart w:id="34" w:name="RANGE!P9"/>
            <w:r w:rsidRPr="00C72FBA">
              <w:t>40.0</w:t>
            </w:r>
            <w:bookmarkEnd w:id="34"/>
          </w:p>
        </w:tc>
        <w:tc>
          <w:tcPr>
            <w:tcW w:w="2898" w:type="dxa"/>
          </w:tcPr>
          <w:p w:rsidR="00C72FBA" w:rsidRPr="00C72FBA" w:rsidRDefault="00C72FBA" w:rsidP="00C72FBA">
            <w:pPr>
              <w:cnfStyle w:val="000000000000" w:firstRow="0" w:lastRow="0" w:firstColumn="0" w:lastColumn="0" w:oddVBand="0" w:evenVBand="0" w:oddHBand="0" w:evenHBand="0" w:firstRowFirstColumn="0" w:firstRowLastColumn="0" w:lastRowFirstColumn="0" w:lastRowLastColumn="0"/>
            </w:pPr>
            <w:bookmarkStart w:id="35" w:name="RANGE!O9"/>
            <w:r w:rsidRPr="00C72FBA">
              <w:t>28.2</w:t>
            </w:r>
            <w:bookmarkEnd w:id="35"/>
          </w:p>
        </w:tc>
      </w:tr>
      <w:tr w:rsidR="00C72FBA" w:rsidRPr="0002597E" w:rsidTr="00BF0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C72FBA" w:rsidRPr="00921736" w:rsidRDefault="00C72FBA" w:rsidP="00F770F6">
            <w:r w:rsidRPr="00921736">
              <w:t>Reactive</w:t>
            </w:r>
          </w:p>
        </w:tc>
        <w:tc>
          <w:tcPr>
            <w:tcW w:w="2898" w:type="dxa"/>
            <w:vAlign w:val="bottom"/>
          </w:tcPr>
          <w:p w:rsidR="00C72FBA" w:rsidRPr="00C72FBA" w:rsidRDefault="00C72FBA" w:rsidP="00C72FBA">
            <w:pPr>
              <w:cnfStyle w:val="000000010000" w:firstRow="0" w:lastRow="0" w:firstColumn="0" w:lastColumn="0" w:oddVBand="0" w:evenVBand="0" w:oddHBand="0" w:evenHBand="1" w:firstRowFirstColumn="0" w:firstRowLastColumn="0" w:lastRowFirstColumn="0" w:lastRowLastColumn="0"/>
            </w:pPr>
            <w:bookmarkStart w:id="36" w:name="RANGE!P10"/>
            <w:r w:rsidRPr="00C72FBA">
              <w:t>40.0</w:t>
            </w:r>
            <w:bookmarkEnd w:id="36"/>
          </w:p>
        </w:tc>
        <w:tc>
          <w:tcPr>
            <w:tcW w:w="2898" w:type="dxa"/>
          </w:tcPr>
          <w:p w:rsidR="00C72FBA" w:rsidRPr="00C72FBA" w:rsidRDefault="00C72FBA" w:rsidP="00C72FBA">
            <w:pPr>
              <w:cnfStyle w:val="000000010000" w:firstRow="0" w:lastRow="0" w:firstColumn="0" w:lastColumn="0" w:oddVBand="0" w:evenVBand="0" w:oddHBand="0" w:evenHBand="1" w:firstRowFirstColumn="0" w:firstRowLastColumn="0" w:lastRowFirstColumn="0" w:lastRowLastColumn="0"/>
            </w:pPr>
            <w:bookmarkStart w:id="37" w:name="RANGE!O10"/>
            <w:r w:rsidRPr="00C72FBA">
              <w:t>21.9</w:t>
            </w:r>
            <w:bookmarkEnd w:id="37"/>
          </w:p>
        </w:tc>
      </w:tr>
      <w:tr w:rsidR="00C72FBA" w:rsidRPr="0002597E" w:rsidTr="00BF0A78">
        <w:tc>
          <w:tcPr>
            <w:cnfStyle w:val="001000000000" w:firstRow="0" w:lastRow="0" w:firstColumn="1" w:lastColumn="0" w:oddVBand="0" w:evenVBand="0" w:oddHBand="0" w:evenHBand="0" w:firstRowFirstColumn="0" w:firstRowLastColumn="0" w:lastRowFirstColumn="0" w:lastRowLastColumn="0"/>
            <w:tcW w:w="2897" w:type="dxa"/>
          </w:tcPr>
          <w:p w:rsidR="00C72FBA" w:rsidRPr="00921736" w:rsidRDefault="00C72FBA" w:rsidP="001830F8">
            <w:r w:rsidRPr="00921736">
              <w:t xml:space="preserve">Towers and </w:t>
            </w:r>
            <w:r w:rsidR="001830F8">
              <w:t>c</w:t>
            </w:r>
            <w:r w:rsidRPr="00921736">
              <w:t>onductor</w:t>
            </w:r>
          </w:p>
        </w:tc>
        <w:tc>
          <w:tcPr>
            <w:tcW w:w="2898" w:type="dxa"/>
            <w:vAlign w:val="bottom"/>
          </w:tcPr>
          <w:p w:rsidR="00C72FBA" w:rsidRPr="00C72FBA" w:rsidRDefault="00C72FBA" w:rsidP="00C72FBA">
            <w:pPr>
              <w:cnfStyle w:val="000000000000" w:firstRow="0" w:lastRow="0" w:firstColumn="0" w:lastColumn="0" w:oddVBand="0" w:evenVBand="0" w:oddHBand="0" w:evenHBand="0" w:firstRowFirstColumn="0" w:firstRowLastColumn="0" w:lastRowFirstColumn="0" w:lastRowLastColumn="0"/>
            </w:pPr>
            <w:bookmarkStart w:id="38" w:name="RANGE!P11"/>
            <w:r w:rsidRPr="00C72FBA">
              <w:t>47.5</w:t>
            </w:r>
            <w:bookmarkEnd w:id="38"/>
          </w:p>
        </w:tc>
        <w:tc>
          <w:tcPr>
            <w:tcW w:w="2898" w:type="dxa"/>
          </w:tcPr>
          <w:p w:rsidR="00C72FBA" w:rsidRPr="00C72FBA" w:rsidRDefault="00C72FBA" w:rsidP="00C72FBA">
            <w:pPr>
              <w:cnfStyle w:val="000000000000" w:firstRow="0" w:lastRow="0" w:firstColumn="0" w:lastColumn="0" w:oddVBand="0" w:evenVBand="0" w:oddHBand="0" w:evenHBand="0" w:firstRowFirstColumn="0" w:firstRowLastColumn="0" w:lastRowFirstColumn="0" w:lastRowLastColumn="0"/>
            </w:pPr>
            <w:bookmarkStart w:id="39" w:name="RANGE!O11"/>
            <w:r w:rsidRPr="00C72FBA">
              <w:t>25.2</w:t>
            </w:r>
            <w:bookmarkEnd w:id="39"/>
          </w:p>
        </w:tc>
      </w:tr>
      <w:tr w:rsidR="00C72FBA" w:rsidRPr="0002597E" w:rsidTr="00BF0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C72FBA" w:rsidRPr="00921736" w:rsidRDefault="00C72FBA" w:rsidP="00F770F6">
            <w:r w:rsidRPr="00921736">
              <w:t>Establishment</w:t>
            </w:r>
          </w:p>
        </w:tc>
        <w:tc>
          <w:tcPr>
            <w:tcW w:w="2898" w:type="dxa"/>
            <w:vAlign w:val="bottom"/>
          </w:tcPr>
          <w:p w:rsidR="00C72FBA" w:rsidRPr="00C72FBA" w:rsidRDefault="00C72FBA" w:rsidP="00C72FBA">
            <w:pPr>
              <w:cnfStyle w:val="000000010000" w:firstRow="0" w:lastRow="0" w:firstColumn="0" w:lastColumn="0" w:oddVBand="0" w:evenVBand="0" w:oddHBand="0" w:evenHBand="1" w:firstRowFirstColumn="0" w:firstRowLastColumn="0" w:lastRowFirstColumn="0" w:lastRowLastColumn="0"/>
            </w:pPr>
            <w:bookmarkStart w:id="40" w:name="RANGE!P12"/>
            <w:r w:rsidRPr="00C72FBA">
              <w:t>40.0</w:t>
            </w:r>
            <w:bookmarkEnd w:id="40"/>
          </w:p>
        </w:tc>
        <w:tc>
          <w:tcPr>
            <w:tcW w:w="2898" w:type="dxa"/>
          </w:tcPr>
          <w:p w:rsidR="00C72FBA" w:rsidRPr="00C72FBA" w:rsidRDefault="00C72FBA" w:rsidP="00C72FBA">
            <w:pPr>
              <w:cnfStyle w:val="000000010000" w:firstRow="0" w:lastRow="0" w:firstColumn="0" w:lastColumn="0" w:oddVBand="0" w:evenVBand="0" w:oddHBand="0" w:evenHBand="1" w:firstRowFirstColumn="0" w:firstRowLastColumn="0" w:lastRowFirstColumn="0" w:lastRowLastColumn="0"/>
            </w:pPr>
            <w:bookmarkStart w:id="41" w:name="RANGE!O12"/>
            <w:r w:rsidRPr="00C72FBA">
              <w:t>32.3</w:t>
            </w:r>
            <w:bookmarkEnd w:id="41"/>
          </w:p>
        </w:tc>
      </w:tr>
      <w:tr w:rsidR="00C72FBA" w:rsidRPr="0002597E" w:rsidTr="00BF0A78">
        <w:tc>
          <w:tcPr>
            <w:cnfStyle w:val="001000000000" w:firstRow="0" w:lastRow="0" w:firstColumn="1" w:lastColumn="0" w:oddVBand="0" w:evenVBand="0" w:oddHBand="0" w:evenHBand="0" w:firstRowFirstColumn="0" w:firstRowLastColumn="0" w:lastRowFirstColumn="0" w:lastRowLastColumn="0"/>
            <w:tcW w:w="2897" w:type="dxa"/>
          </w:tcPr>
          <w:p w:rsidR="00C72FBA" w:rsidRPr="00921736" w:rsidRDefault="00C72FBA" w:rsidP="00F770F6">
            <w:r w:rsidRPr="00921736">
              <w:t>Communications</w:t>
            </w:r>
          </w:p>
        </w:tc>
        <w:tc>
          <w:tcPr>
            <w:tcW w:w="2898" w:type="dxa"/>
            <w:vAlign w:val="bottom"/>
          </w:tcPr>
          <w:p w:rsidR="00C72FBA" w:rsidRPr="00C72FBA" w:rsidRDefault="00C72FBA" w:rsidP="00C72FBA">
            <w:pPr>
              <w:cnfStyle w:val="000000000000" w:firstRow="0" w:lastRow="0" w:firstColumn="0" w:lastColumn="0" w:oddVBand="0" w:evenVBand="0" w:oddHBand="0" w:evenHBand="0" w:firstRowFirstColumn="0" w:firstRowLastColumn="0" w:lastRowFirstColumn="0" w:lastRowLastColumn="0"/>
            </w:pPr>
            <w:bookmarkStart w:id="42" w:name="RANGE!P13"/>
            <w:r w:rsidRPr="00C72FBA">
              <w:t>12.5</w:t>
            </w:r>
            <w:bookmarkEnd w:id="42"/>
          </w:p>
        </w:tc>
        <w:tc>
          <w:tcPr>
            <w:tcW w:w="2898" w:type="dxa"/>
          </w:tcPr>
          <w:p w:rsidR="00C72FBA" w:rsidRPr="00C72FBA" w:rsidRDefault="00C72FBA" w:rsidP="00C72FBA">
            <w:pPr>
              <w:cnfStyle w:val="000000000000" w:firstRow="0" w:lastRow="0" w:firstColumn="0" w:lastColumn="0" w:oddVBand="0" w:evenVBand="0" w:oddHBand="0" w:evenHBand="0" w:firstRowFirstColumn="0" w:firstRowLastColumn="0" w:lastRowFirstColumn="0" w:lastRowLastColumn="0"/>
            </w:pPr>
            <w:bookmarkStart w:id="43" w:name="RANGE!O13"/>
            <w:r w:rsidRPr="00C72FBA">
              <w:t>9.6</w:t>
            </w:r>
            <w:bookmarkEnd w:id="43"/>
          </w:p>
        </w:tc>
      </w:tr>
      <w:tr w:rsidR="00C72FBA" w:rsidRPr="0002597E" w:rsidTr="00BF0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bottom"/>
          </w:tcPr>
          <w:p w:rsidR="00C72FBA" w:rsidRPr="00097532" w:rsidRDefault="00C72FBA" w:rsidP="00950B6F">
            <w:bookmarkStart w:id="44" w:name="RANGE!G14"/>
            <w:r w:rsidRPr="00097532">
              <w:t>Inventory</w:t>
            </w:r>
            <w:bookmarkEnd w:id="44"/>
          </w:p>
        </w:tc>
        <w:tc>
          <w:tcPr>
            <w:tcW w:w="2898" w:type="dxa"/>
            <w:vAlign w:val="bottom"/>
          </w:tcPr>
          <w:p w:rsidR="00C72FBA" w:rsidRPr="00C72FBA" w:rsidRDefault="00C72FBA" w:rsidP="00C72FBA">
            <w:pPr>
              <w:cnfStyle w:val="000000010000" w:firstRow="0" w:lastRow="0" w:firstColumn="0" w:lastColumn="0" w:oddVBand="0" w:evenVBand="0" w:oddHBand="0" w:evenHBand="1" w:firstRowFirstColumn="0" w:firstRowLastColumn="0" w:lastRowFirstColumn="0" w:lastRowLastColumn="0"/>
            </w:pPr>
            <w:bookmarkStart w:id="45" w:name="RANGE!P14"/>
            <w:r w:rsidRPr="00C72FBA">
              <w:t>n/a</w:t>
            </w:r>
            <w:bookmarkEnd w:id="45"/>
          </w:p>
        </w:tc>
        <w:tc>
          <w:tcPr>
            <w:tcW w:w="2898" w:type="dxa"/>
          </w:tcPr>
          <w:p w:rsidR="00C72FBA" w:rsidRPr="00C72FBA" w:rsidRDefault="00C72FBA" w:rsidP="00C72FBA">
            <w:pPr>
              <w:cnfStyle w:val="000000010000" w:firstRow="0" w:lastRow="0" w:firstColumn="0" w:lastColumn="0" w:oddVBand="0" w:evenVBand="0" w:oddHBand="0" w:evenHBand="1" w:firstRowFirstColumn="0" w:firstRowLastColumn="0" w:lastRowFirstColumn="0" w:lastRowLastColumn="0"/>
            </w:pPr>
            <w:bookmarkStart w:id="46" w:name="RANGE!O14"/>
            <w:r w:rsidRPr="00C72FBA">
              <w:t>n/a</w:t>
            </w:r>
            <w:bookmarkEnd w:id="46"/>
          </w:p>
        </w:tc>
      </w:tr>
      <w:tr w:rsidR="00C72FBA" w:rsidRPr="0002597E" w:rsidTr="00BF0A78">
        <w:tc>
          <w:tcPr>
            <w:cnfStyle w:val="001000000000" w:firstRow="0" w:lastRow="0" w:firstColumn="1" w:lastColumn="0" w:oddVBand="0" w:evenVBand="0" w:oddHBand="0" w:evenHBand="0" w:firstRowFirstColumn="0" w:firstRowLastColumn="0" w:lastRowFirstColumn="0" w:lastRowLastColumn="0"/>
            <w:tcW w:w="2897" w:type="dxa"/>
          </w:tcPr>
          <w:p w:rsidR="00C72FBA" w:rsidRPr="00921736" w:rsidRDefault="00C72FBA" w:rsidP="00F770F6">
            <w:r w:rsidRPr="00921736">
              <w:t>IT</w:t>
            </w:r>
          </w:p>
        </w:tc>
        <w:tc>
          <w:tcPr>
            <w:tcW w:w="2898" w:type="dxa"/>
            <w:vAlign w:val="bottom"/>
          </w:tcPr>
          <w:p w:rsidR="00C72FBA" w:rsidRPr="00C72FBA" w:rsidRDefault="00C72FBA" w:rsidP="00C72FBA">
            <w:pPr>
              <w:cnfStyle w:val="000000000000" w:firstRow="0" w:lastRow="0" w:firstColumn="0" w:lastColumn="0" w:oddVBand="0" w:evenVBand="0" w:oddHBand="0" w:evenHBand="0" w:firstRowFirstColumn="0" w:firstRowLastColumn="0" w:lastRowFirstColumn="0" w:lastRowLastColumn="0"/>
            </w:pPr>
            <w:bookmarkStart w:id="47" w:name="RANGE!P15"/>
            <w:r w:rsidRPr="00C72FBA">
              <w:t>3.5</w:t>
            </w:r>
            <w:bookmarkEnd w:id="47"/>
          </w:p>
        </w:tc>
        <w:tc>
          <w:tcPr>
            <w:tcW w:w="2898" w:type="dxa"/>
          </w:tcPr>
          <w:p w:rsidR="00C72FBA" w:rsidRPr="00C72FBA" w:rsidRDefault="00C72FBA" w:rsidP="00C72FBA">
            <w:pPr>
              <w:cnfStyle w:val="000000000000" w:firstRow="0" w:lastRow="0" w:firstColumn="0" w:lastColumn="0" w:oddVBand="0" w:evenVBand="0" w:oddHBand="0" w:evenHBand="0" w:firstRowFirstColumn="0" w:firstRowLastColumn="0" w:lastRowFirstColumn="0" w:lastRowLastColumn="0"/>
            </w:pPr>
            <w:bookmarkStart w:id="48" w:name="RANGE!O15"/>
            <w:r w:rsidRPr="00C72FBA">
              <w:t>2.9</w:t>
            </w:r>
            <w:bookmarkEnd w:id="48"/>
          </w:p>
        </w:tc>
      </w:tr>
      <w:tr w:rsidR="00C72FBA" w:rsidRPr="0002597E" w:rsidTr="00BF0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C72FBA" w:rsidRPr="00921736" w:rsidRDefault="00C72FBA" w:rsidP="00F770F6">
            <w:r w:rsidRPr="00921736">
              <w:t>Vehicles</w:t>
            </w:r>
          </w:p>
        </w:tc>
        <w:tc>
          <w:tcPr>
            <w:tcW w:w="2898" w:type="dxa"/>
            <w:vAlign w:val="bottom"/>
          </w:tcPr>
          <w:p w:rsidR="00C72FBA" w:rsidRPr="00C72FBA" w:rsidRDefault="00C72FBA" w:rsidP="00C72FBA">
            <w:pPr>
              <w:cnfStyle w:val="000000010000" w:firstRow="0" w:lastRow="0" w:firstColumn="0" w:lastColumn="0" w:oddVBand="0" w:evenVBand="0" w:oddHBand="0" w:evenHBand="1" w:firstRowFirstColumn="0" w:firstRowLastColumn="0" w:lastRowFirstColumn="0" w:lastRowLastColumn="0"/>
            </w:pPr>
            <w:bookmarkStart w:id="49" w:name="RANGE!P16"/>
            <w:r w:rsidRPr="00C72FBA">
              <w:t>8.0</w:t>
            </w:r>
            <w:bookmarkEnd w:id="49"/>
          </w:p>
        </w:tc>
        <w:tc>
          <w:tcPr>
            <w:tcW w:w="2898" w:type="dxa"/>
          </w:tcPr>
          <w:p w:rsidR="00C72FBA" w:rsidRPr="00C72FBA" w:rsidRDefault="00C72FBA" w:rsidP="00C72FBA">
            <w:pPr>
              <w:cnfStyle w:val="000000010000" w:firstRow="0" w:lastRow="0" w:firstColumn="0" w:lastColumn="0" w:oddVBand="0" w:evenVBand="0" w:oddHBand="0" w:evenHBand="1" w:firstRowFirstColumn="0" w:firstRowLastColumn="0" w:lastRowFirstColumn="0" w:lastRowLastColumn="0"/>
            </w:pPr>
            <w:bookmarkStart w:id="50" w:name="RANGE!O16"/>
            <w:r w:rsidRPr="00C72FBA">
              <w:t>5.7</w:t>
            </w:r>
            <w:bookmarkEnd w:id="50"/>
          </w:p>
        </w:tc>
      </w:tr>
      <w:tr w:rsidR="00C72FBA" w:rsidRPr="0002597E" w:rsidTr="00BF0A78">
        <w:tc>
          <w:tcPr>
            <w:cnfStyle w:val="001000000000" w:firstRow="0" w:lastRow="0" w:firstColumn="1" w:lastColumn="0" w:oddVBand="0" w:evenVBand="0" w:oddHBand="0" w:evenHBand="0" w:firstRowFirstColumn="0" w:firstRowLastColumn="0" w:lastRowFirstColumn="0" w:lastRowLastColumn="0"/>
            <w:tcW w:w="2897" w:type="dxa"/>
          </w:tcPr>
          <w:p w:rsidR="00C72FBA" w:rsidRPr="00921736" w:rsidRDefault="00C72FBA" w:rsidP="00F770F6">
            <w:r w:rsidRPr="00921736">
              <w:t>Other (non-network)</w:t>
            </w:r>
          </w:p>
        </w:tc>
        <w:tc>
          <w:tcPr>
            <w:tcW w:w="2898" w:type="dxa"/>
            <w:vAlign w:val="bottom"/>
          </w:tcPr>
          <w:p w:rsidR="00C72FBA" w:rsidRPr="00C72FBA" w:rsidRDefault="00C72FBA" w:rsidP="00C72FBA">
            <w:pPr>
              <w:cnfStyle w:val="000000000000" w:firstRow="0" w:lastRow="0" w:firstColumn="0" w:lastColumn="0" w:oddVBand="0" w:evenVBand="0" w:oddHBand="0" w:evenHBand="0" w:firstRowFirstColumn="0" w:firstRowLastColumn="0" w:lastRowFirstColumn="0" w:lastRowLastColumn="0"/>
            </w:pPr>
            <w:bookmarkStart w:id="51" w:name="RANGE!P17"/>
            <w:r w:rsidRPr="00C72FBA">
              <w:t>10.0</w:t>
            </w:r>
            <w:bookmarkEnd w:id="51"/>
          </w:p>
        </w:tc>
        <w:tc>
          <w:tcPr>
            <w:tcW w:w="2898" w:type="dxa"/>
          </w:tcPr>
          <w:p w:rsidR="00C72FBA" w:rsidRPr="00C72FBA" w:rsidRDefault="00C72FBA" w:rsidP="00C72FBA">
            <w:pPr>
              <w:cnfStyle w:val="000000000000" w:firstRow="0" w:lastRow="0" w:firstColumn="0" w:lastColumn="0" w:oddVBand="0" w:evenVBand="0" w:oddHBand="0" w:evenHBand="0" w:firstRowFirstColumn="0" w:firstRowLastColumn="0" w:lastRowFirstColumn="0" w:lastRowLastColumn="0"/>
            </w:pPr>
            <w:bookmarkStart w:id="52" w:name="RANGE!O17"/>
            <w:r w:rsidRPr="00C72FBA">
              <w:t>6.6</w:t>
            </w:r>
            <w:bookmarkEnd w:id="52"/>
          </w:p>
        </w:tc>
      </w:tr>
      <w:tr w:rsidR="00C72FBA" w:rsidRPr="0002597E" w:rsidTr="00BF0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C72FBA" w:rsidRDefault="00C72FBA" w:rsidP="00F770F6">
            <w:r w:rsidRPr="00921736">
              <w:t>Premises</w:t>
            </w:r>
          </w:p>
        </w:tc>
        <w:tc>
          <w:tcPr>
            <w:tcW w:w="2898" w:type="dxa"/>
            <w:vAlign w:val="bottom"/>
          </w:tcPr>
          <w:p w:rsidR="00C72FBA" w:rsidRPr="00C72FBA" w:rsidRDefault="00C72FBA" w:rsidP="00C72FBA">
            <w:pPr>
              <w:cnfStyle w:val="000000010000" w:firstRow="0" w:lastRow="0" w:firstColumn="0" w:lastColumn="0" w:oddVBand="0" w:evenVBand="0" w:oddHBand="0" w:evenHBand="1" w:firstRowFirstColumn="0" w:firstRowLastColumn="0" w:lastRowFirstColumn="0" w:lastRowLastColumn="0"/>
            </w:pPr>
            <w:bookmarkStart w:id="53" w:name="RANGE!P18"/>
            <w:r w:rsidRPr="00C72FBA">
              <w:t>20.0</w:t>
            </w:r>
            <w:bookmarkEnd w:id="53"/>
          </w:p>
        </w:tc>
        <w:tc>
          <w:tcPr>
            <w:tcW w:w="2898" w:type="dxa"/>
          </w:tcPr>
          <w:p w:rsidR="00C72FBA" w:rsidRPr="00C72FBA" w:rsidRDefault="00C72FBA" w:rsidP="00C72FBA">
            <w:pPr>
              <w:cnfStyle w:val="000000010000" w:firstRow="0" w:lastRow="0" w:firstColumn="0" w:lastColumn="0" w:oddVBand="0" w:evenVBand="0" w:oddHBand="0" w:evenHBand="1" w:firstRowFirstColumn="0" w:firstRowLastColumn="0" w:lastRowFirstColumn="0" w:lastRowLastColumn="0"/>
            </w:pPr>
            <w:bookmarkStart w:id="54" w:name="RANGE!O18"/>
            <w:r w:rsidRPr="00C72FBA">
              <w:t>16.5</w:t>
            </w:r>
            <w:bookmarkEnd w:id="54"/>
          </w:p>
        </w:tc>
      </w:tr>
      <w:tr w:rsidR="00C72FBA" w:rsidRPr="0002597E" w:rsidTr="00BF0A78">
        <w:tc>
          <w:tcPr>
            <w:cnfStyle w:val="001000000000" w:firstRow="0" w:lastRow="0" w:firstColumn="1" w:lastColumn="0" w:oddVBand="0" w:evenVBand="0" w:oddHBand="0" w:evenHBand="0" w:firstRowFirstColumn="0" w:firstRowLastColumn="0" w:lastRowFirstColumn="0" w:lastRowLastColumn="0"/>
            <w:tcW w:w="2897" w:type="dxa"/>
            <w:vAlign w:val="bottom"/>
          </w:tcPr>
          <w:p w:rsidR="00C72FBA" w:rsidRPr="00097532" w:rsidRDefault="00C72FBA" w:rsidP="00950B6F">
            <w:bookmarkStart w:id="55" w:name="RANGE!G19"/>
            <w:r w:rsidRPr="00097532">
              <w:t>Land</w:t>
            </w:r>
            <w:bookmarkEnd w:id="55"/>
          </w:p>
        </w:tc>
        <w:tc>
          <w:tcPr>
            <w:tcW w:w="2898" w:type="dxa"/>
          </w:tcPr>
          <w:p w:rsidR="00C72FBA" w:rsidRPr="00C72FBA" w:rsidRDefault="00C72FBA" w:rsidP="00C72FBA">
            <w:pPr>
              <w:cnfStyle w:val="000000000000" w:firstRow="0" w:lastRow="0" w:firstColumn="0" w:lastColumn="0" w:oddVBand="0" w:evenVBand="0" w:oddHBand="0" w:evenHBand="0" w:firstRowFirstColumn="0" w:firstRowLastColumn="0" w:lastRowFirstColumn="0" w:lastRowLastColumn="0"/>
            </w:pPr>
            <w:bookmarkStart w:id="56" w:name="RANGE!P19"/>
            <w:r w:rsidRPr="00C72FBA">
              <w:t>n/a</w:t>
            </w:r>
            <w:bookmarkEnd w:id="56"/>
          </w:p>
        </w:tc>
        <w:tc>
          <w:tcPr>
            <w:tcW w:w="2898" w:type="dxa"/>
          </w:tcPr>
          <w:p w:rsidR="00C72FBA" w:rsidRPr="00C72FBA" w:rsidRDefault="00C72FBA" w:rsidP="00C72FBA">
            <w:pPr>
              <w:cnfStyle w:val="000000000000" w:firstRow="0" w:lastRow="0" w:firstColumn="0" w:lastColumn="0" w:oddVBand="0" w:evenVBand="0" w:oddHBand="0" w:evenHBand="0" w:firstRowFirstColumn="0" w:firstRowLastColumn="0" w:lastRowFirstColumn="0" w:lastRowLastColumn="0"/>
            </w:pPr>
            <w:bookmarkStart w:id="57" w:name="RANGE!O19"/>
            <w:r w:rsidRPr="00C72FBA">
              <w:t>n/a</w:t>
            </w:r>
            <w:bookmarkEnd w:id="57"/>
          </w:p>
        </w:tc>
      </w:tr>
      <w:tr w:rsidR="00C72FBA" w:rsidRPr="0002597E" w:rsidTr="00BF0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bottom"/>
          </w:tcPr>
          <w:p w:rsidR="00C72FBA" w:rsidRPr="00097532" w:rsidRDefault="00C72FBA" w:rsidP="00950B6F">
            <w:bookmarkStart w:id="58" w:name="RANGE!G20"/>
            <w:r w:rsidRPr="00097532">
              <w:t>Easements</w:t>
            </w:r>
            <w:bookmarkEnd w:id="58"/>
          </w:p>
        </w:tc>
        <w:tc>
          <w:tcPr>
            <w:tcW w:w="2898" w:type="dxa"/>
          </w:tcPr>
          <w:p w:rsidR="00C72FBA" w:rsidRPr="00C72FBA" w:rsidRDefault="00C72FBA" w:rsidP="00C72FBA">
            <w:pPr>
              <w:cnfStyle w:val="000000010000" w:firstRow="0" w:lastRow="0" w:firstColumn="0" w:lastColumn="0" w:oddVBand="0" w:evenVBand="0" w:oddHBand="0" w:evenHBand="1" w:firstRowFirstColumn="0" w:firstRowLastColumn="0" w:lastRowFirstColumn="0" w:lastRowLastColumn="0"/>
            </w:pPr>
            <w:bookmarkStart w:id="59" w:name="RANGE!P20"/>
            <w:r w:rsidRPr="00C72FBA">
              <w:t>n/a</w:t>
            </w:r>
            <w:bookmarkEnd w:id="59"/>
          </w:p>
        </w:tc>
        <w:tc>
          <w:tcPr>
            <w:tcW w:w="2898" w:type="dxa"/>
          </w:tcPr>
          <w:p w:rsidR="00C72FBA" w:rsidRPr="00C72FBA" w:rsidRDefault="00C72FBA" w:rsidP="00C72FBA">
            <w:pPr>
              <w:cnfStyle w:val="000000010000" w:firstRow="0" w:lastRow="0" w:firstColumn="0" w:lastColumn="0" w:oddVBand="0" w:evenVBand="0" w:oddHBand="0" w:evenHBand="1" w:firstRowFirstColumn="0" w:firstRowLastColumn="0" w:lastRowFirstColumn="0" w:lastRowLastColumn="0"/>
            </w:pPr>
            <w:bookmarkStart w:id="60" w:name="RANGE!O20"/>
            <w:r w:rsidRPr="00C72FBA">
              <w:t>n/a</w:t>
            </w:r>
            <w:bookmarkEnd w:id="60"/>
          </w:p>
        </w:tc>
      </w:tr>
      <w:tr w:rsidR="00C72FBA" w:rsidRPr="0002597E" w:rsidTr="00BF0A78">
        <w:tc>
          <w:tcPr>
            <w:cnfStyle w:val="001000000000" w:firstRow="0" w:lastRow="0" w:firstColumn="1" w:lastColumn="0" w:oddVBand="0" w:evenVBand="0" w:oddHBand="0" w:evenHBand="0" w:firstRowFirstColumn="0" w:firstRowLastColumn="0" w:lastRowFirstColumn="0" w:lastRowLastColumn="0"/>
            <w:tcW w:w="2897" w:type="dxa"/>
          </w:tcPr>
          <w:p w:rsidR="00C72FBA" w:rsidRPr="0002597E" w:rsidRDefault="00C72FBA" w:rsidP="00950B6F">
            <w:r w:rsidRPr="001F272F">
              <w:lastRenderedPageBreak/>
              <w:t>Equity raising costs (2003-08)</w:t>
            </w:r>
          </w:p>
        </w:tc>
        <w:tc>
          <w:tcPr>
            <w:tcW w:w="2898" w:type="dxa"/>
          </w:tcPr>
          <w:p w:rsidR="00C72FBA" w:rsidRPr="00C72FBA" w:rsidRDefault="00C72FBA" w:rsidP="00C72FBA">
            <w:pPr>
              <w:cnfStyle w:val="000000000000" w:firstRow="0" w:lastRow="0" w:firstColumn="0" w:lastColumn="0" w:oddVBand="0" w:evenVBand="0" w:oddHBand="0" w:evenHBand="0" w:firstRowFirstColumn="0" w:firstRowLastColumn="0" w:lastRowFirstColumn="0" w:lastRowLastColumn="0"/>
            </w:pPr>
            <w:bookmarkStart w:id="61" w:name="RANGE!P21"/>
            <w:r w:rsidRPr="00C72FBA">
              <w:t>n/a</w:t>
            </w:r>
            <w:bookmarkEnd w:id="61"/>
          </w:p>
        </w:tc>
        <w:tc>
          <w:tcPr>
            <w:tcW w:w="2898" w:type="dxa"/>
          </w:tcPr>
          <w:p w:rsidR="00C72FBA" w:rsidRPr="00C72FBA" w:rsidRDefault="00C72FBA" w:rsidP="00C72FBA">
            <w:pPr>
              <w:cnfStyle w:val="000000000000" w:firstRow="0" w:lastRow="0" w:firstColumn="0" w:lastColumn="0" w:oddVBand="0" w:evenVBand="0" w:oddHBand="0" w:evenHBand="0" w:firstRowFirstColumn="0" w:firstRowLastColumn="0" w:lastRowFirstColumn="0" w:lastRowLastColumn="0"/>
            </w:pPr>
            <w:bookmarkStart w:id="62" w:name="RANGE!O21"/>
            <w:r w:rsidRPr="00C72FBA">
              <w:t>2.0</w:t>
            </w:r>
            <w:bookmarkEnd w:id="62"/>
          </w:p>
        </w:tc>
      </w:tr>
      <w:tr w:rsidR="00233D13" w:rsidRPr="0002597E" w:rsidTr="00BF0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233D13" w:rsidRPr="001F272F" w:rsidRDefault="00233D13" w:rsidP="00ED107D">
            <w:r>
              <w:t>Accelerated depreciation</w:t>
            </w:r>
          </w:p>
        </w:tc>
        <w:tc>
          <w:tcPr>
            <w:tcW w:w="2898" w:type="dxa"/>
            <w:vAlign w:val="bottom"/>
          </w:tcPr>
          <w:p w:rsidR="00233D13" w:rsidRPr="00A75EF7" w:rsidRDefault="00233D13" w:rsidP="00A75EF7">
            <w:pPr>
              <w:cnfStyle w:val="000000010000" w:firstRow="0" w:lastRow="0" w:firstColumn="0" w:lastColumn="0" w:oddVBand="0" w:evenVBand="0" w:oddHBand="0" w:evenHBand="1" w:firstRowFirstColumn="0" w:firstRowLastColumn="0" w:lastRowFirstColumn="0" w:lastRowLastColumn="0"/>
            </w:pPr>
            <w:r>
              <w:t>n/a</w:t>
            </w:r>
          </w:p>
        </w:tc>
        <w:tc>
          <w:tcPr>
            <w:tcW w:w="2898" w:type="dxa"/>
            <w:vAlign w:val="bottom"/>
          </w:tcPr>
          <w:p w:rsidR="00233D13" w:rsidRDefault="00233D13" w:rsidP="00A75EF7">
            <w:pPr>
              <w:cnfStyle w:val="000000010000" w:firstRow="0" w:lastRow="0" w:firstColumn="0" w:lastColumn="0" w:oddVBand="0" w:evenVBand="0" w:oddHBand="0" w:evenHBand="1" w:firstRowFirstColumn="0" w:firstRowLastColumn="0" w:lastRowFirstColumn="0" w:lastRowLastColumn="0"/>
            </w:pPr>
            <w:r>
              <w:t>5.0</w:t>
            </w:r>
          </w:p>
        </w:tc>
      </w:tr>
    </w:tbl>
    <w:p w:rsidR="00453391" w:rsidRDefault="00453391" w:rsidP="00453391">
      <w:pPr>
        <w:pStyle w:val="AERtablesource"/>
        <w:rPr>
          <w:rStyle w:val="AERbody"/>
          <w:sz w:val="16"/>
        </w:rPr>
      </w:pPr>
      <w:r w:rsidRPr="0002597E">
        <w:rPr>
          <w:rStyle w:val="AERbody"/>
          <w:sz w:val="16"/>
        </w:rPr>
        <w:t>Source:</w:t>
      </w:r>
      <w:r w:rsidRPr="0002597E">
        <w:rPr>
          <w:rStyle w:val="AERbody"/>
          <w:sz w:val="16"/>
        </w:rPr>
        <w:tab/>
      </w:r>
      <w:r>
        <w:rPr>
          <w:rStyle w:val="AERbody"/>
          <w:sz w:val="16"/>
        </w:rPr>
        <w:t xml:space="preserve">AusNet Services, </w:t>
      </w:r>
      <w:r w:rsidRPr="007D3644">
        <w:rPr>
          <w:rStyle w:val="AERtextitalic"/>
        </w:rPr>
        <w:t>Re</w:t>
      </w:r>
      <w:r>
        <w:rPr>
          <w:rStyle w:val="AERtextitalic"/>
        </w:rPr>
        <w:t>venue</w:t>
      </w:r>
      <w:r w:rsidRPr="007D3644">
        <w:rPr>
          <w:rStyle w:val="AERtextitalic"/>
        </w:rPr>
        <w:t xml:space="preserve"> proposal</w:t>
      </w:r>
      <w:r>
        <w:rPr>
          <w:rStyle w:val="AERbody"/>
          <w:sz w:val="16"/>
        </w:rPr>
        <w:t xml:space="preserve">, October 2015, PTRM; </w:t>
      </w:r>
      <w:r w:rsidRPr="0002597E">
        <w:rPr>
          <w:rStyle w:val="AERbody"/>
          <w:sz w:val="16"/>
        </w:rPr>
        <w:t>AER analysis.</w:t>
      </w:r>
    </w:p>
    <w:p w:rsidR="00E34D53" w:rsidRDefault="00E34D53" w:rsidP="0002597E">
      <w:pPr>
        <w:pStyle w:val="AERtablesource"/>
      </w:pPr>
      <w:r>
        <w:rPr>
          <w:rStyle w:val="AERbody"/>
          <w:sz w:val="16"/>
        </w:rPr>
        <w:t>n/a:</w:t>
      </w:r>
      <w:r>
        <w:rPr>
          <w:rStyle w:val="AERbody"/>
          <w:sz w:val="16"/>
        </w:rPr>
        <w:tab/>
        <w:t>not applicable.</w:t>
      </w:r>
      <w:r w:rsidR="00453391">
        <w:rPr>
          <w:rStyle w:val="AERbody"/>
          <w:sz w:val="16"/>
        </w:rPr>
        <w:t xml:space="preserve"> </w:t>
      </w:r>
      <w:r w:rsidR="00FB2560">
        <w:rPr>
          <w:rStyle w:val="AERbody"/>
          <w:sz w:val="16"/>
        </w:rPr>
        <w:t>The ‘</w:t>
      </w:r>
      <w:r w:rsidR="00453391" w:rsidRPr="00384599">
        <w:t>Land</w:t>
      </w:r>
      <w:r w:rsidR="00FB2560">
        <w:t>’</w:t>
      </w:r>
      <w:r w:rsidR="00453391" w:rsidRPr="00384599">
        <w:t xml:space="preserve"> and </w:t>
      </w:r>
      <w:r w:rsidR="00FB2560">
        <w:t>‘</w:t>
      </w:r>
      <w:r w:rsidR="00453391" w:rsidRPr="00384599">
        <w:t>Easement</w:t>
      </w:r>
      <w:r w:rsidR="00453391">
        <w:t>s</w:t>
      </w:r>
      <w:r w:rsidR="00FB2560">
        <w:t>’</w:t>
      </w:r>
      <w:r w:rsidR="00453391" w:rsidRPr="00384599">
        <w:t xml:space="preserve"> asset classes do not have assigned standard </w:t>
      </w:r>
      <w:r w:rsidR="00453391">
        <w:t xml:space="preserve">tax </w:t>
      </w:r>
      <w:r w:rsidR="00453391" w:rsidRPr="00384599">
        <w:t>asset lives because these assets do not depreciate over time</w:t>
      </w:r>
      <w:r w:rsidR="00453391">
        <w:t>.</w:t>
      </w:r>
    </w:p>
    <w:p w:rsidR="00276718" w:rsidRDefault="00276718" w:rsidP="00276718">
      <w:pPr>
        <w:pStyle w:val="Heading3"/>
        <w:keepNext/>
        <w:ind w:hanging="862"/>
      </w:pPr>
      <w:bookmarkStart w:id="63" w:name="_Ref456184808"/>
      <w:bookmarkStart w:id="64" w:name="_Toc456602251"/>
      <w:r>
        <w:t>Tax treatment of revenue adjustments</w:t>
      </w:r>
      <w:bookmarkEnd w:id="63"/>
      <w:bookmarkEnd w:id="64"/>
    </w:p>
    <w:p w:rsidR="00B42809" w:rsidRDefault="00B42809" w:rsidP="00B42809">
      <w:r>
        <w:t>We do not accept AusNet Services' proposed tax treatment of the revenue adjustments arising from the operation of the EBSS over the 2014–17 regulatory</w:t>
      </w:r>
      <w:r w:rsidR="001D4E17">
        <w:t xml:space="preserve"> control period</w:t>
      </w:r>
      <w:r>
        <w:t xml:space="preserve">. The approach is inconsistent with incentives developed for the scheme and the approach used to calculate the revenue adjustments </w:t>
      </w:r>
      <w:r w:rsidR="001D4E17">
        <w:t>in</w:t>
      </w:r>
      <w:r>
        <w:t xml:space="preserve"> the 201</w:t>
      </w:r>
      <w:r w:rsidR="00E63D7D">
        <w:t>4</w:t>
      </w:r>
      <w:r>
        <w:t xml:space="preserve"> </w:t>
      </w:r>
      <w:r w:rsidR="001D4E17">
        <w:t>transmission</w:t>
      </w:r>
      <w:r>
        <w:t xml:space="preserve"> determination. </w:t>
      </w:r>
    </w:p>
    <w:p w:rsidR="00B42809" w:rsidRDefault="00B42809" w:rsidP="00B42809">
      <w:r>
        <w:t>In AusNet Services' proposed PTRM it set the switch for tax expense to ‘no’ in relation to the revenue adjustments arising from the EBSS, while recognising the revenues as income for the tax calculation. AusNet Services did not explain this approach in its re</w:t>
      </w:r>
      <w:r w:rsidR="001D4E17">
        <w:t>venue</w:t>
      </w:r>
      <w:r>
        <w:t xml:space="preserve"> proposal. This approach adds an additional tax penalty or reward to the revenues associated with the scheme. In contrast, if the revenue adjustments are recognised in the PTRM as both income and expenses for tax purposes, </w:t>
      </w:r>
      <w:r w:rsidR="001D4E17">
        <w:t>then</w:t>
      </w:r>
      <w:r>
        <w:t xml:space="preserve"> no additional tax is calculated.</w:t>
      </w:r>
      <w:r>
        <w:rPr>
          <w:rStyle w:val="FootnoteReference"/>
        </w:rPr>
        <w:footnoteReference w:id="18"/>
      </w:r>
      <w:r>
        <w:t xml:space="preserve"> An equivalent outcome occurs in the PTRM if the revenue adjustments are completely excluded from the tax calculation, counted as neither tax income nor tax expense.</w:t>
      </w:r>
      <w:r>
        <w:rPr>
          <w:rStyle w:val="FootnoteReference"/>
        </w:rPr>
        <w:footnoteReference w:id="19"/>
      </w:r>
      <w:r>
        <w:t xml:space="preserve"> In both cases, the sizes of the revenue adjustments reflect the parameters of the scheme only.</w:t>
      </w:r>
    </w:p>
    <w:p w:rsidR="00B42809" w:rsidRDefault="00B42809" w:rsidP="00B42809">
      <w:r>
        <w:t>We consider that the EBSS revenue adjustments should be given identical income and expense tax status in the PTRM.</w:t>
      </w:r>
      <w:r>
        <w:rPr>
          <w:rStyle w:val="FootnoteReference"/>
        </w:rPr>
        <w:footnoteReference w:id="20"/>
      </w:r>
      <w:r>
        <w:t xml:space="preserve"> We consider that such an approach: </w:t>
      </w:r>
    </w:p>
    <w:p w:rsidR="00B42809" w:rsidRDefault="00B42809" w:rsidP="00B42809">
      <w:pPr>
        <w:pStyle w:val="AERbulletlistfirststyle"/>
      </w:pPr>
      <w:r>
        <w:t>is consistent with the implementation of the EBSS in the 201</w:t>
      </w:r>
      <w:r w:rsidR="00E63D7D">
        <w:t>4</w:t>
      </w:r>
      <w:r>
        <w:t xml:space="preserve"> </w:t>
      </w:r>
      <w:r w:rsidR="001D4E17">
        <w:t>transmission</w:t>
      </w:r>
      <w:r>
        <w:t xml:space="preserve"> determination for AusNet Services</w:t>
      </w:r>
      <w:r>
        <w:rPr>
          <w:rStyle w:val="FootnoteReference"/>
        </w:rPr>
        <w:footnoteReference w:id="21"/>
      </w:r>
    </w:p>
    <w:p w:rsidR="00B42809" w:rsidRDefault="00B42809" w:rsidP="00B42809">
      <w:pPr>
        <w:pStyle w:val="AERbulletlistfirststyle"/>
      </w:pPr>
      <w:r>
        <w:t>is consistent with our published guidelines on incentive schemes, which were subject to stakeholder consultation</w:t>
      </w:r>
      <w:r>
        <w:rPr>
          <w:rStyle w:val="FootnoteReference"/>
        </w:rPr>
        <w:footnoteReference w:id="22"/>
      </w:r>
    </w:p>
    <w:p w:rsidR="00B42809" w:rsidRDefault="00B42809" w:rsidP="00B42809">
      <w:pPr>
        <w:pStyle w:val="AERbulletlistfirststyle"/>
      </w:pPr>
      <w:r>
        <w:lastRenderedPageBreak/>
        <w:t>is consistent with our application of incentive schemes for all other network service providers to date</w:t>
      </w:r>
      <w:r>
        <w:rPr>
          <w:rStyle w:val="FootnoteReference"/>
        </w:rPr>
        <w:footnoteReference w:id="23"/>
      </w:r>
    </w:p>
    <w:p w:rsidR="00B42809" w:rsidRDefault="00B42809" w:rsidP="00B42809">
      <w:pPr>
        <w:pStyle w:val="AERbulletlistfirststyle"/>
      </w:pPr>
      <w:r>
        <w:t xml:space="preserve">means that the </w:t>
      </w:r>
      <w:r w:rsidR="001D4E17">
        <w:t>TNSP</w:t>
      </w:r>
      <w:r>
        <w:t xml:space="preserve"> faces a constant incentive to pursue efficiency gains across the regulatory control period. That is, the </w:t>
      </w:r>
      <w:r w:rsidR="001D4E17">
        <w:t>TNSP</w:t>
      </w:r>
      <w:r>
        <w:t xml:space="preserve"> obtains the same reward (or penalty) from a given expenditure decrease (increase), regardless of which year of the regulatory control period it occurs.</w:t>
      </w:r>
      <w:r>
        <w:rPr>
          <w:rStyle w:val="FootnoteReference"/>
        </w:rPr>
        <w:footnoteReference w:id="24"/>
      </w:r>
      <w:r>
        <w:t xml:space="preserve"> A constant incentive means timing issues associated with the application of regulation do not distort expenditure decisions.</w:t>
      </w:r>
    </w:p>
    <w:p w:rsidR="00B42809" w:rsidRDefault="00B42809" w:rsidP="00B42809">
      <w:r>
        <w:t>These reasons were discussed in detail in our final decision for Ausgrid.</w:t>
      </w:r>
      <w:r>
        <w:rPr>
          <w:rStyle w:val="FootnoteReference"/>
        </w:rPr>
        <w:footnoteReference w:id="25"/>
      </w:r>
      <w:r>
        <w:t xml:space="preserve"> We do not repeat the detailed reasoning here. Ausgrid had also proposed to change the tax treatment of scheme revenue adjustments in the PTRM. No new issues have been raised by AusNet Services for us to consider regarding this matter. We have therefore amended the proposed PTRM to recognise the revenue adjustments with consistent tax status across revenues and expenses for the tax calculation in the PTRM.</w:t>
      </w:r>
      <w:r w:rsidR="00834C55">
        <w:rPr>
          <w:rStyle w:val="FootnoteReference"/>
        </w:rPr>
        <w:footnoteReference w:id="26"/>
      </w:r>
      <w:r>
        <w:t xml:space="preserve"> </w:t>
      </w:r>
    </w:p>
    <w:p w:rsidR="00B42809" w:rsidRPr="00B42809" w:rsidRDefault="00B42809" w:rsidP="00B42809">
      <w:r>
        <w:t xml:space="preserve">Given the overall positive </w:t>
      </w:r>
      <w:r w:rsidR="00EB0444">
        <w:t xml:space="preserve">EBSS revenue adjustments </w:t>
      </w:r>
      <w:r>
        <w:t>determined for AusNet Services for the 2017–22 regulatory control period, the changes in this draft decision remove a small tax allowance (about $</w:t>
      </w:r>
      <w:r w:rsidR="00DD6E07">
        <w:t>1.2 </w:t>
      </w:r>
      <w:r>
        <w:t>million) that would have been included under AusNet Services' proposed approach.</w:t>
      </w:r>
    </w:p>
    <w:sectPr w:rsidR="00B42809" w:rsidRPr="00B42809"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547" w:rsidRPr="00290C63" w:rsidRDefault="00380547" w:rsidP="00290C63">
      <w:r>
        <w:separator/>
      </w:r>
    </w:p>
    <w:p w:rsidR="00380547" w:rsidRDefault="00380547"/>
  </w:endnote>
  <w:endnote w:type="continuationSeparator" w:id="0">
    <w:p w:rsidR="00380547" w:rsidRPr="00290C63" w:rsidRDefault="00380547" w:rsidP="00290C63">
      <w:r>
        <w:continuationSeparator/>
      </w:r>
    </w:p>
    <w:p w:rsidR="00380547" w:rsidRDefault="00380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47" w:rsidRPr="00290C63" w:rsidRDefault="00380547"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80547" w:rsidRDefault="00380547"/>
  <w:p w:rsidR="00380547" w:rsidRDefault="00380547"/>
  <w:p w:rsidR="00380547" w:rsidRDefault="00380547"/>
  <w:p w:rsidR="00380547" w:rsidRDefault="00380547"/>
  <w:p w:rsidR="00380547" w:rsidRDefault="00380547"/>
  <w:p w:rsidR="00380547" w:rsidRDefault="00380547"/>
  <w:p w:rsidR="00380547" w:rsidRDefault="003805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380547" w:rsidRDefault="00380547">
        <w:pPr>
          <w:pStyle w:val="Footer"/>
        </w:pPr>
        <w:r>
          <w:fldChar w:fldCharType="begin"/>
        </w:r>
        <w:r>
          <w:instrText xml:space="preserve"> PAGE   \* MERGEFORMAT </w:instrText>
        </w:r>
        <w:r>
          <w:fldChar w:fldCharType="separate"/>
        </w:r>
        <w:r w:rsidR="0058189B">
          <w:rPr>
            <w:noProof/>
          </w:rPr>
          <w:t>8-1</w:t>
        </w:r>
        <w:r>
          <w:rPr>
            <w:noProof/>
          </w:rPr>
          <w:fldChar w:fldCharType="end"/>
        </w:r>
        <w:r>
          <w:rPr>
            <w:noProof/>
          </w:rPr>
          <w:t xml:space="preserve">          </w:t>
        </w:r>
        <w:r>
          <w:rPr>
            <w:noProof/>
            <w:sz w:val="16"/>
            <w:szCs w:val="16"/>
          </w:rPr>
          <w:t>Attachment 8</w:t>
        </w:r>
        <w:r w:rsidRPr="00FD5E78">
          <w:rPr>
            <w:noProof/>
            <w:sz w:val="16"/>
            <w:szCs w:val="16"/>
          </w:rPr>
          <w:t xml:space="preserve"> </w:t>
        </w:r>
        <w:r w:rsidRPr="00FD5E78">
          <w:rPr>
            <w:rFonts w:cs="Gautami"/>
            <w:noProof/>
            <w:sz w:val="16"/>
            <w:szCs w:val="16"/>
          </w:rPr>
          <w:t xml:space="preserve">– </w:t>
        </w:r>
        <w:r>
          <w:rPr>
            <w:sz w:val="16"/>
            <w:szCs w:val="16"/>
          </w:rPr>
          <w:t>Corporate income tax</w:t>
        </w:r>
        <w:r w:rsidRPr="00FD5E78">
          <w:rPr>
            <w:rFonts w:cs="Gautami"/>
            <w:noProof/>
            <w:sz w:val="16"/>
            <w:szCs w:val="16"/>
          </w:rPr>
          <w:t xml:space="preserve"> | </w:t>
        </w:r>
        <w:r>
          <w:rPr>
            <w:rFonts w:cs="Gautami"/>
            <w:noProof/>
            <w:sz w:val="16"/>
            <w:szCs w:val="16"/>
          </w:rPr>
          <w:t>Draft</w:t>
        </w:r>
        <w:r w:rsidRPr="00FD5E78">
          <w:rPr>
            <w:rFonts w:cs="Gautami"/>
            <w:noProof/>
            <w:sz w:val="16"/>
            <w:szCs w:val="16"/>
          </w:rPr>
          <w:t xml:space="preserve"> decision</w:t>
        </w:r>
        <w:r>
          <w:rPr>
            <w:rFonts w:cs="Gautami"/>
            <w:noProof/>
            <w:sz w:val="16"/>
            <w:szCs w:val="16"/>
          </w:rPr>
          <w:t>:</w:t>
        </w:r>
        <w:r w:rsidRPr="00FD5E78">
          <w:rPr>
            <w:rFonts w:cs="Gautami"/>
            <w:noProof/>
            <w:sz w:val="16"/>
            <w:szCs w:val="16"/>
          </w:rPr>
          <w:t xml:space="preserve"> </w:t>
        </w:r>
        <w:r>
          <w:rPr>
            <w:rFonts w:cs="Gautami"/>
            <w:noProof/>
            <w:sz w:val="16"/>
            <w:szCs w:val="16"/>
          </w:rPr>
          <w:t>AusNet Serices</w:t>
        </w:r>
        <w:r w:rsidRPr="00FD5E78">
          <w:rPr>
            <w:sz w:val="16"/>
            <w:szCs w:val="16"/>
          </w:rPr>
          <w:t xml:space="preserve"> transmission</w:t>
        </w:r>
        <w:r w:rsidRPr="00FD5E78">
          <w:rPr>
            <w:rFonts w:cs="Gautami"/>
            <w:noProof/>
            <w:sz w:val="16"/>
            <w:szCs w:val="16"/>
          </w:rPr>
          <w:t xml:space="preserve"> determination 201</w:t>
        </w:r>
        <w:r>
          <w:rPr>
            <w:rFonts w:cs="Gautami"/>
            <w:noProof/>
            <w:sz w:val="16"/>
            <w:szCs w:val="16"/>
          </w:rPr>
          <w:t>7</w:t>
        </w:r>
        <w:r w:rsidRPr="00FD5E78">
          <w:rPr>
            <w:rFonts w:cs="Gautami"/>
            <w:noProof/>
            <w:sz w:val="16"/>
            <w:szCs w:val="16"/>
          </w:rPr>
          <w:t>–</w:t>
        </w:r>
        <w:r>
          <w:rPr>
            <w:rFonts w:cs="Gautami"/>
            <w:noProof/>
            <w:sz w:val="16"/>
            <w:szCs w:val="16"/>
          </w:rPr>
          <w:t>22</w:t>
        </w:r>
      </w:p>
    </w:sdtContent>
  </w:sdt>
  <w:p w:rsidR="00380547" w:rsidRDefault="003805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47" w:rsidRPr="00290C63" w:rsidRDefault="00380547"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80547" w:rsidRDefault="00380547">
    <w:pPr>
      <w:pStyle w:val="Footer"/>
    </w:pPr>
  </w:p>
  <w:p w:rsidR="00380547" w:rsidRDefault="00380547"/>
  <w:p w:rsidR="00380547" w:rsidRDefault="00380547"/>
  <w:p w:rsidR="00380547" w:rsidRDefault="00380547"/>
  <w:p w:rsidR="00380547" w:rsidRDefault="00380547"/>
  <w:p w:rsidR="00380547" w:rsidRDefault="00380547"/>
  <w:p w:rsidR="00380547" w:rsidRDefault="00380547"/>
  <w:p w:rsidR="00380547" w:rsidRDefault="003805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547" w:rsidRPr="00290C63" w:rsidRDefault="00380547" w:rsidP="00290C63">
      <w:r>
        <w:separator/>
      </w:r>
    </w:p>
    <w:p w:rsidR="00380547" w:rsidRDefault="00380547"/>
  </w:footnote>
  <w:footnote w:type="continuationSeparator" w:id="0">
    <w:p w:rsidR="00380547" w:rsidRPr="00290C63" w:rsidRDefault="00380547" w:rsidP="00290C63">
      <w:r>
        <w:continuationSeparator/>
      </w:r>
    </w:p>
    <w:p w:rsidR="00380547" w:rsidRDefault="00380547"/>
  </w:footnote>
  <w:footnote w:id="1">
    <w:p w:rsidR="00380547" w:rsidRDefault="00380547">
      <w:pPr>
        <w:pStyle w:val="FootnoteText"/>
      </w:pPr>
      <w:r>
        <w:rPr>
          <w:rStyle w:val="FootnoteReference"/>
        </w:rPr>
        <w:footnoteRef/>
      </w:r>
      <w:r>
        <w:t xml:space="preserve"> </w:t>
      </w:r>
      <w:r>
        <w:tab/>
      </w:r>
      <w:r w:rsidRPr="00667AB1">
        <w:t>NER, cl. 6A.5.4(a)(4).</w:t>
      </w:r>
    </w:p>
  </w:footnote>
  <w:footnote w:id="2">
    <w:p w:rsidR="00380547" w:rsidRDefault="00380547">
      <w:pPr>
        <w:pStyle w:val="FootnoteText"/>
      </w:pPr>
      <w:r>
        <w:rPr>
          <w:rStyle w:val="FootnoteReference"/>
        </w:rPr>
        <w:footnoteRef/>
      </w:r>
      <w:r>
        <w:t xml:space="preserve"> </w:t>
      </w:r>
      <w:r>
        <w:tab/>
        <w:t>AusNet Services</w:t>
      </w:r>
      <w:r w:rsidRPr="00617922">
        <w:t xml:space="preserve">, </w:t>
      </w:r>
      <w:r w:rsidRPr="00AA3722">
        <w:rPr>
          <w:rStyle w:val="AERtextitalic"/>
        </w:rPr>
        <w:t>Re</w:t>
      </w:r>
      <w:r>
        <w:rPr>
          <w:rStyle w:val="AERtextitalic"/>
        </w:rPr>
        <w:t>venue</w:t>
      </w:r>
      <w:r w:rsidRPr="00AA3722">
        <w:rPr>
          <w:rStyle w:val="AERtextitalic"/>
        </w:rPr>
        <w:t xml:space="preserve"> proposal</w:t>
      </w:r>
      <w:r>
        <w:t>, October 2015, PTRM</w:t>
      </w:r>
      <w:r w:rsidRPr="00617922">
        <w:t>.</w:t>
      </w:r>
    </w:p>
  </w:footnote>
  <w:footnote w:id="3">
    <w:p w:rsidR="00380547" w:rsidRDefault="00380547">
      <w:pPr>
        <w:pStyle w:val="FootnoteText"/>
      </w:pPr>
      <w:r>
        <w:rPr>
          <w:rStyle w:val="FootnoteReference"/>
        </w:rPr>
        <w:footnoteRef/>
      </w:r>
      <w:r>
        <w:t xml:space="preserve"> </w:t>
      </w:r>
      <w:r>
        <w:tab/>
        <w:t>NER, cl. 6A.6.4.</w:t>
      </w:r>
    </w:p>
  </w:footnote>
  <w:footnote w:id="4">
    <w:p w:rsidR="00380547" w:rsidRDefault="00380547" w:rsidP="00380547">
      <w:pPr>
        <w:pStyle w:val="FootnoteText"/>
      </w:pPr>
      <w:r>
        <w:rPr>
          <w:rStyle w:val="FootnoteReference"/>
        </w:rPr>
        <w:footnoteRef/>
      </w:r>
      <w:r>
        <w:t xml:space="preserve"> </w:t>
      </w:r>
      <w:r>
        <w:tab/>
        <w:t>The PTRM must specify the manner in which the estimated cost of corporate income tax is to be calculated: NER, cl. 6A.5.3(b)(4).</w:t>
      </w:r>
    </w:p>
  </w:footnote>
  <w:footnote w:id="5">
    <w:p w:rsidR="00380547" w:rsidRDefault="00380547">
      <w:pPr>
        <w:pStyle w:val="FootnoteText"/>
      </w:pPr>
      <w:r>
        <w:rPr>
          <w:rStyle w:val="FootnoteReference"/>
        </w:rPr>
        <w:footnoteRef/>
      </w:r>
      <w:r>
        <w:t xml:space="preserve"> </w:t>
      </w:r>
      <w:r>
        <w:tab/>
      </w:r>
      <w:r w:rsidRPr="00BF25F1">
        <w:t>NER, c</w:t>
      </w:r>
      <w:r>
        <w:t>l</w:t>
      </w:r>
      <w:r w:rsidRPr="00BF25F1">
        <w:t>. 6A.6.4.</w:t>
      </w:r>
    </w:p>
  </w:footnote>
  <w:footnote w:id="6">
    <w:p w:rsidR="00380547" w:rsidRDefault="00380547">
      <w:pPr>
        <w:pStyle w:val="FootnoteText"/>
      </w:pPr>
      <w:r>
        <w:rPr>
          <w:rStyle w:val="FootnoteReference"/>
        </w:rPr>
        <w:footnoteRef/>
      </w:r>
      <w:r>
        <w:t xml:space="preserve"> </w:t>
      </w:r>
      <w:r>
        <w:tab/>
      </w:r>
      <w:r w:rsidRPr="005C4CCF">
        <w:t>The tax depreciation is therefore recalculated based on actual capex. The same tax depreciation approach of using actual capex applies to the roll forward of the TAB at the next reset.</w:t>
      </w:r>
    </w:p>
  </w:footnote>
  <w:footnote w:id="7">
    <w:p w:rsidR="00380547" w:rsidRDefault="00380547">
      <w:pPr>
        <w:pStyle w:val="FootnoteText"/>
      </w:pPr>
      <w:r>
        <w:rPr>
          <w:rStyle w:val="FootnoteReference"/>
        </w:rPr>
        <w:footnoteRef/>
      </w:r>
      <w:r>
        <w:t xml:space="preserve"> </w:t>
      </w:r>
      <w:r>
        <w:tab/>
      </w:r>
      <w:r w:rsidRPr="00A847C3">
        <w:t xml:space="preserve">ATO, </w:t>
      </w:r>
      <w:r w:rsidRPr="00233D13">
        <w:rPr>
          <w:rStyle w:val="AERtextitalic"/>
        </w:rPr>
        <w:t>Taxation Ruling Income tax: effective life of depreciating assets (applicable from 1 July 2015),</w:t>
      </w:r>
      <w:r w:rsidRPr="00A847C3">
        <w:t xml:space="preserve"> July 2015, </w:t>
      </w:r>
      <w:hyperlink r:id="rId1" w:history="1">
        <w:r w:rsidRPr="0051044A">
          <w:rPr>
            <w:rStyle w:val="Hyperlink"/>
            <w:sz w:val="16"/>
          </w:rPr>
          <w:t>http://law.ato.gov.au/atolaw/view.htm?docid=%22TXR%2FTR20152%2FNAT%2FATO%2F00001%22</w:t>
        </w:r>
      </w:hyperlink>
      <w:r w:rsidRPr="00A847C3">
        <w:t xml:space="preserve">, accessed on </w:t>
      </w:r>
      <w:r>
        <w:t>12</w:t>
      </w:r>
      <w:r w:rsidRPr="00A847C3">
        <w:t xml:space="preserve"> </w:t>
      </w:r>
      <w:r>
        <w:t>April 2016.</w:t>
      </w:r>
    </w:p>
  </w:footnote>
  <w:footnote w:id="8">
    <w:p w:rsidR="00380547" w:rsidRDefault="00380547" w:rsidP="00BF25F1">
      <w:pPr>
        <w:pStyle w:val="FootnoteText"/>
      </w:pPr>
      <w:r>
        <w:rPr>
          <w:rStyle w:val="FootnoteReference"/>
        </w:rPr>
        <w:footnoteRef/>
      </w:r>
      <w:r>
        <w:t xml:space="preserve"> </w:t>
      </w:r>
      <w:r>
        <w:tab/>
        <w:t>The weighted average method involves weighting the remaining life of each capital stream within an asset class (that is, the opening tax capital value and the capital expenditures for each year) by the closing tax capital value of that capital stream as a proportion of the total closing tax capital value of the asset class as a whole. The resulting individual values for each capital stream are then added together to obtain the overall weighted average remaining life of the asset class.</w:t>
      </w:r>
    </w:p>
  </w:footnote>
  <w:footnote w:id="9">
    <w:p w:rsidR="00380547" w:rsidRDefault="00380547" w:rsidP="00BF25F1">
      <w:pPr>
        <w:pStyle w:val="FootnoteText"/>
      </w:pPr>
      <w:r>
        <w:rPr>
          <w:rStyle w:val="FootnoteReference"/>
        </w:rPr>
        <w:footnoteRef/>
      </w:r>
      <w:r>
        <w:t xml:space="preserve"> </w:t>
      </w:r>
      <w:r>
        <w:tab/>
        <w:t>In fact, there is an iterative relationship between tax and revenues. That is, revenues lead to tax, being applied, which increases revenues and leads to slightly more tax and so on. The PTRM is therefore set up to run an iterative process until the revenue and tax allowances become stable.</w:t>
      </w:r>
    </w:p>
  </w:footnote>
  <w:footnote w:id="10">
    <w:p w:rsidR="00380547" w:rsidRDefault="00380547" w:rsidP="00600B8F">
      <w:pPr>
        <w:pStyle w:val="FootnoteText"/>
      </w:pPr>
      <w:r>
        <w:rPr>
          <w:rStyle w:val="FootnoteReference"/>
        </w:rPr>
        <w:footnoteRef/>
      </w:r>
      <w:r>
        <w:t xml:space="preserve"> </w:t>
      </w:r>
      <w:r>
        <w:ta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11">
    <w:p w:rsidR="00380547" w:rsidRDefault="00380547">
      <w:pPr>
        <w:pStyle w:val="FootnoteText"/>
      </w:pPr>
      <w:r>
        <w:rPr>
          <w:rStyle w:val="FootnoteReference"/>
        </w:rPr>
        <w:footnoteRef/>
      </w:r>
      <w:r>
        <w:t xml:space="preserve"> </w:t>
      </w:r>
      <w:r>
        <w:tab/>
        <w:t>At the time of this draft decision, the roll forward of AusNet Services’ TAB includes estimated capex values for 2015–16 and 2016–17. We will update the 2015–16 estimated capex values with the actual values for the final decision, and may further update the estimate of 2016–17 capex.</w:t>
      </w:r>
    </w:p>
  </w:footnote>
  <w:footnote w:id="12">
    <w:p w:rsidR="00380547" w:rsidRDefault="00380547">
      <w:pPr>
        <w:pStyle w:val="FootnoteText"/>
      </w:pPr>
      <w:r>
        <w:rPr>
          <w:rStyle w:val="FootnoteReference"/>
        </w:rPr>
        <w:footnoteRef/>
      </w:r>
      <w:r>
        <w:t xml:space="preserve"> </w:t>
      </w:r>
      <w:r>
        <w:tab/>
      </w:r>
      <w:r w:rsidRPr="00A847C3">
        <w:t xml:space="preserve">ATO, </w:t>
      </w:r>
      <w:r w:rsidRPr="00233D13">
        <w:rPr>
          <w:rStyle w:val="AERtextitalic"/>
        </w:rPr>
        <w:t>Taxation Ruling Income tax: effective life of depreciating assets (applicable from 1 July 2015),</w:t>
      </w:r>
      <w:r w:rsidRPr="00A847C3">
        <w:t xml:space="preserve"> July 2015, </w:t>
      </w:r>
      <w:hyperlink r:id="rId2" w:history="1">
        <w:r w:rsidRPr="0051044A">
          <w:rPr>
            <w:rStyle w:val="Hyperlink"/>
            <w:sz w:val="16"/>
          </w:rPr>
          <w:t>http://law.ato.gov.au/atolaw/view.htm?docid=%22TXR%2FTR20152%2FNAT%2FATO%2F00001%22</w:t>
        </w:r>
      </w:hyperlink>
      <w:r w:rsidRPr="00A847C3">
        <w:t xml:space="preserve">, accessed on </w:t>
      </w:r>
      <w:r>
        <w:t>12</w:t>
      </w:r>
      <w:r w:rsidRPr="00A847C3">
        <w:t xml:space="preserve"> </w:t>
      </w:r>
      <w:r>
        <w:t>April 2016</w:t>
      </w:r>
      <w:r w:rsidRPr="00A847C3">
        <w:t>.</w:t>
      </w:r>
    </w:p>
  </w:footnote>
  <w:footnote w:id="13">
    <w:p w:rsidR="00380547" w:rsidRDefault="00380547" w:rsidP="007976B6">
      <w:pPr>
        <w:pStyle w:val="FootnoteText"/>
      </w:pPr>
      <w:r>
        <w:rPr>
          <w:rStyle w:val="FootnoteReference"/>
        </w:rPr>
        <w:footnoteRef/>
      </w:r>
      <w:r>
        <w:t xml:space="preserve"> </w:t>
      </w:r>
      <w:r>
        <w:tab/>
      </w:r>
      <w:r w:rsidRPr="00E81469">
        <w:t>NER, cl. 6</w:t>
      </w:r>
      <w:r>
        <w:t>A</w:t>
      </w:r>
      <w:r w:rsidRPr="00E81469">
        <w:t>.</w:t>
      </w:r>
      <w:r>
        <w:t>6</w:t>
      </w:r>
      <w:r w:rsidRPr="00E81469">
        <w:t>.</w:t>
      </w:r>
      <w:r>
        <w:t>4</w:t>
      </w:r>
      <w:r w:rsidRPr="00E81469">
        <w:t>.</w:t>
      </w:r>
    </w:p>
  </w:footnote>
  <w:footnote w:id="14">
    <w:p w:rsidR="00380547" w:rsidRDefault="00380547">
      <w:pPr>
        <w:pStyle w:val="FootnoteText"/>
      </w:pPr>
      <w:r>
        <w:rPr>
          <w:rStyle w:val="FootnoteReference"/>
        </w:rPr>
        <w:footnoteRef/>
      </w:r>
      <w:r>
        <w:t xml:space="preserve"> </w:t>
      </w:r>
      <w:r>
        <w:tab/>
        <w:t xml:space="preserve">AusNet Services, </w:t>
      </w:r>
      <w:r w:rsidRPr="00233D13">
        <w:rPr>
          <w:rStyle w:val="Emphasis"/>
        </w:rPr>
        <w:t>Follow up response to IR004</w:t>
      </w:r>
      <w:r>
        <w:t>, 3 February 2016.</w:t>
      </w:r>
    </w:p>
  </w:footnote>
  <w:footnote w:id="15">
    <w:p w:rsidR="00380547" w:rsidRDefault="00380547">
      <w:pPr>
        <w:pStyle w:val="FootnoteText"/>
      </w:pPr>
      <w:r>
        <w:rPr>
          <w:rStyle w:val="FootnoteReference"/>
        </w:rPr>
        <w:footnoteRef/>
      </w:r>
      <w:r>
        <w:t xml:space="preserve"> </w:t>
      </w:r>
      <w:r>
        <w:tab/>
      </w:r>
      <w:r w:rsidRPr="00E34D53">
        <w:t>AusNet</w:t>
      </w:r>
      <w:r>
        <w:t xml:space="preserve"> Services</w:t>
      </w:r>
      <w:r w:rsidRPr="00E34D53">
        <w:t xml:space="preserve">, </w:t>
      </w:r>
      <w:r w:rsidRPr="00EB0444">
        <w:rPr>
          <w:rStyle w:val="AERtextitalic"/>
        </w:rPr>
        <w:t>Re</w:t>
      </w:r>
      <w:r>
        <w:rPr>
          <w:rStyle w:val="AERtextitalic"/>
        </w:rPr>
        <w:t>venue</w:t>
      </w:r>
      <w:r w:rsidRPr="00EB0444">
        <w:rPr>
          <w:rStyle w:val="AERtextitalic"/>
        </w:rPr>
        <w:t xml:space="preserve"> proposal</w:t>
      </w:r>
      <w:r w:rsidRPr="00E34D53">
        <w:t>, October 2015, p. 178 and PTRM.</w:t>
      </w:r>
    </w:p>
  </w:footnote>
  <w:footnote w:id="16">
    <w:p w:rsidR="00380547" w:rsidRDefault="00380547">
      <w:pPr>
        <w:pStyle w:val="FootnoteText"/>
      </w:pPr>
      <w:r>
        <w:rPr>
          <w:rStyle w:val="FootnoteReference"/>
        </w:rPr>
        <w:footnoteRef/>
      </w:r>
      <w:r>
        <w:t xml:space="preserve"> </w:t>
      </w:r>
      <w:r>
        <w:tab/>
      </w:r>
      <w:r w:rsidRPr="00E34D53">
        <w:t xml:space="preserve">AusNet Services, </w:t>
      </w:r>
      <w:r w:rsidRPr="00EB0444">
        <w:rPr>
          <w:rStyle w:val="AERtextitalic"/>
        </w:rPr>
        <w:t>Response to IR0</w:t>
      </w:r>
      <w:r>
        <w:rPr>
          <w:rStyle w:val="AERtextitalic"/>
        </w:rPr>
        <w:t>18</w:t>
      </w:r>
      <w:r w:rsidRPr="00E34D53">
        <w:t xml:space="preserve">, </w:t>
      </w:r>
      <w:r>
        <w:t>1 May 2016</w:t>
      </w:r>
      <w:r w:rsidRPr="00E34D53">
        <w:t>.</w:t>
      </w:r>
    </w:p>
  </w:footnote>
  <w:footnote w:id="17">
    <w:p w:rsidR="00380547" w:rsidRDefault="00380547" w:rsidP="00D83007">
      <w:pPr>
        <w:pStyle w:val="FootnoteText"/>
      </w:pPr>
      <w:r>
        <w:rPr>
          <w:rStyle w:val="FootnoteReference"/>
        </w:rPr>
        <w:footnoteRef/>
      </w:r>
      <w:r>
        <w:t xml:space="preserve"> </w:t>
      </w:r>
      <w:r>
        <w:tab/>
        <w:t>At the time of this draft decision, the roll forward of AusNet Services’ TAB includes estimated capex values for 2015–16 and 2016–17. We will update the 2015–16 estimated capex values with the actual values for the final decision, and may further update the estimate of 2016–17 capex. The capex values are used to calculate the weighted average remaining tax asset lives in the RFM. Therefore, for the final decision we will recalculate AusNet Services’ remaining tax asset lives as at 1 April 2017 using the method approved in this draft decision.</w:t>
      </w:r>
    </w:p>
  </w:footnote>
  <w:footnote w:id="18">
    <w:p w:rsidR="00380547" w:rsidRDefault="00380547">
      <w:pPr>
        <w:pStyle w:val="FootnoteText"/>
      </w:pPr>
      <w:r>
        <w:rPr>
          <w:rStyle w:val="FootnoteReference"/>
        </w:rPr>
        <w:footnoteRef/>
      </w:r>
      <w:r>
        <w:t xml:space="preserve"> </w:t>
      </w:r>
      <w:r>
        <w:tab/>
        <w:t>This can be done in the PTRM by setting both the tax income and tax expense switches to ‘yes’.</w:t>
      </w:r>
    </w:p>
  </w:footnote>
  <w:footnote w:id="19">
    <w:p w:rsidR="00380547" w:rsidRDefault="00380547">
      <w:pPr>
        <w:pStyle w:val="FootnoteText"/>
      </w:pPr>
      <w:r>
        <w:rPr>
          <w:rStyle w:val="FootnoteReference"/>
        </w:rPr>
        <w:footnoteRef/>
      </w:r>
      <w:r>
        <w:t xml:space="preserve"> </w:t>
      </w:r>
      <w:r>
        <w:tab/>
        <w:t>This can be done in the PTRM by setting both the tax income and tax expense switches to ‘no’.</w:t>
      </w:r>
    </w:p>
  </w:footnote>
  <w:footnote w:id="20">
    <w:p w:rsidR="00380547" w:rsidRDefault="00380547" w:rsidP="00B42809">
      <w:pPr>
        <w:pStyle w:val="FootnoteText"/>
      </w:pPr>
      <w:r>
        <w:rPr>
          <w:rStyle w:val="FootnoteReference"/>
        </w:rPr>
        <w:footnoteRef/>
      </w:r>
      <w:r>
        <w:t xml:space="preserve"> </w:t>
      </w:r>
      <w:r>
        <w:tab/>
        <w:t>As noted above, whether the switches for income: expenses are set ‘yes: yes' or ‘no: no’ for these revenue adjustments brings the same tax outcome.</w:t>
      </w:r>
    </w:p>
  </w:footnote>
  <w:footnote w:id="21">
    <w:p w:rsidR="00380547" w:rsidRDefault="00380547" w:rsidP="00E63D7D">
      <w:pPr>
        <w:pStyle w:val="FootnoteText"/>
      </w:pPr>
      <w:r>
        <w:rPr>
          <w:rStyle w:val="FootnoteReference"/>
        </w:rPr>
        <w:footnoteRef/>
      </w:r>
      <w:r>
        <w:t xml:space="preserve"> </w:t>
      </w:r>
      <w:r>
        <w:tab/>
        <w:t xml:space="preserve">AER. </w:t>
      </w:r>
      <w:r w:rsidRPr="00233D13">
        <w:rPr>
          <w:rStyle w:val="AERtextitalic"/>
        </w:rPr>
        <w:t>Final Decision SP AusNet Transmission determination 2014–15 to 2016–17</w:t>
      </w:r>
      <w:r>
        <w:t>. January 2014,  pp. 41–42, 92–107.</w:t>
      </w:r>
    </w:p>
  </w:footnote>
  <w:footnote w:id="22">
    <w:p w:rsidR="00380547" w:rsidRDefault="00380547">
      <w:pPr>
        <w:pStyle w:val="FootnoteText"/>
      </w:pPr>
      <w:r>
        <w:rPr>
          <w:rStyle w:val="FootnoteReference"/>
        </w:rPr>
        <w:footnoteRef/>
      </w:r>
      <w:r>
        <w:t xml:space="preserve"> </w:t>
      </w:r>
      <w:r>
        <w:tab/>
      </w:r>
      <w:r w:rsidRPr="00C73388">
        <w:t xml:space="preserve">AER, </w:t>
      </w:r>
      <w:r w:rsidRPr="00C73388">
        <w:rPr>
          <w:rStyle w:val="AERtextitalic"/>
        </w:rPr>
        <w:t>Better regulation, Efficiency benefit sharing scheme for electricity network service providers</w:t>
      </w:r>
      <w:r w:rsidRPr="00C73388">
        <w:t xml:space="preserve">, November 2013; AER, </w:t>
      </w:r>
      <w:r w:rsidRPr="00C73388">
        <w:rPr>
          <w:rStyle w:val="AERtextitalic"/>
        </w:rPr>
        <w:t>Better regulation, Capital expenditure incentive guideline for electricity network service providers</w:t>
      </w:r>
      <w:r w:rsidRPr="00C73388">
        <w:t xml:space="preserve">, November 2013; and AER, </w:t>
      </w:r>
      <w:r w:rsidRPr="00C73388">
        <w:rPr>
          <w:rStyle w:val="AERtextitalic"/>
        </w:rPr>
        <w:t>Better regulation, Shared asset guideline</w:t>
      </w:r>
      <w:r w:rsidRPr="00C73388">
        <w:t>, November 2013.</w:t>
      </w:r>
    </w:p>
  </w:footnote>
  <w:footnote w:id="23">
    <w:p w:rsidR="00380547" w:rsidRDefault="00380547">
      <w:pPr>
        <w:pStyle w:val="FootnoteText"/>
      </w:pPr>
      <w:r>
        <w:rPr>
          <w:rStyle w:val="FootnoteReference"/>
        </w:rPr>
        <w:footnoteRef/>
      </w:r>
      <w:r>
        <w:t xml:space="preserve"> </w:t>
      </w:r>
      <w:r>
        <w:tab/>
        <w:t>See for example; AER,</w:t>
      </w:r>
      <w:r w:rsidRPr="00591090">
        <w:t xml:space="preserve"> </w:t>
      </w:r>
      <w:r w:rsidRPr="00EB0444">
        <w:rPr>
          <w:rStyle w:val="AERtextitalic"/>
        </w:rPr>
        <w:t>Final decision AusNet distribution determination - Attachment 8 - Corporate income tax</w:t>
      </w:r>
      <w:r>
        <w:t>,</w:t>
      </w:r>
      <w:r w:rsidRPr="00591090">
        <w:t xml:space="preserve"> May 2016</w:t>
      </w:r>
      <w:r>
        <w:t>, p. 11; AER,</w:t>
      </w:r>
      <w:r w:rsidRPr="00591090">
        <w:t xml:space="preserve"> </w:t>
      </w:r>
      <w:r w:rsidRPr="00E9583C">
        <w:rPr>
          <w:rStyle w:val="AERtextitalic"/>
        </w:rPr>
        <w:t xml:space="preserve">Final decision </w:t>
      </w:r>
      <w:r>
        <w:rPr>
          <w:rStyle w:val="AERtextitalic"/>
        </w:rPr>
        <w:t xml:space="preserve">CitiPower </w:t>
      </w:r>
      <w:r w:rsidRPr="00E9583C">
        <w:rPr>
          <w:rStyle w:val="AERtextitalic"/>
        </w:rPr>
        <w:t>distribution determination - Attachment 8 - Corporate income tax</w:t>
      </w:r>
      <w:r>
        <w:t>,</w:t>
      </w:r>
      <w:r w:rsidRPr="00591090">
        <w:t xml:space="preserve"> May 2016</w:t>
      </w:r>
      <w:r>
        <w:t>, p. 11; AER,</w:t>
      </w:r>
      <w:r w:rsidRPr="00591090">
        <w:t xml:space="preserve"> </w:t>
      </w:r>
      <w:r w:rsidRPr="00E9583C">
        <w:rPr>
          <w:rStyle w:val="AERtextitalic"/>
        </w:rPr>
        <w:t xml:space="preserve">Final decision </w:t>
      </w:r>
      <w:r>
        <w:rPr>
          <w:rStyle w:val="AERtextitalic"/>
        </w:rPr>
        <w:t xml:space="preserve">Jemena </w:t>
      </w:r>
      <w:r w:rsidRPr="00E9583C">
        <w:rPr>
          <w:rStyle w:val="AERtextitalic"/>
        </w:rPr>
        <w:t>distribution determination - Attachment 8 - Corporate income tax</w:t>
      </w:r>
      <w:r>
        <w:t>,</w:t>
      </w:r>
      <w:r w:rsidRPr="00591090">
        <w:t xml:space="preserve"> May 2016</w:t>
      </w:r>
      <w:r>
        <w:t>, p. 11; AER,</w:t>
      </w:r>
      <w:r w:rsidRPr="00591090">
        <w:t xml:space="preserve"> </w:t>
      </w:r>
      <w:r w:rsidRPr="00E9583C">
        <w:rPr>
          <w:rStyle w:val="AERtextitalic"/>
        </w:rPr>
        <w:t xml:space="preserve">Final decision </w:t>
      </w:r>
      <w:r>
        <w:rPr>
          <w:rStyle w:val="AERtextitalic"/>
        </w:rPr>
        <w:t xml:space="preserve">Powercor </w:t>
      </w:r>
      <w:r w:rsidRPr="00E9583C">
        <w:rPr>
          <w:rStyle w:val="AERtextitalic"/>
        </w:rPr>
        <w:t>distribution determination - Attachment 8 - Corporate income tax</w:t>
      </w:r>
      <w:r>
        <w:t>,</w:t>
      </w:r>
      <w:r w:rsidRPr="00591090">
        <w:t xml:space="preserve"> May 2016</w:t>
      </w:r>
      <w:r>
        <w:t>, p. 11; AER,</w:t>
      </w:r>
      <w:r w:rsidRPr="00591090">
        <w:t xml:space="preserve"> </w:t>
      </w:r>
      <w:r w:rsidRPr="00E9583C">
        <w:rPr>
          <w:rStyle w:val="AERtextitalic"/>
        </w:rPr>
        <w:t xml:space="preserve">Final decision </w:t>
      </w:r>
      <w:r>
        <w:rPr>
          <w:rStyle w:val="AERtextitalic"/>
        </w:rPr>
        <w:t xml:space="preserve">United Energy </w:t>
      </w:r>
      <w:r w:rsidRPr="00E9583C">
        <w:rPr>
          <w:rStyle w:val="AERtextitalic"/>
        </w:rPr>
        <w:t>distribution determination - Attachment 8 - Corporate income tax</w:t>
      </w:r>
      <w:r>
        <w:t>,</w:t>
      </w:r>
      <w:r w:rsidRPr="00591090">
        <w:t xml:space="preserve"> May 2016</w:t>
      </w:r>
      <w:r>
        <w:t xml:space="preserve">, p. 6; AER, </w:t>
      </w:r>
      <w:r w:rsidRPr="00E9583C">
        <w:rPr>
          <w:rStyle w:val="AERtextitalic"/>
        </w:rPr>
        <w:t>Final Decision TransGrid transmission determination - Attachment 8 - Corporate income tax, April 2015</w:t>
      </w:r>
      <w:r>
        <w:t xml:space="preserve">, p. 6; </w:t>
      </w:r>
      <w:r w:rsidRPr="00591090">
        <w:t>AER</w:t>
      </w:r>
      <w:r>
        <w:t xml:space="preserve">, </w:t>
      </w:r>
      <w:r w:rsidRPr="00E9583C">
        <w:rPr>
          <w:rStyle w:val="AERtextitalic"/>
        </w:rPr>
        <w:t>Draft decision TasNetworks transmission determination - Attachment 8 - Corporate income tax</w:t>
      </w:r>
      <w:r>
        <w:t>,</w:t>
      </w:r>
      <w:r w:rsidRPr="00591090">
        <w:t xml:space="preserve"> November 2014</w:t>
      </w:r>
      <w:r>
        <w:t>, p. 9.</w:t>
      </w:r>
    </w:p>
  </w:footnote>
  <w:footnote w:id="24">
    <w:p w:rsidR="00380547" w:rsidRDefault="00380547">
      <w:pPr>
        <w:pStyle w:val="FootnoteText"/>
      </w:pPr>
      <w:r>
        <w:rPr>
          <w:rStyle w:val="FootnoteReference"/>
        </w:rPr>
        <w:footnoteRef/>
      </w:r>
      <w:r>
        <w:t xml:space="preserve"> </w:t>
      </w:r>
      <w:r>
        <w:tab/>
        <w:t>In contrast, AusNet Services' proposal would distort this incentive by providing a greater reward (penalty) to the business for expenditure decreases (increases) in later years of the regulatory control period.</w:t>
      </w:r>
    </w:p>
  </w:footnote>
  <w:footnote w:id="25">
    <w:p w:rsidR="00380547" w:rsidRDefault="00380547">
      <w:pPr>
        <w:pStyle w:val="FootnoteText"/>
      </w:pPr>
      <w:r>
        <w:rPr>
          <w:rStyle w:val="FootnoteReference"/>
        </w:rPr>
        <w:footnoteRef/>
      </w:r>
      <w:r>
        <w:t xml:space="preserve"> </w:t>
      </w:r>
      <w:r>
        <w:tab/>
        <w:t xml:space="preserve">AER, </w:t>
      </w:r>
      <w:r w:rsidRPr="000A20F8">
        <w:rPr>
          <w:i/>
        </w:rPr>
        <w:t xml:space="preserve">Final decision, </w:t>
      </w:r>
      <w:r w:rsidRPr="00ED75C9">
        <w:rPr>
          <w:i/>
        </w:rPr>
        <w:t>Ausgrid distribution determination 2015–16 to 2018–19, Attachment 8 – Corporate income tax</w:t>
      </w:r>
      <w:r>
        <w:t>, April 2015, pp. 8-18.</w:t>
      </w:r>
    </w:p>
  </w:footnote>
  <w:footnote w:id="26">
    <w:p w:rsidR="00380547" w:rsidRDefault="00380547">
      <w:pPr>
        <w:pStyle w:val="FootnoteText"/>
      </w:pPr>
      <w:r>
        <w:rPr>
          <w:rStyle w:val="FootnoteReference"/>
        </w:rPr>
        <w:footnoteRef/>
      </w:r>
      <w:r>
        <w:t xml:space="preserve"> </w:t>
      </w:r>
      <w:r>
        <w:tab/>
        <w:t>That is, the revenue adjustments are both tax income and tax expense.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1C" w:rsidRDefault="007C5D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1C" w:rsidRDefault="007C5D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1C" w:rsidRDefault="007C5D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BCF0C052"/>
    <w:lvl w:ilvl="0">
      <w:start w:val="8"/>
      <w:numFmt w:val="decimal"/>
      <w:pStyle w:val="Heading1"/>
      <w:lvlText w:val="%1"/>
      <w:lvlJc w:val="left"/>
      <w:pPr>
        <w:ind w:left="574" w:hanging="432"/>
      </w:pPr>
      <w:rPr>
        <w:rFonts w:hint="default"/>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862" w:hanging="720"/>
      </w:pPr>
      <w:rPr>
        <w:rFonts w:hint="default"/>
      </w:rPr>
    </w:lvl>
    <w:lvl w:ilvl="3">
      <w:start w:val="1"/>
      <w:numFmt w:val="decimal"/>
      <w:pStyle w:val="Heading4"/>
      <w:lvlText w:val="%1.%2.%3.%4"/>
      <w:lvlJc w:val="left"/>
      <w:pPr>
        <w:ind w:left="1006" w:hanging="864"/>
      </w:pPr>
      <w:rPr>
        <w:rFonts w:hint="default"/>
      </w:rPr>
    </w:lvl>
    <w:lvl w:ilvl="4">
      <w:start w:val="1"/>
      <w:numFmt w:val="decimal"/>
      <w:pStyle w:val="Heading5"/>
      <w:lvlText w:val="%1.%2.%3.%4.%5"/>
      <w:lvlJc w:val="left"/>
      <w:pPr>
        <w:ind w:left="1150" w:hanging="1008"/>
      </w:pPr>
      <w:rPr>
        <w:rFonts w:hint="default"/>
      </w:rPr>
    </w:lvl>
    <w:lvl w:ilvl="5">
      <w:start w:val="1"/>
      <w:numFmt w:val="decimal"/>
      <w:pStyle w:val="Heading6"/>
      <w:lvlText w:val="%1.%2.%3.%4.%5.%6"/>
      <w:lvlJc w:val="left"/>
      <w:pPr>
        <w:ind w:left="1294" w:hanging="1152"/>
      </w:pPr>
      <w:rPr>
        <w:rFonts w:hint="default"/>
      </w:rPr>
    </w:lvl>
    <w:lvl w:ilvl="6">
      <w:start w:val="1"/>
      <w:numFmt w:val="decimal"/>
      <w:lvlText w:val="%1.%2.%3.%4.%5.%6.%7"/>
      <w:lvlJc w:val="left"/>
      <w:pPr>
        <w:ind w:left="1438" w:hanging="1296"/>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726"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1"/>
  </w:num>
  <w:num w:numId="15">
    <w:abstractNumId w:val="14"/>
  </w:num>
  <w:num w:numId="16">
    <w:abstractNumId w:val="30"/>
  </w:num>
  <w:num w:numId="17">
    <w:abstractNumId w:val="10"/>
  </w:num>
  <w:num w:numId="18">
    <w:abstractNumId w:val="19"/>
  </w:num>
  <w:num w:numId="19">
    <w:abstractNumId w:val="31"/>
  </w:num>
  <w:num w:numId="20">
    <w:abstractNumId w:val="38"/>
  </w:num>
  <w:num w:numId="21">
    <w:abstractNumId w:val="15"/>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8"/>
  </w:num>
  <w:num w:numId="30">
    <w:abstractNumId w:val="39"/>
  </w:num>
  <w:num w:numId="31">
    <w:abstractNumId w:val="16"/>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3"/>
  </w:num>
  <w:num w:numId="40">
    <w:abstractNumId w:val="35"/>
  </w:num>
  <w:num w:numId="41">
    <w:abstractNumId w:val="35"/>
  </w:num>
  <w:num w:numId="42">
    <w:abstractNumId w:val="27"/>
  </w:num>
  <w:num w:numId="43">
    <w:abstractNumId w:val="17"/>
  </w:num>
  <w:num w:numId="44">
    <w:abstractNumId w:val="28"/>
  </w:num>
  <w:num w:numId="45">
    <w:abstractNumId w:val="24"/>
  </w:num>
  <w:num w:numId="46">
    <w:abstractNumId w:val="9"/>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usnet services 2017-22 - draft decision - attachment 8 - corporate income tax (AER2015-004430).docx"/>
  </w:docVars>
  <w:rsids>
    <w:rsidRoot w:val="00961A4A"/>
    <w:rsid w:val="000035FC"/>
    <w:rsid w:val="00005540"/>
    <w:rsid w:val="00014067"/>
    <w:rsid w:val="00021202"/>
    <w:rsid w:val="00021C2B"/>
    <w:rsid w:val="0002517F"/>
    <w:rsid w:val="0002597E"/>
    <w:rsid w:val="0003578C"/>
    <w:rsid w:val="00063247"/>
    <w:rsid w:val="00070F9F"/>
    <w:rsid w:val="0007137B"/>
    <w:rsid w:val="00077389"/>
    <w:rsid w:val="00085663"/>
    <w:rsid w:val="00085EBF"/>
    <w:rsid w:val="00086871"/>
    <w:rsid w:val="000A3020"/>
    <w:rsid w:val="000A6C7B"/>
    <w:rsid w:val="000B321F"/>
    <w:rsid w:val="000C2B40"/>
    <w:rsid w:val="000D122C"/>
    <w:rsid w:val="000E1819"/>
    <w:rsid w:val="000E4821"/>
    <w:rsid w:val="000E6C72"/>
    <w:rsid w:val="00116EB2"/>
    <w:rsid w:val="001203C4"/>
    <w:rsid w:val="00124609"/>
    <w:rsid w:val="00126A4C"/>
    <w:rsid w:val="001344BE"/>
    <w:rsid w:val="0014573B"/>
    <w:rsid w:val="00146EB7"/>
    <w:rsid w:val="001573E4"/>
    <w:rsid w:val="00160756"/>
    <w:rsid w:val="0017232E"/>
    <w:rsid w:val="00174102"/>
    <w:rsid w:val="001754EE"/>
    <w:rsid w:val="00180157"/>
    <w:rsid w:val="001830F8"/>
    <w:rsid w:val="00185C55"/>
    <w:rsid w:val="00185CB9"/>
    <w:rsid w:val="00186F77"/>
    <w:rsid w:val="001921F2"/>
    <w:rsid w:val="001926A4"/>
    <w:rsid w:val="00192AD5"/>
    <w:rsid w:val="001B45A0"/>
    <w:rsid w:val="001D055E"/>
    <w:rsid w:val="001D4E17"/>
    <w:rsid w:val="001F272F"/>
    <w:rsid w:val="001F492E"/>
    <w:rsid w:val="001F6DA3"/>
    <w:rsid w:val="002010BC"/>
    <w:rsid w:val="002016E7"/>
    <w:rsid w:val="00202E03"/>
    <w:rsid w:val="0020492C"/>
    <w:rsid w:val="00224DB9"/>
    <w:rsid w:val="00233775"/>
    <w:rsid w:val="00233D13"/>
    <w:rsid w:val="00251745"/>
    <w:rsid w:val="00263AC0"/>
    <w:rsid w:val="00264264"/>
    <w:rsid w:val="0026772D"/>
    <w:rsid w:val="00276718"/>
    <w:rsid w:val="00286874"/>
    <w:rsid w:val="002876B3"/>
    <w:rsid w:val="00290C63"/>
    <w:rsid w:val="00296B65"/>
    <w:rsid w:val="00297C2E"/>
    <w:rsid w:val="002A0C23"/>
    <w:rsid w:val="002A7DEF"/>
    <w:rsid w:val="002C233C"/>
    <w:rsid w:val="002D72E8"/>
    <w:rsid w:val="002E7B22"/>
    <w:rsid w:val="002F1AD2"/>
    <w:rsid w:val="002F7986"/>
    <w:rsid w:val="00301B40"/>
    <w:rsid w:val="003029EE"/>
    <w:rsid w:val="00305CC8"/>
    <w:rsid w:val="00307F6D"/>
    <w:rsid w:val="003177A2"/>
    <w:rsid w:val="003271B5"/>
    <w:rsid w:val="00327A1E"/>
    <w:rsid w:val="00331264"/>
    <w:rsid w:val="00334C8D"/>
    <w:rsid w:val="00343A18"/>
    <w:rsid w:val="003518B3"/>
    <w:rsid w:val="00380547"/>
    <w:rsid w:val="003846F1"/>
    <w:rsid w:val="00387B59"/>
    <w:rsid w:val="003903F6"/>
    <w:rsid w:val="003A51F1"/>
    <w:rsid w:val="003B484F"/>
    <w:rsid w:val="003B7FBA"/>
    <w:rsid w:val="003C303F"/>
    <w:rsid w:val="003C3A9C"/>
    <w:rsid w:val="003F174D"/>
    <w:rsid w:val="00400514"/>
    <w:rsid w:val="004063AF"/>
    <w:rsid w:val="00415F31"/>
    <w:rsid w:val="00423A77"/>
    <w:rsid w:val="00435E07"/>
    <w:rsid w:val="00453391"/>
    <w:rsid w:val="00454017"/>
    <w:rsid w:val="0045777E"/>
    <w:rsid w:val="00480B4B"/>
    <w:rsid w:val="00485DC4"/>
    <w:rsid w:val="00491349"/>
    <w:rsid w:val="00492389"/>
    <w:rsid w:val="004A43D1"/>
    <w:rsid w:val="004B4412"/>
    <w:rsid w:val="004C348C"/>
    <w:rsid w:val="004D4888"/>
    <w:rsid w:val="004D55BA"/>
    <w:rsid w:val="004E22EC"/>
    <w:rsid w:val="004F6A0E"/>
    <w:rsid w:val="00525652"/>
    <w:rsid w:val="00530128"/>
    <w:rsid w:val="00532467"/>
    <w:rsid w:val="0053618F"/>
    <w:rsid w:val="00540418"/>
    <w:rsid w:val="00540BEC"/>
    <w:rsid w:val="00544C12"/>
    <w:rsid w:val="00553342"/>
    <w:rsid w:val="00564A4D"/>
    <w:rsid w:val="00567BA5"/>
    <w:rsid w:val="00571B35"/>
    <w:rsid w:val="00571D57"/>
    <w:rsid w:val="00577A09"/>
    <w:rsid w:val="0058189B"/>
    <w:rsid w:val="005829C2"/>
    <w:rsid w:val="00584D8F"/>
    <w:rsid w:val="005851C6"/>
    <w:rsid w:val="00591090"/>
    <w:rsid w:val="005A404D"/>
    <w:rsid w:val="005B1E3C"/>
    <w:rsid w:val="005B704A"/>
    <w:rsid w:val="005C26CC"/>
    <w:rsid w:val="005C4624"/>
    <w:rsid w:val="005D7BA2"/>
    <w:rsid w:val="005E0ADD"/>
    <w:rsid w:val="005E1C36"/>
    <w:rsid w:val="005E36C2"/>
    <w:rsid w:val="005F3CA6"/>
    <w:rsid w:val="00600B8F"/>
    <w:rsid w:val="00612F4F"/>
    <w:rsid w:val="00615C6B"/>
    <w:rsid w:val="00617922"/>
    <w:rsid w:val="00621DCE"/>
    <w:rsid w:val="00632D6D"/>
    <w:rsid w:val="00642C3E"/>
    <w:rsid w:val="006537AA"/>
    <w:rsid w:val="0066104A"/>
    <w:rsid w:val="00663DAD"/>
    <w:rsid w:val="00667AB1"/>
    <w:rsid w:val="00675E20"/>
    <w:rsid w:val="00676679"/>
    <w:rsid w:val="00683C89"/>
    <w:rsid w:val="006A08A8"/>
    <w:rsid w:val="006B181E"/>
    <w:rsid w:val="006B2395"/>
    <w:rsid w:val="006B4CF9"/>
    <w:rsid w:val="006B7AC8"/>
    <w:rsid w:val="006B7C5F"/>
    <w:rsid w:val="006C150E"/>
    <w:rsid w:val="006C1736"/>
    <w:rsid w:val="006D5008"/>
    <w:rsid w:val="006D550F"/>
    <w:rsid w:val="006F33D1"/>
    <w:rsid w:val="00701CAB"/>
    <w:rsid w:val="00707563"/>
    <w:rsid w:val="00713956"/>
    <w:rsid w:val="0072348C"/>
    <w:rsid w:val="00724A37"/>
    <w:rsid w:val="007303C3"/>
    <w:rsid w:val="00731756"/>
    <w:rsid w:val="007429BE"/>
    <w:rsid w:val="00743223"/>
    <w:rsid w:val="00746513"/>
    <w:rsid w:val="00746E01"/>
    <w:rsid w:val="00756E14"/>
    <w:rsid w:val="00757364"/>
    <w:rsid w:val="00757BDF"/>
    <w:rsid w:val="007609D0"/>
    <w:rsid w:val="00763E5D"/>
    <w:rsid w:val="00767740"/>
    <w:rsid w:val="00777EE6"/>
    <w:rsid w:val="00782EEA"/>
    <w:rsid w:val="00796270"/>
    <w:rsid w:val="007976B6"/>
    <w:rsid w:val="007B186E"/>
    <w:rsid w:val="007B2C72"/>
    <w:rsid w:val="007B45B7"/>
    <w:rsid w:val="007C1C53"/>
    <w:rsid w:val="007C5D1C"/>
    <w:rsid w:val="007C74BB"/>
    <w:rsid w:val="007D3644"/>
    <w:rsid w:val="007D456E"/>
    <w:rsid w:val="007E4904"/>
    <w:rsid w:val="007E4CB5"/>
    <w:rsid w:val="007F066B"/>
    <w:rsid w:val="00800A30"/>
    <w:rsid w:val="008033C4"/>
    <w:rsid w:val="00806C88"/>
    <w:rsid w:val="0081034E"/>
    <w:rsid w:val="00811363"/>
    <w:rsid w:val="008154EF"/>
    <w:rsid w:val="008344F6"/>
    <w:rsid w:val="00834C55"/>
    <w:rsid w:val="0083510F"/>
    <w:rsid w:val="00842AAE"/>
    <w:rsid w:val="00842AFA"/>
    <w:rsid w:val="00851209"/>
    <w:rsid w:val="008837AC"/>
    <w:rsid w:val="008A587D"/>
    <w:rsid w:val="008B35CD"/>
    <w:rsid w:val="008B5FCC"/>
    <w:rsid w:val="008C5486"/>
    <w:rsid w:val="008D1661"/>
    <w:rsid w:val="008E7031"/>
    <w:rsid w:val="008E77DE"/>
    <w:rsid w:val="008F07A3"/>
    <w:rsid w:val="008F2FCF"/>
    <w:rsid w:val="009001B6"/>
    <w:rsid w:val="00900E1B"/>
    <w:rsid w:val="00900E6A"/>
    <w:rsid w:val="0090431C"/>
    <w:rsid w:val="009233EE"/>
    <w:rsid w:val="00945CB8"/>
    <w:rsid w:val="009460AA"/>
    <w:rsid w:val="00950B6F"/>
    <w:rsid w:val="00951978"/>
    <w:rsid w:val="00961197"/>
    <w:rsid w:val="00961A4A"/>
    <w:rsid w:val="009661DE"/>
    <w:rsid w:val="00983C25"/>
    <w:rsid w:val="009856B7"/>
    <w:rsid w:val="00985C86"/>
    <w:rsid w:val="00996061"/>
    <w:rsid w:val="00996349"/>
    <w:rsid w:val="00996A8E"/>
    <w:rsid w:val="009A5FC3"/>
    <w:rsid w:val="009A7D9D"/>
    <w:rsid w:val="009B090B"/>
    <w:rsid w:val="009B74B0"/>
    <w:rsid w:val="009C0D47"/>
    <w:rsid w:val="009D3906"/>
    <w:rsid w:val="009D6B46"/>
    <w:rsid w:val="009F4940"/>
    <w:rsid w:val="009F5BA1"/>
    <w:rsid w:val="00A02A88"/>
    <w:rsid w:val="00A0562E"/>
    <w:rsid w:val="00A0726D"/>
    <w:rsid w:val="00A32FBB"/>
    <w:rsid w:val="00A344D3"/>
    <w:rsid w:val="00A428EE"/>
    <w:rsid w:val="00A4478A"/>
    <w:rsid w:val="00A44852"/>
    <w:rsid w:val="00A56B26"/>
    <w:rsid w:val="00A57D04"/>
    <w:rsid w:val="00A60A26"/>
    <w:rsid w:val="00A61598"/>
    <w:rsid w:val="00A63EDD"/>
    <w:rsid w:val="00A704B2"/>
    <w:rsid w:val="00A75EF7"/>
    <w:rsid w:val="00A84A99"/>
    <w:rsid w:val="00A84F46"/>
    <w:rsid w:val="00A85F97"/>
    <w:rsid w:val="00A871F4"/>
    <w:rsid w:val="00AA3722"/>
    <w:rsid w:val="00AA3B8E"/>
    <w:rsid w:val="00AB4D90"/>
    <w:rsid w:val="00AC0C43"/>
    <w:rsid w:val="00AC1B2C"/>
    <w:rsid w:val="00AC3264"/>
    <w:rsid w:val="00AC4546"/>
    <w:rsid w:val="00AE1BF1"/>
    <w:rsid w:val="00AF0DD2"/>
    <w:rsid w:val="00B06C2F"/>
    <w:rsid w:val="00B10024"/>
    <w:rsid w:val="00B13048"/>
    <w:rsid w:val="00B1716D"/>
    <w:rsid w:val="00B17A1D"/>
    <w:rsid w:val="00B207A0"/>
    <w:rsid w:val="00B20D8D"/>
    <w:rsid w:val="00B217BD"/>
    <w:rsid w:val="00B2303F"/>
    <w:rsid w:val="00B42809"/>
    <w:rsid w:val="00B514DD"/>
    <w:rsid w:val="00B52AF0"/>
    <w:rsid w:val="00B561BD"/>
    <w:rsid w:val="00B56BB3"/>
    <w:rsid w:val="00B56E03"/>
    <w:rsid w:val="00B8080B"/>
    <w:rsid w:val="00B82223"/>
    <w:rsid w:val="00B87BA5"/>
    <w:rsid w:val="00B87C39"/>
    <w:rsid w:val="00B9562D"/>
    <w:rsid w:val="00B9733D"/>
    <w:rsid w:val="00BA4665"/>
    <w:rsid w:val="00BB089B"/>
    <w:rsid w:val="00BB2FB2"/>
    <w:rsid w:val="00BB3304"/>
    <w:rsid w:val="00BD3446"/>
    <w:rsid w:val="00BD5D87"/>
    <w:rsid w:val="00BE1F1B"/>
    <w:rsid w:val="00BE47B5"/>
    <w:rsid w:val="00BF0A78"/>
    <w:rsid w:val="00BF25F1"/>
    <w:rsid w:val="00C25FA6"/>
    <w:rsid w:val="00C26737"/>
    <w:rsid w:val="00C420BC"/>
    <w:rsid w:val="00C538A9"/>
    <w:rsid w:val="00C53B5A"/>
    <w:rsid w:val="00C54F5A"/>
    <w:rsid w:val="00C569B4"/>
    <w:rsid w:val="00C67A92"/>
    <w:rsid w:val="00C72FBA"/>
    <w:rsid w:val="00C81758"/>
    <w:rsid w:val="00C84560"/>
    <w:rsid w:val="00C86679"/>
    <w:rsid w:val="00C8739E"/>
    <w:rsid w:val="00CA11AF"/>
    <w:rsid w:val="00CA489E"/>
    <w:rsid w:val="00CA67ED"/>
    <w:rsid w:val="00CB0279"/>
    <w:rsid w:val="00CB0598"/>
    <w:rsid w:val="00CB10DB"/>
    <w:rsid w:val="00CB666B"/>
    <w:rsid w:val="00CC7F1D"/>
    <w:rsid w:val="00CE2DCE"/>
    <w:rsid w:val="00CE484B"/>
    <w:rsid w:val="00CF6177"/>
    <w:rsid w:val="00D006AE"/>
    <w:rsid w:val="00D01CF0"/>
    <w:rsid w:val="00D0442A"/>
    <w:rsid w:val="00D1563D"/>
    <w:rsid w:val="00D17061"/>
    <w:rsid w:val="00D27530"/>
    <w:rsid w:val="00D325B8"/>
    <w:rsid w:val="00D61388"/>
    <w:rsid w:val="00D61A54"/>
    <w:rsid w:val="00D64DEA"/>
    <w:rsid w:val="00D66138"/>
    <w:rsid w:val="00D7168E"/>
    <w:rsid w:val="00D71E57"/>
    <w:rsid w:val="00D80893"/>
    <w:rsid w:val="00D83007"/>
    <w:rsid w:val="00D842E4"/>
    <w:rsid w:val="00D84854"/>
    <w:rsid w:val="00D92CF1"/>
    <w:rsid w:val="00D92D38"/>
    <w:rsid w:val="00D950F5"/>
    <w:rsid w:val="00D956CF"/>
    <w:rsid w:val="00DA4752"/>
    <w:rsid w:val="00DA61F3"/>
    <w:rsid w:val="00DA6A65"/>
    <w:rsid w:val="00DB0110"/>
    <w:rsid w:val="00DB0F93"/>
    <w:rsid w:val="00DB1A67"/>
    <w:rsid w:val="00DB48C6"/>
    <w:rsid w:val="00DB5074"/>
    <w:rsid w:val="00DC5D3C"/>
    <w:rsid w:val="00DC7981"/>
    <w:rsid w:val="00DD3F76"/>
    <w:rsid w:val="00DD6E07"/>
    <w:rsid w:val="00DE1093"/>
    <w:rsid w:val="00DE3695"/>
    <w:rsid w:val="00DE4EFA"/>
    <w:rsid w:val="00DE5520"/>
    <w:rsid w:val="00DE563D"/>
    <w:rsid w:val="00E04818"/>
    <w:rsid w:val="00E06442"/>
    <w:rsid w:val="00E121EE"/>
    <w:rsid w:val="00E23993"/>
    <w:rsid w:val="00E25903"/>
    <w:rsid w:val="00E25B8C"/>
    <w:rsid w:val="00E34901"/>
    <w:rsid w:val="00E34D53"/>
    <w:rsid w:val="00E36B92"/>
    <w:rsid w:val="00E43C30"/>
    <w:rsid w:val="00E61441"/>
    <w:rsid w:val="00E63D7D"/>
    <w:rsid w:val="00E65C85"/>
    <w:rsid w:val="00E66199"/>
    <w:rsid w:val="00E66803"/>
    <w:rsid w:val="00E755EC"/>
    <w:rsid w:val="00E7624D"/>
    <w:rsid w:val="00E97452"/>
    <w:rsid w:val="00EA3D42"/>
    <w:rsid w:val="00EA6B1B"/>
    <w:rsid w:val="00EB0444"/>
    <w:rsid w:val="00EC04F1"/>
    <w:rsid w:val="00ED107D"/>
    <w:rsid w:val="00ED2A57"/>
    <w:rsid w:val="00ED7323"/>
    <w:rsid w:val="00EE28F3"/>
    <w:rsid w:val="00EE50D1"/>
    <w:rsid w:val="00EF5110"/>
    <w:rsid w:val="00EF6D51"/>
    <w:rsid w:val="00F0622A"/>
    <w:rsid w:val="00F0689C"/>
    <w:rsid w:val="00F10411"/>
    <w:rsid w:val="00F15882"/>
    <w:rsid w:val="00F171E0"/>
    <w:rsid w:val="00F20BD3"/>
    <w:rsid w:val="00F33D1C"/>
    <w:rsid w:val="00F373A5"/>
    <w:rsid w:val="00F42E43"/>
    <w:rsid w:val="00F47559"/>
    <w:rsid w:val="00F64C7B"/>
    <w:rsid w:val="00F676DD"/>
    <w:rsid w:val="00F707AB"/>
    <w:rsid w:val="00F73143"/>
    <w:rsid w:val="00F75A26"/>
    <w:rsid w:val="00F76706"/>
    <w:rsid w:val="00F770F6"/>
    <w:rsid w:val="00F83FAD"/>
    <w:rsid w:val="00F952A0"/>
    <w:rsid w:val="00FA3C7F"/>
    <w:rsid w:val="00FB2560"/>
    <w:rsid w:val="00FB60FE"/>
    <w:rsid w:val="00FB74E2"/>
    <w:rsid w:val="00FC188B"/>
    <w:rsid w:val="00FD5614"/>
    <w:rsid w:val="00FD5E78"/>
    <w:rsid w:val="00FE0BE1"/>
    <w:rsid w:val="00FE1DE9"/>
    <w:rsid w:val="00FE36AF"/>
    <w:rsid w:val="00FE39C2"/>
    <w:rsid w:val="00FE3C32"/>
    <w:rsid w:val="00FE55BF"/>
    <w:rsid w:val="00FE64AE"/>
    <w:rsid w:val="00FF0E2E"/>
    <w:rsid w:val="00FF465E"/>
    <w:rsid w:val="00FF574B"/>
    <w:rsid w:val="00FF6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4579">
      <w:bodyDiv w:val="1"/>
      <w:marLeft w:val="0"/>
      <w:marRight w:val="0"/>
      <w:marTop w:val="0"/>
      <w:marBottom w:val="0"/>
      <w:divBdr>
        <w:top w:val="none" w:sz="0" w:space="0" w:color="auto"/>
        <w:left w:val="none" w:sz="0" w:space="0" w:color="auto"/>
        <w:bottom w:val="none" w:sz="0" w:space="0" w:color="auto"/>
        <w:right w:val="none" w:sz="0" w:space="0" w:color="auto"/>
      </w:divBdr>
    </w:div>
    <w:div w:id="265894364">
      <w:bodyDiv w:val="1"/>
      <w:marLeft w:val="0"/>
      <w:marRight w:val="0"/>
      <w:marTop w:val="0"/>
      <w:marBottom w:val="0"/>
      <w:divBdr>
        <w:top w:val="none" w:sz="0" w:space="0" w:color="auto"/>
        <w:left w:val="none" w:sz="0" w:space="0" w:color="auto"/>
        <w:bottom w:val="none" w:sz="0" w:space="0" w:color="auto"/>
        <w:right w:val="none" w:sz="0" w:space="0" w:color="auto"/>
      </w:divBdr>
    </w:div>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aw.ato.gov.au/atolaw/view.htm?docid=%22TXR%2FTR20152%2FNAT%2FATO%2F00001%22" TargetMode="External"/><Relationship Id="rId1" Type="http://schemas.openxmlformats.org/officeDocument/2006/relationships/hyperlink" Target="http://law.ato.gov.au/atolaw/view.htm?docid=%22TXR%2FTR20152%2FNAT%2FATO%2F00001%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4FCA8E-9D5B-4698-A909-5237B6F1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84FA5EB6</Template>
  <TotalTime>0</TotalTime>
  <Pages>16</Pages>
  <Words>3496</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AusNet Services 2017-22 - Draft decision - Attachment 8 - Corporate income tax</vt:lpstr>
    </vt:vector>
  </TitlesOfParts>
  <LinksUpToDate>false</LinksUpToDate>
  <CharactersWithSpaces>23381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AusNet Services 2017-22 - Draft decision - Attachment 8 - Corporate income tax</dc:title>
  <dc:creator/>
  <cp:lastModifiedBy/>
  <cp:revision>1</cp:revision>
  <dcterms:created xsi:type="dcterms:W3CDTF">2016-07-18T00:50:00Z</dcterms:created>
  <dcterms:modified xsi:type="dcterms:W3CDTF">2016-07-18T00:50:00Z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\\cdchnas-evs02\home$\mleco\ausnet services 2017-22 - draft decision - attachment 8 - corporate income tax (AER2015-004430).docx</vt:lpwstr>
  </property>
</Properties>
</file>