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62572C" w:rsidP="00290C63">
          <w:r w:rsidRPr="0062572C">
            <w:rPr>
              <w:noProof/>
              <w:lang w:eastAsia="en-AU"/>
            </w:rPr>
            <w:drawing>
              <wp:anchor distT="0" distB="0" distL="114300" distR="114300" simplePos="0" relativeHeight="251661312" behindDoc="1" locked="0" layoutInCell="1" allowOverlap="1" wp14:anchorId="01B93F71" wp14:editId="3AC375CB">
                <wp:simplePos x="0" y="0"/>
                <wp:positionH relativeFrom="column">
                  <wp:posOffset>-1098163</wp:posOffset>
                </wp:positionH>
                <wp:positionV relativeFrom="paragraph">
                  <wp:posOffset>-911143</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9733D">
            <w:t>DRAFT</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62572C" w:rsidRDefault="0062572C" w:rsidP="008F07A3">
          <w:pPr>
            <w:pStyle w:val="ReportSubtitle"/>
          </w:pPr>
          <w:r>
            <w:t>2017–18 to 2021–22</w:t>
          </w:r>
        </w:p>
        <w:p w:rsidR="008F07A3" w:rsidRPr="000A6C7B" w:rsidRDefault="008F07A3" w:rsidP="008F07A3">
          <w:pPr>
            <w:pStyle w:val="ReportSubtitle"/>
          </w:pPr>
        </w:p>
        <w:p w:rsidR="000A6C7B" w:rsidRPr="000A6C7B" w:rsidRDefault="00E14A44" w:rsidP="008F07A3">
          <w:pPr>
            <w:pStyle w:val="ReportSubtitle"/>
          </w:pPr>
          <w:r>
            <w:t>Attachment 4</w:t>
          </w:r>
          <w:r w:rsidR="00DA4752">
            <w:t xml:space="preserve"> </w:t>
          </w:r>
          <w:r w:rsidR="00415F31">
            <w:rPr>
              <w:rFonts w:cs="Arial"/>
            </w:rPr>
            <w:t>–</w:t>
          </w:r>
          <w:r w:rsidR="00DA4752">
            <w:t xml:space="preserve"> </w:t>
          </w:r>
          <w:r>
            <w:t>Value of imputation credits</w:t>
          </w:r>
        </w:p>
        <w:p w:rsidR="00B9733D" w:rsidRDefault="00B9733D" w:rsidP="00327A1E">
          <w:pPr>
            <w:pStyle w:val="ReportDate"/>
          </w:pPr>
        </w:p>
        <w:p w:rsidR="000A6C7B" w:rsidRPr="00327A1E" w:rsidRDefault="0062572C" w:rsidP="00327A1E">
          <w:pPr>
            <w:pStyle w:val="ReportDate"/>
          </w:pPr>
          <w:r>
            <w:t xml:space="preserve">July </w:t>
          </w:r>
          <w:r w:rsidR="00DA4752">
            <w:t>201</w:t>
          </w:r>
          <w:r w:rsidR="00B9733D">
            <w:t>6</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B9562D" w:rsidRDefault="000A6C7B" w:rsidP="00B9562D">
      <w:pPr>
        <w:pStyle w:val="Copyright"/>
      </w:pPr>
      <w:r>
        <w:t xml:space="preserve">Tel: </w:t>
      </w:r>
      <w:r w:rsidR="00482A56">
        <w:t>1300 585 165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764AB1">
      <w:pPr>
        <w:pStyle w:val="UnnumberedHeading"/>
        <w:numPr>
          <w:ilvl w:val="0"/>
          <w:numId w:val="23"/>
        </w:numPr>
      </w:pPr>
      <w:bookmarkStart w:id="4" w:name="_Toc456614266"/>
      <w:r>
        <w:lastRenderedPageBreak/>
        <w:t>N</w:t>
      </w:r>
      <w:r w:rsidR="008F07A3">
        <w:t>ote</w:t>
      </w:r>
      <w:bookmarkEnd w:id="0"/>
      <w:bookmarkEnd w:id="1"/>
      <w:bookmarkEnd w:id="2"/>
      <w:bookmarkEnd w:id="3"/>
      <w:bookmarkEnd w:id="4"/>
    </w:p>
    <w:p w:rsidR="00415F31" w:rsidRDefault="00415F31" w:rsidP="00764AB1">
      <w:pPr>
        <w:numPr>
          <w:ilvl w:val="0"/>
          <w:numId w:val="24"/>
        </w:numPr>
        <w:spacing w:before="0" w:after="240" w:line="288" w:lineRule="auto"/>
        <w:jc w:val="both"/>
      </w:pPr>
    </w:p>
    <w:p w:rsidR="00415F31" w:rsidRDefault="008F07A3" w:rsidP="00764AB1">
      <w:pPr>
        <w:numPr>
          <w:ilvl w:val="0"/>
          <w:numId w:val="24"/>
        </w:numPr>
        <w:spacing w:before="0" w:after="240" w:line="288" w:lineRule="auto"/>
        <w:jc w:val="both"/>
      </w:pPr>
      <w:r>
        <w:t xml:space="preserve">This </w:t>
      </w:r>
      <w:r w:rsidR="00415F31">
        <w:t xml:space="preserve">attachment forms part of the AER's </w:t>
      </w:r>
      <w:r w:rsidR="000B321F">
        <w:t>draft</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0B321F">
        <w:t>draft</w:t>
      </w:r>
      <w:r w:rsidR="00415F31">
        <w:t xml:space="preserve"> decision.</w:t>
      </w:r>
    </w:p>
    <w:p w:rsidR="00415F31" w:rsidRDefault="00415F31" w:rsidP="00764AB1">
      <w:pPr>
        <w:numPr>
          <w:ilvl w:val="0"/>
          <w:numId w:val="24"/>
        </w:numPr>
        <w:spacing w:before="0" w:after="240" w:line="288" w:lineRule="auto"/>
        <w:jc w:val="both"/>
      </w:pPr>
      <w:r>
        <w:t xml:space="preserve">The </w:t>
      </w:r>
      <w:r w:rsidR="000B321F">
        <w:t>draft</w:t>
      </w:r>
      <w:r>
        <w:t xml:space="preserve"> decision includes the following documents:</w:t>
      </w:r>
    </w:p>
    <w:p w:rsidR="00415F31" w:rsidRDefault="00415F31" w:rsidP="00764AB1">
      <w:pPr>
        <w:numPr>
          <w:ilvl w:val="0"/>
          <w:numId w:val="24"/>
        </w:numPr>
        <w:spacing w:before="0" w:after="240" w:line="288" w:lineRule="auto"/>
        <w:jc w:val="both"/>
      </w:pPr>
      <w:r>
        <w:t>Overview</w:t>
      </w:r>
    </w:p>
    <w:p w:rsidR="00415F31" w:rsidRDefault="00415F31" w:rsidP="00764AB1">
      <w:pPr>
        <w:numPr>
          <w:ilvl w:val="0"/>
          <w:numId w:val="24"/>
        </w:numPr>
        <w:spacing w:before="0" w:after="240" w:line="288" w:lineRule="auto"/>
        <w:jc w:val="both"/>
      </w:pPr>
      <w:r>
        <w:t>Attachment 1 – maximum allowed revenue</w:t>
      </w:r>
    </w:p>
    <w:p w:rsidR="00415F31" w:rsidRDefault="00415F31" w:rsidP="00764AB1">
      <w:pPr>
        <w:numPr>
          <w:ilvl w:val="0"/>
          <w:numId w:val="24"/>
        </w:numPr>
        <w:spacing w:before="0" w:after="240" w:line="288" w:lineRule="auto"/>
        <w:jc w:val="both"/>
      </w:pPr>
      <w:r>
        <w:t>Attachment 2 – regulatory asset base</w:t>
      </w:r>
    </w:p>
    <w:p w:rsidR="00415F31" w:rsidRDefault="00415F31" w:rsidP="00764AB1">
      <w:pPr>
        <w:numPr>
          <w:ilvl w:val="0"/>
          <w:numId w:val="24"/>
        </w:numPr>
        <w:spacing w:before="0" w:after="240" w:line="288" w:lineRule="auto"/>
        <w:jc w:val="both"/>
      </w:pPr>
      <w:r>
        <w:t>Attachment 3 – rate of return</w:t>
      </w:r>
    </w:p>
    <w:p w:rsidR="00415F31" w:rsidRDefault="00415F31" w:rsidP="00764AB1">
      <w:pPr>
        <w:numPr>
          <w:ilvl w:val="0"/>
          <w:numId w:val="24"/>
        </w:numPr>
        <w:spacing w:before="0" w:after="240" w:line="288" w:lineRule="auto"/>
        <w:jc w:val="both"/>
      </w:pPr>
      <w:r>
        <w:t>Attachment 4 – value of imputation credits</w:t>
      </w:r>
    </w:p>
    <w:p w:rsidR="00415F31" w:rsidRDefault="00415F31" w:rsidP="00764AB1">
      <w:pPr>
        <w:numPr>
          <w:ilvl w:val="0"/>
          <w:numId w:val="24"/>
        </w:numPr>
        <w:spacing w:before="0" w:after="240" w:line="288" w:lineRule="auto"/>
        <w:jc w:val="both"/>
      </w:pPr>
      <w:r>
        <w:t>Attachment 5 – regulatory depreciation</w:t>
      </w:r>
    </w:p>
    <w:p w:rsidR="00415F31" w:rsidRDefault="00415F31" w:rsidP="00764AB1">
      <w:pPr>
        <w:numPr>
          <w:ilvl w:val="0"/>
          <w:numId w:val="24"/>
        </w:numPr>
        <w:spacing w:before="0" w:after="240" w:line="288" w:lineRule="auto"/>
        <w:jc w:val="both"/>
      </w:pPr>
      <w:r>
        <w:t xml:space="preserve">Attachment 6 – capital expenditure </w:t>
      </w:r>
    </w:p>
    <w:p w:rsidR="00415F31" w:rsidRDefault="00415F31" w:rsidP="00764AB1">
      <w:pPr>
        <w:numPr>
          <w:ilvl w:val="0"/>
          <w:numId w:val="24"/>
        </w:numPr>
        <w:spacing w:before="0" w:after="240" w:line="288" w:lineRule="auto"/>
        <w:jc w:val="both"/>
      </w:pPr>
      <w:r>
        <w:t>Attachment 7 – operating expenditure</w:t>
      </w:r>
    </w:p>
    <w:p w:rsidR="00415F31" w:rsidRDefault="00415F31" w:rsidP="00764AB1">
      <w:pPr>
        <w:numPr>
          <w:ilvl w:val="0"/>
          <w:numId w:val="24"/>
        </w:numPr>
        <w:spacing w:before="0" w:after="240" w:line="288" w:lineRule="auto"/>
        <w:jc w:val="both"/>
      </w:pPr>
      <w:r>
        <w:t>Attachment 8 – corporate income tax</w:t>
      </w:r>
    </w:p>
    <w:p w:rsidR="00415F31" w:rsidRDefault="00415F31" w:rsidP="00764AB1">
      <w:pPr>
        <w:numPr>
          <w:ilvl w:val="0"/>
          <w:numId w:val="24"/>
        </w:numPr>
        <w:spacing w:before="0" w:after="240" w:line="288" w:lineRule="auto"/>
        <w:jc w:val="both"/>
      </w:pPr>
      <w:r>
        <w:t>Attachment 9 – efficiency benefit sharing scheme</w:t>
      </w:r>
    </w:p>
    <w:p w:rsidR="00415F31" w:rsidRDefault="00415F31" w:rsidP="00764AB1">
      <w:pPr>
        <w:numPr>
          <w:ilvl w:val="0"/>
          <w:numId w:val="24"/>
        </w:numPr>
        <w:spacing w:before="0" w:after="240" w:line="288" w:lineRule="auto"/>
        <w:jc w:val="both"/>
      </w:pPr>
      <w:r>
        <w:t>Attachment 10 – capital expenditure sharing scheme</w:t>
      </w:r>
    </w:p>
    <w:p w:rsidR="00415F31" w:rsidRDefault="00415F31" w:rsidP="00764AB1">
      <w:pPr>
        <w:numPr>
          <w:ilvl w:val="0"/>
          <w:numId w:val="24"/>
        </w:numPr>
        <w:spacing w:before="0" w:after="240" w:line="288" w:lineRule="auto"/>
        <w:jc w:val="both"/>
      </w:pPr>
      <w:r>
        <w:t>Attachment 11 – service target performance incentive scheme</w:t>
      </w:r>
    </w:p>
    <w:p w:rsidR="00415F31" w:rsidRPr="00D904FA" w:rsidRDefault="00415F31" w:rsidP="00764AB1">
      <w:pPr>
        <w:numPr>
          <w:ilvl w:val="0"/>
          <w:numId w:val="24"/>
        </w:numPr>
        <w:spacing w:before="0" w:after="240" w:line="288" w:lineRule="auto"/>
        <w:jc w:val="both"/>
      </w:pPr>
      <w:r>
        <w:t xml:space="preserve">Attachment 12 – </w:t>
      </w:r>
      <w:r w:rsidRPr="00D904FA">
        <w:t>pricing methodology</w:t>
      </w:r>
    </w:p>
    <w:p w:rsidR="00415F31" w:rsidRPr="00D904FA" w:rsidRDefault="00415F31" w:rsidP="00764AB1">
      <w:pPr>
        <w:numPr>
          <w:ilvl w:val="0"/>
          <w:numId w:val="24"/>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764AB1">
      <w:pPr>
        <w:numPr>
          <w:ilvl w:val="0"/>
          <w:numId w:val="24"/>
        </w:numPr>
        <w:sectPr w:rsidR="008F07A3" w:rsidRPr="008F07A3" w:rsidSect="001754E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DE563D" w:rsidRPr="00A72B34" w:rsidRDefault="00DE563D" w:rsidP="00764AB1">
      <w:pPr>
        <w:pStyle w:val="UnnumberedHeading"/>
        <w:numPr>
          <w:ilvl w:val="0"/>
          <w:numId w:val="23"/>
        </w:numPr>
      </w:pPr>
      <w:bookmarkStart w:id="5" w:name="_Toc403144133"/>
      <w:bookmarkStart w:id="6" w:name="_Toc456614267"/>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E733ED"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56614266" w:history="1">
            <w:r w:rsidR="00E733ED" w:rsidRPr="000A7D86">
              <w:rPr>
                <w:rStyle w:val="Hyperlink"/>
              </w:rPr>
              <w:t>Note</w:t>
            </w:r>
            <w:r w:rsidR="00E733ED">
              <w:rPr>
                <w:webHidden/>
              </w:rPr>
              <w:tab/>
            </w:r>
            <w:r w:rsidR="00E733ED">
              <w:rPr>
                <w:webHidden/>
              </w:rPr>
              <w:fldChar w:fldCharType="begin"/>
            </w:r>
            <w:r w:rsidR="00E733ED">
              <w:rPr>
                <w:webHidden/>
              </w:rPr>
              <w:instrText xml:space="preserve"> PAGEREF _Toc456614266 \h </w:instrText>
            </w:r>
            <w:r w:rsidR="00E733ED">
              <w:rPr>
                <w:webHidden/>
              </w:rPr>
            </w:r>
            <w:r w:rsidR="00E733ED">
              <w:rPr>
                <w:webHidden/>
              </w:rPr>
              <w:fldChar w:fldCharType="separate"/>
            </w:r>
            <w:r w:rsidR="007261FC">
              <w:rPr>
                <w:webHidden/>
              </w:rPr>
              <w:t>4-2</w:t>
            </w:r>
            <w:r w:rsidR="00E733ED">
              <w:rPr>
                <w:webHidden/>
              </w:rPr>
              <w:fldChar w:fldCharType="end"/>
            </w:r>
          </w:hyperlink>
        </w:p>
        <w:p w:rsidR="00E733ED" w:rsidRDefault="007261FC">
          <w:pPr>
            <w:pStyle w:val="TOC1"/>
            <w:rPr>
              <w:rFonts w:asciiTheme="minorHAnsi" w:eastAsiaTheme="minorEastAsia" w:hAnsiTheme="minorHAnsi"/>
              <w:b w:val="0"/>
              <w:color w:val="auto"/>
              <w:sz w:val="22"/>
              <w:lang w:val="en-AU" w:eastAsia="en-AU"/>
            </w:rPr>
          </w:pPr>
          <w:hyperlink w:anchor="_Toc456614267" w:history="1">
            <w:r w:rsidR="00E733ED" w:rsidRPr="000A7D86">
              <w:rPr>
                <w:rStyle w:val="Hyperlink"/>
              </w:rPr>
              <w:t>Contents</w:t>
            </w:r>
            <w:r w:rsidR="00E733ED">
              <w:rPr>
                <w:webHidden/>
              </w:rPr>
              <w:tab/>
            </w:r>
            <w:r w:rsidR="00E733ED">
              <w:rPr>
                <w:webHidden/>
              </w:rPr>
              <w:fldChar w:fldCharType="begin"/>
            </w:r>
            <w:r w:rsidR="00E733ED">
              <w:rPr>
                <w:webHidden/>
              </w:rPr>
              <w:instrText xml:space="preserve"> PAGEREF _Toc456614267 \h </w:instrText>
            </w:r>
            <w:r w:rsidR="00E733ED">
              <w:rPr>
                <w:webHidden/>
              </w:rPr>
            </w:r>
            <w:r w:rsidR="00E733ED">
              <w:rPr>
                <w:webHidden/>
              </w:rPr>
              <w:fldChar w:fldCharType="separate"/>
            </w:r>
            <w:r>
              <w:rPr>
                <w:webHidden/>
              </w:rPr>
              <w:t>4-3</w:t>
            </w:r>
            <w:r w:rsidR="00E733ED">
              <w:rPr>
                <w:webHidden/>
              </w:rPr>
              <w:fldChar w:fldCharType="end"/>
            </w:r>
          </w:hyperlink>
        </w:p>
        <w:p w:rsidR="00E733ED" w:rsidRDefault="007261FC">
          <w:pPr>
            <w:pStyle w:val="TOC1"/>
            <w:rPr>
              <w:rFonts w:asciiTheme="minorHAnsi" w:eastAsiaTheme="minorEastAsia" w:hAnsiTheme="minorHAnsi"/>
              <w:b w:val="0"/>
              <w:color w:val="auto"/>
              <w:sz w:val="22"/>
              <w:lang w:val="en-AU" w:eastAsia="en-AU"/>
            </w:rPr>
          </w:pPr>
          <w:hyperlink w:anchor="_Toc456614268" w:history="1">
            <w:r w:rsidR="00E733ED" w:rsidRPr="000A7D86">
              <w:rPr>
                <w:rStyle w:val="Hyperlink"/>
              </w:rPr>
              <w:t>Shortened forms</w:t>
            </w:r>
            <w:r w:rsidR="00E733ED">
              <w:rPr>
                <w:webHidden/>
              </w:rPr>
              <w:tab/>
            </w:r>
            <w:r w:rsidR="00E733ED">
              <w:rPr>
                <w:webHidden/>
              </w:rPr>
              <w:fldChar w:fldCharType="begin"/>
            </w:r>
            <w:r w:rsidR="00E733ED">
              <w:rPr>
                <w:webHidden/>
              </w:rPr>
              <w:instrText xml:space="preserve"> PAGEREF _Toc456614268 \h </w:instrText>
            </w:r>
            <w:r w:rsidR="00E733ED">
              <w:rPr>
                <w:webHidden/>
              </w:rPr>
            </w:r>
            <w:r w:rsidR="00E733ED">
              <w:rPr>
                <w:webHidden/>
              </w:rPr>
              <w:fldChar w:fldCharType="separate"/>
            </w:r>
            <w:r>
              <w:rPr>
                <w:webHidden/>
              </w:rPr>
              <w:t>4-7</w:t>
            </w:r>
            <w:r w:rsidR="00E733ED">
              <w:rPr>
                <w:webHidden/>
              </w:rPr>
              <w:fldChar w:fldCharType="end"/>
            </w:r>
          </w:hyperlink>
        </w:p>
        <w:p w:rsidR="00E733ED" w:rsidRDefault="007261FC">
          <w:pPr>
            <w:pStyle w:val="TOC1"/>
            <w:rPr>
              <w:rFonts w:asciiTheme="minorHAnsi" w:eastAsiaTheme="minorEastAsia" w:hAnsiTheme="minorHAnsi"/>
              <w:b w:val="0"/>
              <w:color w:val="auto"/>
              <w:sz w:val="22"/>
              <w:lang w:val="en-AU" w:eastAsia="en-AU"/>
            </w:rPr>
          </w:pPr>
          <w:hyperlink w:anchor="_Toc456614269" w:history="1">
            <w:r w:rsidR="00E733ED" w:rsidRPr="000A7D86">
              <w:rPr>
                <w:rStyle w:val="Hyperlink"/>
              </w:rPr>
              <w:t>4</w:t>
            </w:r>
            <w:r w:rsidR="00E733ED">
              <w:rPr>
                <w:rFonts w:asciiTheme="minorHAnsi" w:eastAsiaTheme="minorEastAsia" w:hAnsiTheme="minorHAnsi"/>
                <w:b w:val="0"/>
                <w:color w:val="auto"/>
                <w:sz w:val="22"/>
                <w:lang w:val="en-AU" w:eastAsia="en-AU"/>
              </w:rPr>
              <w:tab/>
            </w:r>
            <w:r w:rsidR="00E733ED" w:rsidRPr="000A7D86">
              <w:rPr>
                <w:rStyle w:val="Hyperlink"/>
              </w:rPr>
              <w:t>Value of imputation credits</w:t>
            </w:r>
            <w:r w:rsidR="00E733ED">
              <w:rPr>
                <w:webHidden/>
              </w:rPr>
              <w:tab/>
            </w:r>
            <w:r w:rsidR="00E733ED">
              <w:rPr>
                <w:webHidden/>
              </w:rPr>
              <w:fldChar w:fldCharType="begin"/>
            </w:r>
            <w:r w:rsidR="00E733ED">
              <w:rPr>
                <w:webHidden/>
              </w:rPr>
              <w:instrText xml:space="preserve"> PAGEREF _Toc456614269 \h </w:instrText>
            </w:r>
            <w:r w:rsidR="00E733ED">
              <w:rPr>
                <w:webHidden/>
              </w:rPr>
            </w:r>
            <w:r w:rsidR="00E733ED">
              <w:rPr>
                <w:webHidden/>
              </w:rPr>
              <w:fldChar w:fldCharType="separate"/>
            </w:r>
            <w:r>
              <w:rPr>
                <w:webHidden/>
              </w:rPr>
              <w:t>4-9</w:t>
            </w:r>
            <w:r w:rsidR="00E733ED">
              <w:rPr>
                <w:webHidden/>
              </w:rPr>
              <w:fldChar w:fldCharType="end"/>
            </w:r>
          </w:hyperlink>
        </w:p>
        <w:p w:rsidR="00E733ED" w:rsidRDefault="007261FC">
          <w:pPr>
            <w:pStyle w:val="TOC2"/>
            <w:rPr>
              <w:rFonts w:asciiTheme="minorHAnsi" w:eastAsiaTheme="minorEastAsia" w:hAnsiTheme="minorHAnsi"/>
              <w:b w:val="0"/>
              <w:color w:val="auto"/>
              <w:sz w:val="22"/>
              <w:lang w:eastAsia="en-AU"/>
            </w:rPr>
          </w:pPr>
          <w:hyperlink w:anchor="_Toc456614270" w:history="1">
            <w:r w:rsidR="00E733ED" w:rsidRPr="000A7D86">
              <w:rPr>
                <w:rStyle w:val="Hyperlink"/>
              </w:rPr>
              <w:t>4.1</w:t>
            </w:r>
            <w:r w:rsidR="00E733ED">
              <w:rPr>
                <w:rFonts w:asciiTheme="minorHAnsi" w:eastAsiaTheme="minorEastAsia" w:hAnsiTheme="minorHAnsi"/>
                <w:b w:val="0"/>
                <w:color w:val="auto"/>
                <w:sz w:val="22"/>
                <w:lang w:eastAsia="en-AU"/>
              </w:rPr>
              <w:tab/>
            </w:r>
            <w:r w:rsidR="00E733ED" w:rsidRPr="000A7D86">
              <w:rPr>
                <w:rStyle w:val="Hyperlink"/>
              </w:rPr>
              <w:t>Draft decision</w:t>
            </w:r>
            <w:r w:rsidR="00E733ED">
              <w:rPr>
                <w:webHidden/>
              </w:rPr>
              <w:tab/>
            </w:r>
            <w:r w:rsidR="00E733ED">
              <w:rPr>
                <w:webHidden/>
              </w:rPr>
              <w:fldChar w:fldCharType="begin"/>
            </w:r>
            <w:r w:rsidR="00E733ED">
              <w:rPr>
                <w:webHidden/>
              </w:rPr>
              <w:instrText xml:space="preserve"> PAGEREF _Toc456614270 \h </w:instrText>
            </w:r>
            <w:r w:rsidR="00E733ED">
              <w:rPr>
                <w:webHidden/>
              </w:rPr>
            </w:r>
            <w:r w:rsidR="00E733ED">
              <w:rPr>
                <w:webHidden/>
              </w:rPr>
              <w:fldChar w:fldCharType="separate"/>
            </w:r>
            <w:r>
              <w:rPr>
                <w:webHidden/>
              </w:rPr>
              <w:t>4-10</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71" w:history="1">
            <w:r w:rsidR="00E733ED" w:rsidRPr="000A7D86">
              <w:rPr>
                <w:rStyle w:val="Hyperlink"/>
              </w:rPr>
              <w:t>Recent developments</w:t>
            </w:r>
            <w:r w:rsidR="00E733ED">
              <w:rPr>
                <w:webHidden/>
              </w:rPr>
              <w:tab/>
            </w:r>
            <w:r w:rsidR="00E733ED">
              <w:rPr>
                <w:webHidden/>
              </w:rPr>
              <w:fldChar w:fldCharType="begin"/>
            </w:r>
            <w:r w:rsidR="00E733ED">
              <w:rPr>
                <w:webHidden/>
              </w:rPr>
              <w:instrText xml:space="preserve"> PAGEREF _Toc456614271 \h </w:instrText>
            </w:r>
            <w:r w:rsidR="00E733ED">
              <w:rPr>
                <w:webHidden/>
              </w:rPr>
            </w:r>
            <w:r w:rsidR="00E733ED">
              <w:rPr>
                <w:webHidden/>
              </w:rPr>
              <w:fldChar w:fldCharType="separate"/>
            </w:r>
            <w:r>
              <w:rPr>
                <w:webHidden/>
              </w:rPr>
              <w:t>4-11</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72" w:history="1">
            <w:r w:rsidR="00E733ED" w:rsidRPr="000A7D86">
              <w:rPr>
                <w:rStyle w:val="Hyperlink"/>
              </w:rPr>
              <w:t>The use of taxation statistics</w:t>
            </w:r>
            <w:r w:rsidR="00E733ED">
              <w:rPr>
                <w:webHidden/>
              </w:rPr>
              <w:tab/>
            </w:r>
            <w:r w:rsidR="00E733ED">
              <w:rPr>
                <w:webHidden/>
              </w:rPr>
              <w:fldChar w:fldCharType="begin"/>
            </w:r>
            <w:r w:rsidR="00E733ED">
              <w:rPr>
                <w:webHidden/>
              </w:rPr>
              <w:instrText xml:space="preserve"> PAGEREF _Toc456614272 \h </w:instrText>
            </w:r>
            <w:r w:rsidR="00E733ED">
              <w:rPr>
                <w:webHidden/>
              </w:rPr>
            </w:r>
            <w:r w:rsidR="00E733ED">
              <w:rPr>
                <w:webHidden/>
              </w:rPr>
              <w:fldChar w:fldCharType="separate"/>
            </w:r>
            <w:r>
              <w:rPr>
                <w:webHidden/>
              </w:rPr>
              <w:t>4-15</w:t>
            </w:r>
            <w:r w:rsidR="00E733ED">
              <w:rPr>
                <w:webHidden/>
              </w:rPr>
              <w:fldChar w:fldCharType="end"/>
            </w:r>
          </w:hyperlink>
        </w:p>
        <w:p w:rsidR="00E733ED" w:rsidRDefault="007261FC">
          <w:pPr>
            <w:pStyle w:val="TOC2"/>
            <w:rPr>
              <w:rFonts w:asciiTheme="minorHAnsi" w:eastAsiaTheme="minorEastAsia" w:hAnsiTheme="minorHAnsi"/>
              <w:b w:val="0"/>
              <w:color w:val="auto"/>
              <w:sz w:val="22"/>
              <w:lang w:eastAsia="en-AU"/>
            </w:rPr>
          </w:pPr>
          <w:hyperlink w:anchor="_Toc456614273" w:history="1">
            <w:r w:rsidR="00E733ED" w:rsidRPr="000A7D86">
              <w:rPr>
                <w:rStyle w:val="Hyperlink"/>
              </w:rPr>
              <w:t>4.2</w:t>
            </w:r>
            <w:r w:rsidR="00E733ED">
              <w:rPr>
                <w:rFonts w:asciiTheme="minorHAnsi" w:eastAsiaTheme="minorEastAsia" w:hAnsiTheme="minorHAnsi"/>
                <w:b w:val="0"/>
                <w:color w:val="auto"/>
                <w:sz w:val="22"/>
                <w:lang w:eastAsia="en-AU"/>
              </w:rPr>
              <w:tab/>
            </w:r>
            <w:r w:rsidR="00E733ED" w:rsidRPr="000A7D86">
              <w:rPr>
                <w:rStyle w:val="Hyperlink"/>
              </w:rPr>
              <w:t>AusNet Services' proposal</w:t>
            </w:r>
            <w:r w:rsidR="00E733ED">
              <w:rPr>
                <w:webHidden/>
              </w:rPr>
              <w:tab/>
            </w:r>
            <w:r w:rsidR="00E733ED">
              <w:rPr>
                <w:webHidden/>
              </w:rPr>
              <w:fldChar w:fldCharType="begin"/>
            </w:r>
            <w:r w:rsidR="00E733ED">
              <w:rPr>
                <w:webHidden/>
              </w:rPr>
              <w:instrText xml:space="preserve"> PAGEREF _Toc456614273 \h </w:instrText>
            </w:r>
            <w:r w:rsidR="00E733ED">
              <w:rPr>
                <w:webHidden/>
              </w:rPr>
            </w:r>
            <w:r w:rsidR="00E733ED">
              <w:rPr>
                <w:webHidden/>
              </w:rPr>
              <w:fldChar w:fldCharType="separate"/>
            </w:r>
            <w:r>
              <w:rPr>
                <w:webHidden/>
              </w:rPr>
              <w:t>4-17</w:t>
            </w:r>
            <w:r w:rsidR="00E733ED">
              <w:rPr>
                <w:webHidden/>
              </w:rPr>
              <w:fldChar w:fldCharType="end"/>
            </w:r>
          </w:hyperlink>
        </w:p>
        <w:p w:rsidR="00E733ED" w:rsidRDefault="007261FC">
          <w:pPr>
            <w:pStyle w:val="TOC2"/>
            <w:rPr>
              <w:rFonts w:asciiTheme="minorHAnsi" w:eastAsiaTheme="minorEastAsia" w:hAnsiTheme="minorHAnsi"/>
              <w:b w:val="0"/>
              <w:color w:val="auto"/>
              <w:sz w:val="22"/>
              <w:lang w:eastAsia="en-AU"/>
            </w:rPr>
          </w:pPr>
          <w:hyperlink w:anchor="_Toc456614274" w:history="1">
            <w:r w:rsidR="00E733ED" w:rsidRPr="000A7D86">
              <w:rPr>
                <w:rStyle w:val="Hyperlink"/>
              </w:rPr>
              <w:t>4.3</w:t>
            </w:r>
            <w:r w:rsidR="00E733ED">
              <w:rPr>
                <w:rFonts w:asciiTheme="minorHAnsi" w:eastAsiaTheme="minorEastAsia" w:hAnsiTheme="minorHAnsi"/>
                <w:b w:val="0"/>
                <w:color w:val="auto"/>
                <w:sz w:val="22"/>
                <w:lang w:eastAsia="en-AU"/>
              </w:rPr>
              <w:tab/>
            </w:r>
            <w:r w:rsidR="00E733ED" w:rsidRPr="000A7D86">
              <w:rPr>
                <w:rStyle w:val="Hyperlink"/>
              </w:rPr>
              <w:t>AER’s assessment approach</w:t>
            </w:r>
            <w:r w:rsidR="00E733ED">
              <w:rPr>
                <w:webHidden/>
              </w:rPr>
              <w:tab/>
            </w:r>
            <w:r w:rsidR="00E733ED">
              <w:rPr>
                <w:webHidden/>
              </w:rPr>
              <w:fldChar w:fldCharType="begin"/>
            </w:r>
            <w:r w:rsidR="00E733ED">
              <w:rPr>
                <w:webHidden/>
              </w:rPr>
              <w:instrText xml:space="preserve"> PAGEREF _Toc456614274 \h </w:instrText>
            </w:r>
            <w:r w:rsidR="00E733ED">
              <w:rPr>
                <w:webHidden/>
              </w:rPr>
            </w:r>
            <w:r w:rsidR="00E733ED">
              <w:rPr>
                <w:webHidden/>
              </w:rPr>
              <w:fldChar w:fldCharType="separate"/>
            </w:r>
            <w:r>
              <w:rPr>
                <w:webHidden/>
              </w:rPr>
              <w:t>4-18</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75" w:history="1">
            <w:r w:rsidR="00E733ED" w:rsidRPr="000A7D86">
              <w:rPr>
                <w:rStyle w:val="Hyperlink"/>
              </w:rPr>
              <w:t>4.3.1</w:t>
            </w:r>
            <w:r w:rsidR="00E733ED">
              <w:rPr>
                <w:rFonts w:asciiTheme="minorHAnsi" w:eastAsiaTheme="minorEastAsia" w:hAnsiTheme="minorHAnsi"/>
                <w:lang w:eastAsia="en-AU"/>
              </w:rPr>
              <w:tab/>
            </w:r>
            <w:r w:rsidR="00E733ED" w:rsidRPr="000A7D86">
              <w:rPr>
                <w:rStyle w:val="Hyperlink"/>
              </w:rPr>
              <w:t>Requirements of the NEL/NGL and NER/NGR</w:t>
            </w:r>
            <w:r w:rsidR="00E733ED">
              <w:rPr>
                <w:webHidden/>
              </w:rPr>
              <w:tab/>
            </w:r>
            <w:r w:rsidR="00E733ED">
              <w:rPr>
                <w:webHidden/>
              </w:rPr>
              <w:fldChar w:fldCharType="begin"/>
            </w:r>
            <w:r w:rsidR="00E733ED">
              <w:rPr>
                <w:webHidden/>
              </w:rPr>
              <w:instrText xml:space="preserve"> PAGEREF _Toc456614275 \h </w:instrText>
            </w:r>
            <w:r w:rsidR="00E733ED">
              <w:rPr>
                <w:webHidden/>
              </w:rPr>
            </w:r>
            <w:r w:rsidR="00E733ED">
              <w:rPr>
                <w:webHidden/>
              </w:rPr>
              <w:fldChar w:fldCharType="separate"/>
            </w:r>
            <w:r>
              <w:rPr>
                <w:webHidden/>
              </w:rPr>
              <w:t>4-18</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76" w:history="1">
            <w:r w:rsidR="00E733ED" w:rsidRPr="000A7D86">
              <w:rPr>
                <w:rStyle w:val="Hyperlink"/>
              </w:rPr>
              <w:t>4.3.2</w:t>
            </w:r>
            <w:r w:rsidR="00E733ED">
              <w:rPr>
                <w:rFonts w:asciiTheme="minorHAnsi" w:eastAsiaTheme="minorEastAsia" w:hAnsiTheme="minorHAnsi"/>
                <w:lang w:eastAsia="en-AU"/>
              </w:rPr>
              <w:tab/>
            </w:r>
            <w:r w:rsidR="00E733ED" w:rsidRPr="000A7D86">
              <w:rPr>
                <w:rStyle w:val="Hyperlink"/>
              </w:rPr>
              <w:t>Rate of return Guideline</w:t>
            </w:r>
            <w:r w:rsidR="00E733ED">
              <w:rPr>
                <w:webHidden/>
              </w:rPr>
              <w:tab/>
            </w:r>
            <w:r w:rsidR="00E733ED">
              <w:rPr>
                <w:webHidden/>
              </w:rPr>
              <w:fldChar w:fldCharType="begin"/>
            </w:r>
            <w:r w:rsidR="00E733ED">
              <w:rPr>
                <w:webHidden/>
              </w:rPr>
              <w:instrText xml:space="preserve"> PAGEREF _Toc456614276 \h </w:instrText>
            </w:r>
            <w:r w:rsidR="00E733ED">
              <w:rPr>
                <w:webHidden/>
              </w:rPr>
            </w:r>
            <w:r w:rsidR="00E733ED">
              <w:rPr>
                <w:webHidden/>
              </w:rPr>
              <w:fldChar w:fldCharType="separate"/>
            </w:r>
            <w:r>
              <w:rPr>
                <w:webHidden/>
              </w:rPr>
              <w:t>4-21</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77" w:history="1">
            <w:r w:rsidR="00E733ED" w:rsidRPr="000A7D86">
              <w:rPr>
                <w:rStyle w:val="Hyperlink"/>
              </w:rPr>
              <w:t>4.3.3</w:t>
            </w:r>
            <w:r w:rsidR="00E733ED">
              <w:rPr>
                <w:rFonts w:asciiTheme="minorHAnsi" w:eastAsiaTheme="minorEastAsia" w:hAnsiTheme="minorHAnsi"/>
                <w:lang w:eastAsia="en-AU"/>
              </w:rPr>
              <w:tab/>
            </w:r>
            <w:r w:rsidR="00E733ED" w:rsidRPr="000A7D86">
              <w:rPr>
                <w:rStyle w:val="Hyperlink"/>
              </w:rPr>
              <w:t>Definition of a benchmark efficient entity</w:t>
            </w:r>
            <w:r w:rsidR="00E733ED">
              <w:rPr>
                <w:webHidden/>
              </w:rPr>
              <w:tab/>
            </w:r>
            <w:r w:rsidR="00E733ED">
              <w:rPr>
                <w:webHidden/>
              </w:rPr>
              <w:fldChar w:fldCharType="begin"/>
            </w:r>
            <w:r w:rsidR="00E733ED">
              <w:rPr>
                <w:webHidden/>
              </w:rPr>
              <w:instrText xml:space="preserve"> PAGEREF _Toc456614277 \h </w:instrText>
            </w:r>
            <w:r w:rsidR="00E733ED">
              <w:rPr>
                <w:webHidden/>
              </w:rPr>
            </w:r>
            <w:r w:rsidR="00E733ED">
              <w:rPr>
                <w:webHidden/>
              </w:rPr>
              <w:fldChar w:fldCharType="separate"/>
            </w:r>
            <w:r>
              <w:rPr>
                <w:webHidden/>
              </w:rPr>
              <w:t>4-22</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78" w:history="1">
            <w:r w:rsidR="00E733ED" w:rsidRPr="000A7D86">
              <w:rPr>
                <w:rStyle w:val="Hyperlink"/>
              </w:rPr>
              <w:t>4.3.4</w:t>
            </w:r>
            <w:r w:rsidR="00E733ED">
              <w:rPr>
                <w:rFonts w:asciiTheme="minorHAnsi" w:eastAsiaTheme="minorEastAsia" w:hAnsiTheme="minorHAnsi"/>
                <w:lang w:eastAsia="en-AU"/>
              </w:rPr>
              <w:tab/>
            </w:r>
            <w:r w:rsidR="00E733ED" w:rsidRPr="000A7D86">
              <w:rPr>
                <w:rStyle w:val="Hyperlink"/>
              </w:rPr>
              <w:t>Interrelationships</w:t>
            </w:r>
            <w:r w:rsidR="00E733ED">
              <w:rPr>
                <w:webHidden/>
              </w:rPr>
              <w:tab/>
            </w:r>
            <w:r w:rsidR="00E733ED">
              <w:rPr>
                <w:webHidden/>
              </w:rPr>
              <w:fldChar w:fldCharType="begin"/>
            </w:r>
            <w:r w:rsidR="00E733ED">
              <w:rPr>
                <w:webHidden/>
              </w:rPr>
              <w:instrText xml:space="preserve"> PAGEREF _Toc456614278 \h </w:instrText>
            </w:r>
            <w:r w:rsidR="00E733ED">
              <w:rPr>
                <w:webHidden/>
              </w:rPr>
            </w:r>
            <w:r w:rsidR="00E733ED">
              <w:rPr>
                <w:webHidden/>
              </w:rPr>
              <w:fldChar w:fldCharType="separate"/>
            </w:r>
            <w:r>
              <w:rPr>
                <w:webHidden/>
              </w:rPr>
              <w:t>4-23</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79" w:history="1">
            <w:r w:rsidR="00E733ED" w:rsidRPr="000A7D86">
              <w:rPr>
                <w:rStyle w:val="Hyperlink"/>
              </w:rPr>
              <w:t>4.3.5</w:t>
            </w:r>
            <w:r w:rsidR="00E733ED">
              <w:rPr>
                <w:rFonts w:asciiTheme="minorHAnsi" w:eastAsiaTheme="minorEastAsia" w:hAnsiTheme="minorHAnsi"/>
                <w:lang w:eastAsia="en-AU"/>
              </w:rPr>
              <w:tab/>
            </w:r>
            <w:r w:rsidR="00E733ED" w:rsidRPr="000A7D86">
              <w:rPr>
                <w:rStyle w:val="Hyperlink"/>
              </w:rPr>
              <w:t>Expert reports</w:t>
            </w:r>
            <w:r w:rsidR="00E733ED">
              <w:rPr>
                <w:webHidden/>
              </w:rPr>
              <w:tab/>
            </w:r>
            <w:r w:rsidR="00E733ED">
              <w:rPr>
                <w:webHidden/>
              </w:rPr>
              <w:fldChar w:fldCharType="begin"/>
            </w:r>
            <w:r w:rsidR="00E733ED">
              <w:rPr>
                <w:webHidden/>
              </w:rPr>
              <w:instrText xml:space="preserve"> PAGEREF _Toc456614279 \h </w:instrText>
            </w:r>
            <w:r w:rsidR="00E733ED">
              <w:rPr>
                <w:webHidden/>
              </w:rPr>
            </w:r>
            <w:r w:rsidR="00E733ED">
              <w:rPr>
                <w:webHidden/>
              </w:rPr>
              <w:fldChar w:fldCharType="separate"/>
            </w:r>
            <w:r>
              <w:rPr>
                <w:webHidden/>
              </w:rPr>
              <w:t>4-23</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80" w:history="1">
            <w:r w:rsidR="00E733ED" w:rsidRPr="000A7D86">
              <w:rPr>
                <w:rStyle w:val="Hyperlink"/>
              </w:rPr>
              <w:t>4.3.6</w:t>
            </w:r>
            <w:r w:rsidR="00E733ED">
              <w:rPr>
                <w:rFonts w:asciiTheme="minorHAnsi" w:eastAsiaTheme="minorEastAsia" w:hAnsiTheme="minorHAnsi"/>
                <w:lang w:eastAsia="en-AU"/>
              </w:rPr>
              <w:tab/>
            </w:r>
            <w:r w:rsidR="00E733ED" w:rsidRPr="000A7D86">
              <w:rPr>
                <w:rStyle w:val="Hyperlink"/>
              </w:rPr>
              <w:t>Approach to determining the value of imputation credits</w:t>
            </w:r>
            <w:r w:rsidR="00E733ED">
              <w:rPr>
                <w:webHidden/>
              </w:rPr>
              <w:tab/>
            </w:r>
            <w:r w:rsidR="00E733ED">
              <w:rPr>
                <w:webHidden/>
              </w:rPr>
              <w:fldChar w:fldCharType="begin"/>
            </w:r>
            <w:r w:rsidR="00E733ED">
              <w:rPr>
                <w:webHidden/>
              </w:rPr>
              <w:instrText xml:space="preserve"> PAGEREF _Toc456614280 \h </w:instrText>
            </w:r>
            <w:r w:rsidR="00E733ED">
              <w:rPr>
                <w:webHidden/>
              </w:rPr>
            </w:r>
            <w:r w:rsidR="00E733ED">
              <w:rPr>
                <w:webHidden/>
              </w:rPr>
              <w:fldChar w:fldCharType="separate"/>
            </w:r>
            <w:r>
              <w:rPr>
                <w:webHidden/>
              </w:rPr>
              <w:t>4-24</w:t>
            </w:r>
            <w:r w:rsidR="00E733ED">
              <w:rPr>
                <w:webHidden/>
              </w:rPr>
              <w:fldChar w:fldCharType="end"/>
            </w:r>
          </w:hyperlink>
        </w:p>
        <w:p w:rsidR="00E733ED" w:rsidRDefault="007261FC">
          <w:pPr>
            <w:pStyle w:val="TOC2"/>
            <w:rPr>
              <w:rFonts w:asciiTheme="minorHAnsi" w:eastAsiaTheme="minorEastAsia" w:hAnsiTheme="minorHAnsi"/>
              <w:b w:val="0"/>
              <w:color w:val="auto"/>
              <w:sz w:val="22"/>
              <w:lang w:eastAsia="en-AU"/>
            </w:rPr>
          </w:pPr>
          <w:hyperlink w:anchor="_Toc456614281" w:history="1">
            <w:r w:rsidR="00E733ED" w:rsidRPr="000A7D86">
              <w:rPr>
                <w:rStyle w:val="Hyperlink"/>
              </w:rPr>
              <w:t>4.4</w:t>
            </w:r>
            <w:r w:rsidR="00E733ED">
              <w:rPr>
                <w:rFonts w:asciiTheme="minorHAnsi" w:eastAsiaTheme="minorEastAsia" w:hAnsiTheme="minorHAnsi"/>
                <w:b w:val="0"/>
                <w:color w:val="auto"/>
                <w:sz w:val="22"/>
                <w:lang w:eastAsia="en-AU"/>
              </w:rPr>
              <w:tab/>
            </w:r>
            <w:r w:rsidR="00E733ED" w:rsidRPr="000A7D86">
              <w:rPr>
                <w:rStyle w:val="Hyperlink"/>
              </w:rPr>
              <w:t>Reasons for draft decision</w:t>
            </w:r>
            <w:r w:rsidR="00E733ED">
              <w:rPr>
                <w:webHidden/>
              </w:rPr>
              <w:tab/>
            </w:r>
            <w:r w:rsidR="00E733ED">
              <w:rPr>
                <w:webHidden/>
              </w:rPr>
              <w:fldChar w:fldCharType="begin"/>
            </w:r>
            <w:r w:rsidR="00E733ED">
              <w:rPr>
                <w:webHidden/>
              </w:rPr>
              <w:instrText xml:space="preserve"> PAGEREF _Toc456614281 \h </w:instrText>
            </w:r>
            <w:r w:rsidR="00E733ED">
              <w:rPr>
                <w:webHidden/>
              </w:rPr>
            </w:r>
            <w:r w:rsidR="00E733ED">
              <w:rPr>
                <w:webHidden/>
              </w:rPr>
              <w:fldChar w:fldCharType="separate"/>
            </w:r>
            <w:r>
              <w:rPr>
                <w:webHidden/>
              </w:rPr>
              <w:t>4-26</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82" w:history="1">
            <w:r w:rsidR="00E733ED" w:rsidRPr="000A7D86">
              <w:rPr>
                <w:rStyle w:val="Hyperlink"/>
              </w:rPr>
              <w:t>4.4.1</w:t>
            </w:r>
            <w:r w:rsidR="00E733ED">
              <w:rPr>
                <w:rFonts w:asciiTheme="minorHAnsi" w:eastAsiaTheme="minorEastAsia" w:hAnsiTheme="minorHAnsi"/>
                <w:lang w:eastAsia="en-AU"/>
              </w:rPr>
              <w:tab/>
            </w:r>
            <w:r w:rsidR="00E733ED" w:rsidRPr="000A7D86">
              <w:rPr>
                <w:rStyle w:val="Hyperlink"/>
              </w:rPr>
              <w:t>Evidence underlying our estimate of the value of imputation credits</w:t>
            </w:r>
            <w:r w:rsidR="00E733ED">
              <w:rPr>
                <w:webHidden/>
              </w:rPr>
              <w:tab/>
            </w:r>
            <w:r w:rsidR="00E733ED">
              <w:rPr>
                <w:webHidden/>
              </w:rPr>
              <w:fldChar w:fldCharType="begin"/>
            </w:r>
            <w:r w:rsidR="00E733ED">
              <w:rPr>
                <w:webHidden/>
              </w:rPr>
              <w:instrText xml:space="preserve"> PAGEREF _Toc456614282 \h </w:instrText>
            </w:r>
            <w:r w:rsidR="00E733ED">
              <w:rPr>
                <w:webHidden/>
              </w:rPr>
            </w:r>
            <w:r w:rsidR="00E733ED">
              <w:rPr>
                <w:webHidden/>
              </w:rPr>
              <w:fldChar w:fldCharType="separate"/>
            </w:r>
            <w:r>
              <w:rPr>
                <w:webHidden/>
              </w:rPr>
              <w:t>4-32</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83" w:history="1">
            <w:r w:rsidR="00E733ED" w:rsidRPr="000A7D86">
              <w:rPr>
                <w:rStyle w:val="Hyperlink"/>
              </w:rPr>
              <w:t>The distribution rate</w:t>
            </w:r>
            <w:r w:rsidR="00E733ED">
              <w:rPr>
                <w:webHidden/>
              </w:rPr>
              <w:tab/>
            </w:r>
            <w:r w:rsidR="00E733ED">
              <w:rPr>
                <w:webHidden/>
              </w:rPr>
              <w:fldChar w:fldCharType="begin"/>
            </w:r>
            <w:r w:rsidR="00E733ED">
              <w:rPr>
                <w:webHidden/>
              </w:rPr>
              <w:instrText xml:space="preserve"> PAGEREF _Toc456614283 \h </w:instrText>
            </w:r>
            <w:r w:rsidR="00E733ED">
              <w:rPr>
                <w:webHidden/>
              </w:rPr>
            </w:r>
            <w:r w:rsidR="00E733ED">
              <w:rPr>
                <w:webHidden/>
              </w:rPr>
              <w:fldChar w:fldCharType="separate"/>
            </w:r>
            <w:r>
              <w:rPr>
                <w:webHidden/>
              </w:rPr>
              <w:t>4-32</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84" w:history="1">
            <w:r w:rsidR="00E733ED" w:rsidRPr="000A7D86">
              <w:rPr>
                <w:rStyle w:val="Hyperlink"/>
              </w:rPr>
              <w:t>The utilisation rate</w:t>
            </w:r>
            <w:r w:rsidR="00E733ED">
              <w:rPr>
                <w:webHidden/>
              </w:rPr>
              <w:tab/>
            </w:r>
            <w:r w:rsidR="00E733ED">
              <w:rPr>
                <w:webHidden/>
              </w:rPr>
              <w:fldChar w:fldCharType="begin"/>
            </w:r>
            <w:r w:rsidR="00E733ED">
              <w:rPr>
                <w:webHidden/>
              </w:rPr>
              <w:instrText xml:space="preserve"> PAGEREF _Toc456614284 \h </w:instrText>
            </w:r>
            <w:r w:rsidR="00E733ED">
              <w:rPr>
                <w:webHidden/>
              </w:rPr>
            </w:r>
            <w:r w:rsidR="00E733ED">
              <w:rPr>
                <w:webHidden/>
              </w:rPr>
              <w:fldChar w:fldCharType="separate"/>
            </w:r>
            <w:r>
              <w:rPr>
                <w:webHidden/>
              </w:rPr>
              <w:t>4-35</w:t>
            </w:r>
            <w:r w:rsidR="00E733ED">
              <w:rPr>
                <w:webHidden/>
              </w:rPr>
              <w:fldChar w:fldCharType="end"/>
            </w:r>
          </w:hyperlink>
        </w:p>
        <w:p w:rsidR="00E733ED" w:rsidRDefault="007261FC">
          <w:pPr>
            <w:pStyle w:val="TOC4"/>
            <w:rPr>
              <w:rFonts w:asciiTheme="minorHAnsi" w:eastAsiaTheme="minorEastAsia" w:hAnsiTheme="minorHAnsi"/>
              <w:lang w:eastAsia="en-AU"/>
            </w:rPr>
          </w:pPr>
          <w:hyperlink w:anchor="_Toc456614285" w:history="1">
            <w:r w:rsidR="00E733ED" w:rsidRPr="000A7D86">
              <w:rPr>
                <w:rStyle w:val="Hyperlink"/>
              </w:rPr>
              <w:t>The equity ownership approach</w:t>
            </w:r>
            <w:r w:rsidR="00E733ED">
              <w:rPr>
                <w:webHidden/>
              </w:rPr>
              <w:tab/>
            </w:r>
            <w:r w:rsidR="00E733ED">
              <w:rPr>
                <w:webHidden/>
              </w:rPr>
              <w:fldChar w:fldCharType="begin"/>
            </w:r>
            <w:r w:rsidR="00E733ED">
              <w:rPr>
                <w:webHidden/>
              </w:rPr>
              <w:instrText xml:space="preserve"> PAGEREF _Toc456614285 \h </w:instrText>
            </w:r>
            <w:r w:rsidR="00E733ED">
              <w:rPr>
                <w:webHidden/>
              </w:rPr>
            </w:r>
            <w:r w:rsidR="00E733ED">
              <w:rPr>
                <w:webHidden/>
              </w:rPr>
              <w:fldChar w:fldCharType="separate"/>
            </w:r>
            <w:r>
              <w:rPr>
                <w:webHidden/>
              </w:rPr>
              <w:t>4-36</w:t>
            </w:r>
            <w:r w:rsidR="00E733ED">
              <w:rPr>
                <w:webHidden/>
              </w:rPr>
              <w:fldChar w:fldCharType="end"/>
            </w:r>
          </w:hyperlink>
        </w:p>
        <w:p w:rsidR="00E733ED" w:rsidRDefault="007261FC">
          <w:pPr>
            <w:pStyle w:val="TOC4"/>
            <w:rPr>
              <w:rFonts w:asciiTheme="minorHAnsi" w:eastAsiaTheme="minorEastAsia" w:hAnsiTheme="minorHAnsi"/>
              <w:lang w:eastAsia="en-AU"/>
            </w:rPr>
          </w:pPr>
          <w:hyperlink w:anchor="_Toc456614286" w:history="1">
            <w:r w:rsidR="00E733ED" w:rsidRPr="000A7D86">
              <w:rPr>
                <w:rStyle w:val="Hyperlink"/>
              </w:rPr>
              <w:t>Tax statistics</w:t>
            </w:r>
            <w:r w:rsidR="00E733ED">
              <w:rPr>
                <w:webHidden/>
              </w:rPr>
              <w:tab/>
            </w:r>
            <w:r w:rsidR="00E733ED">
              <w:rPr>
                <w:webHidden/>
              </w:rPr>
              <w:fldChar w:fldCharType="begin"/>
            </w:r>
            <w:r w:rsidR="00E733ED">
              <w:rPr>
                <w:webHidden/>
              </w:rPr>
              <w:instrText xml:space="preserve"> PAGEREF _Toc456614286 \h </w:instrText>
            </w:r>
            <w:r w:rsidR="00E733ED">
              <w:rPr>
                <w:webHidden/>
              </w:rPr>
            </w:r>
            <w:r w:rsidR="00E733ED">
              <w:rPr>
                <w:webHidden/>
              </w:rPr>
              <w:fldChar w:fldCharType="separate"/>
            </w:r>
            <w:r>
              <w:rPr>
                <w:webHidden/>
              </w:rPr>
              <w:t>4-37</w:t>
            </w:r>
            <w:r w:rsidR="00E733ED">
              <w:rPr>
                <w:webHidden/>
              </w:rPr>
              <w:fldChar w:fldCharType="end"/>
            </w:r>
          </w:hyperlink>
        </w:p>
        <w:p w:rsidR="00E733ED" w:rsidRDefault="007261FC">
          <w:pPr>
            <w:pStyle w:val="TOC4"/>
            <w:rPr>
              <w:rFonts w:asciiTheme="minorHAnsi" w:eastAsiaTheme="minorEastAsia" w:hAnsiTheme="minorHAnsi"/>
              <w:lang w:eastAsia="en-AU"/>
            </w:rPr>
          </w:pPr>
          <w:hyperlink w:anchor="_Toc456614287" w:history="1">
            <w:r w:rsidR="00E733ED" w:rsidRPr="000A7D86">
              <w:rPr>
                <w:rStyle w:val="Hyperlink"/>
              </w:rPr>
              <w:t>Implied market value studies</w:t>
            </w:r>
            <w:r w:rsidR="00E733ED">
              <w:rPr>
                <w:webHidden/>
              </w:rPr>
              <w:tab/>
            </w:r>
            <w:r w:rsidR="00E733ED">
              <w:rPr>
                <w:webHidden/>
              </w:rPr>
              <w:fldChar w:fldCharType="begin"/>
            </w:r>
            <w:r w:rsidR="00E733ED">
              <w:rPr>
                <w:webHidden/>
              </w:rPr>
              <w:instrText xml:space="preserve"> PAGEREF _Toc456614287 \h </w:instrText>
            </w:r>
            <w:r w:rsidR="00E733ED">
              <w:rPr>
                <w:webHidden/>
              </w:rPr>
            </w:r>
            <w:r w:rsidR="00E733ED">
              <w:rPr>
                <w:webHidden/>
              </w:rPr>
              <w:fldChar w:fldCharType="separate"/>
            </w:r>
            <w:r>
              <w:rPr>
                <w:webHidden/>
              </w:rPr>
              <w:t>4-40</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288" w:history="1">
            <w:r w:rsidR="00E733ED" w:rsidRPr="000A7D86">
              <w:rPr>
                <w:rStyle w:val="Hyperlink"/>
              </w:rPr>
              <w:t>4.4.2</w:t>
            </w:r>
            <w:r w:rsidR="00E733ED">
              <w:rPr>
                <w:rFonts w:asciiTheme="minorHAnsi" w:eastAsiaTheme="minorEastAsia" w:hAnsiTheme="minorHAnsi"/>
                <w:lang w:eastAsia="en-AU"/>
              </w:rPr>
              <w:tab/>
            </w:r>
            <w:r w:rsidR="00E733ED" w:rsidRPr="000A7D86">
              <w:rPr>
                <w:rStyle w:val="Hyperlink"/>
              </w:rPr>
              <w:t>Response to submissions by stakeholders</w:t>
            </w:r>
            <w:r w:rsidR="00E733ED">
              <w:rPr>
                <w:webHidden/>
              </w:rPr>
              <w:tab/>
            </w:r>
            <w:r w:rsidR="00E733ED">
              <w:rPr>
                <w:webHidden/>
              </w:rPr>
              <w:fldChar w:fldCharType="begin"/>
            </w:r>
            <w:r w:rsidR="00E733ED">
              <w:rPr>
                <w:webHidden/>
              </w:rPr>
              <w:instrText xml:space="preserve"> PAGEREF _Toc456614288 \h </w:instrText>
            </w:r>
            <w:r w:rsidR="00E733ED">
              <w:rPr>
                <w:webHidden/>
              </w:rPr>
            </w:r>
            <w:r w:rsidR="00E733ED">
              <w:rPr>
                <w:webHidden/>
              </w:rPr>
              <w:fldChar w:fldCharType="separate"/>
            </w:r>
            <w:r>
              <w:rPr>
                <w:webHidden/>
              </w:rPr>
              <w:t>4-44</w:t>
            </w:r>
            <w:r w:rsidR="00E733ED">
              <w:rPr>
                <w:webHidden/>
              </w:rPr>
              <w:fldChar w:fldCharType="end"/>
            </w:r>
          </w:hyperlink>
        </w:p>
        <w:p w:rsidR="00E733ED" w:rsidRDefault="007261FC">
          <w:pPr>
            <w:pStyle w:val="TOC7"/>
            <w:tabs>
              <w:tab w:val="left" w:pos="2977"/>
            </w:tabs>
            <w:rPr>
              <w:rFonts w:asciiTheme="minorHAnsi" w:eastAsiaTheme="minorEastAsia" w:hAnsiTheme="minorHAnsi"/>
              <w:lang w:eastAsia="en-AU"/>
            </w:rPr>
          </w:pPr>
          <w:hyperlink w:anchor="_Toc456614289" w:history="1">
            <w:r w:rsidR="00E733ED" w:rsidRPr="000A7D86">
              <w:rPr>
                <w:rStyle w:val="Hyperlink"/>
              </w:rPr>
              <w:t>A</w:t>
            </w:r>
            <w:r w:rsidR="00E733ED">
              <w:rPr>
                <w:rFonts w:asciiTheme="minorHAnsi" w:eastAsiaTheme="minorEastAsia" w:hAnsiTheme="minorHAnsi"/>
                <w:lang w:eastAsia="en-AU"/>
              </w:rPr>
              <w:tab/>
            </w:r>
            <w:r w:rsidR="00E733ED" w:rsidRPr="000A7D86">
              <w:rPr>
                <w:rStyle w:val="Hyperlink"/>
              </w:rPr>
              <w:t>Value of imputation credits: Detailed analysis</w:t>
            </w:r>
            <w:r w:rsidR="00E733ED">
              <w:rPr>
                <w:webHidden/>
              </w:rPr>
              <w:tab/>
            </w:r>
            <w:r w:rsidR="00E733ED">
              <w:rPr>
                <w:webHidden/>
              </w:rPr>
              <w:fldChar w:fldCharType="begin"/>
            </w:r>
            <w:r w:rsidR="00E733ED">
              <w:rPr>
                <w:webHidden/>
              </w:rPr>
              <w:instrText xml:space="preserve"> PAGEREF _Toc456614289 \h </w:instrText>
            </w:r>
            <w:r w:rsidR="00E733ED">
              <w:rPr>
                <w:webHidden/>
              </w:rPr>
            </w:r>
            <w:r w:rsidR="00E733ED">
              <w:rPr>
                <w:webHidden/>
              </w:rPr>
              <w:fldChar w:fldCharType="separate"/>
            </w:r>
            <w:r>
              <w:rPr>
                <w:webHidden/>
              </w:rPr>
              <w:t>4-55</w:t>
            </w:r>
            <w:r w:rsidR="00E733ED">
              <w:rPr>
                <w:webHidden/>
              </w:rPr>
              <w:fldChar w:fldCharType="end"/>
            </w:r>
          </w:hyperlink>
        </w:p>
        <w:p w:rsidR="00E733ED" w:rsidRDefault="007261FC">
          <w:pPr>
            <w:pStyle w:val="TOC8"/>
            <w:tabs>
              <w:tab w:val="left" w:pos="3527"/>
            </w:tabs>
            <w:rPr>
              <w:rFonts w:asciiTheme="minorHAnsi" w:eastAsiaTheme="minorEastAsia" w:hAnsiTheme="minorHAnsi"/>
              <w:lang w:eastAsia="en-AU"/>
            </w:rPr>
          </w:pPr>
          <w:hyperlink w:anchor="_Toc456614290" w:history="1">
            <w:r w:rsidR="00E733ED" w:rsidRPr="000A7D86">
              <w:rPr>
                <w:rStyle w:val="Hyperlink"/>
              </w:rPr>
              <w:t>A.1</w:t>
            </w:r>
            <w:r w:rsidR="00E733ED">
              <w:rPr>
                <w:rFonts w:asciiTheme="minorHAnsi" w:eastAsiaTheme="minorEastAsia" w:hAnsiTheme="minorHAnsi"/>
                <w:lang w:eastAsia="en-AU"/>
              </w:rPr>
              <w:tab/>
            </w:r>
            <w:r w:rsidR="00E733ED" w:rsidRPr="000A7D86">
              <w:rPr>
                <w:rStyle w:val="Hyperlink"/>
              </w:rPr>
              <w:t>Expert views on the value of imputation credits</w:t>
            </w:r>
            <w:r w:rsidR="00E733ED">
              <w:rPr>
                <w:webHidden/>
              </w:rPr>
              <w:tab/>
            </w:r>
            <w:r w:rsidR="00E733ED">
              <w:rPr>
                <w:webHidden/>
              </w:rPr>
              <w:fldChar w:fldCharType="begin"/>
            </w:r>
            <w:r w:rsidR="00E733ED">
              <w:rPr>
                <w:webHidden/>
              </w:rPr>
              <w:instrText xml:space="preserve"> PAGEREF _Toc456614290 \h </w:instrText>
            </w:r>
            <w:r w:rsidR="00E733ED">
              <w:rPr>
                <w:webHidden/>
              </w:rPr>
            </w:r>
            <w:r w:rsidR="00E733ED">
              <w:rPr>
                <w:webHidden/>
              </w:rPr>
              <w:fldChar w:fldCharType="separate"/>
            </w:r>
            <w:r>
              <w:rPr>
                <w:webHidden/>
              </w:rPr>
              <w:t>4-56</w:t>
            </w:r>
            <w:r w:rsidR="00E733ED">
              <w:rPr>
                <w:webHidden/>
              </w:rPr>
              <w:fldChar w:fldCharType="end"/>
            </w:r>
          </w:hyperlink>
        </w:p>
        <w:p w:rsidR="00E733ED" w:rsidRDefault="007261FC">
          <w:pPr>
            <w:pStyle w:val="TOC8"/>
            <w:tabs>
              <w:tab w:val="left" w:pos="3527"/>
            </w:tabs>
            <w:rPr>
              <w:rFonts w:asciiTheme="minorHAnsi" w:eastAsiaTheme="minorEastAsia" w:hAnsiTheme="minorHAnsi"/>
              <w:lang w:eastAsia="en-AU"/>
            </w:rPr>
          </w:pPr>
          <w:hyperlink w:anchor="_Toc456614291" w:history="1">
            <w:r w:rsidR="00E733ED" w:rsidRPr="000A7D86">
              <w:rPr>
                <w:rStyle w:val="Hyperlink"/>
              </w:rPr>
              <w:t>A.2</w:t>
            </w:r>
            <w:r w:rsidR="00E733ED">
              <w:rPr>
                <w:rFonts w:asciiTheme="minorHAnsi" w:eastAsiaTheme="minorEastAsia" w:hAnsiTheme="minorHAnsi"/>
                <w:lang w:eastAsia="en-AU"/>
              </w:rPr>
              <w:tab/>
            </w:r>
            <w:r w:rsidR="00E733ED" w:rsidRPr="000A7D86">
              <w:rPr>
                <w:rStyle w:val="Hyperlink"/>
              </w:rPr>
              <w:t>The value of imputation credits used by other regulators</w:t>
            </w:r>
            <w:r w:rsidR="00E733ED">
              <w:rPr>
                <w:webHidden/>
              </w:rPr>
              <w:tab/>
            </w:r>
            <w:r w:rsidR="00E733ED">
              <w:rPr>
                <w:webHidden/>
              </w:rPr>
              <w:fldChar w:fldCharType="begin"/>
            </w:r>
            <w:r w:rsidR="00E733ED">
              <w:rPr>
                <w:webHidden/>
              </w:rPr>
              <w:instrText xml:space="preserve"> PAGEREF _Toc456614291 \h </w:instrText>
            </w:r>
            <w:r w:rsidR="00E733ED">
              <w:rPr>
                <w:webHidden/>
              </w:rPr>
            </w:r>
            <w:r w:rsidR="00E733ED">
              <w:rPr>
                <w:webHidden/>
              </w:rPr>
              <w:fldChar w:fldCharType="separate"/>
            </w:r>
            <w:r>
              <w:rPr>
                <w:webHidden/>
              </w:rPr>
              <w:t>4-58</w:t>
            </w:r>
            <w:r w:rsidR="00E733ED">
              <w:rPr>
                <w:webHidden/>
              </w:rPr>
              <w:fldChar w:fldCharType="end"/>
            </w:r>
          </w:hyperlink>
        </w:p>
        <w:p w:rsidR="00E733ED" w:rsidRDefault="007261FC">
          <w:pPr>
            <w:pStyle w:val="TOC8"/>
            <w:tabs>
              <w:tab w:val="left" w:pos="3527"/>
            </w:tabs>
            <w:rPr>
              <w:rFonts w:asciiTheme="minorHAnsi" w:eastAsiaTheme="minorEastAsia" w:hAnsiTheme="minorHAnsi"/>
              <w:lang w:eastAsia="en-AU"/>
            </w:rPr>
          </w:pPr>
          <w:hyperlink w:anchor="_Toc456614292" w:history="1">
            <w:r w:rsidR="00E733ED" w:rsidRPr="000A7D86">
              <w:rPr>
                <w:rStyle w:val="Hyperlink"/>
              </w:rPr>
              <w:t>A.3</w:t>
            </w:r>
            <w:r w:rsidR="00E733ED">
              <w:rPr>
                <w:rFonts w:asciiTheme="minorHAnsi" w:eastAsiaTheme="minorEastAsia" w:hAnsiTheme="minorHAnsi"/>
                <w:lang w:eastAsia="en-AU"/>
              </w:rPr>
              <w:tab/>
            </w:r>
            <w:r w:rsidR="00E733ED" w:rsidRPr="000A7D86">
              <w:rPr>
                <w:rStyle w:val="Hyperlink"/>
              </w:rPr>
              <w:t>Previous Australian Competition Tribunal considerations</w:t>
            </w:r>
            <w:r w:rsidR="00E733ED">
              <w:rPr>
                <w:webHidden/>
              </w:rPr>
              <w:tab/>
            </w:r>
            <w:r w:rsidR="00E733ED">
              <w:rPr>
                <w:webHidden/>
              </w:rPr>
              <w:fldChar w:fldCharType="begin"/>
            </w:r>
            <w:r w:rsidR="00E733ED">
              <w:rPr>
                <w:webHidden/>
              </w:rPr>
              <w:instrText xml:space="preserve"> PAGEREF _Toc456614292 \h </w:instrText>
            </w:r>
            <w:r w:rsidR="00E733ED">
              <w:rPr>
                <w:webHidden/>
              </w:rPr>
            </w:r>
            <w:r w:rsidR="00E733ED">
              <w:rPr>
                <w:webHidden/>
              </w:rPr>
              <w:fldChar w:fldCharType="separate"/>
            </w:r>
            <w:r>
              <w:rPr>
                <w:webHidden/>
              </w:rPr>
              <w:t>4-60</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293" w:history="1">
            <w:r w:rsidR="00E733ED" w:rsidRPr="000A7D86">
              <w:rPr>
                <w:rStyle w:val="Hyperlink"/>
              </w:rPr>
              <w:t>A.3.1</w:t>
            </w:r>
            <w:r w:rsidR="00E733ED">
              <w:rPr>
                <w:rFonts w:asciiTheme="minorHAnsi" w:eastAsiaTheme="minorEastAsia" w:hAnsiTheme="minorHAnsi"/>
                <w:lang w:eastAsia="en-AU"/>
              </w:rPr>
              <w:tab/>
            </w:r>
            <w:r w:rsidR="00E733ED" w:rsidRPr="000A7D86">
              <w:rPr>
                <w:rStyle w:val="Hyperlink"/>
              </w:rPr>
              <w:t>ActewAGL Distribution, Ausgrid, Endeavour Energy, Essential Energy and Jemena Gas Networks</w:t>
            </w:r>
            <w:r w:rsidR="00E733ED">
              <w:rPr>
                <w:webHidden/>
              </w:rPr>
              <w:tab/>
            </w:r>
            <w:r w:rsidR="00E733ED">
              <w:rPr>
                <w:webHidden/>
              </w:rPr>
              <w:fldChar w:fldCharType="begin"/>
            </w:r>
            <w:r w:rsidR="00E733ED">
              <w:rPr>
                <w:webHidden/>
              </w:rPr>
              <w:instrText xml:space="preserve"> PAGEREF _Toc456614293 \h </w:instrText>
            </w:r>
            <w:r w:rsidR="00E733ED">
              <w:rPr>
                <w:webHidden/>
              </w:rPr>
            </w:r>
            <w:r w:rsidR="00E733ED">
              <w:rPr>
                <w:webHidden/>
              </w:rPr>
              <w:fldChar w:fldCharType="separate"/>
            </w:r>
            <w:r>
              <w:rPr>
                <w:webHidden/>
              </w:rPr>
              <w:t>4-60</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294" w:history="1">
            <w:r w:rsidR="00E733ED" w:rsidRPr="000A7D86">
              <w:rPr>
                <w:rStyle w:val="Hyperlink"/>
              </w:rPr>
              <w:t>A.3.2</w:t>
            </w:r>
            <w:r w:rsidR="00E733ED">
              <w:rPr>
                <w:rFonts w:asciiTheme="minorHAnsi" w:eastAsiaTheme="minorEastAsia" w:hAnsiTheme="minorHAnsi"/>
                <w:lang w:eastAsia="en-AU"/>
              </w:rPr>
              <w:tab/>
            </w:r>
            <w:r w:rsidR="00E733ED" w:rsidRPr="000A7D86">
              <w:rPr>
                <w:rStyle w:val="Hyperlink"/>
              </w:rPr>
              <w:t>Energex</w:t>
            </w:r>
            <w:r w:rsidR="00E733ED">
              <w:rPr>
                <w:webHidden/>
              </w:rPr>
              <w:tab/>
            </w:r>
            <w:r w:rsidR="00E733ED">
              <w:rPr>
                <w:webHidden/>
              </w:rPr>
              <w:fldChar w:fldCharType="begin"/>
            </w:r>
            <w:r w:rsidR="00E733ED">
              <w:rPr>
                <w:webHidden/>
              </w:rPr>
              <w:instrText xml:space="preserve"> PAGEREF _Toc456614294 \h </w:instrText>
            </w:r>
            <w:r w:rsidR="00E733ED">
              <w:rPr>
                <w:webHidden/>
              </w:rPr>
            </w:r>
            <w:r w:rsidR="00E733ED">
              <w:rPr>
                <w:webHidden/>
              </w:rPr>
              <w:fldChar w:fldCharType="separate"/>
            </w:r>
            <w:r>
              <w:rPr>
                <w:webHidden/>
              </w:rPr>
              <w:t>4-68</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295" w:history="1">
            <w:r w:rsidR="00E733ED" w:rsidRPr="000A7D86">
              <w:rPr>
                <w:rStyle w:val="Hyperlink"/>
              </w:rPr>
              <w:t>A.3.3</w:t>
            </w:r>
            <w:r w:rsidR="00E733ED">
              <w:rPr>
                <w:rFonts w:asciiTheme="minorHAnsi" w:eastAsiaTheme="minorEastAsia" w:hAnsiTheme="minorHAnsi"/>
                <w:lang w:eastAsia="en-AU"/>
              </w:rPr>
              <w:tab/>
            </w:r>
            <w:r w:rsidR="00E733ED" w:rsidRPr="000A7D86">
              <w:rPr>
                <w:rStyle w:val="Hyperlink"/>
              </w:rPr>
              <w:t>DBNGP and WA Gas Networks</w:t>
            </w:r>
            <w:r w:rsidR="00E733ED">
              <w:rPr>
                <w:webHidden/>
              </w:rPr>
              <w:tab/>
            </w:r>
            <w:r w:rsidR="00E733ED">
              <w:rPr>
                <w:webHidden/>
              </w:rPr>
              <w:fldChar w:fldCharType="begin"/>
            </w:r>
            <w:r w:rsidR="00E733ED">
              <w:rPr>
                <w:webHidden/>
              </w:rPr>
              <w:instrText xml:space="preserve"> PAGEREF _Toc456614295 \h </w:instrText>
            </w:r>
            <w:r w:rsidR="00E733ED">
              <w:rPr>
                <w:webHidden/>
              </w:rPr>
            </w:r>
            <w:r w:rsidR="00E733ED">
              <w:rPr>
                <w:webHidden/>
              </w:rPr>
              <w:fldChar w:fldCharType="separate"/>
            </w:r>
            <w:r>
              <w:rPr>
                <w:webHidden/>
              </w:rPr>
              <w:t>4-72</w:t>
            </w:r>
            <w:r w:rsidR="00E733ED">
              <w:rPr>
                <w:webHidden/>
              </w:rPr>
              <w:fldChar w:fldCharType="end"/>
            </w:r>
          </w:hyperlink>
        </w:p>
        <w:p w:rsidR="00E733ED" w:rsidRDefault="007261FC">
          <w:pPr>
            <w:pStyle w:val="TOC8"/>
            <w:tabs>
              <w:tab w:val="left" w:pos="3527"/>
            </w:tabs>
            <w:rPr>
              <w:rFonts w:asciiTheme="minorHAnsi" w:eastAsiaTheme="minorEastAsia" w:hAnsiTheme="minorHAnsi"/>
              <w:lang w:eastAsia="en-AU"/>
            </w:rPr>
          </w:pPr>
          <w:hyperlink w:anchor="_Toc456614296" w:history="1">
            <w:r w:rsidR="00E733ED" w:rsidRPr="000A7D86">
              <w:rPr>
                <w:rStyle w:val="Hyperlink"/>
              </w:rPr>
              <w:t>A.4</w:t>
            </w:r>
            <w:r w:rsidR="00E733ED">
              <w:rPr>
                <w:rFonts w:asciiTheme="minorHAnsi" w:eastAsiaTheme="minorEastAsia" w:hAnsiTheme="minorHAnsi"/>
                <w:lang w:eastAsia="en-AU"/>
              </w:rPr>
              <w:tab/>
            </w:r>
            <w:r w:rsidR="00E733ED" w:rsidRPr="000A7D86">
              <w:rPr>
                <w:rStyle w:val="Hyperlink"/>
              </w:rPr>
              <w:t>Key concerns of the service providers</w:t>
            </w:r>
            <w:r w:rsidR="00E733ED">
              <w:rPr>
                <w:webHidden/>
              </w:rPr>
              <w:tab/>
            </w:r>
            <w:r w:rsidR="00E733ED">
              <w:rPr>
                <w:webHidden/>
              </w:rPr>
              <w:fldChar w:fldCharType="begin"/>
            </w:r>
            <w:r w:rsidR="00E733ED">
              <w:rPr>
                <w:webHidden/>
              </w:rPr>
              <w:instrText xml:space="preserve"> PAGEREF _Toc456614296 \h </w:instrText>
            </w:r>
            <w:r w:rsidR="00E733ED">
              <w:rPr>
                <w:webHidden/>
              </w:rPr>
            </w:r>
            <w:r w:rsidR="00E733ED">
              <w:rPr>
                <w:webHidden/>
              </w:rPr>
              <w:fldChar w:fldCharType="separate"/>
            </w:r>
            <w:r>
              <w:rPr>
                <w:webHidden/>
              </w:rPr>
              <w:t>4-73</w:t>
            </w:r>
            <w:r w:rsidR="00E733ED">
              <w:rPr>
                <w:webHidden/>
              </w:rPr>
              <w:fldChar w:fldCharType="end"/>
            </w:r>
          </w:hyperlink>
        </w:p>
        <w:p w:rsidR="00E733ED" w:rsidRDefault="007261FC">
          <w:pPr>
            <w:pStyle w:val="TOC8"/>
            <w:tabs>
              <w:tab w:val="left" w:pos="3527"/>
            </w:tabs>
            <w:rPr>
              <w:rFonts w:asciiTheme="minorHAnsi" w:eastAsiaTheme="minorEastAsia" w:hAnsiTheme="minorHAnsi"/>
              <w:lang w:eastAsia="en-AU"/>
            </w:rPr>
          </w:pPr>
          <w:hyperlink w:anchor="_Toc456614297" w:history="1">
            <w:r w:rsidR="00E733ED" w:rsidRPr="000A7D86">
              <w:rPr>
                <w:rStyle w:val="Hyperlink"/>
              </w:rPr>
              <w:t>A.5</w:t>
            </w:r>
            <w:r w:rsidR="00E733ED">
              <w:rPr>
                <w:rFonts w:asciiTheme="minorHAnsi" w:eastAsiaTheme="minorEastAsia" w:hAnsiTheme="minorHAnsi"/>
                <w:lang w:eastAsia="en-AU"/>
              </w:rPr>
              <w:tab/>
            </w:r>
            <w:r w:rsidR="00E733ED" w:rsidRPr="000A7D86">
              <w:rPr>
                <w:rStyle w:val="Hyperlink"/>
              </w:rPr>
              <w:t>The role of the value of imputation credits in the regulatory framework</w:t>
            </w:r>
            <w:r w:rsidR="00E733ED">
              <w:rPr>
                <w:webHidden/>
              </w:rPr>
              <w:tab/>
            </w:r>
            <w:r w:rsidR="00E733ED">
              <w:rPr>
                <w:webHidden/>
              </w:rPr>
              <w:fldChar w:fldCharType="begin"/>
            </w:r>
            <w:r w:rsidR="00E733ED">
              <w:rPr>
                <w:webHidden/>
              </w:rPr>
              <w:instrText xml:space="preserve"> PAGEREF _Toc456614297 \h </w:instrText>
            </w:r>
            <w:r w:rsidR="00E733ED">
              <w:rPr>
                <w:webHidden/>
              </w:rPr>
            </w:r>
            <w:r w:rsidR="00E733ED">
              <w:rPr>
                <w:webHidden/>
              </w:rPr>
              <w:fldChar w:fldCharType="separate"/>
            </w:r>
            <w:r>
              <w:rPr>
                <w:webHidden/>
              </w:rPr>
              <w:t>4-76</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298" w:history="1">
            <w:r w:rsidR="00E733ED" w:rsidRPr="000A7D86">
              <w:rPr>
                <w:rStyle w:val="Hyperlink"/>
              </w:rPr>
              <w:t>A.5.1</w:t>
            </w:r>
            <w:r w:rsidR="00E733ED">
              <w:rPr>
                <w:rFonts w:asciiTheme="minorHAnsi" w:eastAsiaTheme="minorEastAsia" w:hAnsiTheme="minorHAnsi"/>
                <w:lang w:eastAsia="en-AU"/>
              </w:rPr>
              <w:tab/>
            </w:r>
            <w:r w:rsidR="00E733ED" w:rsidRPr="000A7D86">
              <w:rPr>
                <w:rStyle w:val="Hyperlink"/>
              </w:rPr>
              <w:t>The building block framework</w:t>
            </w:r>
            <w:r w:rsidR="00E733ED">
              <w:rPr>
                <w:webHidden/>
              </w:rPr>
              <w:tab/>
            </w:r>
            <w:r w:rsidR="00E733ED">
              <w:rPr>
                <w:webHidden/>
              </w:rPr>
              <w:fldChar w:fldCharType="begin"/>
            </w:r>
            <w:r w:rsidR="00E733ED">
              <w:rPr>
                <w:webHidden/>
              </w:rPr>
              <w:instrText xml:space="preserve"> PAGEREF _Toc456614298 \h </w:instrText>
            </w:r>
            <w:r w:rsidR="00E733ED">
              <w:rPr>
                <w:webHidden/>
              </w:rPr>
            </w:r>
            <w:r w:rsidR="00E733ED">
              <w:rPr>
                <w:webHidden/>
              </w:rPr>
              <w:fldChar w:fldCharType="separate"/>
            </w:r>
            <w:r>
              <w:rPr>
                <w:webHidden/>
              </w:rPr>
              <w:t>4-77</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299" w:history="1">
            <w:r w:rsidR="00E733ED" w:rsidRPr="000A7D86">
              <w:rPr>
                <w:rStyle w:val="Hyperlink"/>
              </w:rPr>
              <w:t>A.5.2</w:t>
            </w:r>
            <w:r w:rsidR="00E733ED">
              <w:rPr>
                <w:rFonts w:asciiTheme="minorHAnsi" w:eastAsiaTheme="minorEastAsia" w:hAnsiTheme="minorHAnsi"/>
                <w:lang w:eastAsia="en-AU"/>
              </w:rPr>
              <w:tab/>
            </w:r>
            <w:r w:rsidR="00E733ED" w:rsidRPr="000A7D86">
              <w:rPr>
                <w:rStyle w:val="Hyperlink"/>
              </w:rPr>
              <w:t>The tax building block</w:t>
            </w:r>
            <w:r w:rsidR="00E733ED">
              <w:rPr>
                <w:webHidden/>
              </w:rPr>
              <w:tab/>
            </w:r>
            <w:r w:rsidR="00E733ED">
              <w:rPr>
                <w:webHidden/>
              </w:rPr>
              <w:fldChar w:fldCharType="begin"/>
            </w:r>
            <w:r w:rsidR="00E733ED">
              <w:rPr>
                <w:webHidden/>
              </w:rPr>
              <w:instrText xml:space="preserve"> PAGEREF _Toc456614299 \h </w:instrText>
            </w:r>
            <w:r w:rsidR="00E733ED">
              <w:rPr>
                <w:webHidden/>
              </w:rPr>
            </w:r>
            <w:r w:rsidR="00E733ED">
              <w:rPr>
                <w:webHidden/>
              </w:rPr>
              <w:fldChar w:fldCharType="separate"/>
            </w:r>
            <w:r>
              <w:rPr>
                <w:webHidden/>
              </w:rPr>
              <w:t>4-79</w:t>
            </w:r>
            <w:r w:rsidR="00E733ED">
              <w:rPr>
                <w:webHidden/>
              </w:rPr>
              <w:fldChar w:fldCharType="end"/>
            </w:r>
          </w:hyperlink>
        </w:p>
        <w:p w:rsidR="00E733ED" w:rsidRDefault="007261FC">
          <w:pPr>
            <w:pStyle w:val="TOC8"/>
            <w:tabs>
              <w:tab w:val="left" w:pos="3527"/>
            </w:tabs>
            <w:rPr>
              <w:rFonts w:asciiTheme="minorHAnsi" w:eastAsiaTheme="minorEastAsia" w:hAnsiTheme="minorHAnsi"/>
              <w:lang w:eastAsia="en-AU"/>
            </w:rPr>
          </w:pPr>
          <w:hyperlink w:anchor="_Toc456614300" w:history="1">
            <w:r w:rsidR="00E733ED" w:rsidRPr="000A7D86">
              <w:rPr>
                <w:rStyle w:val="Hyperlink"/>
              </w:rPr>
              <w:t>A.6</w:t>
            </w:r>
            <w:r w:rsidR="00E733ED">
              <w:rPr>
                <w:rFonts w:asciiTheme="minorHAnsi" w:eastAsiaTheme="minorEastAsia" w:hAnsiTheme="minorHAnsi"/>
                <w:lang w:eastAsia="en-AU"/>
              </w:rPr>
              <w:tab/>
            </w:r>
            <w:r w:rsidR="00E733ED" w:rsidRPr="000A7D86">
              <w:rPr>
                <w:rStyle w:val="Hyperlink"/>
              </w:rPr>
              <w:t>The conceptual framework for the value of imputation credits</w:t>
            </w:r>
            <w:r w:rsidR="00E733ED">
              <w:rPr>
                <w:webHidden/>
              </w:rPr>
              <w:tab/>
            </w:r>
            <w:r w:rsidR="00E733ED">
              <w:rPr>
                <w:webHidden/>
              </w:rPr>
              <w:fldChar w:fldCharType="begin"/>
            </w:r>
            <w:r w:rsidR="00E733ED">
              <w:rPr>
                <w:webHidden/>
              </w:rPr>
              <w:instrText xml:space="preserve"> PAGEREF _Toc456614300 \h </w:instrText>
            </w:r>
            <w:r w:rsidR="00E733ED">
              <w:rPr>
                <w:webHidden/>
              </w:rPr>
            </w:r>
            <w:r w:rsidR="00E733ED">
              <w:rPr>
                <w:webHidden/>
              </w:rPr>
              <w:fldChar w:fldCharType="separate"/>
            </w:r>
            <w:r>
              <w:rPr>
                <w:webHidden/>
              </w:rPr>
              <w:t>4-80</w:t>
            </w:r>
            <w:r w:rsidR="00E733ED">
              <w:rPr>
                <w:webHidden/>
              </w:rPr>
              <w:fldChar w:fldCharType="end"/>
            </w:r>
          </w:hyperlink>
        </w:p>
        <w:p w:rsidR="00E733ED" w:rsidRDefault="007261FC">
          <w:pPr>
            <w:pStyle w:val="TOC8"/>
            <w:tabs>
              <w:tab w:val="left" w:pos="3527"/>
            </w:tabs>
            <w:rPr>
              <w:rFonts w:asciiTheme="minorHAnsi" w:eastAsiaTheme="minorEastAsia" w:hAnsiTheme="minorHAnsi"/>
              <w:lang w:eastAsia="en-AU"/>
            </w:rPr>
          </w:pPr>
          <w:hyperlink w:anchor="_Toc456614301" w:history="1">
            <w:r w:rsidR="00E733ED" w:rsidRPr="000A7D86">
              <w:rPr>
                <w:rStyle w:val="Hyperlink"/>
              </w:rPr>
              <w:t>A.7</w:t>
            </w:r>
            <w:r w:rsidR="00E733ED">
              <w:rPr>
                <w:rFonts w:asciiTheme="minorHAnsi" w:eastAsiaTheme="minorEastAsia" w:hAnsiTheme="minorHAnsi"/>
                <w:lang w:eastAsia="en-AU"/>
              </w:rPr>
              <w:tab/>
            </w:r>
            <w:r w:rsidR="00E733ED" w:rsidRPr="000A7D86">
              <w:rPr>
                <w:rStyle w:val="Hyperlink"/>
              </w:rPr>
              <w:t>Gray's comments on the conceptual framework.</w:t>
            </w:r>
            <w:r w:rsidR="00E733ED">
              <w:rPr>
                <w:webHidden/>
              </w:rPr>
              <w:tab/>
            </w:r>
            <w:r w:rsidR="00E733ED">
              <w:rPr>
                <w:webHidden/>
              </w:rPr>
              <w:fldChar w:fldCharType="begin"/>
            </w:r>
            <w:r w:rsidR="00E733ED">
              <w:rPr>
                <w:webHidden/>
              </w:rPr>
              <w:instrText xml:space="preserve"> PAGEREF _Toc456614301 \h </w:instrText>
            </w:r>
            <w:r w:rsidR="00E733ED">
              <w:rPr>
                <w:webHidden/>
              </w:rPr>
            </w:r>
            <w:r w:rsidR="00E733ED">
              <w:rPr>
                <w:webHidden/>
              </w:rPr>
              <w:fldChar w:fldCharType="separate"/>
            </w:r>
            <w:r>
              <w:rPr>
                <w:webHidden/>
              </w:rPr>
              <w:t>4-86</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302" w:history="1">
            <w:r w:rsidR="00E733ED" w:rsidRPr="000A7D86">
              <w:rPr>
                <w:rStyle w:val="Hyperlink"/>
              </w:rPr>
              <w:t>A.7.1</w:t>
            </w:r>
            <w:r w:rsidR="00E733ED">
              <w:rPr>
                <w:rFonts w:asciiTheme="minorHAnsi" w:eastAsiaTheme="minorEastAsia" w:hAnsiTheme="minorHAnsi"/>
                <w:lang w:eastAsia="en-AU"/>
              </w:rPr>
              <w:tab/>
            </w:r>
            <w:r w:rsidR="00E733ED" w:rsidRPr="000A7D86">
              <w:rPr>
                <w:rStyle w:val="Hyperlink"/>
              </w:rPr>
              <w:t>Gray's comments on the AER's position</w:t>
            </w:r>
            <w:r w:rsidR="00E733ED">
              <w:rPr>
                <w:webHidden/>
              </w:rPr>
              <w:tab/>
            </w:r>
            <w:r w:rsidR="00E733ED">
              <w:rPr>
                <w:webHidden/>
              </w:rPr>
              <w:fldChar w:fldCharType="begin"/>
            </w:r>
            <w:r w:rsidR="00E733ED">
              <w:rPr>
                <w:webHidden/>
              </w:rPr>
              <w:instrText xml:space="preserve"> PAGEREF _Toc456614302 \h </w:instrText>
            </w:r>
            <w:r w:rsidR="00E733ED">
              <w:rPr>
                <w:webHidden/>
              </w:rPr>
            </w:r>
            <w:r w:rsidR="00E733ED">
              <w:rPr>
                <w:webHidden/>
              </w:rPr>
              <w:fldChar w:fldCharType="separate"/>
            </w:r>
            <w:r>
              <w:rPr>
                <w:webHidden/>
              </w:rPr>
              <w:t>4-87</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303" w:history="1">
            <w:r w:rsidR="00E733ED" w:rsidRPr="000A7D86">
              <w:rPr>
                <w:rStyle w:val="Hyperlink"/>
              </w:rPr>
              <w:t>A.7.2</w:t>
            </w:r>
            <w:r w:rsidR="00E733ED">
              <w:rPr>
                <w:rFonts w:asciiTheme="minorHAnsi" w:eastAsiaTheme="minorEastAsia" w:hAnsiTheme="minorHAnsi"/>
                <w:lang w:eastAsia="en-AU"/>
              </w:rPr>
              <w:tab/>
            </w:r>
            <w:r w:rsidR="00E733ED" w:rsidRPr="000A7D86">
              <w:rPr>
                <w:rStyle w:val="Hyperlink"/>
              </w:rPr>
              <w:t>Gray's comments on certain evidence and advice cited in the Guideline</w:t>
            </w:r>
            <w:r w:rsidR="00E733ED">
              <w:rPr>
                <w:webHidden/>
              </w:rPr>
              <w:tab/>
            </w:r>
            <w:r w:rsidR="00E733ED">
              <w:rPr>
                <w:webHidden/>
              </w:rPr>
              <w:fldChar w:fldCharType="begin"/>
            </w:r>
            <w:r w:rsidR="00E733ED">
              <w:rPr>
                <w:webHidden/>
              </w:rPr>
              <w:instrText xml:space="preserve"> PAGEREF _Toc456614303 \h </w:instrText>
            </w:r>
            <w:r w:rsidR="00E733ED">
              <w:rPr>
                <w:webHidden/>
              </w:rPr>
            </w:r>
            <w:r w:rsidR="00E733ED">
              <w:rPr>
                <w:webHidden/>
              </w:rPr>
              <w:fldChar w:fldCharType="separate"/>
            </w:r>
            <w:r>
              <w:rPr>
                <w:webHidden/>
              </w:rPr>
              <w:t>4-88</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304" w:history="1">
            <w:r w:rsidR="00E733ED" w:rsidRPr="000A7D86">
              <w:rPr>
                <w:rStyle w:val="Hyperlink"/>
              </w:rPr>
              <w:t>A.7.3</w:t>
            </w:r>
            <w:r w:rsidR="00E733ED">
              <w:rPr>
                <w:rFonts w:asciiTheme="minorHAnsi" w:eastAsiaTheme="minorEastAsia" w:hAnsiTheme="minorHAnsi"/>
                <w:lang w:eastAsia="en-AU"/>
              </w:rPr>
              <w:tab/>
            </w:r>
            <w:r w:rsidR="00E733ED" w:rsidRPr="000A7D86">
              <w:rPr>
                <w:rStyle w:val="Hyperlink"/>
              </w:rPr>
              <w:t>Gray's comments on Officer (1994)</w:t>
            </w:r>
            <w:r w:rsidR="00E733ED">
              <w:rPr>
                <w:webHidden/>
              </w:rPr>
              <w:tab/>
            </w:r>
            <w:r w:rsidR="00E733ED">
              <w:rPr>
                <w:webHidden/>
              </w:rPr>
              <w:fldChar w:fldCharType="begin"/>
            </w:r>
            <w:r w:rsidR="00E733ED">
              <w:rPr>
                <w:webHidden/>
              </w:rPr>
              <w:instrText xml:space="preserve"> PAGEREF _Toc456614304 \h </w:instrText>
            </w:r>
            <w:r w:rsidR="00E733ED">
              <w:rPr>
                <w:webHidden/>
              </w:rPr>
            </w:r>
            <w:r w:rsidR="00E733ED">
              <w:rPr>
                <w:webHidden/>
              </w:rPr>
              <w:fldChar w:fldCharType="separate"/>
            </w:r>
            <w:r>
              <w:rPr>
                <w:webHidden/>
              </w:rPr>
              <w:t>4-89</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05" w:history="1">
            <w:r w:rsidR="00E733ED" w:rsidRPr="000A7D86">
              <w:rPr>
                <w:rStyle w:val="Hyperlink"/>
              </w:rPr>
              <w:t>The text in Officer (1994)</w:t>
            </w:r>
            <w:r w:rsidR="00E733ED">
              <w:rPr>
                <w:webHidden/>
              </w:rPr>
              <w:tab/>
            </w:r>
            <w:r w:rsidR="00E733ED">
              <w:rPr>
                <w:webHidden/>
              </w:rPr>
              <w:fldChar w:fldCharType="begin"/>
            </w:r>
            <w:r w:rsidR="00E733ED">
              <w:rPr>
                <w:webHidden/>
              </w:rPr>
              <w:instrText xml:space="preserve"> PAGEREF _Toc456614305 \h </w:instrText>
            </w:r>
            <w:r w:rsidR="00E733ED">
              <w:rPr>
                <w:webHidden/>
              </w:rPr>
            </w:r>
            <w:r w:rsidR="00E733ED">
              <w:rPr>
                <w:webHidden/>
              </w:rPr>
              <w:fldChar w:fldCharType="separate"/>
            </w:r>
            <w:r>
              <w:rPr>
                <w:webHidden/>
              </w:rPr>
              <w:t>4-89</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06" w:history="1">
            <w:r w:rsidR="00E733ED" w:rsidRPr="000A7D86">
              <w:rPr>
                <w:rStyle w:val="Hyperlink"/>
              </w:rPr>
              <w:t>The formulas in Officer (1994)</w:t>
            </w:r>
            <w:r w:rsidR="00E733ED">
              <w:rPr>
                <w:webHidden/>
              </w:rPr>
              <w:tab/>
            </w:r>
            <w:r w:rsidR="00E733ED">
              <w:rPr>
                <w:webHidden/>
              </w:rPr>
              <w:fldChar w:fldCharType="begin"/>
            </w:r>
            <w:r w:rsidR="00E733ED">
              <w:rPr>
                <w:webHidden/>
              </w:rPr>
              <w:instrText xml:space="preserve"> PAGEREF _Toc456614306 \h </w:instrText>
            </w:r>
            <w:r w:rsidR="00E733ED">
              <w:rPr>
                <w:webHidden/>
              </w:rPr>
            </w:r>
            <w:r w:rsidR="00E733ED">
              <w:rPr>
                <w:webHidden/>
              </w:rPr>
              <w:fldChar w:fldCharType="separate"/>
            </w:r>
            <w:r>
              <w:rPr>
                <w:webHidden/>
              </w:rPr>
              <w:t>4-91</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07" w:history="1">
            <w:r w:rsidR="00E733ED" w:rsidRPr="000A7D86">
              <w:rPr>
                <w:rStyle w:val="Hyperlink"/>
              </w:rPr>
              <w:t>Interpretation of gamma in textbooks</w:t>
            </w:r>
            <w:r w:rsidR="00E733ED">
              <w:rPr>
                <w:webHidden/>
              </w:rPr>
              <w:tab/>
            </w:r>
            <w:r w:rsidR="00E733ED">
              <w:rPr>
                <w:webHidden/>
              </w:rPr>
              <w:fldChar w:fldCharType="begin"/>
            </w:r>
            <w:r w:rsidR="00E733ED">
              <w:rPr>
                <w:webHidden/>
              </w:rPr>
              <w:instrText xml:space="preserve"> PAGEREF _Toc456614307 \h </w:instrText>
            </w:r>
            <w:r w:rsidR="00E733ED">
              <w:rPr>
                <w:webHidden/>
              </w:rPr>
            </w:r>
            <w:r w:rsidR="00E733ED">
              <w:rPr>
                <w:webHidden/>
              </w:rPr>
              <w:fldChar w:fldCharType="separate"/>
            </w:r>
            <w:r>
              <w:rPr>
                <w:webHidden/>
              </w:rPr>
              <w:t>4-92</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08" w:history="1">
            <w:r w:rsidR="00E733ED" w:rsidRPr="000A7D86">
              <w:rPr>
                <w:rStyle w:val="Hyperlink"/>
              </w:rPr>
              <w:t>Recent academic work</w:t>
            </w:r>
            <w:r w:rsidR="00E733ED">
              <w:rPr>
                <w:webHidden/>
              </w:rPr>
              <w:tab/>
            </w:r>
            <w:r w:rsidR="00E733ED">
              <w:rPr>
                <w:webHidden/>
              </w:rPr>
              <w:fldChar w:fldCharType="begin"/>
            </w:r>
            <w:r w:rsidR="00E733ED">
              <w:rPr>
                <w:webHidden/>
              </w:rPr>
              <w:instrText xml:space="preserve"> PAGEREF _Toc456614308 \h </w:instrText>
            </w:r>
            <w:r w:rsidR="00E733ED">
              <w:rPr>
                <w:webHidden/>
              </w:rPr>
            </w:r>
            <w:r w:rsidR="00E733ED">
              <w:rPr>
                <w:webHidden/>
              </w:rPr>
              <w:fldChar w:fldCharType="separate"/>
            </w:r>
            <w:r>
              <w:rPr>
                <w:webHidden/>
              </w:rPr>
              <w:t>4-95</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309" w:history="1">
            <w:r w:rsidR="00E733ED" w:rsidRPr="000A7D86">
              <w:rPr>
                <w:rStyle w:val="Hyperlink"/>
              </w:rPr>
              <w:t>A.7.4</w:t>
            </w:r>
            <w:r w:rsidR="00E733ED">
              <w:rPr>
                <w:rFonts w:asciiTheme="minorHAnsi" w:eastAsiaTheme="minorEastAsia" w:hAnsiTheme="minorHAnsi"/>
                <w:lang w:eastAsia="en-AU"/>
              </w:rPr>
              <w:tab/>
            </w:r>
            <w:r w:rsidR="00E733ED" w:rsidRPr="000A7D86">
              <w:rPr>
                <w:rStyle w:val="Hyperlink"/>
              </w:rPr>
              <w:t>Gray's comments on the Monkhouse framework</w:t>
            </w:r>
            <w:r w:rsidR="00E733ED">
              <w:rPr>
                <w:webHidden/>
              </w:rPr>
              <w:tab/>
            </w:r>
            <w:r w:rsidR="00E733ED">
              <w:rPr>
                <w:webHidden/>
              </w:rPr>
              <w:fldChar w:fldCharType="begin"/>
            </w:r>
            <w:r w:rsidR="00E733ED">
              <w:rPr>
                <w:webHidden/>
              </w:rPr>
              <w:instrText xml:space="preserve"> PAGEREF _Toc456614309 \h </w:instrText>
            </w:r>
            <w:r w:rsidR="00E733ED">
              <w:rPr>
                <w:webHidden/>
              </w:rPr>
            </w:r>
            <w:r w:rsidR="00E733ED">
              <w:rPr>
                <w:webHidden/>
              </w:rPr>
              <w:fldChar w:fldCharType="separate"/>
            </w:r>
            <w:r>
              <w:rPr>
                <w:webHidden/>
              </w:rPr>
              <w:t>4-96</w:t>
            </w:r>
            <w:r w:rsidR="00E733ED">
              <w:rPr>
                <w:webHidden/>
              </w:rPr>
              <w:fldChar w:fldCharType="end"/>
            </w:r>
          </w:hyperlink>
        </w:p>
        <w:p w:rsidR="00E733ED" w:rsidRDefault="007261FC">
          <w:pPr>
            <w:pStyle w:val="TOC8"/>
            <w:tabs>
              <w:tab w:val="left" w:pos="3527"/>
            </w:tabs>
            <w:rPr>
              <w:rFonts w:asciiTheme="minorHAnsi" w:eastAsiaTheme="minorEastAsia" w:hAnsiTheme="minorHAnsi"/>
              <w:lang w:eastAsia="en-AU"/>
            </w:rPr>
          </w:pPr>
          <w:hyperlink w:anchor="_Toc456614310" w:history="1">
            <w:r w:rsidR="00E733ED" w:rsidRPr="000A7D86">
              <w:rPr>
                <w:rStyle w:val="Hyperlink"/>
              </w:rPr>
              <w:t>A.8</w:t>
            </w:r>
            <w:r w:rsidR="00E733ED">
              <w:rPr>
                <w:rFonts w:asciiTheme="minorHAnsi" w:eastAsiaTheme="minorEastAsia" w:hAnsiTheme="minorHAnsi"/>
                <w:lang w:eastAsia="en-AU"/>
              </w:rPr>
              <w:tab/>
            </w:r>
            <w:r w:rsidR="00E733ED" w:rsidRPr="000A7D86">
              <w:rPr>
                <w:rStyle w:val="Hyperlink"/>
              </w:rPr>
              <w:t>Further issues relating to the utilisation rate</w:t>
            </w:r>
            <w:r w:rsidR="00E733ED">
              <w:rPr>
                <w:webHidden/>
              </w:rPr>
              <w:tab/>
            </w:r>
            <w:r w:rsidR="00E733ED">
              <w:rPr>
                <w:webHidden/>
              </w:rPr>
              <w:fldChar w:fldCharType="begin"/>
            </w:r>
            <w:r w:rsidR="00E733ED">
              <w:rPr>
                <w:webHidden/>
              </w:rPr>
              <w:instrText xml:space="preserve"> PAGEREF _Toc456614310 \h </w:instrText>
            </w:r>
            <w:r w:rsidR="00E733ED">
              <w:rPr>
                <w:webHidden/>
              </w:rPr>
            </w:r>
            <w:r w:rsidR="00E733ED">
              <w:rPr>
                <w:webHidden/>
              </w:rPr>
              <w:fldChar w:fldCharType="separate"/>
            </w:r>
            <w:r>
              <w:rPr>
                <w:webHidden/>
              </w:rPr>
              <w:t>4-99</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311" w:history="1">
            <w:r w:rsidR="00E733ED" w:rsidRPr="000A7D86">
              <w:rPr>
                <w:rStyle w:val="Hyperlink"/>
              </w:rPr>
              <w:t>A.8.1</w:t>
            </w:r>
            <w:r w:rsidR="00E733ED">
              <w:rPr>
                <w:rFonts w:asciiTheme="minorHAnsi" w:eastAsiaTheme="minorEastAsia" w:hAnsiTheme="minorHAnsi"/>
                <w:lang w:eastAsia="en-AU"/>
              </w:rPr>
              <w:tab/>
            </w:r>
            <w:r w:rsidR="00E733ED" w:rsidRPr="000A7D86">
              <w:rPr>
                <w:rStyle w:val="Hyperlink"/>
              </w:rPr>
              <w:t>Consistency with the building block framework</w:t>
            </w:r>
            <w:r w:rsidR="00E733ED">
              <w:rPr>
                <w:webHidden/>
              </w:rPr>
              <w:tab/>
            </w:r>
            <w:r w:rsidR="00E733ED">
              <w:rPr>
                <w:webHidden/>
              </w:rPr>
              <w:fldChar w:fldCharType="begin"/>
            </w:r>
            <w:r w:rsidR="00E733ED">
              <w:rPr>
                <w:webHidden/>
              </w:rPr>
              <w:instrText xml:space="preserve"> PAGEREF _Toc456614311 \h </w:instrText>
            </w:r>
            <w:r w:rsidR="00E733ED">
              <w:rPr>
                <w:webHidden/>
              </w:rPr>
            </w:r>
            <w:r w:rsidR="00E733ED">
              <w:rPr>
                <w:webHidden/>
              </w:rPr>
              <w:fldChar w:fldCharType="separate"/>
            </w:r>
            <w:r>
              <w:rPr>
                <w:webHidden/>
              </w:rPr>
              <w:t>4-100</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312" w:history="1">
            <w:r w:rsidR="00E733ED" w:rsidRPr="000A7D86">
              <w:rPr>
                <w:rStyle w:val="Hyperlink"/>
              </w:rPr>
              <w:t>A.8.2</w:t>
            </w:r>
            <w:r w:rsidR="00E733ED">
              <w:rPr>
                <w:rFonts w:asciiTheme="minorHAnsi" w:eastAsiaTheme="minorEastAsia" w:hAnsiTheme="minorHAnsi"/>
                <w:lang w:eastAsia="en-AU"/>
              </w:rPr>
              <w:tab/>
            </w:r>
            <w:r w:rsidR="00E733ED" w:rsidRPr="000A7D86">
              <w:rPr>
                <w:rStyle w:val="Hyperlink"/>
              </w:rPr>
              <w:t>Consistency with other allowed rate of return parameters</w:t>
            </w:r>
            <w:r w:rsidR="00E733ED">
              <w:rPr>
                <w:webHidden/>
              </w:rPr>
              <w:tab/>
            </w:r>
            <w:r w:rsidR="00E733ED">
              <w:rPr>
                <w:webHidden/>
              </w:rPr>
              <w:fldChar w:fldCharType="begin"/>
            </w:r>
            <w:r w:rsidR="00E733ED">
              <w:rPr>
                <w:webHidden/>
              </w:rPr>
              <w:instrText xml:space="preserve"> PAGEREF _Toc456614312 \h </w:instrText>
            </w:r>
            <w:r w:rsidR="00E733ED">
              <w:rPr>
                <w:webHidden/>
              </w:rPr>
            </w:r>
            <w:r w:rsidR="00E733ED">
              <w:rPr>
                <w:webHidden/>
              </w:rPr>
              <w:fldChar w:fldCharType="separate"/>
            </w:r>
            <w:r>
              <w:rPr>
                <w:webHidden/>
              </w:rPr>
              <w:t>4-103</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313" w:history="1">
            <w:r w:rsidR="00E733ED" w:rsidRPr="000A7D86">
              <w:rPr>
                <w:rStyle w:val="Hyperlink"/>
              </w:rPr>
              <w:t>A.8.3</w:t>
            </w:r>
            <w:r w:rsidR="00E733ED">
              <w:rPr>
                <w:rFonts w:asciiTheme="minorHAnsi" w:eastAsiaTheme="minorEastAsia" w:hAnsiTheme="minorHAnsi"/>
                <w:lang w:eastAsia="en-AU"/>
              </w:rPr>
              <w:tab/>
            </w:r>
            <w:r w:rsidR="00E733ED" w:rsidRPr="000A7D86">
              <w:rPr>
                <w:rStyle w:val="Hyperlink"/>
              </w:rPr>
              <w:t>Factors affecting investors' valuation of imputation credits</w:t>
            </w:r>
            <w:r w:rsidR="00E733ED">
              <w:rPr>
                <w:webHidden/>
              </w:rPr>
              <w:tab/>
            </w:r>
            <w:r w:rsidR="00E733ED">
              <w:rPr>
                <w:webHidden/>
              </w:rPr>
              <w:fldChar w:fldCharType="begin"/>
            </w:r>
            <w:r w:rsidR="00E733ED">
              <w:rPr>
                <w:webHidden/>
              </w:rPr>
              <w:instrText xml:space="preserve"> PAGEREF _Toc456614313 \h </w:instrText>
            </w:r>
            <w:r w:rsidR="00E733ED">
              <w:rPr>
                <w:webHidden/>
              </w:rPr>
            </w:r>
            <w:r w:rsidR="00E733ED">
              <w:rPr>
                <w:webHidden/>
              </w:rPr>
              <w:fldChar w:fldCharType="separate"/>
            </w:r>
            <w:r>
              <w:rPr>
                <w:webHidden/>
              </w:rPr>
              <w:t>4-106</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14" w:history="1">
            <w:r w:rsidR="00E733ED" w:rsidRPr="000A7D86">
              <w:rPr>
                <w:rStyle w:val="Hyperlink"/>
              </w:rPr>
              <w:t>The 45-day holding rule</w:t>
            </w:r>
            <w:r w:rsidR="00E733ED">
              <w:rPr>
                <w:webHidden/>
              </w:rPr>
              <w:tab/>
            </w:r>
            <w:r w:rsidR="00E733ED">
              <w:rPr>
                <w:webHidden/>
              </w:rPr>
              <w:fldChar w:fldCharType="begin"/>
            </w:r>
            <w:r w:rsidR="00E733ED">
              <w:rPr>
                <w:webHidden/>
              </w:rPr>
              <w:instrText xml:space="preserve"> PAGEREF _Toc456614314 \h </w:instrText>
            </w:r>
            <w:r w:rsidR="00E733ED">
              <w:rPr>
                <w:webHidden/>
              </w:rPr>
            </w:r>
            <w:r w:rsidR="00E733ED">
              <w:rPr>
                <w:webHidden/>
              </w:rPr>
              <w:fldChar w:fldCharType="separate"/>
            </w:r>
            <w:r>
              <w:rPr>
                <w:webHidden/>
              </w:rPr>
              <w:t>4-108</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15" w:history="1">
            <w:r w:rsidR="00E733ED" w:rsidRPr="000A7D86">
              <w:rPr>
                <w:rStyle w:val="Hyperlink"/>
              </w:rPr>
              <w:t>Transactions costs</w:t>
            </w:r>
            <w:r w:rsidR="00E733ED">
              <w:rPr>
                <w:webHidden/>
              </w:rPr>
              <w:tab/>
            </w:r>
            <w:r w:rsidR="00E733ED">
              <w:rPr>
                <w:webHidden/>
              </w:rPr>
              <w:fldChar w:fldCharType="begin"/>
            </w:r>
            <w:r w:rsidR="00E733ED">
              <w:rPr>
                <w:webHidden/>
              </w:rPr>
              <w:instrText xml:space="preserve"> PAGEREF _Toc456614315 \h </w:instrText>
            </w:r>
            <w:r w:rsidR="00E733ED">
              <w:rPr>
                <w:webHidden/>
              </w:rPr>
            </w:r>
            <w:r w:rsidR="00E733ED">
              <w:rPr>
                <w:webHidden/>
              </w:rPr>
              <w:fldChar w:fldCharType="separate"/>
            </w:r>
            <w:r>
              <w:rPr>
                <w:webHidden/>
              </w:rPr>
              <w:t>4-113</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16" w:history="1">
            <w:r w:rsidR="00E733ED" w:rsidRPr="000A7D86">
              <w:rPr>
                <w:rStyle w:val="Hyperlink"/>
              </w:rPr>
              <w:t>Time value of money</w:t>
            </w:r>
            <w:r w:rsidR="00E733ED">
              <w:rPr>
                <w:webHidden/>
              </w:rPr>
              <w:tab/>
            </w:r>
            <w:r w:rsidR="00E733ED">
              <w:rPr>
                <w:webHidden/>
              </w:rPr>
              <w:fldChar w:fldCharType="begin"/>
            </w:r>
            <w:r w:rsidR="00E733ED">
              <w:rPr>
                <w:webHidden/>
              </w:rPr>
              <w:instrText xml:space="preserve"> PAGEREF _Toc456614316 \h </w:instrText>
            </w:r>
            <w:r w:rsidR="00E733ED">
              <w:rPr>
                <w:webHidden/>
              </w:rPr>
            </w:r>
            <w:r w:rsidR="00E733ED">
              <w:rPr>
                <w:webHidden/>
              </w:rPr>
              <w:fldChar w:fldCharType="separate"/>
            </w:r>
            <w:r>
              <w:rPr>
                <w:webHidden/>
              </w:rPr>
              <w:t>4-115</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17" w:history="1">
            <w:r w:rsidR="00E733ED" w:rsidRPr="000A7D86">
              <w:rPr>
                <w:rStyle w:val="Hyperlink"/>
              </w:rPr>
              <w:t>Portfolio effects</w:t>
            </w:r>
            <w:r w:rsidR="00E733ED">
              <w:rPr>
                <w:webHidden/>
              </w:rPr>
              <w:tab/>
            </w:r>
            <w:r w:rsidR="00E733ED">
              <w:rPr>
                <w:webHidden/>
              </w:rPr>
              <w:fldChar w:fldCharType="begin"/>
            </w:r>
            <w:r w:rsidR="00E733ED">
              <w:rPr>
                <w:webHidden/>
              </w:rPr>
              <w:instrText xml:space="preserve"> PAGEREF _Toc456614317 \h </w:instrText>
            </w:r>
            <w:r w:rsidR="00E733ED">
              <w:rPr>
                <w:webHidden/>
              </w:rPr>
            </w:r>
            <w:r w:rsidR="00E733ED">
              <w:rPr>
                <w:webHidden/>
              </w:rPr>
              <w:fldChar w:fldCharType="separate"/>
            </w:r>
            <w:r>
              <w:rPr>
                <w:webHidden/>
              </w:rPr>
              <w:t>4-115</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18" w:history="1">
            <w:r w:rsidR="00E733ED" w:rsidRPr="000A7D86">
              <w:rPr>
                <w:rStyle w:val="Hyperlink"/>
              </w:rPr>
              <w:t>The 'illustrative impact' of these factors</w:t>
            </w:r>
            <w:r w:rsidR="00E733ED">
              <w:rPr>
                <w:webHidden/>
              </w:rPr>
              <w:tab/>
            </w:r>
            <w:r w:rsidR="00E733ED">
              <w:rPr>
                <w:webHidden/>
              </w:rPr>
              <w:fldChar w:fldCharType="begin"/>
            </w:r>
            <w:r w:rsidR="00E733ED">
              <w:rPr>
                <w:webHidden/>
              </w:rPr>
              <w:instrText xml:space="preserve"> PAGEREF _Toc456614318 \h </w:instrText>
            </w:r>
            <w:r w:rsidR="00E733ED">
              <w:rPr>
                <w:webHidden/>
              </w:rPr>
            </w:r>
            <w:r w:rsidR="00E733ED">
              <w:rPr>
                <w:webHidden/>
              </w:rPr>
              <w:fldChar w:fldCharType="separate"/>
            </w:r>
            <w:r>
              <w:rPr>
                <w:webHidden/>
              </w:rPr>
              <w:t>4-116</w:t>
            </w:r>
            <w:r w:rsidR="00E733ED">
              <w:rPr>
                <w:webHidden/>
              </w:rPr>
              <w:fldChar w:fldCharType="end"/>
            </w:r>
          </w:hyperlink>
        </w:p>
        <w:p w:rsidR="00E733ED" w:rsidRDefault="007261FC">
          <w:pPr>
            <w:pStyle w:val="TOC4"/>
            <w:rPr>
              <w:rFonts w:asciiTheme="minorHAnsi" w:eastAsiaTheme="minorEastAsia" w:hAnsiTheme="minorHAnsi"/>
              <w:lang w:eastAsia="en-AU"/>
            </w:rPr>
          </w:pPr>
          <w:hyperlink w:anchor="_Toc456614319" w:history="1">
            <w:r w:rsidR="00E733ED" w:rsidRPr="000A7D86">
              <w:rPr>
                <w:rStyle w:val="Hyperlink"/>
              </w:rPr>
              <w:t>The relevant equity ownership share</w:t>
            </w:r>
            <w:r w:rsidR="00E733ED">
              <w:rPr>
                <w:webHidden/>
              </w:rPr>
              <w:tab/>
            </w:r>
            <w:r w:rsidR="00E733ED">
              <w:rPr>
                <w:webHidden/>
              </w:rPr>
              <w:fldChar w:fldCharType="begin"/>
            </w:r>
            <w:r w:rsidR="00E733ED">
              <w:rPr>
                <w:webHidden/>
              </w:rPr>
              <w:instrText xml:space="preserve"> PAGEREF _Toc456614319 \h </w:instrText>
            </w:r>
            <w:r w:rsidR="00E733ED">
              <w:rPr>
                <w:webHidden/>
              </w:rPr>
            </w:r>
            <w:r w:rsidR="00E733ED">
              <w:rPr>
                <w:webHidden/>
              </w:rPr>
              <w:fldChar w:fldCharType="separate"/>
            </w:r>
            <w:r>
              <w:rPr>
                <w:webHidden/>
              </w:rPr>
              <w:t>4-117</w:t>
            </w:r>
            <w:r w:rsidR="00E733ED">
              <w:rPr>
                <w:webHidden/>
              </w:rPr>
              <w:fldChar w:fldCharType="end"/>
            </w:r>
          </w:hyperlink>
        </w:p>
        <w:p w:rsidR="00E733ED" w:rsidRDefault="007261FC">
          <w:pPr>
            <w:pStyle w:val="TOC4"/>
            <w:rPr>
              <w:rFonts w:asciiTheme="minorHAnsi" w:eastAsiaTheme="minorEastAsia" w:hAnsiTheme="minorHAnsi"/>
              <w:lang w:eastAsia="en-AU"/>
            </w:rPr>
          </w:pPr>
          <w:hyperlink w:anchor="_Toc456614320" w:history="1">
            <w:r w:rsidR="00E733ED" w:rsidRPr="000A7D86">
              <w:rPr>
                <w:rStyle w:val="Hyperlink"/>
              </w:rPr>
              <w:t>Implications for the value of distributed credits across investors in all equity</w:t>
            </w:r>
            <w:r w:rsidR="00E733ED">
              <w:rPr>
                <w:webHidden/>
              </w:rPr>
              <w:tab/>
            </w:r>
            <w:r w:rsidR="00E733ED">
              <w:rPr>
                <w:webHidden/>
              </w:rPr>
              <w:fldChar w:fldCharType="begin"/>
            </w:r>
            <w:r w:rsidR="00E733ED">
              <w:rPr>
                <w:webHidden/>
              </w:rPr>
              <w:instrText xml:space="preserve"> PAGEREF _Toc456614320 \h </w:instrText>
            </w:r>
            <w:r w:rsidR="00E733ED">
              <w:rPr>
                <w:webHidden/>
              </w:rPr>
            </w:r>
            <w:r w:rsidR="00E733ED">
              <w:rPr>
                <w:webHidden/>
              </w:rPr>
              <w:fldChar w:fldCharType="separate"/>
            </w:r>
            <w:r>
              <w:rPr>
                <w:webHidden/>
              </w:rPr>
              <w:t>4-118</w:t>
            </w:r>
            <w:r w:rsidR="00E733ED">
              <w:rPr>
                <w:webHidden/>
              </w:rPr>
              <w:fldChar w:fldCharType="end"/>
            </w:r>
          </w:hyperlink>
        </w:p>
        <w:p w:rsidR="00E733ED" w:rsidRDefault="007261FC">
          <w:pPr>
            <w:pStyle w:val="TOC4"/>
            <w:rPr>
              <w:rFonts w:asciiTheme="minorHAnsi" w:eastAsiaTheme="minorEastAsia" w:hAnsiTheme="minorHAnsi"/>
              <w:lang w:eastAsia="en-AU"/>
            </w:rPr>
          </w:pPr>
          <w:hyperlink w:anchor="_Toc456614321" w:history="1">
            <w:r w:rsidR="00E733ED" w:rsidRPr="000A7D86">
              <w:rPr>
                <w:rStyle w:val="Hyperlink"/>
              </w:rPr>
              <w:t>Comparison to the redemption rate from tax statistics</w:t>
            </w:r>
            <w:r w:rsidR="00E733ED">
              <w:rPr>
                <w:webHidden/>
              </w:rPr>
              <w:tab/>
            </w:r>
            <w:r w:rsidR="00E733ED">
              <w:rPr>
                <w:webHidden/>
              </w:rPr>
              <w:fldChar w:fldCharType="begin"/>
            </w:r>
            <w:r w:rsidR="00E733ED">
              <w:rPr>
                <w:webHidden/>
              </w:rPr>
              <w:instrText xml:space="preserve"> PAGEREF _Toc456614321 \h </w:instrText>
            </w:r>
            <w:r w:rsidR="00E733ED">
              <w:rPr>
                <w:webHidden/>
              </w:rPr>
            </w:r>
            <w:r w:rsidR="00E733ED">
              <w:rPr>
                <w:webHidden/>
              </w:rPr>
              <w:fldChar w:fldCharType="separate"/>
            </w:r>
            <w:r>
              <w:rPr>
                <w:webHidden/>
              </w:rPr>
              <w:t>4-118</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322" w:history="1">
            <w:r w:rsidR="00E733ED" w:rsidRPr="000A7D86">
              <w:rPr>
                <w:rStyle w:val="Hyperlink"/>
              </w:rPr>
              <w:t>A.8.4</w:t>
            </w:r>
            <w:r w:rsidR="00E733ED">
              <w:rPr>
                <w:rFonts w:asciiTheme="minorHAnsi" w:eastAsiaTheme="minorEastAsia" w:hAnsiTheme="minorHAnsi"/>
                <w:lang w:eastAsia="en-AU"/>
              </w:rPr>
              <w:tab/>
            </w:r>
            <w:r w:rsidR="00E733ED" w:rsidRPr="000A7D86">
              <w:rPr>
                <w:rStyle w:val="Hyperlink"/>
              </w:rPr>
              <w:t>NERA's comments on the utilisation rate</w:t>
            </w:r>
            <w:r w:rsidR="00E733ED">
              <w:rPr>
                <w:webHidden/>
              </w:rPr>
              <w:tab/>
            </w:r>
            <w:r w:rsidR="00E733ED">
              <w:rPr>
                <w:webHidden/>
              </w:rPr>
              <w:fldChar w:fldCharType="begin"/>
            </w:r>
            <w:r w:rsidR="00E733ED">
              <w:rPr>
                <w:webHidden/>
              </w:rPr>
              <w:instrText xml:space="preserve"> PAGEREF _Toc456614322 \h </w:instrText>
            </w:r>
            <w:r w:rsidR="00E733ED">
              <w:rPr>
                <w:webHidden/>
              </w:rPr>
            </w:r>
            <w:r w:rsidR="00E733ED">
              <w:rPr>
                <w:webHidden/>
              </w:rPr>
              <w:fldChar w:fldCharType="separate"/>
            </w:r>
            <w:r>
              <w:rPr>
                <w:webHidden/>
              </w:rPr>
              <w:t>4-120</w:t>
            </w:r>
            <w:r w:rsidR="00E733ED">
              <w:rPr>
                <w:webHidden/>
              </w:rPr>
              <w:fldChar w:fldCharType="end"/>
            </w:r>
          </w:hyperlink>
        </w:p>
        <w:p w:rsidR="00E733ED" w:rsidRDefault="007261FC">
          <w:pPr>
            <w:pStyle w:val="TOC8"/>
            <w:tabs>
              <w:tab w:val="left" w:pos="3527"/>
            </w:tabs>
            <w:rPr>
              <w:rFonts w:asciiTheme="minorHAnsi" w:eastAsiaTheme="minorEastAsia" w:hAnsiTheme="minorHAnsi"/>
              <w:lang w:eastAsia="en-AU"/>
            </w:rPr>
          </w:pPr>
          <w:hyperlink w:anchor="_Toc456614323" w:history="1">
            <w:r w:rsidR="00E733ED" w:rsidRPr="000A7D86">
              <w:rPr>
                <w:rStyle w:val="Hyperlink"/>
              </w:rPr>
              <w:t>A.9</w:t>
            </w:r>
            <w:r w:rsidR="00E733ED">
              <w:rPr>
                <w:rFonts w:asciiTheme="minorHAnsi" w:eastAsiaTheme="minorEastAsia" w:hAnsiTheme="minorHAnsi"/>
                <w:lang w:eastAsia="en-AU"/>
              </w:rPr>
              <w:tab/>
            </w:r>
            <w:r w:rsidR="00E733ED" w:rsidRPr="000A7D86">
              <w:rPr>
                <w:rStyle w:val="Hyperlink"/>
              </w:rPr>
              <w:t>Estimation approach considerations</w:t>
            </w:r>
            <w:r w:rsidR="00E733ED">
              <w:rPr>
                <w:webHidden/>
              </w:rPr>
              <w:tab/>
            </w:r>
            <w:r w:rsidR="00E733ED">
              <w:rPr>
                <w:webHidden/>
              </w:rPr>
              <w:fldChar w:fldCharType="begin"/>
            </w:r>
            <w:r w:rsidR="00E733ED">
              <w:rPr>
                <w:webHidden/>
              </w:rPr>
              <w:instrText xml:space="preserve"> PAGEREF _Toc456614323 \h </w:instrText>
            </w:r>
            <w:r w:rsidR="00E733ED">
              <w:rPr>
                <w:webHidden/>
              </w:rPr>
            </w:r>
            <w:r w:rsidR="00E733ED">
              <w:rPr>
                <w:webHidden/>
              </w:rPr>
              <w:fldChar w:fldCharType="separate"/>
            </w:r>
            <w:r>
              <w:rPr>
                <w:webHidden/>
              </w:rPr>
              <w:t>4-123</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324" w:history="1">
            <w:r w:rsidR="00E733ED" w:rsidRPr="000A7D86">
              <w:rPr>
                <w:rStyle w:val="Hyperlink"/>
              </w:rPr>
              <w:t>A.9.1</w:t>
            </w:r>
            <w:r w:rsidR="00E733ED">
              <w:rPr>
                <w:rFonts w:asciiTheme="minorHAnsi" w:eastAsiaTheme="minorEastAsia" w:hAnsiTheme="minorHAnsi"/>
                <w:lang w:eastAsia="en-AU"/>
              </w:rPr>
              <w:tab/>
            </w:r>
            <w:r w:rsidR="00E733ED" w:rsidRPr="000A7D86">
              <w:rPr>
                <w:rStyle w:val="Hyperlink"/>
              </w:rPr>
              <w:t>Evidence from all equity or only listed equity</w:t>
            </w:r>
            <w:r w:rsidR="00E733ED">
              <w:rPr>
                <w:webHidden/>
              </w:rPr>
              <w:tab/>
            </w:r>
            <w:r w:rsidR="00E733ED">
              <w:rPr>
                <w:webHidden/>
              </w:rPr>
              <w:fldChar w:fldCharType="begin"/>
            </w:r>
            <w:r w:rsidR="00E733ED">
              <w:rPr>
                <w:webHidden/>
              </w:rPr>
              <w:instrText xml:space="preserve"> PAGEREF _Toc456614324 \h </w:instrText>
            </w:r>
            <w:r w:rsidR="00E733ED">
              <w:rPr>
                <w:webHidden/>
              </w:rPr>
            </w:r>
            <w:r w:rsidR="00E733ED">
              <w:rPr>
                <w:webHidden/>
              </w:rPr>
              <w:fldChar w:fldCharType="separate"/>
            </w:r>
            <w:r>
              <w:rPr>
                <w:webHidden/>
              </w:rPr>
              <w:t>4-123</w:t>
            </w:r>
            <w:r w:rsidR="00E733ED">
              <w:rPr>
                <w:webHidden/>
              </w:rPr>
              <w:fldChar w:fldCharType="end"/>
            </w:r>
          </w:hyperlink>
        </w:p>
        <w:p w:rsidR="00E733ED" w:rsidRDefault="007261FC">
          <w:pPr>
            <w:pStyle w:val="TOC9"/>
            <w:tabs>
              <w:tab w:val="left" w:pos="4136"/>
            </w:tabs>
            <w:rPr>
              <w:rFonts w:asciiTheme="minorHAnsi" w:eastAsiaTheme="minorEastAsia" w:hAnsiTheme="minorHAnsi"/>
              <w:lang w:eastAsia="en-AU"/>
            </w:rPr>
          </w:pPr>
          <w:hyperlink w:anchor="_Toc456614325" w:history="1">
            <w:r w:rsidR="00E733ED" w:rsidRPr="000A7D86">
              <w:rPr>
                <w:rStyle w:val="Hyperlink"/>
              </w:rPr>
              <w:t>A.9.2</w:t>
            </w:r>
            <w:r w:rsidR="00E733ED">
              <w:rPr>
                <w:rFonts w:asciiTheme="minorHAnsi" w:eastAsiaTheme="minorEastAsia" w:hAnsiTheme="minorHAnsi"/>
                <w:lang w:eastAsia="en-AU"/>
              </w:rPr>
              <w:tab/>
            </w:r>
            <w:r w:rsidR="00E733ED" w:rsidRPr="000A7D86">
              <w:rPr>
                <w:rStyle w:val="Hyperlink"/>
              </w:rPr>
              <w:t>Relationship between the distribution rate and the utilisation value</w:t>
            </w:r>
            <w:r w:rsidR="00E733ED">
              <w:rPr>
                <w:webHidden/>
              </w:rPr>
              <w:tab/>
            </w:r>
            <w:r w:rsidR="00E733ED">
              <w:rPr>
                <w:webHidden/>
              </w:rPr>
              <w:fldChar w:fldCharType="begin"/>
            </w:r>
            <w:r w:rsidR="00E733ED">
              <w:rPr>
                <w:webHidden/>
              </w:rPr>
              <w:instrText xml:space="preserve"> PAGEREF _Toc456614325 \h </w:instrText>
            </w:r>
            <w:r w:rsidR="00E733ED">
              <w:rPr>
                <w:webHidden/>
              </w:rPr>
            </w:r>
            <w:r w:rsidR="00E733ED">
              <w:rPr>
                <w:webHidden/>
              </w:rPr>
              <w:fldChar w:fldCharType="separate"/>
            </w:r>
            <w:r>
              <w:rPr>
                <w:webHidden/>
              </w:rPr>
              <w:t>4-126</w:t>
            </w:r>
            <w:r w:rsidR="00E733ED">
              <w:rPr>
                <w:webHidden/>
              </w:rPr>
              <w:fldChar w:fldCharType="end"/>
            </w:r>
          </w:hyperlink>
        </w:p>
        <w:p w:rsidR="00E733ED" w:rsidRDefault="007261FC">
          <w:pPr>
            <w:pStyle w:val="TOC8"/>
            <w:tabs>
              <w:tab w:val="left" w:pos="3650"/>
            </w:tabs>
            <w:rPr>
              <w:rFonts w:asciiTheme="minorHAnsi" w:eastAsiaTheme="minorEastAsia" w:hAnsiTheme="minorHAnsi"/>
              <w:lang w:eastAsia="en-AU"/>
            </w:rPr>
          </w:pPr>
          <w:hyperlink w:anchor="_Toc456614326" w:history="1">
            <w:r w:rsidR="00E733ED" w:rsidRPr="000A7D86">
              <w:rPr>
                <w:rStyle w:val="Hyperlink"/>
              </w:rPr>
              <w:t>A.10</w:t>
            </w:r>
            <w:r w:rsidR="00E733ED">
              <w:rPr>
                <w:rFonts w:asciiTheme="minorHAnsi" w:eastAsiaTheme="minorEastAsia" w:hAnsiTheme="minorHAnsi"/>
                <w:lang w:eastAsia="en-AU"/>
              </w:rPr>
              <w:tab/>
            </w:r>
            <w:r w:rsidR="00E733ED" w:rsidRPr="000A7D86">
              <w:rPr>
                <w:rStyle w:val="Hyperlink"/>
              </w:rPr>
              <w:t>Estimating the distribution rate</w:t>
            </w:r>
            <w:r w:rsidR="00E733ED">
              <w:rPr>
                <w:webHidden/>
              </w:rPr>
              <w:tab/>
            </w:r>
            <w:r w:rsidR="00E733ED">
              <w:rPr>
                <w:webHidden/>
              </w:rPr>
              <w:fldChar w:fldCharType="begin"/>
            </w:r>
            <w:r w:rsidR="00E733ED">
              <w:rPr>
                <w:webHidden/>
              </w:rPr>
              <w:instrText xml:space="preserve"> PAGEREF _Toc456614326 \h </w:instrText>
            </w:r>
            <w:r w:rsidR="00E733ED">
              <w:rPr>
                <w:webHidden/>
              </w:rPr>
            </w:r>
            <w:r w:rsidR="00E733ED">
              <w:rPr>
                <w:webHidden/>
              </w:rPr>
              <w:fldChar w:fldCharType="separate"/>
            </w:r>
            <w:r>
              <w:rPr>
                <w:webHidden/>
              </w:rPr>
              <w:t>4-128</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27" w:history="1">
            <w:r w:rsidR="00E733ED" w:rsidRPr="000A7D86">
              <w:rPr>
                <w:rStyle w:val="Hyperlink"/>
              </w:rPr>
              <w:t>A.10.1</w:t>
            </w:r>
            <w:r w:rsidR="00E733ED">
              <w:rPr>
                <w:rFonts w:asciiTheme="minorHAnsi" w:eastAsiaTheme="minorEastAsia" w:hAnsiTheme="minorHAnsi"/>
                <w:lang w:eastAsia="en-AU"/>
              </w:rPr>
              <w:tab/>
            </w:r>
            <w:r w:rsidR="00E733ED" w:rsidRPr="000A7D86">
              <w:rPr>
                <w:rStyle w:val="Hyperlink"/>
              </w:rPr>
              <w:t>Service providers', Gray's and NERA's comments on the distribution rate</w:t>
            </w:r>
            <w:r w:rsidR="00E733ED">
              <w:rPr>
                <w:webHidden/>
              </w:rPr>
              <w:tab/>
            </w:r>
            <w:r w:rsidR="00E733ED">
              <w:rPr>
                <w:webHidden/>
              </w:rPr>
              <w:fldChar w:fldCharType="begin"/>
            </w:r>
            <w:r w:rsidR="00E733ED">
              <w:rPr>
                <w:webHidden/>
              </w:rPr>
              <w:instrText xml:space="preserve"> PAGEREF _Toc456614327 \h </w:instrText>
            </w:r>
            <w:r w:rsidR="00E733ED">
              <w:rPr>
                <w:webHidden/>
              </w:rPr>
            </w:r>
            <w:r w:rsidR="00E733ED">
              <w:rPr>
                <w:webHidden/>
              </w:rPr>
              <w:fldChar w:fldCharType="separate"/>
            </w:r>
            <w:r>
              <w:rPr>
                <w:webHidden/>
              </w:rPr>
              <w:t>4-130</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28" w:history="1">
            <w:r w:rsidR="00E733ED" w:rsidRPr="000A7D86">
              <w:rPr>
                <w:rStyle w:val="Hyperlink"/>
              </w:rPr>
              <w:t>A.10.2</w:t>
            </w:r>
            <w:r w:rsidR="00E733ED">
              <w:rPr>
                <w:rFonts w:asciiTheme="minorHAnsi" w:eastAsiaTheme="minorEastAsia" w:hAnsiTheme="minorHAnsi"/>
                <w:lang w:eastAsia="en-AU"/>
              </w:rPr>
              <w:tab/>
            </w:r>
            <w:r w:rsidR="00E733ED" w:rsidRPr="000A7D86">
              <w:rPr>
                <w:rStyle w:val="Hyperlink"/>
              </w:rPr>
              <w:t>The cumulative payout ratio approach</w:t>
            </w:r>
            <w:r w:rsidR="00E733ED">
              <w:rPr>
                <w:webHidden/>
              </w:rPr>
              <w:tab/>
            </w:r>
            <w:r w:rsidR="00E733ED">
              <w:rPr>
                <w:webHidden/>
              </w:rPr>
              <w:fldChar w:fldCharType="begin"/>
            </w:r>
            <w:r w:rsidR="00E733ED">
              <w:rPr>
                <w:webHidden/>
              </w:rPr>
              <w:instrText xml:space="preserve"> PAGEREF _Toc456614328 \h </w:instrText>
            </w:r>
            <w:r w:rsidR="00E733ED">
              <w:rPr>
                <w:webHidden/>
              </w:rPr>
            </w:r>
            <w:r w:rsidR="00E733ED">
              <w:rPr>
                <w:webHidden/>
              </w:rPr>
              <w:fldChar w:fldCharType="separate"/>
            </w:r>
            <w:r>
              <w:rPr>
                <w:webHidden/>
              </w:rPr>
              <w:t>4-136</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29" w:history="1">
            <w:r w:rsidR="00E733ED" w:rsidRPr="000A7D86">
              <w:rPr>
                <w:rStyle w:val="Hyperlink"/>
              </w:rPr>
              <w:t>A.10.3</w:t>
            </w:r>
            <w:r w:rsidR="00E733ED">
              <w:rPr>
                <w:rFonts w:asciiTheme="minorHAnsi" w:eastAsiaTheme="minorEastAsia" w:hAnsiTheme="minorHAnsi"/>
                <w:lang w:eastAsia="en-AU"/>
              </w:rPr>
              <w:tab/>
            </w:r>
            <w:r w:rsidR="00E733ED" w:rsidRPr="000A7D86">
              <w:rPr>
                <w:rStyle w:val="Hyperlink"/>
              </w:rPr>
              <w:t>Alternative approaches</w:t>
            </w:r>
            <w:r w:rsidR="00E733ED">
              <w:rPr>
                <w:webHidden/>
              </w:rPr>
              <w:tab/>
            </w:r>
            <w:r w:rsidR="00E733ED">
              <w:rPr>
                <w:webHidden/>
              </w:rPr>
              <w:fldChar w:fldCharType="begin"/>
            </w:r>
            <w:r w:rsidR="00E733ED">
              <w:rPr>
                <w:webHidden/>
              </w:rPr>
              <w:instrText xml:space="preserve"> PAGEREF _Toc456614329 \h </w:instrText>
            </w:r>
            <w:r w:rsidR="00E733ED">
              <w:rPr>
                <w:webHidden/>
              </w:rPr>
            </w:r>
            <w:r w:rsidR="00E733ED">
              <w:rPr>
                <w:webHidden/>
              </w:rPr>
              <w:fldChar w:fldCharType="separate"/>
            </w:r>
            <w:r>
              <w:rPr>
                <w:webHidden/>
              </w:rPr>
              <w:t>4-137</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30" w:history="1">
            <w:r w:rsidR="00E733ED" w:rsidRPr="000A7D86">
              <w:rPr>
                <w:rStyle w:val="Hyperlink"/>
              </w:rPr>
              <w:t>A.10.4</w:t>
            </w:r>
            <w:r w:rsidR="00E733ED">
              <w:rPr>
                <w:rFonts w:asciiTheme="minorHAnsi" w:eastAsiaTheme="minorEastAsia" w:hAnsiTheme="minorHAnsi"/>
                <w:lang w:eastAsia="en-AU"/>
              </w:rPr>
              <w:tab/>
            </w:r>
            <w:r w:rsidR="00E733ED" w:rsidRPr="000A7D86">
              <w:rPr>
                <w:rStyle w:val="Hyperlink"/>
              </w:rPr>
              <w:t>Hathaway (2014)</w:t>
            </w:r>
            <w:r w:rsidR="00E733ED">
              <w:rPr>
                <w:webHidden/>
              </w:rPr>
              <w:tab/>
            </w:r>
            <w:r w:rsidR="00E733ED">
              <w:rPr>
                <w:webHidden/>
              </w:rPr>
              <w:fldChar w:fldCharType="begin"/>
            </w:r>
            <w:r w:rsidR="00E733ED">
              <w:rPr>
                <w:webHidden/>
              </w:rPr>
              <w:instrText xml:space="preserve"> PAGEREF _Toc456614330 \h </w:instrText>
            </w:r>
            <w:r w:rsidR="00E733ED">
              <w:rPr>
                <w:webHidden/>
              </w:rPr>
            </w:r>
            <w:r w:rsidR="00E733ED">
              <w:rPr>
                <w:webHidden/>
              </w:rPr>
              <w:fldChar w:fldCharType="separate"/>
            </w:r>
            <w:r>
              <w:rPr>
                <w:webHidden/>
              </w:rPr>
              <w:t>4-138</w:t>
            </w:r>
            <w:r w:rsidR="00E733ED">
              <w:rPr>
                <w:webHidden/>
              </w:rPr>
              <w:fldChar w:fldCharType="end"/>
            </w:r>
          </w:hyperlink>
        </w:p>
        <w:p w:rsidR="00E733ED" w:rsidRDefault="007261FC">
          <w:pPr>
            <w:pStyle w:val="TOC8"/>
            <w:tabs>
              <w:tab w:val="left" w:pos="3650"/>
            </w:tabs>
            <w:rPr>
              <w:rFonts w:asciiTheme="minorHAnsi" w:eastAsiaTheme="minorEastAsia" w:hAnsiTheme="minorHAnsi"/>
              <w:lang w:eastAsia="en-AU"/>
            </w:rPr>
          </w:pPr>
          <w:hyperlink w:anchor="_Toc456614331" w:history="1">
            <w:r w:rsidR="00E733ED" w:rsidRPr="000A7D86">
              <w:rPr>
                <w:rStyle w:val="Hyperlink"/>
              </w:rPr>
              <w:t>A.11</w:t>
            </w:r>
            <w:r w:rsidR="00E733ED">
              <w:rPr>
                <w:rFonts w:asciiTheme="minorHAnsi" w:eastAsiaTheme="minorEastAsia" w:hAnsiTheme="minorHAnsi"/>
                <w:lang w:eastAsia="en-AU"/>
              </w:rPr>
              <w:tab/>
            </w:r>
            <w:r w:rsidR="00E733ED" w:rsidRPr="000A7D86">
              <w:rPr>
                <w:rStyle w:val="Hyperlink"/>
              </w:rPr>
              <w:t>Application of rate of return criteria to evidence on the utilisation rate</w:t>
            </w:r>
            <w:r w:rsidR="00E733ED">
              <w:rPr>
                <w:webHidden/>
              </w:rPr>
              <w:tab/>
            </w:r>
            <w:r w:rsidR="00E733ED">
              <w:rPr>
                <w:webHidden/>
              </w:rPr>
              <w:fldChar w:fldCharType="begin"/>
            </w:r>
            <w:r w:rsidR="00E733ED">
              <w:rPr>
                <w:webHidden/>
              </w:rPr>
              <w:instrText xml:space="preserve"> PAGEREF _Toc456614331 \h </w:instrText>
            </w:r>
            <w:r w:rsidR="00E733ED">
              <w:rPr>
                <w:webHidden/>
              </w:rPr>
            </w:r>
            <w:r w:rsidR="00E733ED">
              <w:rPr>
                <w:webHidden/>
              </w:rPr>
              <w:fldChar w:fldCharType="separate"/>
            </w:r>
            <w:r>
              <w:rPr>
                <w:webHidden/>
              </w:rPr>
              <w:t>4-139</w:t>
            </w:r>
            <w:r w:rsidR="00E733ED">
              <w:rPr>
                <w:webHidden/>
              </w:rPr>
              <w:fldChar w:fldCharType="end"/>
            </w:r>
          </w:hyperlink>
        </w:p>
        <w:p w:rsidR="00E733ED" w:rsidRDefault="007261FC">
          <w:pPr>
            <w:pStyle w:val="TOC8"/>
            <w:tabs>
              <w:tab w:val="left" w:pos="3650"/>
            </w:tabs>
            <w:rPr>
              <w:rFonts w:asciiTheme="minorHAnsi" w:eastAsiaTheme="minorEastAsia" w:hAnsiTheme="minorHAnsi"/>
              <w:lang w:eastAsia="en-AU"/>
            </w:rPr>
          </w:pPr>
          <w:hyperlink w:anchor="_Toc456614332" w:history="1">
            <w:r w:rsidR="00E733ED" w:rsidRPr="000A7D86">
              <w:rPr>
                <w:rStyle w:val="Hyperlink"/>
              </w:rPr>
              <w:t>A.12</w:t>
            </w:r>
            <w:r w:rsidR="00E733ED">
              <w:rPr>
                <w:rFonts w:asciiTheme="minorHAnsi" w:eastAsiaTheme="minorEastAsia" w:hAnsiTheme="minorHAnsi"/>
                <w:lang w:eastAsia="en-AU"/>
              </w:rPr>
              <w:tab/>
            </w:r>
            <w:r w:rsidR="00E733ED" w:rsidRPr="000A7D86">
              <w:rPr>
                <w:rStyle w:val="Hyperlink"/>
              </w:rPr>
              <w:t>The equity ownership approach</w:t>
            </w:r>
            <w:r w:rsidR="00E733ED">
              <w:rPr>
                <w:webHidden/>
              </w:rPr>
              <w:tab/>
            </w:r>
            <w:r w:rsidR="00E733ED">
              <w:rPr>
                <w:webHidden/>
              </w:rPr>
              <w:fldChar w:fldCharType="begin"/>
            </w:r>
            <w:r w:rsidR="00E733ED">
              <w:rPr>
                <w:webHidden/>
              </w:rPr>
              <w:instrText xml:space="preserve"> PAGEREF _Toc456614332 \h </w:instrText>
            </w:r>
            <w:r w:rsidR="00E733ED">
              <w:rPr>
                <w:webHidden/>
              </w:rPr>
            </w:r>
            <w:r w:rsidR="00E733ED">
              <w:rPr>
                <w:webHidden/>
              </w:rPr>
              <w:fldChar w:fldCharType="separate"/>
            </w:r>
            <w:r>
              <w:rPr>
                <w:webHidden/>
              </w:rPr>
              <w:t>4-142</w:t>
            </w:r>
            <w:r w:rsidR="00E733ED">
              <w:rPr>
                <w:webHidden/>
              </w:rPr>
              <w:fldChar w:fldCharType="end"/>
            </w:r>
          </w:hyperlink>
        </w:p>
        <w:p w:rsidR="00E733ED" w:rsidRDefault="007261FC">
          <w:pPr>
            <w:pStyle w:val="TOC8"/>
            <w:tabs>
              <w:tab w:val="left" w:pos="3650"/>
            </w:tabs>
            <w:rPr>
              <w:rFonts w:asciiTheme="minorHAnsi" w:eastAsiaTheme="minorEastAsia" w:hAnsiTheme="minorHAnsi"/>
              <w:lang w:eastAsia="en-AU"/>
            </w:rPr>
          </w:pPr>
          <w:hyperlink w:anchor="_Toc456614333" w:history="1">
            <w:r w:rsidR="00E733ED" w:rsidRPr="000A7D86">
              <w:rPr>
                <w:rStyle w:val="Hyperlink"/>
              </w:rPr>
              <w:t>A.13</w:t>
            </w:r>
            <w:r w:rsidR="00E733ED">
              <w:rPr>
                <w:rFonts w:asciiTheme="minorHAnsi" w:eastAsiaTheme="minorEastAsia" w:hAnsiTheme="minorHAnsi"/>
                <w:lang w:eastAsia="en-AU"/>
              </w:rPr>
              <w:tab/>
            </w:r>
            <w:r w:rsidR="00E733ED" w:rsidRPr="000A7D86">
              <w:rPr>
                <w:rStyle w:val="Hyperlink"/>
              </w:rPr>
              <w:t>Tax statistics</w:t>
            </w:r>
            <w:r w:rsidR="00E733ED">
              <w:rPr>
                <w:webHidden/>
              </w:rPr>
              <w:tab/>
            </w:r>
            <w:r w:rsidR="00E733ED">
              <w:rPr>
                <w:webHidden/>
              </w:rPr>
              <w:fldChar w:fldCharType="begin"/>
            </w:r>
            <w:r w:rsidR="00E733ED">
              <w:rPr>
                <w:webHidden/>
              </w:rPr>
              <w:instrText xml:space="preserve"> PAGEREF _Toc456614333 \h </w:instrText>
            </w:r>
            <w:r w:rsidR="00E733ED">
              <w:rPr>
                <w:webHidden/>
              </w:rPr>
            </w:r>
            <w:r w:rsidR="00E733ED">
              <w:rPr>
                <w:webHidden/>
              </w:rPr>
              <w:fldChar w:fldCharType="separate"/>
            </w:r>
            <w:r>
              <w:rPr>
                <w:webHidden/>
              </w:rPr>
              <w:t>4-148</w:t>
            </w:r>
            <w:r w:rsidR="00E733ED">
              <w:rPr>
                <w:webHidden/>
              </w:rPr>
              <w:fldChar w:fldCharType="end"/>
            </w:r>
          </w:hyperlink>
        </w:p>
        <w:p w:rsidR="00E733ED" w:rsidRDefault="007261FC">
          <w:pPr>
            <w:pStyle w:val="TOC8"/>
            <w:tabs>
              <w:tab w:val="left" w:pos="3650"/>
            </w:tabs>
            <w:rPr>
              <w:rFonts w:asciiTheme="minorHAnsi" w:eastAsiaTheme="minorEastAsia" w:hAnsiTheme="minorHAnsi"/>
              <w:lang w:eastAsia="en-AU"/>
            </w:rPr>
          </w:pPr>
          <w:hyperlink w:anchor="_Toc456614334" w:history="1">
            <w:r w:rsidR="00E733ED" w:rsidRPr="000A7D86">
              <w:rPr>
                <w:rStyle w:val="Hyperlink"/>
              </w:rPr>
              <w:t>A.14</w:t>
            </w:r>
            <w:r w:rsidR="00E733ED">
              <w:rPr>
                <w:rFonts w:asciiTheme="minorHAnsi" w:eastAsiaTheme="minorEastAsia" w:hAnsiTheme="minorHAnsi"/>
                <w:lang w:eastAsia="en-AU"/>
              </w:rPr>
              <w:tab/>
            </w:r>
            <w:r w:rsidR="00E733ED" w:rsidRPr="000A7D86">
              <w:rPr>
                <w:rStyle w:val="Hyperlink"/>
              </w:rPr>
              <w:t>Difference between equity ownership approach and tax statistics</w:t>
            </w:r>
            <w:r w:rsidR="00E733ED">
              <w:rPr>
                <w:webHidden/>
              </w:rPr>
              <w:tab/>
            </w:r>
            <w:r w:rsidR="00E733ED">
              <w:rPr>
                <w:webHidden/>
              </w:rPr>
              <w:fldChar w:fldCharType="begin"/>
            </w:r>
            <w:r w:rsidR="00E733ED">
              <w:rPr>
                <w:webHidden/>
              </w:rPr>
              <w:instrText xml:space="preserve"> PAGEREF _Toc456614334 \h </w:instrText>
            </w:r>
            <w:r w:rsidR="00E733ED">
              <w:rPr>
                <w:webHidden/>
              </w:rPr>
            </w:r>
            <w:r w:rsidR="00E733ED">
              <w:rPr>
                <w:webHidden/>
              </w:rPr>
              <w:fldChar w:fldCharType="separate"/>
            </w:r>
            <w:r>
              <w:rPr>
                <w:webHidden/>
              </w:rPr>
              <w:t>4-151</w:t>
            </w:r>
            <w:r w:rsidR="00E733ED">
              <w:rPr>
                <w:webHidden/>
              </w:rPr>
              <w:fldChar w:fldCharType="end"/>
            </w:r>
          </w:hyperlink>
        </w:p>
        <w:p w:rsidR="00E733ED" w:rsidRDefault="007261FC">
          <w:pPr>
            <w:pStyle w:val="TOC8"/>
            <w:tabs>
              <w:tab w:val="left" w:pos="3650"/>
            </w:tabs>
            <w:rPr>
              <w:rFonts w:asciiTheme="minorHAnsi" w:eastAsiaTheme="minorEastAsia" w:hAnsiTheme="minorHAnsi"/>
              <w:lang w:eastAsia="en-AU"/>
            </w:rPr>
          </w:pPr>
          <w:hyperlink w:anchor="_Toc456614335" w:history="1">
            <w:r w:rsidR="00E733ED" w:rsidRPr="000A7D86">
              <w:rPr>
                <w:rStyle w:val="Hyperlink"/>
              </w:rPr>
              <w:t>A.15</w:t>
            </w:r>
            <w:r w:rsidR="00E733ED">
              <w:rPr>
                <w:rFonts w:asciiTheme="minorHAnsi" w:eastAsiaTheme="minorEastAsia" w:hAnsiTheme="minorHAnsi"/>
                <w:lang w:eastAsia="en-AU"/>
              </w:rPr>
              <w:tab/>
            </w:r>
            <w:r w:rsidR="00E733ED" w:rsidRPr="000A7D86">
              <w:rPr>
                <w:rStyle w:val="Hyperlink"/>
              </w:rPr>
              <w:t>Implied market value studies</w:t>
            </w:r>
            <w:r w:rsidR="00E733ED">
              <w:rPr>
                <w:webHidden/>
              </w:rPr>
              <w:tab/>
            </w:r>
            <w:r w:rsidR="00E733ED">
              <w:rPr>
                <w:webHidden/>
              </w:rPr>
              <w:fldChar w:fldCharType="begin"/>
            </w:r>
            <w:r w:rsidR="00E733ED">
              <w:rPr>
                <w:webHidden/>
              </w:rPr>
              <w:instrText xml:space="preserve"> PAGEREF _Toc456614335 \h </w:instrText>
            </w:r>
            <w:r w:rsidR="00E733ED">
              <w:rPr>
                <w:webHidden/>
              </w:rPr>
            </w:r>
            <w:r w:rsidR="00E733ED">
              <w:rPr>
                <w:webHidden/>
              </w:rPr>
              <w:fldChar w:fldCharType="separate"/>
            </w:r>
            <w:r>
              <w:rPr>
                <w:webHidden/>
              </w:rPr>
              <w:t>4-152</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36" w:history="1">
            <w:r w:rsidR="00E733ED" w:rsidRPr="000A7D86">
              <w:rPr>
                <w:rStyle w:val="Hyperlink"/>
              </w:rPr>
              <w:t>A.15.1</w:t>
            </w:r>
            <w:r w:rsidR="00E733ED">
              <w:rPr>
                <w:rFonts w:asciiTheme="minorHAnsi" w:eastAsiaTheme="minorEastAsia" w:hAnsiTheme="minorHAnsi"/>
                <w:lang w:eastAsia="en-AU"/>
              </w:rPr>
              <w:tab/>
            </w:r>
            <w:r w:rsidR="00E733ED" w:rsidRPr="000A7D86">
              <w:rPr>
                <w:rStyle w:val="Hyperlink"/>
              </w:rPr>
              <w:t>Types of implied market value studies</w:t>
            </w:r>
            <w:r w:rsidR="00E733ED">
              <w:rPr>
                <w:webHidden/>
              </w:rPr>
              <w:tab/>
            </w:r>
            <w:r w:rsidR="00E733ED">
              <w:rPr>
                <w:webHidden/>
              </w:rPr>
              <w:fldChar w:fldCharType="begin"/>
            </w:r>
            <w:r w:rsidR="00E733ED">
              <w:rPr>
                <w:webHidden/>
              </w:rPr>
              <w:instrText xml:space="preserve"> PAGEREF _Toc456614336 \h </w:instrText>
            </w:r>
            <w:r w:rsidR="00E733ED">
              <w:rPr>
                <w:webHidden/>
              </w:rPr>
            </w:r>
            <w:r w:rsidR="00E733ED">
              <w:rPr>
                <w:webHidden/>
              </w:rPr>
              <w:fldChar w:fldCharType="separate"/>
            </w:r>
            <w:r>
              <w:rPr>
                <w:webHidden/>
              </w:rPr>
              <w:t>4-153</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37" w:history="1">
            <w:r w:rsidR="00E733ED" w:rsidRPr="000A7D86">
              <w:rPr>
                <w:rStyle w:val="Hyperlink"/>
              </w:rPr>
              <w:t>Dividend drop off studies</w:t>
            </w:r>
            <w:r w:rsidR="00E733ED">
              <w:rPr>
                <w:webHidden/>
              </w:rPr>
              <w:tab/>
            </w:r>
            <w:r w:rsidR="00E733ED">
              <w:rPr>
                <w:webHidden/>
              </w:rPr>
              <w:fldChar w:fldCharType="begin"/>
            </w:r>
            <w:r w:rsidR="00E733ED">
              <w:rPr>
                <w:webHidden/>
              </w:rPr>
              <w:instrText xml:space="preserve"> PAGEREF _Toc456614337 \h </w:instrText>
            </w:r>
            <w:r w:rsidR="00E733ED">
              <w:rPr>
                <w:webHidden/>
              </w:rPr>
            </w:r>
            <w:r w:rsidR="00E733ED">
              <w:rPr>
                <w:webHidden/>
              </w:rPr>
              <w:fldChar w:fldCharType="separate"/>
            </w:r>
            <w:r>
              <w:rPr>
                <w:webHidden/>
              </w:rPr>
              <w:t>4-153</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38" w:history="1">
            <w:r w:rsidR="00E733ED" w:rsidRPr="000A7D86">
              <w:rPr>
                <w:rStyle w:val="Hyperlink"/>
              </w:rPr>
              <w:t>Alternative implied market value studies</w:t>
            </w:r>
            <w:r w:rsidR="00E733ED">
              <w:rPr>
                <w:webHidden/>
              </w:rPr>
              <w:tab/>
            </w:r>
            <w:r w:rsidR="00E733ED">
              <w:rPr>
                <w:webHidden/>
              </w:rPr>
              <w:fldChar w:fldCharType="begin"/>
            </w:r>
            <w:r w:rsidR="00E733ED">
              <w:rPr>
                <w:webHidden/>
              </w:rPr>
              <w:instrText xml:space="preserve"> PAGEREF _Toc456614338 \h </w:instrText>
            </w:r>
            <w:r w:rsidR="00E733ED">
              <w:rPr>
                <w:webHidden/>
              </w:rPr>
            </w:r>
            <w:r w:rsidR="00E733ED">
              <w:rPr>
                <w:webHidden/>
              </w:rPr>
              <w:fldChar w:fldCharType="separate"/>
            </w:r>
            <w:r>
              <w:rPr>
                <w:webHidden/>
              </w:rPr>
              <w:t>4-154</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39" w:history="1">
            <w:r w:rsidR="00E733ED" w:rsidRPr="000A7D86">
              <w:rPr>
                <w:rStyle w:val="Hyperlink"/>
              </w:rPr>
              <w:t>A.15.2</w:t>
            </w:r>
            <w:r w:rsidR="00E733ED">
              <w:rPr>
                <w:rFonts w:asciiTheme="minorHAnsi" w:eastAsiaTheme="minorEastAsia" w:hAnsiTheme="minorHAnsi"/>
                <w:lang w:eastAsia="en-AU"/>
              </w:rPr>
              <w:tab/>
            </w:r>
            <w:r w:rsidR="00E733ED" w:rsidRPr="000A7D86">
              <w:rPr>
                <w:rStyle w:val="Hyperlink"/>
              </w:rPr>
              <w:t>Estimates from implied market value studies</w:t>
            </w:r>
            <w:r w:rsidR="00E733ED">
              <w:rPr>
                <w:webHidden/>
              </w:rPr>
              <w:tab/>
            </w:r>
            <w:r w:rsidR="00E733ED">
              <w:rPr>
                <w:webHidden/>
              </w:rPr>
              <w:fldChar w:fldCharType="begin"/>
            </w:r>
            <w:r w:rsidR="00E733ED">
              <w:rPr>
                <w:webHidden/>
              </w:rPr>
              <w:instrText xml:space="preserve"> PAGEREF _Toc456614339 \h </w:instrText>
            </w:r>
            <w:r w:rsidR="00E733ED">
              <w:rPr>
                <w:webHidden/>
              </w:rPr>
            </w:r>
            <w:r w:rsidR="00E733ED">
              <w:rPr>
                <w:webHidden/>
              </w:rPr>
              <w:fldChar w:fldCharType="separate"/>
            </w:r>
            <w:r>
              <w:rPr>
                <w:webHidden/>
              </w:rPr>
              <w:t>4-156</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40" w:history="1">
            <w:r w:rsidR="00E733ED" w:rsidRPr="000A7D86">
              <w:rPr>
                <w:rStyle w:val="Hyperlink"/>
              </w:rPr>
              <w:t>A.15.3</w:t>
            </w:r>
            <w:r w:rsidR="00E733ED">
              <w:rPr>
                <w:rFonts w:asciiTheme="minorHAnsi" w:eastAsiaTheme="minorEastAsia" w:hAnsiTheme="minorHAnsi"/>
                <w:lang w:eastAsia="en-AU"/>
              </w:rPr>
              <w:tab/>
            </w:r>
            <w:r w:rsidR="00E733ED" w:rsidRPr="000A7D86">
              <w:rPr>
                <w:rStyle w:val="Hyperlink"/>
              </w:rPr>
              <w:t>Comparison with other market-based estimation approaches</w:t>
            </w:r>
            <w:r w:rsidR="00E733ED">
              <w:rPr>
                <w:webHidden/>
              </w:rPr>
              <w:tab/>
            </w:r>
            <w:r w:rsidR="00E733ED">
              <w:rPr>
                <w:webHidden/>
              </w:rPr>
              <w:fldChar w:fldCharType="begin"/>
            </w:r>
            <w:r w:rsidR="00E733ED">
              <w:rPr>
                <w:webHidden/>
              </w:rPr>
              <w:instrText xml:space="preserve"> PAGEREF _Toc456614340 \h </w:instrText>
            </w:r>
            <w:r w:rsidR="00E733ED">
              <w:rPr>
                <w:webHidden/>
              </w:rPr>
            </w:r>
            <w:r w:rsidR="00E733ED">
              <w:rPr>
                <w:webHidden/>
              </w:rPr>
              <w:fldChar w:fldCharType="separate"/>
            </w:r>
            <w:r>
              <w:rPr>
                <w:webHidden/>
              </w:rPr>
              <w:t>4-160</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41" w:history="1">
            <w:r w:rsidR="00E733ED" w:rsidRPr="000A7D86">
              <w:rPr>
                <w:rStyle w:val="Hyperlink"/>
              </w:rPr>
              <w:t>A.15.4</w:t>
            </w:r>
            <w:r w:rsidR="00E733ED">
              <w:rPr>
                <w:rFonts w:asciiTheme="minorHAnsi" w:eastAsiaTheme="minorEastAsia" w:hAnsiTheme="minorHAnsi"/>
                <w:lang w:eastAsia="en-AU"/>
              </w:rPr>
              <w:tab/>
            </w:r>
            <w:r w:rsidR="00E733ED" w:rsidRPr="000A7D86">
              <w:rPr>
                <w:rStyle w:val="Hyperlink"/>
              </w:rPr>
              <w:t>Adjustment of estimates from implied market value studies</w:t>
            </w:r>
            <w:r w:rsidR="00E733ED">
              <w:rPr>
                <w:webHidden/>
              </w:rPr>
              <w:tab/>
            </w:r>
            <w:r w:rsidR="00E733ED">
              <w:rPr>
                <w:webHidden/>
              </w:rPr>
              <w:fldChar w:fldCharType="begin"/>
            </w:r>
            <w:r w:rsidR="00E733ED">
              <w:rPr>
                <w:webHidden/>
              </w:rPr>
              <w:instrText xml:space="preserve"> PAGEREF _Toc456614341 \h </w:instrText>
            </w:r>
            <w:r w:rsidR="00E733ED">
              <w:rPr>
                <w:webHidden/>
              </w:rPr>
            </w:r>
            <w:r w:rsidR="00E733ED">
              <w:rPr>
                <w:webHidden/>
              </w:rPr>
              <w:fldChar w:fldCharType="separate"/>
            </w:r>
            <w:r>
              <w:rPr>
                <w:webHidden/>
              </w:rPr>
              <w:t>4-171</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42" w:history="1">
            <w:r w:rsidR="00E733ED" w:rsidRPr="000A7D86">
              <w:rPr>
                <w:rStyle w:val="Hyperlink"/>
              </w:rPr>
              <w:t>A.15.5</w:t>
            </w:r>
            <w:r w:rsidR="00E733ED">
              <w:rPr>
                <w:rFonts w:asciiTheme="minorHAnsi" w:eastAsiaTheme="minorEastAsia" w:hAnsiTheme="minorHAnsi"/>
                <w:lang w:eastAsia="en-AU"/>
              </w:rPr>
              <w:tab/>
            </w:r>
            <w:r w:rsidR="00E733ED" w:rsidRPr="000A7D86">
              <w:rPr>
                <w:rStyle w:val="Hyperlink"/>
              </w:rPr>
              <w:t>Limitations of SFG's dividend drop off study</w:t>
            </w:r>
            <w:r w:rsidR="00E733ED">
              <w:rPr>
                <w:webHidden/>
              </w:rPr>
              <w:tab/>
            </w:r>
            <w:r w:rsidR="00E733ED">
              <w:rPr>
                <w:webHidden/>
              </w:rPr>
              <w:fldChar w:fldCharType="begin"/>
            </w:r>
            <w:r w:rsidR="00E733ED">
              <w:rPr>
                <w:webHidden/>
              </w:rPr>
              <w:instrText xml:space="preserve"> PAGEREF _Toc456614342 \h </w:instrText>
            </w:r>
            <w:r w:rsidR="00E733ED">
              <w:rPr>
                <w:webHidden/>
              </w:rPr>
            </w:r>
            <w:r w:rsidR="00E733ED">
              <w:rPr>
                <w:webHidden/>
              </w:rPr>
              <w:fldChar w:fldCharType="separate"/>
            </w:r>
            <w:r>
              <w:rPr>
                <w:webHidden/>
              </w:rPr>
              <w:t>4-172</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43" w:history="1">
            <w:r w:rsidR="00E733ED" w:rsidRPr="000A7D86">
              <w:rPr>
                <w:rStyle w:val="Hyperlink"/>
              </w:rPr>
              <w:t>These studies can produce nonsensical estimates of the utilisation rate; that is, greater than one or less than zero.</w:t>
            </w:r>
            <w:r w:rsidR="00E733ED">
              <w:rPr>
                <w:webHidden/>
              </w:rPr>
              <w:tab/>
            </w:r>
            <w:r w:rsidR="00E733ED">
              <w:rPr>
                <w:webHidden/>
              </w:rPr>
              <w:fldChar w:fldCharType="begin"/>
            </w:r>
            <w:r w:rsidR="00E733ED">
              <w:rPr>
                <w:webHidden/>
              </w:rPr>
              <w:instrText xml:space="preserve"> PAGEREF _Toc456614343 \h </w:instrText>
            </w:r>
            <w:r w:rsidR="00E733ED">
              <w:rPr>
                <w:webHidden/>
              </w:rPr>
            </w:r>
            <w:r w:rsidR="00E733ED">
              <w:rPr>
                <w:webHidden/>
              </w:rPr>
              <w:fldChar w:fldCharType="separate"/>
            </w:r>
            <w:r>
              <w:rPr>
                <w:webHidden/>
              </w:rPr>
              <w:t>4-173</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44" w:history="1">
            <w:r w:rsidR="00E733ED" w:rsidRPr="000A7D86">
              <w:rPr>
                <w:rStyle w:val="Hyperlink"/>
              </w:rPr>
              <w:t>The results of these studies can reflect factors, such as differential personal taxes and risk, which are not relevant to the utilisation rate.</w:t>
            </w:r>
            <w:r w:rsidR="00E733ED">
              <w:rPr>
                <w:webHidden/>
              </w:rPr>
              <w:tab/>
            </w:r>
            <w:r w:rsidR="00E733ED">
              <w:rPr>
                <w:webHidden/>
              </w:rPr>
              <w:fldChar w:fldCharType="begin"/>
            </w:r>
            <w:r w:rsidR="00E733ED">
              <w:rPr>
                <w:webHidden/>
              </w:rPr>
              <w:instrText xml:space="preserve"> PAGEREF _Toc456614344 \h </w:instrText>
            </w:r>
            <w:r w:rsidR="00E733ED">
              <w:rPr>
                <w:webHidden/>
              </w:rPr>
            </w:r>
            <w:r w:rsidR="00E733ED">
              <w:rPr>
                <w:webHidden/>
              </w:rPr>
              <w:fldChar w:fldCharType="separate"/>
            </w:r>
            <w:r>
              <w:rPr>
                <w:webHidden/>
              </w:rPr>
              <w:t>4-173</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45" w:history="1">
            <w:r w:rsidR="00E733ED" w:rsidRPr="000A7D86">
              <w:rPr>
                <w:rStyle w:val="Hyperlink"/>
              </w:rPr>
              <w:t>The results of these studies might not be reflective of the value of imputation credits to investors in the market as a whole.</w:t>
            </w:r>
            <w:r w:rsidR="00E733ED">
              <w:rPr>
                <w:webHidden/>
              </w:rPr>
              <w:tab/>
            </w:r>
            <w:r w:rsidR="00E733ED">
              <w:rPr>
                <w:webHidden/>
              </w:rPr>
              <w:fldChar w:fldCharType="begin"/>
            </w:r>
            <w:r w:rsidR="00E733ED">
              <w:rPr>
                <w:webHidden/>
              </w:rPr>
              <w:instrText xml:space="preserve"> PAGEREF _Toc456614345 \h </w:instrText>
            </w:r>
            <w:r w:rsidR="00E733ED">
              <w:rPr>
                <w:webHidden/>
              </w:rPr>
            </w:r>
            <w:r w:rsidR="00E733ED">
              <w:rPr>
                <w:webHidden/>
              </w:rPr>
              <w:fldChar w:fldCharType="separate"/>
            </w:r>
            <w:r>
              <w:rPr>
                <w:webHidden/>
              </w:rPr>
              <w:t>4-173</w:t>
            </w:r>
            <w:r w:rsidR="00E733ED">
              <w:rPr>
                <w:webHidden/>
              </w:rPr>
              <w:fldChar w:fldCharType="end"/>
            </w:r>
          </w:hyperlink>
        </w:p>
        <w:p w:rsidR="00E733ED" w:rsidRDefault="007261FC">
          <w:pPr>
            <w:pStyle w:val="TOC3"/>
            <w:rPr>
              <w:rFonts w:asciiTheme="minorHAnsi" w:eastAsiaTheme="minorEastAsia" w:hAnsiTheme="minorHAnsi"/>
              <w:lang w:eastAsia="en-AU"/>
            </w:rPr>
          </w:pPr>
          <w:hyperlink w:anchor="_Toc456614346" w:history="1">
            <w:r w:rsidR="00E733ED" w:rsidRPr="000A7D86">
              <w:rPr>
                <w:rStyle w:val="Hyperlink"/>
              </w:rPr>
              <w:t>These studies can be data intensive and employ complex and sometimes problematic estimation methodologies.</w:t>
            </w:r>
            <w:r w:rsidR="00E733ED">
              <w:rPr>
                <w:webHidden/>
              </w:rPr>
              <w:tab/>
            </w:r>
            <w:r w:rsidR="00E733ED">
              <w:rPr>
                <w:webHidden/>
              </w:rPr>
              <w:fldChar w:fldCharType="begin"/>
            </w:r>
            <w:r w:rsidR="00E733ED">
              <w:rPr>
                <w:webHidden/>
              </w:rPr>
              <w:instrText xml:space="preserve"> PAGEREF _Toc456614346 \h </w:instrText>
            </w:r>
            <w:r w:rsidR="00E733ED">
              <w:rPr>
                <w:webHidden/>
              </w:rPr>
            </w:r>
            <w:r w:rsidR="00E733ED">
              <w:rPr>
                <w:webHidden/>
              </w:rPr>
              <w:fldChar w:fldCharType="separate"/>
            </w:r>
            <w:r>
              <w:rPr>
                <w:webHidden/>
              </w:rPr>
              <w:t>4-176</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47" w:history="1">
            <w:r w:rsidR="00E733ED" w:rsidRPr="000A7D86">
              <w:rPr>
                <w:rStyle w:val="Hyperlink"/>
              </w:rPr>
              <w:t>A.15.6</w:t>
            </w:r>
            <w:r w:rsidR="00E733ED">
              <w:rPr>
                <w:rFonts w:asciiTheme="minorHAnsi" w:eastAsiaTheme="minorEastAsia" w:hAnsiTheme="minorHAnsi"/>
                <w:lang w:eastAsia="en-AU"/>
              </w:rPr>
              <w:tab/>
            </w:r>
            <w:r w:rsidR="00E733ED" w:rsidRPr="000A7D86">
              <w:rPr>
                <w:rStyle w:val="Hyperlink"/>
              </w:rPr>
              <w:t>The views of academics and other regulators on dividend drop off studies</w:t>
            </w:r>
            <w:r w:rsidR="00E733ED">
              <w:rPr>
                <w:webHidden/>
              </w:rPr>
              <w:tab/>
            </w:r>
            <w:r w:rsidR="00E733ED">
              <w:rPr>
                <w:webHidden/>
              </w:rPr>
              <w:fldChar w:fldCharType="begin"/>
            </w:r>
            <w:r w:rsidR="00E733ED">
              <w:rPr>
                <w:webHidden/>
              </w:rPr>
              <w:instrText xml:space="preserve"> PAGEREF _Toc456614347 \h </w:instrText>
            </w:r>
            <w:r w:rsidR="00E733ED">
              <w:rPr>
                <w:webHidden/>
              </w:rPr>
            </w:r>
            <w:r w:rsidR="00E733ED">
              <w:rPr>
                <w:webHidden/>
              </w:rPr>
              <w:fldChar w:fldCharType="separate"/>
            </w:r>
            <w:r>
              <w:rPr>
                <w:webHidden/>
              </w:rPr>
              <w:t>4-177</w:t>
            </w:r>
            <w:r w:rsidR="00E733ED">
              <w:rPr>
                <w:webHidden/>
              </w:rPr>
              <w:fldChar w:fldCharType="end"/>
            </w:r>
          </w:hyperlink>
        </w:p>
        <w:p w:rsidR="00E733ED" w:rsidRDefault="007261FC">
          <w:pPr>
            <w:pStyle w:val="TOC8"/>
            <w:tabs>
              <w:tab w:val="left" w:pos="3650"/>
            </w:tabs>
            <w:rPr>
              <w:rFonts w:asciiTheme="minorHAnsi" w:eastAsiaTheme="minorEastAsia" w:hAnsiTheme="minorHAnsi"/>
              <w:lang w:eastAsia="en-AU"/>
            </w:rPr>
          </w:pPr>
          <w:hyperlink w:anchor="_Toc456614348" w:history="1">
            <w:r w:rsidR="00E733ED" w:rsidRPr="000A7D86">
              <w:rPr>
                <w:rStyle w:val="Hyperlink"/>
              </w:rPr>
              <w:t>A.16</w:t>
            </w:r>
            <w:r w:rsidR="00E733ED">
              <w:rPr>
                <w:rFonts w:asciiTheme="minorHAnsi" w:eastAsiaTheme="minorEastAsia" w:hAnsiTheme="minorHAnsi"/>
                <w:lang w:eastAsia="en-AU"/>
              </w:rPr>
              <w:tab/>
            </w:r>
            <w:r w:rsidR="00E733ED" w:rsidRPr="000A7D86">
              <w:rPr>
                <w:rStyle w:val="Hyperlink"/>
              </w:rPr>
              <w:t>Revised consideration of the conceptual goalposts approach</w:t>
            </w:r>
            <w:r w:rsidR="00E733ED">
              <w:rPr>
                <w:webHidden/>
              </w:rPr>
              <w:tab/>
            </w:r>
            <w:r w:rsidR="00E733ED">
              <w:rPr>
                <w:webHidden/>
              </w:rPr>
              <w:fldChar w:fldCharType="begin"/>
            </w:r>
            <w:r w:rsidR="00E733ED">
              <w:rPr>
                <w:webHidden/>
              </w:rPr>
              <w:instrText xml:space="preserve"> PAGEREF _Toc456614348 \h </w:instrText>
            </w:r>
            <w:r w:rsidR="00E733ED">
              <w:rPr>
                <w:webHidden/>
              </w:rPr>
            </w:r>
            <w:r w:rsidR="00E733ED">
              <w:rPr>
                <w:webHidden/>
              </w:rPr>
              <w:fldChar w:fldCharType="separate"/>
            </w:r>
            <w:r>
              <w:rPr>
                <w:webHidden/>
              </w:rPr>
              <w:t>4-182</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49" w:history="1">
            <w:r w:rsidR="00E733ED" w:rsidRPr="000A7D86">
              <w:rPr>
                <w:rStyle w:val="Hyperlink"/>
              </w:rPr>
              <w:t>A.16.1</w:t>
            </w:r>
            <w:r w:rsidR="00E733ED">
              <w:rPr>
                <w:rFonts w:asciiTheme="minorHAnsi" w:eastAsiaTheme="minorEastAsia" w:hAnsiTheme="minorHAnsi"/>
                <w:lang w:eastAsia="en-AU"/>
              </w:rPr>
              <w:tab/>
            </w:r>
            <w:r w:rsidR="00E733ED" w:rsidRPr="000A7D86">
              <w:rPr>
                <w:rStyle w:val="Hyperlink"/>
              </w:rPr>
              <w:t>Description of the approach</w:t>
            </w:r>
            <w:r w:rsidR="00E733ED">
              <w:rPr>
                <w:webHidden/>
              </w:rPr>
              <w:tab/>
            </w:r>
            <w:r w:rsidR="00E733ED">
              <w:rPr>
                <w:webHidden/>
              </w:rPr>
              <w:fldChar w:fldCharType="begin"/>
            </w:r>
            <w:r w:rsidR="00E733ED">
              <w:rPr>
                <w:webHidden/>
              </w:rPr>
              <w:instrText xml:space="preserve"> PAGEREF _Toc456614349 \h </w:instrText>
            </w:r>
            <w:r w:rsidR="00E733ED">
              <w:rPr>
                <w:webHidden/>
              </w:rPr>
            </w:r>
            <w:r w:rsidR="00E733ED">
              <w:rPr>
                <w:webHidden/>
              </w:rPr>
              <w:fldChar w:fldCharType="separate"/>
            </w:r>
            <w:r>
              <w:rPr>
                <w:webHidden/>
              </w:rPr>
              <w:t>4-182</w:t>
            </w:r>
            <w:r w:rsidR="00E733ED">
              <w:rPr>
                <w:webHidden/>
              </w:rPr>
              <w:fldChar w:fldCharType="end"/>
            </w:r>
          </w:hyperlink>
        </w:p>
        <w:p w:rsidR="00E733ED" w:rsidRDefault="007261FC">
          <w:pPr>
            <w:pStyle w:val="TOC9"/>
            <w:tabs>
              <w:tab w:val="left" w:pos="4258"/>
            </w:tabs>
            <w:rPr>
              <w:rFonts w:asciiTheme="minorHAnsi" w:eastAsiaTheme="minorEastAsia" w:hAnsiTheme="minorHAnsi"/>
              <w:lang w:eastAsia="en-AU"/>
            </w:rPr>
          </w:pPr>
          <w:hyperlink w:anchor="_Toc456614350" w:history="1">
            <w:r w:rsidR="00E733ED" w:rsidRPr="000A7D86">
              <w:rPr>
                <w:rStyle w:val="Hyperlink"/>
              </w:rPr>
              <w:t>A.16.2</w:t>
            </w:r>
            <w:r w:rsidR="00E733ED">
              <w:rPr>
                <w:rFonts w:asciiTheme="minorHAnsi" w:eastAsiaTheme="minorEastAsia" w:hAnsiTheme="minorHAnsi"/>
                <w:lang w:eastAsia="en-AU"/>
              </w:rPr>
              <w:tab/>
            </w:r>
            <w:r w:rsidR="00E733ED" w:rsidRPr="000A7D86">
              <w:rPr>
                <w:rStyle w:val="Hyperlink"/>
              </w:rPr>
              <w:t>Advice received since the Guideline</w:t>
            </w:r>
            <w:r w:rsidR="00E733ED">
              <w:rPr>
                <w:webHidden/>
              </w:rPr>
              <w:tab/>
            </w:r>
            <w:r w:rsidR="00E733ED">
              <w:rPr>
                <w:webHidden/>
              </w:rPr>
              <w:fldChar w:fldCharType="begin"/>
            </w:r>
            <w:r w:rsidR="00E733ED">
              <w:rPr>
                <w:webHidden/>
              </w:rPr>
              <w:instrText xml:space="preserve"> PAGEREF _Toc456614350 \h </w:instrText>
            </w:r>
            <w:r w:rsidR="00E733ED">
              <w:rPr>
                <w:webHidden/>
              </w:rPr>
            </w:r>
            <w:r w:rsidR="00E733ED">
              <w:rPr>
                <w:webHidden/>
              </w:rPr>
              <w:fldChar w:fldCharType="separate"/>
            </w:r>
            <w:r>
              <w:rPr>
                <w:webHidden/>
              </w:rPr>
              <w:t>4-185</w:t>
            </w:r>
            <w:r w:rsidR="00E733ED">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764AB1">
      <w:pPr>
        <w:pStyle w:val="UnnumberedHeading"/>
        <w:numPr>
          <w:ilvl w:val="0"/>
          <w:numId w:val="23"/>
        </w:numPr>
      </w:pPr>
      <w:bookmarkStart w:id="7" w:name="_Toc404700925"/>
      <w:bookmarkStart w:id="8" w:name="_Toc456614268"/>
      <w:r>
        <w:lastRenderedPageBreak/>
        <w:t>Shortened forms</w:t>
      </w:r>
      <w:bookmarkEnd w:id="7"/>
      <w:bookmarkEnd w:id="8"/>
    </w:p>
    <w:p w:rsidR="00DE563D" w:rsidRDefault="00DE563D" w:rsidP="00415F31"/>
    <w:tbl>
      <w:tblPr>
        <w:tblStyle w:val="AERtable-numbers"/>
        <w:tblW w:w="0" w:type="auto"/>
        <w:tblLook w:val="04A0" w:firstRow="1" w:lastRow="0" w:firstColumn="1" w:lastColumn="0" w:noHBand="0" w:noVBand="1"/>
      </w:tblPr>
      <w:tblGrid>
        <w:gridCol w:w="4621"/>
        <w:gridCol w:w="4621"/>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Shortened form</w:t>
            </w:r>
          </w:p>
        </w:tc>
        <w:tc>
          <w:tcPr>
            <w:tcW w:w="4621" w:type="dxa"/>
          </w:tcPr>
          <w:p w:rsidR="00415F31" w:rsidRDefault="00415F31" w:rsidP="00764AB1">
            <w:pPr>
              <w:numPr>
                <w:ilvl w:val="0"/>
                <w:numId w:val="24"/>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AARR</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AEMC</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AEMO</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AER</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ASRR</w:t>
            </w:r>
          </w:p>
        </w:tc>
        <w:tc>
          <w:tcPr>
            <w:tcW w:w="4621" w:type="dxa"/>
          </w:tcPr>
          <w:p w:rsidR="00415F31" w:rsidRDefault="009D3906"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augex</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capex</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CCP</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CESS</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CPI</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DRP</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EBSS</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ERP</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MAR</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MRP</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NEL</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NEM</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NEO</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NER</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lastRenderedPageBreak/>
              <w:t>NSP</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NTSC</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opex</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PPI</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PTRM</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RAB</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RBA</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repex</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RFM</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RIN</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RPP</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SLCAPM</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STPIS</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TNSP</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TUoS</w:t>
            </w:r>
          </w:p>
        </w:tc>
        <w:tc>
          <w:tcPr>
            <w:tcW w:w="4621" w:type="dxa"/>
          </w:tcPr>
          <w:p w:rsidR="00415F31" w:rsidRDefault="00415F31" w:rsidP="00764AB1">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764AB1">
            <w:pPr>
              <w:numPr>
                <w:ilvl w:val="0"/>
                <w:numId w:val="24"/>
              </w:numPr>
              <w:spacing w:after="240" w:line="288" w:lineRule="auto"/>
              <w:jc w:val="both"/>
            </w:pPr>
            <w:r>
              <w:t>WACC</w:t>
            </w:r>
          </w:p>
        </w:tc>
        <w:tc>
          <w:tcPr>
            <w:tcW w:w="4621" w:type="dxa"/>
          </w:tcPr>
          <w:p w:rsidR="00415F31" w:rsidRDefault="00415F31" w:rsidP="00764AB1">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764AB1">
      <w:pPr>
        <w:numPr>
          <w:ilvl w:val="0"/>
          <w:numId w:val="24"/>
        </w:numPr>
      </w:pPr>
    </w:p>
    <w:p w:rsidR="00DE563D" w:rsidRDefault="00DE563D" w:rsidP="00DE563D"/>
    <w:p w:rsidR="00DE563D" w:rsidRDefault="00E14A44" w:rsidP="00E14A44">
      <w:pPr>
        <w:pStyle w:val="Heading1"/>
      </w:pPr>
      <w:bookmarkStart w:id="9" w:name="_Toc456614269"/>
      <w:r>
        <w:lastRenderedPageBreak/>
        <w:t>Value of imputation credits</w:t>
      </w:r>
      <w:bookmarkEnd w:id="9"/>
    </w:p>
    <w:p w:rsidR="00CA67C0" w:rsidRDefault="00CA67C0" w:rsidP="00764AB1">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p>
    <w:p w:rsidR="00CA67C0" w:rsidRDefault="00CA67C0" w:rsidP="00764AB1">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CA67C0" w:rsidRPr="00E356F9" w:rsidRDefault="00CA67C0" w:rsidP="00764AB1">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CA67C0" w:rsidRDefault="00CA67C0" w:rsidP="00764AB1">
      <w:pPr>
        <w:numPr>
          <w:ilvl w:val="0"/>
          <w:numId w:val="24"/>
        </w:numPr>
      </w:pPr>
      <w:r>
        <w:t xml:space="preserve">In this attachment, we set out our </w:t>
      </w:r>
      <w:r w:rsidR="00E97DF4">
        <w:t xml:space="preserve">draft </w:t>
      </w:r>
      <w:r>
        <w:t>decision on the value of imputation credits and our key reasons for this decision. We also consider AusNet Services proposed value of imputation credits and the key reasons for its proposal. In appendix A, we include further supporting detail on our position on the value of imputation credits and also respond to AusNet Services' proposal in detail.</w:t>
      </w:r>
    </w:p>
    <w:p w:rsidR="007261FC" w:rsidRDefault="007261FC" w:rsidP="007261FC"/>
    <w:p w:rsidR="007261FC" w:rsidRDefault="007261FC" w:rsidP="007261FC"/>
    <w:p w:rsidR="00CA67C0" w:rsidRPr="00883125" w:rsidRDefault="00CA67C0" w:rsidP="00CA67C0">
      <w:pPr>
        <w:pStyle w:val="Heading2"/>
      </w:pPr>
      <w:bookmarkStart w:id="10" w:name="_Toc408404320"/>
      <w:bookmarkStart w:id="11" w:name="_Toc419366913"/>
      <w:bookmarkStart w:id="12" w:name="_Ref451246970"/>
      <w:bookmarkStart w:id="13" w:name="_Ref451789904"/>
      <w:bookmarkStart w:id="14" w:name="_Ref451793040"/>
      <w:bookmarkStart w:id="15" w:name="_Ref451816453"/>
      <w:bookmarkStart w:id="16" w:name="_Toc451842232"/>
      <w:bookmarkStart w:id="17" w:name="_Toc451938289"/>
      <w:bookmarkStart w:id="18" w:name="_Toc456614270"/>
      <w:r>
        <w:lastRenderedPageBreak/>
        <w:t>D</w:t>
      </w:r>
      <w:r w:rsidR="00370091">
        <w:t>raft</w:t>
      </w:r>
      <w:r w:rsidRPr="00883125">
        <w:t xml:space="preserve"> decision</w:t>
      </w:r>
      <w:bookmarkEnd w:id="10"/>
      <w:bookmarkEnd w:id="11"/>
      <w:bookmarkEnd w:id="12"/>
      <w:bookmarkEnd w:id="13"/>
      <w:bookmarkEnd w:id="14"/>
      <w:bookmarkEnd w:id="15"/>
      <w:bookmarkEnd w:id="16"/>
      <w:bookmarkEnd w:id="17"/>
      <w:bookmarkEnd w:id="18"/>
    </w:p>
    <w:p w:rsidR="00CA67C0" w:rsidRPr="00C94AE8" w:rsidRDefault="00CA67C0" w:rsidP="00764AB1">
      <w:pPr>
        <w:numPr>
          <w:ilvl w:val="0"/>
          <w:numId w:val="24"/>
        </w:numPr>
      </w:pPr>
      <w:r w:rsidRPr="00883125">
        <w:t xml:space="preserve">We do not accept </w:t>
      </w:r>
      <w:r>
        <w:t>AusNet Services</w:t>
      </w:r>
      <w:r w:rsidRPr="00883125">
        <w:t>' proposed value of imputation credits</w:t>
      </w:r>
      <w:r>
        <w:t xml:space="preserve"> (or gamma)</w:t>
      </w:r>
      <w:r w:rsidRPr="00883125">
        <w:t xml:space="preserve"> of 0.25. Instead, we adopt a value of imputation credits of 0.4.</w:t>
      </w:r>
      <w:r>
        <w:t xml:space="preserve"> </w:t>
      </w:r>
      <w:r w:rsidRPr="00C94AE8">
        <w:t xml:space="preserve">We consider that the use of a value for imputation credits of 0.4 will result in equity investors in the benchmark efficient entity receiving an ex ante total return (inclusive of the value of imputation credits) commensurate with the efficient equity financing costs of </w:t>
      </w:r>
      <w:r>
        <w:t>a</w:t>
      </w:r>
      <w:r w:rsidRPr="00C94AE8">
        <w:t xml:space="preserve"> benchmark efficient entity.</w:t>
      </w:r>
    </w:p>
    <w:p w:rsidR="00CA67C0" w:rsidRPr="00883125" w:rsidRDefault="00CA67C0" w:rsidP="00764AB1">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4"/>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5"/>
      </w:r>
    </w:p>
    <w:p w:rsidR="00CA67C0" w:rsidRPr="005942A6" w:rsidRDefault="00CA67C0" w:rsidP="00CA67C0">
      <w:pPr>
        <w:rPr>
          <w:rStyle w:val="AERbody"/>
        </w:rPr>
      </w:pPr>
      <w:r w:rsidRPr="005942A6">
        <w:rPr>
          <w:rStyle w:val="AERbody"/>
        </w:rPr>
        <w:t>In coming to a value of imputation credits of 0.4:</w:t>
      </w:r>
    </w:p>
    <w:p w:rsidR="00CA67C0" w:rsidRPr="001D37D5" w:rsidRDefault="00CA67C0" w:rsidP="00CA67C0">
      <w:pPr>
        <w:pStyle w:val="AERbulletlistfirststyle"/>
      </w:pPr>
      <w:r w:rsidRPr="00DD1139">
        <w:t>We a</w:t>
      </w:r>
      <w:r w:rsidRPr="001D37D5">
        <w:t>dopt a conceptual approach consistent with the Officer framework,</w:t>
      </w:r>
      <w:r w:rsidRPr="00247000">
        <w:rPr>
          <w:rStyle w:val="FootnoteReference"/>
        </w:rPr>
        <w:footnoteReference w:id="6"/>
      </w:r>
      <w:r w:rsidRPr="001D37D5">
        <w:t xml:space="preserve"> which we consider best promotes the objectives and requirements of the NER/NGR. This approach considers the value of imputation credits is a post-tax value before the impact of personal taxes and transaction costs.</w:t>
      </w:r>
      <w:r w:rsidR="00934BBB">
        <w:rPr>
          <w:rStyle w:val="FootnoteReference"/>
        </w:rPr>
        <w:footnoteReference w:id="7"/>
      </w:r>
      <w:r w:rsidRPr="001D37D5">
        <w:t xml:space="preserve"> As such, we view the value of imputation credits as the proportion of company tax returned to investors through the utilisation of imputation credits.</w:t>
      </w:r>
      <w:r w:rsidRPr="001D37D5">
        <w:rPr>
          <w:rStyle w:val="FootnoteReference"/>
        </w:rPr>
        <w:footnoteReference w:id="8"/>
      </w:r>
    </w:p>
    <w:p w:rsidR="00CA67C0" w:rsidRPr="001D37D5" w:rsidRDefault="00CA67C0" w:rsidP="00CA67C0">
      <w:pPr>
        <w:pStyle w:val="AERbulletlistfirststyle"/>
      </w:pPr>
      <w:r w:rsidRPr="00DD1139">
        <w:t>We consider our</w:t>
      </w:r>
      <w:r w:rsidRPr="001D37D5">
        <w:t xml:space="preserve"> conceptual approach allows for the value of imputation credits to be estimated on a consistent basis with the allowed rate of return and allowed revenues under the post-tax framework in the NER/NGR.</w:t>
      </w:r>
      <w:r w:rsidRPr="001D37D5">
        <w:rPr>
          <w:rStyle w:val="FootnoteReference"/>
        </w:rPr>
        <w:footnoteReference w:id="9"/>
      </w:r>
      <w:r w:rsidRPr="001D37D5">
        <w:t xml:space="preserve"> </w:t>
      </w:r>
    </w:p>
    <w:p w:rsidR="00CA67C0" w:rsidRPr="001D37D5" w:rsidRDefault="00CA67C0" w:rsidP="00CA67C0">
      <w:pPr>
        <w:pStyle w:val="AERbulletlistfirststyle"/>
      </w:pPr>
      <w:r w:rsidRPr="00DD1139">
        <w:t xml:space="preserve">We use the widely accepted approach of estimating the value of imputation credits as the product of two sub-parameters: the 'distribution rate' and the 'utilisation </w:t>
      </w:r>
      <w:r w:rsidRPr="001D37D5">
        <w:t>rate'.</w:t>
      </w:r>
      <w:r w:rsidRPr="001D37D5">
        <w:rPr>
          <w:rStyle w:val="FootnoteReference"/>
        </w:rPr>
        <w:footnoteReference w:id="10"/>
      </w:r>
      <w:r w:rsidRPr="001D37D5">
        <w:t xml:space="preserve"> Our definition of, and estimation approach for, these sub-parameters is set out in </w:t>
      </w:r>
      <w:r w:rsidRPr="001D37D5">
        <w:fldChar w:fldCharType="begin"/>
      </w:r>
      <w:r w:rsidRPr="001D37D5">
        <w:instrText xml:space="preserve"> REF  _Ref450662555 \* Lower \h  \* MERGEFORMAT </w:instrText>
      </w:r>
      <w:r w:rsidRPr="001D37D5">
        <w:fldChar w:fldCharType="separate"/>
      </w:r>
      <w:r w:rsidR="007261FC">
        <w:t>table 4</w:t>
      </w:r>
      <w:r w:rsidR="007261FC">
        <w:noBreakHyphen/>
        <w:t>1</w:t>
      </w:r>
      <w:r w:rsidRPr="001D37D5">
        <w:fldChar w:fldCharType="end"/>
      </w:r>
      <w:r w:rsidRPr="001D37D5">
        <w:t>.</w:t>
      </w:r>
    </w:p>
    <w:p w:rsidR="00CA67C0" w:rsidRDefault="00CA67C0" w:rsidP="00CA67C0">
      <w:pPr>
        <w:pStyle w:val="Caption"/>
      </w:pPr>
      <w:bookmarkStart w:id="19" w:name="_Ref450662555"/>
      <w:r>
        <w:lastRenderedPageBreak/>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1</w:t>
      </w:r>
      <w:r w:rsidRPr="001D37D5">
        <w:fldChar w:fldCharType="end"/>
      </w:r>
      <w:bookmarkEnd w:id="19"/>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CA67C0" w:rsidTr="00CA67C0">
        <w:trPr>
          <w:cnfStyle w:val="100000000000" w:firstRow="1" w:lastRow="0" w:firstColumn="0" w:lastColumn="0" w:oddVBand="0" w:evenVBand="0" w:oddHBand="0" w:evenHBand="0" w:firstRowFirstColumn="0" w:firstRowLastColumn="0" w:lastRowFirstColumn="0" w:lastRowLastColumn="0"/>
        </w:trPr>
        <w:tc>
          <w:tcPr>
            <w:tcW w:w="2518" w:type="dxa"/>
          </w:tcPr>
          <w:p w:rsidR="00CA67C0" w:rsidRDefault="00CA67C0" w:rsidP="00764AB1">
            <w:pPr>
              <w:numPr>
                <w:ilvl w:val="0"/>
                <w:numId w:val="24"/>
              </w:numPr>
            </w:pPr>
            <w:r>
              <w:t>Sub-parameter</w:t>
            </w:r>
          </w:p>
        </w:tc>
        <w:tc>
          <w:tcPr>
            <w:tcW w:w="2977" w:type="dxa"/>
          </w:tcPr>
          <w:p w:rsidR="00CA67C0" w:rsidRDefault="00CA67C0" w:rsidP="00764AB1">
            <w:pPr>
              <w:numPr>
                <w:ilvl w:val="0"/>
                <w:numId w:val="24"/>
              </w:numPr>
            </w:pPr>
            <w:r>
              <w:t>Definition</w:t>
            </w:r>
          </w:p>
        </w:tc>
        <w:tc>
          <w:tcPr>
            <w:tcW w:w="3747" w:type="dxa"/>
          </w:tcPr>
          <w:p w:rsidR="00CA67C0" w:rsidRDefault="00CA67C0" w:rsidP="00764AB1">
            <w:pPr>
              <w:numPr>
                <w:ilvl w:val="0"/>
                <w:numId w:val="24"/>
              </w:numPr>
            </w:pPr>
            <w:r>
              <w:t>Estimation approach</w:t>
            </w:r>
          </w:p>
        </w:tc>
      </w:tr>
      <w:tr w:rsidR="00CA67C0" w:rsidTr="00CA67C0">
        <w:tc>
          <w:tcPr>
            <w:tcW w:w="2518" w:type="dxa"/>
          </w:tcPr>
          <w:p w:rsidR="00CA67C0" w:rsidRDefault="00CA67C0" w:rsidP="00764AB1">
            <w:pPr>
              <w:numPr>
                <w:ilvl w:val="0"/>
                <w:numId w:val="24"/>
              </w:numPr>
            </w:pPr>
            <w:r>
              <w:t>Distribution rate (or payout ratio)</w:t>
            </w:r>
          </w:p>
        </w:tc>
        <w:tc>
          <w:tcPr>
            <w:tcW w:w="2977" w:type="dxa"/>
          </w:tcPr>
          <w:p w:rsidR="00CA67C0" w:rsidRDefault="00CA67C0" w:rsidP="00764AB1">
            <w:pPr>
              <w:numPr>
                <w:ilvl w:val="0"/>
                <w:numId w:val="24"/>
              </w:numPr>
            </w:pPr>
            <w:r>
              <w:t>T</w:t>
            </w:r>
            <w:r w:rsidRPr="004746B6">
              <w:t>he proportion of imputation credits generated that is distributed to investors</w:t>
            </w:r>
          </w:p>
        </w:tc>
        <w:tc>
          <w:tcPr>
            <w:tcW w:w="3747" w:type="dxa"/>
          </w:tcPr>
          <w:p w:rsidR="00CA67C0" w:rsidRDefault="00CA67C0" w:rsidP="00764AB1">
            <w:pPr>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CA67C0" w:rsidTr="00CA67C0">
        <w:trPr>
          <w:cnfStyle w:val="000000010000" w:firstRow="0" w:lastRow="0" w:firstColumn="0" w:lastColumn="0" w:oddVBand="0" w:evenVBand="0" w:oddHBand="0" w:evenHBand="1" w:firstRowFirstColumn="0" w:firstRowLastColumn="0" w:lastRowFirstColumn="0" w:lastRowLastColumn="0"/>
        </w:trPr>
        <w:tc>
          <w:tcPr>
            <w:tcW w:w="2518" w:type="dxa"/>
          </w:tcPr>
          <w:p w:rsidR="00CA67C0" w:rsidRDefault="00CA67C0" w:rsidP="00764AB1">
            <w:pPr>
              <w:numPr>
                <w:ilvl w:val="0"/>
                <w:numId w:val="24"/>
              </w:numPr>
            </w:pPr>
            <w:r>
              <w:t>Utilisation rate (or theta)</w:t>
            </w:r>
          </w:p>
        </w:tc>
        <w:tc>
          <w:tcPr>
            <w:tcW w:w="2977" w:type="dxa"/>
          </w:tcPr>
          <w:p w:rsidR="00CA67C0" w:rsidRDefault="00CA67C0" w:rsidP="00764AB1">
            <w:pPr>
              <w:numPr>
                <w:ilvl w:val="0"/>
                <w:numId w:val="24"/>
              </w:numPr>
            </w:pPr>
            <w:r>
              <w:t>T</w:t>
            </w:r>
            <w:r w:rsidRPr="004746B6">
              <w:t>he utilisation value to investors in the market per dollar of imputation credits distributed</w:t>
            </w:r>
            <w:r>
              <w:rPr>
                <w:rStyle w:val="FootnoteReference"/>
              </w:rPr>
              <w:footnoteReference w:id="11"/>
            </w:r>
          </w:p>
        </w:tc>
        <w:tc>
          <w:tcPr>
            <w:tcW w:w="3747" w:type="dxa"/>
          </w:tcPr>
          <w:p w:rsidR="00CA67C0" w:rsidRDefault="00CA67C0" w:rsidP="00764AB1">
            <w:pPr>
              <w:numPr>
                <w:ilvl w:val="0"/>
                <w:numId w:val="24"/>
              </w:numPr>
            </w:pPr>
            <w:r>
              <w:t>A range of approaches, with due regard to the merit of each approach:</w:t>
            </w:r>
          </w:p>
          <w:p w:rsidR="00CA67C0" w:rsidRPr="00CA67C0" w:rsidRDefault="00CA67C0" w:rsidP="00CA67C0">
            <w:pPr>
              <w:pStyle w:val="AERbulletlistfirststyle"/>
            </w:pPr>
            <w:r>
              <w:t>equity ownership approach</w:t>
            </w:r>
          </w:p>
          <w:p w:rsidR="00CA67C0" w:rsidRPr="00CA67C0" w:rsidRDefault="00CA67C0" w:rsidP="00CA67C0">
            <w:pPr>
              <w:pStyle w:val="AERbulletlistfirststyle"/>
            </w:pPr>
            <w:r>
              <w:t>tax statistics</w:t>
            </w:r>
          </w:p>
          <w:p w:rsidR="00CA67C0" w:rsidRPr="00CA67C0" w:rsidRDefault="00CA67C0" w:rsidP="00CA67C0">
            <w:pPr>
              <w:pStyle w:val="AERbulletlistfirststyle"/>
            </w:pPr>
            <w:r>
              <w:t>implied market value studies</w:t>
            </w:r>
          </w:p>
        </w:tc>
      </w:tr>
    </w:tbl>
    <w:p w:rsidR="00CA67C0" w:rsidRPr="00CA67C0" w:rsidRDefault="00CA67C0" w:rsidP="00CA67C0">
      <w:pPr>
        <w:pStyle w:val="AERtablesource"/>
      </w:pPr>
      <w:r>
        <w:t>Source:</w:t>
      </w:r>
      <w:r>
        <w:tab/>
        <w:t xml:space="preserve">AER analysis, see section </w:t>
      </w:r>
      <w:r w:rsidRPr="00CA67C0">
        <w:fldChar w:fldCharType="begin"/>
      </w:r>
      <w:r w:rsidRPr="00CA67C0">
        <w:instrText xml:space="preserve"> REF _Ref401133206 \r \h </w:instrText>
      </w:r>
      <w:r w:rsidRPr="00CA67C0">
        <w:fldChar w:fldCharType="separate"/>
      </w:r>
      <w:r w:rsidR="007261FC">
        <w:t>A.10</w:t>
      </w:r>
      <w:r w:rsidRPr="00CA67C0">
        <w:fldChar w:fldCharType="end"/>
      </w:r>
      <w:r w:rsidRPr="00CA67C0">
        <w:t xml:space="preserve">, </w:t>
      </w:r>
      <w:r w:rsidRPr="00CA67C0">
        <w:fldChar w:fldCharType="begin"/>
      </w:r>
      <w:r w:rsidRPr="00CA67C0">
        <w:instrText xml:space="preserve"> REF _Ref415049811 \r \h </w:instrText>
      </w:r>
      <w:r w:rsidRPr="00CA67C0">
        <w:fldChar w:fldCharType="separate"/>
      </w:r>
      <w:r w:rsidR="007261FC">
        <w:t>A.12</w:t>
      </w:r>
      <w:r w:rsidRPr="00CA67C0">
        <w:fldChar w:fldCharType="end"/>
      </w:r>
      <w:r w:rsidRPr="00CA67C0">
        <w:t xml:space="preserve">, </w:t>
      </w:r>
      <w:r w:rsidRPr="00CA67C0">
        <w:fldChar w:fldCharType="begin"/>
      </w:r>
      <w:r w:rsidRPr="00CA67C0">
        <w:instrText xml:space="preserve"> REF _Ref402179420 \r \h </w:instrText>
      </w:r>
      <w:r w:rsidRPr="00CA67C0">
        <w:fldChar w:fldCharType="separate"/>
      </w:r>
      <w:r w:rsidR="007261FC">
        <w:t>A.13</w:t>
      </w:r>
      <w:r w:rsidRPr="00CA67C0">
        <w:fldChar w:fldCharType="end"/>
      </w:r>
      <w:r w:rsidRPr="00CA67C0">
        <w:t xml:space="preserve"> and </w:t>
      </w:r>
      <w:r w:rsidRPr="00CA67C0">
        <w:fldChar w:fldCharType="begin"/>
      </w:r>
      <w:r w:rsidRPr="00CA67C0">
        <w:instrText xml:space="preserve"> REF _Ref451184082 \r \h </w:instrText>
      </w:r>
      <w:r w:rsidRPr="00CA67C0">
        <w:fldChar w:fldCharType="separate"/>
      </w:r>
      <w:r w:rsidR="007261FC">
        <w:t>A.15</w:t>
      </w:r>
      <w:r w:rsidRPr="00CA67C0">
        <w:fldChar w:fldCharType="end"/>
      </w:r>
      <w:r w:rsidRPr="00CA67C0">
        <w:t>.</w:t>
      </w:r>
    </w:p>
    <w:p w:rsidR="00CA67C0" w:rsidRPr="00883125" w:rsidRDefault="00CA67C0" w:rsidP="00764AB1">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CA67C0" w:rsidRDefault="00CA67C0" w:rsidP="00CA67C0">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CA67C0" w:rsidRPr="00883125" w:rsidRDefault="00CA67C0" w:rsidP="00CA67C0">
      <w:pPr>
        <w:pStyle w:val="HeadingBoldBlue"/>
      </w:pPr>
      <w:bookmarkStart w:id="20" w:name="_Toc456614271"/>
      <w:r>
        <w:t>Recent developments</w:t>
      </w:r>
      <w:bookmarkEnd w:id="20"/>
    </w:p>
    <w:p w:rsidR="00CA67C0" w:rsidRDefault="00CA67C0" w:rsidP="00CA67C0">
      <w:pPr>
        <w:rPr>
          <w:rStyle w:val="AERbody"/>
        </w:rPr>
      </w:pPr>
      <w:r w:rsidRPr="005942A6">
        <w:rPr>
          <w:rStyle w:val="AERbody"/>
        </w:rPr>
        <w:t xml:space="preserve">Since </w:t>
      </w:r>
      <w:r w:rsidR="00370091">
        <w:rPr>
          <w:rStyle w:val="AERbody"/>
        </w:rPr>
        <w:t>AusNet Services has submitted its proposal</w:t>
      </w:r>
      <w:r w:rsidRPr="005942A6">
        <w:rPr>
          <w:rStyle w:val="AERbody"/>
        </w:rPr>
        <w:t xml:space="preserve">, a number of service providers </w:t>
      </w:r>
      <w:r w:rsidR="000C2279">
        <w:rPr>
          <w:rStyle w:val="AERbody"/>
        </w:rPr>
        <w:t>have submitted revised proposal</w:t>
      </w:r>
      <w:r w:rsidR="00D4793A">
        <w:rPr>
          <w:rStyle w:val="AERbody"/>
        </w:rPr>
        <w:t>s</w:t>
      </w:r>
      <w:r w:rsidR="000C2279">
        <w:rPr>
          <w:rStyle w:val="AERbody"/>
        </w:rPr>
        <w:t xml:space="preserve"> and </w:t>
      </w:r>
      <w:r w:rsidRPr="005942A6">
        <w:rPr>
          <w:rStyle w:val="AERbody"/>
        </w:rPr>
        <w:t>made late submissions</w:t>
      </w:r>
      <w:r w:rsidR="000C2279">
        <w:rPr>
          <w:rStyle w:val="AERbody"/>
        </w:rPr>
        <w:t xml:space="preserve"> on th</w:t>
      </w:r>
      <w:r w:rsidR="00D4793A">
        <w:rPr>
          <w:rStyle w:val="AERbody"/>
        </w:rPr>
        <w:t>o</w:t>
      </w:r>
      <w:r w:rsidR="000C2279">
        <w:rPr>
          <w:rStyle w:val="AERbody"/>
        </w:rPr>
        <w:t>se revised proposals</w:t>
      </w:r>
      <w:r w:rsidRPr="005942A6">
        <w:rPr>
          <w:rStyle w:val="AERbody"/>
        </w:rPr>
        <w:t>. These late submissions have asked us to take into account a range of issues identified in the recent Australian Competition Tribunal (the Tribunal) decisions for ActewAGL Distribution, Ausgrid, Endeavour Energy, Essential Energy and Jemena Gas Networks.</w:t>
      </w:r>
      <w:r w:rsidRPr="005942A6">
        <w:rPr>
          <w:rStyle w:val="FootnoteReference"/>
        </w:rPr>
        <w:footnoteReference w:id="12"/>
      </w:r>
      <w:r w:rsidRPr="005942A6">
        <w:rPr>
          <w:rStyle w:val="AERbody"/>
        </w:rPr>
        <w:t xml:space="preserve"> The Tribunal ordered the remittal of our final decisions for these service providers, with directions to remake our decision by reference to an estimated cost of corporate income tax based on a gamma of 0.25. We consider that the Tribunal erred in reaching its conclusion and we have sought review of the Tribunal's decision in the Federal Court</w:t>
      </w:r>
      <w:r>
        <w:rPr>
          <w:rStyle w:val="AERbody"/>
        </w:rPr>
        <w:t>.  We take the view:</w:t>
      </w:r>
    </w:p>
    <w:p w:rsidR="00CA67C0" w:rsidRPr="001D37D5" w:rsidRDefault="00CA67C0" w:rsidP="00CA67C0">
      <w:pPr>
        <w:pStyle w:val="AERbulletlistfirststyle"/>
      </w:pPr>
      <w:r w:rsidRPr="00E44473">
        <w:t>there is no consensus amongst experts as to the best approach to estimating gamma</w:t>
      </w:r>
      <w:r w:rsidRPr="001D37D5">
        <w:t xml:space="preserve">.  The AER must therefore choose an appropriate value for gamma from amongst the </w:t>
      </w:r>
      <w:r w:rsidRPr="001D37D5">
        <w:lastRenderedPageBreak/>
        <w:t>alternatives. We must reach our own view on the appropriate reliance to place upon different views and methodologies in reaching our decision</w:t>
      </w:r>
    </w:p>
    <w:p w:rsidR="00CA67C0" w:rsidRPr="001D37D5" w:rsidRDefault="00CA67C0" w:rsidP="00CA67C0">
      <w:pPr>
        <w:pStyle w:val="AERbulletlistfirststyle"/>
      </w:pPr>
      <w:r w:rsidRPr="00E44473">
        <w:t>the Tribunal</w:t>
      </w:r>
      <w:r w:rsidRPr="001D37D5">
        <w:t>'s view that the “tax statistics approach” to estimating gamma could be used only as an “upper bound” for the purposes of ascertaining theta, is not correct</w:t>
      </w:r>
    </w:p>
    <w:p w:rsidR="00CA67C0" w:rsidRPr="001D37D5" w:rsidRDefault="00CA67C0" w:rsidP="00CA67C0">
      <w:pPr>
        <w:pStyle w:val="AERbulletlistfirststyle"/>
      </w:pPr>
      <w:r w:rsidRPr="00E44473">
        <w:t xml:space="preserve">the </w:t>
      </w:r>
      <w:r w:rsidRPr="001D37D5">
        <w:t>Tribunal erred on the meaning of “the valuation of imputation credits” in the NER and NGR. The value of gamma should be seen as a post-tax value, before the impact of personal taxes and transaction costs, with the result that one dollar of claimed imputation credits has a post (company) tax value of one dollar to investors, before personal taxes and personal transaction costs.</w:t>
      </w:r>
    </w:p>
    <w:p w:rsidR="00CA67C0" w:rsidRPr="001D37D5" w:rsidRDefault="00CA67C0" w:rsidP="00CA67C0">
      <w:pPr>
        <w:pStyle w:val="AERbulletlistfirststyle"/>
        <w:rPr>
          <w:rStyle w:val="AERbody"/>
        </w:rPr>
      </w:pPr>
      <w:r>
        <w:t>applying the Tribunal’s reasons in relation to gamma does not automatically lead to a value of 0.25 for gamma.</w:t>
      </w:r>
    </w:p>
    <w:p w:rsidR="00CA67C0" w:rsidRPr="005942A6" w:rsidRDefault="00CA67C0" w:rsidP="00CA67C0">
      <w:pPr>
        <w:rPr>
          <w:rStyle w:val="AERbody"/>
        </w:rPr>
      </w:pPr>
      <w:r w:rsidRPr="005942A6">
        <w:rPr>
          <w:rStyle w:val="AERbody"/>
        </w:rPr>
        <w:t xml:space="preserve">At this time we have not completed the remittal of our final decisions for ActewAGL Distribution, Ausgrid, Endeavour Energy, Essential Energy and Jemena Gas Networks. </w:t>
      </w:r>
      <w:r>
        <w:rPr>
          <w:rStyle w:val="AERbody"/>
        </w:rPr>
        <w:t>I</w:t>
      </w:r>
      <w:r w:rsidRPr="005942A6">
        <w:rPr>
          <w:rStyle w:val="AERbody"/>
        </w:rPr>
        <w:t>n the time available, we have</w:t>
      </w:r>
      <w:r>
        <w:rPr>
          <w:rStyle w:val="AERbody"/>
        </w:rPr>
        <w:t>, however,</w:t>
      </w:r>
      <w:r w:rsidRPr="005942A6">
        <w:rPr>
          <w:rStyle w:val="AERbody"/>
        </w:rPr>
        <w:t xml:space="preserve"> reviewed the late submissions from United Energy, ActewAGL and CitiPower/Powercor.</w:t>
      </w:r>
      <w:r w:rsidRPr="005942A6">
        <w:rPr>
          <w:rStyle w:val="FootnoteReference"/>
        </w:rPr>
        <w:footnoteReference w:id="13"/>
      </w:r>
      <w:r w:rsidRPr="005942A6">
        <w:rPr>
          <w:rStyle w:val="AERbody"/>
        </w:rPr>
        <w:t xml:space="preserve"> To the extent time has permitted we have updated this decision to include a response to the key issues raised in the late submissions, with reference to the Tribunal's reasoning on these specific issues.</w:t>
      </w:r>
    </w:p>
    <w:p w:rsidR="00CA67C0" w:rsidRPr="00DD1139" w:rsidRDefault="00CA67C0" w:rsidP="00CA67C0">
      <w:pPr>
        <w:rPr>
          <w:rStyle w:val="AERbody"/>
        </w:rPr>
      </w:pPr>
      <w:r w:rsidRPr="005942A6">
        <w:rPr>
          <w:rStyle w:val="AERbody"/>
        </w:rPr>
        <w:t>Of the late submissions, the most comprehensive was provided by United Energy. By addressing United Energy's submission, we have addressed all of the issues raised in the late submissions by service providers (on gamma).</w:t>
      </w:r>
      <w:r w:rsidRPr="005942A6">
        <w:rPr>
          <w:rStyle w:val="FootnoteReference"/>
        </w:rPr>
        <w:footnoteReference w:id="14"/>
      </w:r>
      <w:r w:rsidRPr="00DD1139">
        <w:rPr>
          <w:rStyle w:val="AERbody"/>
        </w:rPr>
        <w:t xml:space="preserve"> United Energy submitted we should apply a gamma of 0.25, consistent with the Tribunal decisions. The key issues it raised are set out in section 4.4.2.</w:t>
      </w:r>
    </w:p>
    <w:p w:rsidR="00CA67C0" w:rsidRPr="005764F6" w:rsidRDefault="00CA67C0" w:rsidP="00CA67C0">
      <w:pPr>
        <w:rPr>
          <w:rStyle w:val="AERbody"/>
        </w:rPr>
      </w:pPr>
      <w:r w:rsidRPr="005764F6">
        <w:rPr>
          <w:rStyle w:val="AERbody"/>
        </w:rPr>
        <w:t>We have also sought expert advice from Dr Martin Lally (Lally), in the context of</w:t>
      </w:r>
      <w:r>
        <w:rPr>
          <w:rStyle w:val="AERbody"/>
        </w:rPr>
        <w:t xml:space="preserve"> obtaining specific advice on the issues raised by service providers in their late submissions including the matters raised by the Tribunal in its recent decision</w:t>
      </w:r>
      <w:r w:rsidRPr="005764F6">
        <w:rPr>
          <w:rStyle w:val="AERbody"/>
        </w:rPr>
        <w:t>.</w:t>
      </w:r>
      <w:r w:rsidRPr="005942A6">
        <w:rPr>
          <w:rStyle w:val="FootnoteReference"/>
        </w:rPr>
        <w:footnoteReference w:id="15"/>
      </w:r>
      <w:r w:rsidRPr="005764F6">
        <w:rPr>
          <w:rStyle w:val="AERbody"/>
        </w:rPr>
        <w:t xml:space="preserve"> </w:t>
      </w:r>
    </w:p>
    <w:p w:rsidR="00CA67C0" w:rsidRPr="005764F6" w:rsidRDefault="00CA67C0" w:rsidP="00CA67C0">
      <w:pPr>
        <w:rPr>
          <w:rStyle w:val="AERbody"/>
        </w:rPr>
      </w:pPr>
      <w:r w:rsidRPr="005764F6">
        <w:rPr>
          <w:rStyle w:val="AERbody"/>
        </w:rPr>
        <w:t>Following this review, we consider the use of a gamma of 0.4 is appropriate for the reasons set out in this decision. These reasons are substantively based on the reasons we set out in prior decisions, but we have clarified our reasoning in response to the issues raised in the late submissions following t</w:t>
      </w:r>
      <w:r>
        <w:rPr>
          <w:rStyle w:val="AERbody"/>
        </w:rPr>
        <w:t>he Tribunal's recent decisions.</w:t>
      </w:r>
    </w:p>
    <w:p w:rsidR="00CA67C0" w:rsidRPr="005764F6" w:rsidRDefault="00CA67C0" w:rsidP="00CA67C0">
      <w:pPr>
        <w:rPr>
          <w:rStyle w:val="AERbody"/>
        </w:rPr>
      </w:pPr>
      <w:r w:rsidRPr="005764F6">
        <w:rPr>
          <w:rStyle w:val="AERbody"/>
        </w:rPr>
        <w:t>With regard to United Energy's late submission, we consider:</w:t>
      </w:r>
    </w:p>
    <w:p w:rsidR="00CA67C0" w:rsidRPr="001D37D5" w:rsidRDefault="00CA67C0" w:rsidP="00CA67C0">
      <w:pPr>
        <w:pStyle w:val="AERbulletlistfirststyle"/>
      </w:pPr>
      <w:r w:rsidRPr="005764F6">
        <w:lastRenderedPageBreak/>
        <w:t xml:space="preserve">Our conceptual approach considers the value of gamma is a post-tax value before the impact of personal taxes and transaction costs. This means one dollar of claimed imputation credits has a post (company) tax value of one dollar to investors before personal taxes and personal transaction costs. Our approach considers gamma to be equal to the product of the </w:t>
      </w:r>
      <w:r w:rsidRPr="001D37D5">
        <w:t xml:space="preserve">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of whom will have a utilisation rate of 1 and others who will have utilisation rate of 0. This is covered in section </w:t>
      </w:r>
      <w:r w:rsidRPr="001D37D5">
        <w:fldChar w:fldCharType="begin"/>
      </w:r>
      <w:r w:rsidRPr="001D37D5">
        <w:instrText xml:space="preserve"> REF _Ref415144114 \r \h  \* MERGEFORMAT </w:instrText>
      </w:r>
      <w:r w:rsidRPr="001D37D5">
        <w:fldChar w:fldCharType="separate"/>
      </w:r>
      <w:r w:rsidR="007261FC">
        <w:t>A.5</w:t>
      </w:r>
      <w:r w:rsidRPr="001D37D5">
        <w:fldChar w:fldCharType="end"/>
      </w:r>
      <w:r w:rsidRPr="001D37D5">
        <w:t xml:space="preserve"> and </w:t>
      </w:r>
      <w:r w:rsidRPr="001D37D5">
        <w:fldChar w:fldCharType="begin"/>
      </w:r>
      <w:r w:rsidRPr="001D37D5">
        <w:instrText xml:space="preserve"> REF _Ref400965182 \r \h  \* MERGEFORMAT </w:instrText>
      </w:r>
      <w:r w:rsidRPr="001D37D5">
        <w:fldChar w:fldCharType="separate"/>
      </w:r>
      <w:r w:rsidR="007261FC">
        <w:t>A.6</w:t>
      </w:r>
      <w:r w:rsidRPr="001D37D5">
        <w:fldChar w:fldCharType="end"/>
      </w:r>
      <w:r w:rsidRPr="001D37D5">
        <w:t>.</w:t>
      </w:r>
    </w:p>
    <w:p w:rsidR="00CA67C0" w:rsidRPr="001D37D5" w:rsidRDefault="00CA67C0" w:rsidP="00CA67C0">
      <w:pPr>
        <w:pStyle w:val="AERbulletlistfirststyle"/>
      </w:pPr>
      <w:r w:rsidRPr="005764F6">
        <w:t>O</w:t>
      </w:r>
      <w:r w:rsidRPr="001D37D5">
        <w:t xml:space="preserve">ur conceptual framework is consistent with the Officer framework, our allowed rate of return and our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1D37D5">
        <w:fldChar w:fldCharType="begin"/>
      </w:r>
      <w:r w:rsidRPr="001D37D5">
        <w:instrText xml:space="preserve"> REF _Ref450298425 \r \h  \* MERGEFORMAT </w:instrText>
      </w:r>
      <w:r w:rsidRPr="001D37D5">
        <w:fldChar w:fldCharType="separate"/>
      </w:r>
      <w:r w:rsidR="007261FC">
        <w:t>A.8.2</w:t>
      </w:r>
      <w:r w:rsidRPr="001D37D5">
        <w:fldChar w:fldCharType="end"/>
      </w:r>
      <w:r w:rsidRPr="001D37D5">
        <w:t xml:space="preserve">). Our interpretation of the post-tax framework in the NER/NGR is covered in section </w:t>
      </w:r>
      <w:r w:rsidRPr="001D37D5">
        <w:fldChar w:fldCharType="begin"/>
      </w:r>
      <w:r w:rsidRPr="001D37D5">
        <w:instrText xml:space="preserve"> REF _Ref400965182 \r \h  \* MERGEFORMAT </w:instrText>
      </w:r>
      <w:r w:rsidRPr="001D37D5">
        <w:fldChar w:fldCharType="separate"/>
      </w:r>
      <w:r w:rsidR="007261FC">
        <w:t>A.6</w:t>
      </w:r>
      <w:r w:rsidRPr="001D37D5">
        <w:fldChar w:fldCharType="end"/>
      </w:r>
      <w:r w:rsidRPr="001D37D5">
        <w:t xml:space="preserve">. </w:t>
      </w:r>
    </w:p>
    <w:p w:rsidR="00CA67C0" w:rsidRPr="001D37D5" w:rsidRDefault="00CA67C0" w:rsidP="00CA67C0">
      <w:pPr>
        <w:pStyle w:val="AERbulletlistfirststyle"/>
      </w:pPr>
      <w:r w:rsidRPr="005764F6">
        <w:t>We use a range of relevant evidence to estimate the utilisation</w:t>
      </w:r>
      <w:r w:rsidRPr="001D37D5">
        <w:t xml:space="preserve"> rate. We consider:</w:t>
      </w:r>
    </w:p>
    <w:p w:rsidR="00CA67C0" w:rsidRPr="005764F6" w:rsidRDefault="00CA67C0" w:rsidP="00CA67C0">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7261FC">
        <w:t>A.12</w:t>
      </w:r>
      <w:r w:rsidRPr="005764F6">
        <w:fldChar w:fldCharType="end"/>
      </w:r>
      <w:r w:rsidRPr="005764F6">
        <w:t>).</w:t>
      </w:r>
    </w:p>
    <w:p w:rsidR="00CA67C0" w:rsidRPr="005764F6" w:rsidRDefault="00CA67C0" w:rsidP="00CA67C0">
      <w:pPr>
        <w:pStyle w:val="AERbulletlistsecondstyle"/>
      </w:pPr>
      <w:r w:rsidRPr="005764F6">
        <w:t>Taxation statistics (tax statistics) can also provide a reasonable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583683">
        <w:rPr>
          <w:rStyle w:val="FootnoteReference"/>
        </w:rPr>
        <w:footnoteReference w:id="16"/>
      </w:r>
      <w:r w:rsidRPr="005764F6">
        <w:t xml:space="preserve"> Having regard to the potential data limitations and alternate estimates, the evidence from tax statistics is not inconsistent with the evidence from the equity ownership approach, but we place less reliance upon it. (</w:t>
      </w:r>
      <w:r w:rsidR="00370091" w:rsidRPr="005764F6">
        <w:t>See</w:t>
      </w:r>
      <w:r w:rsidRPr="005764F6">
        <w:t xml:space="preserve"> section </w:t>
      </w:r>
      <w:r w:rsidRPr="005764F6">
        <w:fldChar w:fldCharType="begin"/>
      </w:r>
      <w:r w:rsidRPr="005764F6">
        <w:instrText xml:space="preserve"> REF _Ref402179420 \r \h  \* MERGEFORMAT </w:instrText>
      </w:r>
      <w:r w:rsidRPr="005764F6">
        <w:fldChar w:fldCharType="separate"/>
      </w:r>
      <w:r w:rsidR="007261FC">
        <w:t>A.13</w:t>
      </w:r>
      <w:r w:rsidRPr="005764F6">
        <w:fldChar w:fldCharType="end"/>
      </w:r>
      <w:r w:rsidRPr="005764F6">
        <w:t>).</w:t>
      </w:r>
      <w:r w:rsidR="00370091">
        <w:t xml:space="preserve"> </w:t>
      </w:r>
      <w:r w:rsidRPr="005764F6">
        <w:t>We also note,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583683">
        <w:rPr>
          <w:rStyle w:val="FootnoteReference"/>
        </w:rPr>
        <w:footnoteReference w:id="17"/>
      </w:r>
    </w:p>
    <w:p w:rsidR="00CA67C0" w:rsidRPr="005764F6" w:rsidRDefault="00CA67C0" w:rsidP="00CA67C0">
      <w:pPr>
        <w:pStyle w:val="AERbulletlistsecondstyle"/>
      </w:pPr>
      <w:r w:rsidRPr="005764F6">
        <w:t xml:space="preserve">On the other hand, implied market value studies are affected by factors such as differential personal taxation and other personal costs. This means they do not provide an estimate of the utilisation value to investors in the market per dollar of imputation credits distributed on a post-tax (pre-personal tax and costs basis). </w:t>
      </w:r>
      <w:r w:rsidRPr="005764F6">
        <w:lastRenderedPageBreak/>
        <w:t xml:space="preserve">Therefore, they are inconsistent with the Officer framework unless they are adjusted. Even when adjusted, implied market value studies are subject to many limitations and do not clearly measure the value to the aggregate investors who provide long term capital to a benchmark efficient entity. Lally stated 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7261FC">
        <w:t>A.15</w:t>
      </w:r>
      <w:r w:rsidRPr="005764F6">
        <w:fldChar w:fldCharType="end"/>
      </w:r>
      <w:r w:rsidRPr="005764F6">
        <w:t>).</w:t>
      </w:r>
      <w:r w:rsidRPr="00583683">
        <w:rPr>
          <w:rStyle w:val="FootnoteReference"/>
        </w:rPr>
        <w:footnoteReference w:id="18"/>
      </w:r>
    </w:p>
    <w:p w:rsidR="00CA67C0" w:rsidRPr="001D37D5" w:rsidRDefault="00CA67C0" w:rsidP="00CA67C0">
      <w:pPr>
        <w:pStyle w:val="AERbulletlistfirststyle"/>
      </w:pPr>
      <w:r w:rsidRPr="005764F6">
        <w:t xml:space="preserve">Tax statistics do not </w:t>
      </w:r>
      <w:r w:rsidRPr="001D37D5">
        <w:t>provide an upper bound estimate for gamma, as the Tribunal found.</w:t>
      </w:r>
      <w:r w:rsidRPr="00CD376D">
        <w:rPr>
          <w:rStyle w:val="FootnoteReference"/>
        </w:rPr>
        <w:footnoteReference w:id="19"/>
      </w:r>
      <w:r w:rsidRPr="001D37D5">
        <w:t xml:space="preserve"> Lally supports this view.</w:t>
      </w:r>
      <w:r w:rsidRPr="001D37D5">
        <w:rPr>
          <w:rStyle w:val="FootnoteReference"/>
        </w:rPr>
        <w:footnoteReference w:id="20"/>
      </w:r>
      <w:r w:rsidRPr="001D37D5">
        <w:t xml:space="preserve"> We consider tax statistics provide a point estimate of the utilisation rate. The uncertainty associated with redemption estimates from taxation data means the true (unobservable) redemption value could be above or below the mean estimate. This is covered in section </w:t>
      </w:r>
      <w:r w:rsidRPr="001D37D5">
        <w:fldChar w:fldCharType="begin"/>
      </w:r>
      <w:r w:rsidRPr="001D37D5">
        <w:instrText xml:space="preserve"> REF _Ref402179420 \r \h  \* MERGEFORMAT </w:instrText>
      </w:r>
      <w:r w:rsidRPr="001D37D5">
        <w:fldChar w:fldCharType="separate"/>
      </w:r>
      <w:r w:rsidR="007261FC">
        <w:t>A.13</w:t>
      </w:r>
      <w:r w:rsidRPr="001D37D5">
        <w:fldChar w:fldCharType="end"/>
      </w:r>
      <w:r w:rsidRPr="001D37D5">
        <w:t>. However, we note that even if we do use an estimate of the utilisation rate of 0.48 from taxation statistics (consistent with FAB data), this results in an estimate for gamma of approximately 0.4 when combined with Lally's preferred distribution rate of 0.83 for a benchmark efficient entity.</w:t>
      </w:r>
    </w:p>
    <w:p w:rsidR="00CA67C0" w:rsidRPr="001D37D5" w:rsidRDefault="00CA67C0" w:rsidP="00CA67C0">
      <w:pPr>
        <w:pStyle w:val="AERbulletlistfirststyle"/>
      </w:pPr>
      <w:r w:rsidRPr="005764F6">
        <w:t xml:space="preserve">Because tax statistics are not an upper bound, there </w:t>
      </w:r>
      <w:r w:rsidRPr="001D37D5">
        <w:t>is no evidence the equity ownership approach materially overstates the true utilisation rate. On this point, we also consider:</w:t>
      </w:r>
    </w:p>
    <w:p w:rsidR="00CA67C0" w:rsidRPr="005764F6" w:rsidRDefault="00CA67C0" w:rsidP="00CA67C0">
      <w:pPr>
        <w:pStyle w:val="AERbulletlistsecondstyle"/>
      </w:pPr>
      <w:r w:rsidRPr="005764F6">
        <w:t xml:space="preserve">There is no data to suggest the redemption of imputation credits is 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7261FC">
        <w:t>A.8.3</w:t>
      </w:r>
      <w:r w:rsidRPr="005764F6">
        <w:fldChar w:fldCharType="end"/>
      </w:r>
      <w:r w:rsidRPr="005764F6">
        <w:t>.</w:t>
      </w:r>
    </w:p>
    <w:p w:rsidR="00CA67C0" w:rsidRPr="005764F6" w:rsidRDefault="00CA67C0" w:rsidP="00CA67C0">
      <w:pPr>
        <w:pStyle w:val="AERbulletlistsecondstyle"/>
      </w:pP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CA67C0" w:rsidRPr="001D37D5" w:rsidRDefault="00CA67C0" w:rsidP="00CA67C0">
      <w:pPr>
        <w:pStyle w:val="AERbulletlistfirststyle"/>
      </w:pPr>
      <w:r w:rsidRPr="005764F6">
        <w:t xml:space="preserve">It is open to us to </w:t>
      </w:r>
      <w:r w:rsidRPr="001D37D5">
        <w:t xml:space="preserve">have regard to a listed equity measure of the distribution rate, which we consider is reasonably reflective of a benchmark efficient entity given the trade-offs associated with choosing an appropriate dataset (see section </w:t>
      </w:r>
      <w:r w:rsidRPr="001D37D5">
        <w:fldChar w:fldCharType="begin"/>
      </w:r>
      <w:r w:rsidRPr="001D37D5">
        <w:instrText xml:space="preserve"> REF _Ref401133206 \r \h  \* MERGEFORMAT </w:instrText>
      </w:r>
      <w:r w:rsidRPr="001D37D5">
        <w:fldChar w:fldCharType="separate"/>
      </w:r>
      <w:r w:rsidR="007261FC">
        <w:t>A.10</w:t>
      </w:r>
      <w:r w:rsidRPr="001D37D5">
        <w:fldChar w:fldCharType="end"/>
      </w:r>
      <w:r w:rsidRPr="001D37D5">
        <w:t>).</w:t>
      </w:r>
      <w:r w:rsidRPr="001D37D5">
        <w:rPr>
          <w:rStyle w:val="FootnoteReference"/>
        </w:rPr>
        <w:footnoteReference w:id="21"/>
      </w:r>
      <w:r w:rsidRPr="001D37D5">
        <w:t xml:space="preserve"> In a similar vein, we agree with Lally that it is not essential (but 'nor is it precluded') to combine estimates of the distribution rate and utilisation rate from the same dataset (see section </w:t>
      </w:r>
      <w:r w:rsidRPr="001D37D5">
        <w:fldChar w:fldCharType="begin"/>
      </w:r>
      <w:r w:rsidRPr="001D37D5">
        <w:instrText xml:space="preserve"> REF _Ref450299300 \r \h  \* MERGEFORMAT </w:instrText>
      </w:r>
      <w:r w:rsidRPr="001D37D5">
        <w:fldChar w:fldCharType="separate"/>
      </w:r>
      <w:r w:rsidR="007261FC">
        <w:t>A.9.2</w:t>
      </w:r>
      <w:r w:rsidRPr="001D37D5">
        <w:fldChar w:fldCharType="end"/>
      </w:r>
      <w:r w:rsidRPr="001D37D5">
        <w:t>).</w:t>
      </w:r>
      <w:r w:rsidRPr="001D37D5">
        <w:rPr>
          <w:rStyle w:val="FootnoteReference"/>
        </w:rPr>
        <w:footnoteReference w:id="22"/>
      </w:r>
      <w:r w:rsidRPr="001D37D5">
        <w:t xml:space="preserve"> Given this, while we primarily maintain our previous approach in this decision, we also have some regard to Lally's preferred approach. This combines a distribution rate for listed equity from financial reports of the top 20 listed firms with an all equity utilisation </w:t>
      </w:r>
      <w:r w:rsidRPr="001D37D5">
        <w:lastRenderedPageBreak/>
        <w:t>rate from the equity ownership approach.</w:t>
      </w:r>
      <w:r w:rsidRPr="001D37D5">
        <w:rPr>
          <w:rStyle w:val="FootnoteReference"/>
        </w:rPr>
        <w:footnoteReference w:id="23"/>
      </w:r>
      <w:r w:rsidRPr="001D37D5">
        <w:t xml:space="preserve"> We also have some regard to a gamma estimate based on the utilisation rate from taxation statistics of 0.48 (consistent with FAB data used to calculate the cumulative payout ratio distribution rate) and Lally's preferred estimate of the distribution rate for a benchmark efficient entity of 0.83.</w:t>
      </w:r>
    </w:p>
    <w:p w:rsidR="00CA67C0" w:rsidRPr="005764F6" w:rsidRDefault="00CA67C0" w:rsidP="00CA67C0">
      <w:pPr>
        <w:rPr>
          <w:rStyle w:val="AERbody"/>
        </w:rPr>
      </w:pPr>
      <w:r w:rsidRPr="005764F6">
        <w:rPr>
          <w:rStyle w:val="AERbody"/>
        </w:rPr>
        <w:t>Lally</w:t>
      </w:r>
      <w:r>
        <w:rPr>
          <w:rStyle w:val="AERbody"/>
        </w:rPr>
        <w:t xml:space="preserve"> (in his latest report)</w:t>
      </w:r>
      <w:r w:rsidRPr="005764F6">
        <w:rPr>
          <w:rStyle w:val="AERbody"/>
        </w:rPr>
        <w:t xml:space="preserve"> support</w:t>
      </w:r>
      <w:r>
        <w:rPr>
          <w:rStyle w:val="AERbody"/>
        </w:rPr>
        <w:t>s, among other things,</w:t>
      </w:r>
      <w:r w:rsidRPr="005764F6">
        <w:rPr>
          <w:rStyle w:val="AERbody"/>
        </w:rPr>
        <w:t xml:space="preserve"> our conceptual approach to estimating gamma and the relative reliance we place on different sources of evidence to estimate the utilisation </w:t>
      </w:r>
      <w:r>
        <w:rPr>
          <w:rStyle w:val="AERbody"/>
        </w:rPr>
        <w:t>rate</w:t>
      </w:r>
      <w:r w:rsidRPr="005764F6">
        <w:rPr>
          <w:rStyle w:val="AERbody"/>
        </w:rPr>
        <w:t>.</w:t>
      </w:r>
      <w:r>
        <w:rPr>
          <w:rStyle w:val="FootnoteReference"/>
        </w:rPr>
        <w:footnoteReference w:id="24"/>
      </w:r>
      <w:r w:rsidRPr="005764F6">
        <w:rPr>
          <w:rStyle w:val="AERbody"/>
        </w:rPr>
        <w:t xml:space="preserve"> However, he recommended an implementation of the equity ownership approach which resulted in an estimate of gamma </w:t>
      </w:r>
      <w:r>
        <w:rPr>
          <w:rStyle w:val="AERbody"/>
        </w:rPr>
        <w:t xml:space="preserve">of at least </w:t>
      </w:r>
      <w:r w:rsidRPr="005764F6">
        <w:rPr>
          <w:rStyle w:val="AERbody"/>
        </w:rPr>
        <w:t>0.5. This is higher than the estimate of 0.4 we adopt in this decision. We maintain our approach because we consider it meets the requirements of the NER/NGR</w:t>
      </w:r>
      <w:r>
        <w:rPr>
          <w:rStyle w:val="AERbody"/>
        </w:rPr>
        <w:t xml:space="preserve"> and takes into account the importance of regulatory certainty and predictability.</w:t>
      </w:r>
    </w:p>
    <w:p w:rsidR="00CA67C0" w:rsidRDefault="00CA67C0" w:rsidP="00CA67C0">
      <w:pPr>
        <w:pStyle w:val="HeadingBoldBlue"/>
      </w:pPr>
      <w:bookmarkStart w:id="21" w:name="_Toc456614272"/>
      <w:r>
        <w:t>The use of taxation statistics</w:t>
      </w:r>
      <w:bookmarkEnd w:id="21"/>
    </w:p>
    <w:p w:rsidR="00CA67C0" w:rsidRDefault="00CA67C0" w:rsidP="00CA67C0">
      <w:r>
        <w:t xml:space="preserve">In response to the recent submissions on the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summarises our views on these matters. </w:t>
      </w:r>
    </w:p>
    <w:p w:rsidR="00CA67C0" w:rsidRPr="00243100" w:rsidRDefault="00CA67C0" w:rsidP="00CA67C0">
      <w:r w:rsidRPr="00243100">
        <w:t xml:space="preserve">In this </w:t>
      </w:r>
      <w:r w:rsidR="00066538" w:rsidRPr="00243100">
        <w:t xml:space="preserve"> </w:t>
      </w:r>
      <w:r w:rsidRPr="00243100">
        <w:t xml:space="preserve">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Lally, the data issues with tax statistics </w:t>
      </w:r>
      <w:r>
        <w:t>are</w:t>
      </w:r>
      <w:r w:rsidRPr="00243100">
        <w:t xml:space="preserve"> generally accepted by service providers, </w:t>
      </w:r>
      <w:r>
        <w:t>t</w:t>
      </w:r>
      <w:r w:rsidRPr="00243100">
        <w:t>he Tribunal, Hathaway, NERA, Handley and Frontier.</w:t>
      </w:r>
      <w:r>
        <w:rPr>
          <w:rStyle w:val="FootnoteReference"/>
        </w:rPr>
        <w:footnoteReference w:id="25"/>
      </w:r>
      <w:r>
        <w:t xml:space="preserve"> For this reason, in this decision, we have placed limited weight on tax statistics.</w:t>
      </w:r>
    </w:p>
    <w:p w:rsidR="00CA67C0" w:rsidRDefault="00CA67C0" w:rsidP="00CA67C0">
      <w:r w:rsidRPr="00243100">
        <w:t xml:space="preserve">Lally considers tax statistics </w:t>
      </w:r>
      <w:r>
        <w:t xml:space="preserve">do not provide a reliable </w:t>
      </w:r>
      <w:r w:rsidRPr="00243100">
        <w:t>estimate of the utilisation rate.</w:t>
      </w:r>
      <w:r>
        <w:rPr>
          <w:rStyle w:val="FootnoteReference"/>
        </w:rPr>
        <w:footnoteReference w:id="26"/>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27"/>
      </w:r>
      <w:r>
        <w:t xml:space="preserve"> We consider that any uncertain estimate is not an upper bound.</w:t>
      </w:r>
    </w:p>
    <w:p w:rsidR="00CA67C0" w:rsidRDefault="00CA67C0" w:rsidP="00CA67C0">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7261FC" w:rsidRPr="00883125">
        <w:t xml:space="preserve">Table </w:t>
      </w:r>
      <w:r w:rsidR="007261FC">
        <w:rPr>
          <w:noProof/>
        </w:rPr>
        <w:t>4</w:t>
      </w:r>
      <w:r w:rsidR="007261FC">
        <w:noBreakHyphen/>
      </w:r>
      <w:r w:rsidR="007261FC">
        <w:rPr>
          <w:noProof/>
        </w:rPr>
        <w:t>2</w:t>
      </w:r>
      <w:r>
        <w:fldChar w:fldCharType="end"/>
      </w:r>
      <w:r>
        <w:t>.</w:t>
      </w:r>
    </w:p>
    <w:p w:rsidR="00CA67C0" w:rsidRPr="00883125" w:rsidRDefault="00CA67C0" w:rsidP="00CA67C0">
      <w:pPr>
        <w:pStyle w:val="Caption"/>
      </w:pPr>
      <w:bookmarkStart w:id="22" w:name="_Ref451627331"/>
      <w:r w:rsidRPr="00883125">
        <w:lastRenderedPageBreak/>
        <w:t xml:space="preserve">Table </w:t>
      </w:r>
      <w:r w:rsidRPr="00962162">
        <w:fldChar w:fldCharType="begin"/>
      </w:r>
      <w:r>
        <w:instrText xml:space="preserve"> STYLEREF 1 \s </w:instrText>
      </w:r>
      <w:r w:rsidRPr="00962162">
        <w:fldChar w:fldCharType="separate"/>
      </w:r>
      <w:r w:rsidR="007261FC">
        <w:rPr>
          <w:noProof/>
        </w:rPr>
        <w:t>4</w:t>
      </w:r>
      <w:r w:rsidRPr="00962162">
        <w:fldChar w:fldCharType="end"/>
      </w:r>
      <w:r>
        <w:noBreakHyphen/>
      </w:r>
      <w:r w:rsidRPr="00962162">
        <w:fldChar w:fldCharType="begin"/>
      </w:r>
      <w:r>
        <w:instrText xml:space="preserve"> SEQ Table \* ARABIC \s 1 </w:instrText>
      </w:r>
      <w:r w:rsidRPr="00962162">
        <w:fldChar w:fldCharType="separate"/>
      </w:r>
      <w:r w:rsidR="007261FC">
        <w:rPr>
          <w:noProof/>
        </w:rPr>
        <w:t>2</w:t>
      </w:r>
      <w:r w:rsidRPr="00962162">
        <w:fldChar w:fldCharType="end"/>
      </w:r>
      <w:bookmarkEnd w:id="22"/>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CA67C0" w:rsidTr="00CA67C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A67C0" w:rsidRPr="00883125" w:rsidRDefault="00CA67C0" w:rsidP="00764AB1">
            <w:pPr>
              <w:numPr>
                <w:ilvl w:val="0"/>
                <w:numId w:val="24"/>
              </w:numPr>
            </w:pPr>
          </w:p>
        </w:tc>
        <w:tc>
          <w:tcPr>
            <w:tcW w:w="2052" w:type="dxa"/>
          </w:tcPr>
          <w:p w:rsidR="00CA67C0" w:rsidRPr="00CA67C0" w:rsidRDefault="00CA67C0" w:rsidP="00CA67C0">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CA67C0">
              <w:t>rate</w:t>
            </w:r>
          </w:p>
        </w:tc>
        <w:tc>
          <w:tcPr>
            <w:tcW w:w="2052" w:type="dxa"/>
          </w:tcPr>
          <w:p w:rsidR="00CA67C0" w:rsidRPr="00CA67C0" w:rsidRDefault="00CA67C0" w:rsidP="00CA67C0">
            <w:p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CA67C0" w:rsidRPr="00CA67C0" w:rsidRDefault="00CA67C0" w:rsidP="00CA67C0">
            <w:pPr>
              <w:cnfStyle w:val="100000000000" w:firstRow="1" w:lastRow="0" w:firstColumn="0" w:lastColumn="0" w:oddVBand="0" w:evenVBand="0" w:oddHBand="0" w:evenHBand="0" w:firstRowFirstColumn="0" w:firstRowLastColumn="0" w:lastRowFirstColumn="0" w:lastRowLastColumn="0"/>
            </w:pPr>
            <w:r w:rsidRPr="00883125">
              <w:t xml:space="preserve">Value of </w:t>
            </w:r>
            <w:r w:rsidRPr="00CA67C0">
              <w:t>Imputation Credits</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3085" w:type="dxa"/>
          </w:tcPr>
          <w:p w:rsidR="00CA67C0" w:rsidRPr="00883125" w:rsidRDefault="00CA67C0" w:rsidP="00764AB1">
            <w:pPr>
              <w:numPr>
                <w:ilvl w:val="0"/>
                <w:numId w:val="24"/>
              </w:numPr>
            </w:pPr>
            <w:r>
              <w:t>All equity</w:t>
            </w:r>
          </w:p>
        </w:tc>
        <w:tc>
          <w:tcPr>
            <w:tcW w:w="2052" w:type="dxa"/>
          </w:tcPr>
          <w:p w:rsidR="00CA67C0" w:rsidRPr="00CA67C0" w:rsidRDefault="00CA67C0" w:rsidP="00CA67C0">
            <w:pPr>
              <w:cnfStyle w:val="000000000000" w:firstRow="0" w:lastRow="0" w:firstColumn="0" w:lastColumn="0" w:oddVBand="0" w:evenVBand="0" w:oddHBand="0" w:evenHBand="0" w:firstRowFirstColumn="0" w:firstRowLastColumn="0" w:lastRowFirstColumn="0" w:lastRowLastColumn="0"/>
            </w:pPr>
            <w:r w:rsidRPr="00883125">
              <w:t>0.</w:t>
            </w:r>
            <w:r w:rsidRPr="00CA67C0">
              <w:t>48</w:t>
            </w:r>
          </w:p>
        </w:tc>
        <w:tc>
          <w:tcPr>
            <w:tcW w:w="2052"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r>
              <w:rPr>
                <w:rStyle w:val="FootnoteReference"/>
              </w:rPr>
              <w:footnoteReference w:id="28"/>
            </w:r>
          </w:p>
        </w:tc>
        <w:tc>
          <w:tcPr>
            <w:tcW w:w="2053"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t>0.34</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A67C0" w:rsidRPr="00883125" w:rsidRDefault="00CA67C0" w:rsidP="00764AB1">
            <w:pPr>
              <w:numPr>
                <w:ilvl w:val="0"/>
                <w:numId w:val="24"/>
              </w:numPr>
            </w:pPr>
            <w:r>
              <w:t>Listed equity</w:t>
            </w:r>
          </w:p>
        </w:tc>
        <w:tc>
          <w:tcPr>
            <w:tcW w:w="2052" w:type="dxa"/>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883125">
              <w:t>0.</w:t>
            </w:r>
            <w:r w:rsidRPr="00CA67C0">
              <w:t>48</w:t>
            </w:r>
          </w:p>
        </w:tc>
        <w:tc>
          <w:tcPr>
            <w:tcW w:w="2052" w:type="dxa"/>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883125">
              <w:t>0.7</w:t>
            </w:r>
            <w:r w:rsidRPr="00CA67C0">
              <w:t>5</w:t>
            </w:r>
            <w:r w:rsidRPr="00CA67C0">
              <w:rPr>
                <w:rStyle w:val="FootnoteReference"/>
              </w:rPr>
              <w:footnoteReference w:id="29"/>
            </w:r>
          </w:p>
        </w:tc>
        <w:tc>
          <w:tcPr>
            <w:tcW w:w="2053" w:type="dxa"/>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t>0.36</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3085" w:type="dxa"/>
          </w:tcPr>
          <w:p w:rsidR="00CA67C0" w:rsidRPr="00883125" w:rsidRDefault="00CA67C0" w:rsidP="00764AB1">
            <w:pPr>
              <w:numPr>
                <w:ilvl w:val="0"/>
                <w:numId w:val="24"/>
              </w:numPr>
            </w:pPr>
            <w:r>
              <w:t>A</w:t>
            </w:r>
            <w:r w:rsidR="000C2279">
              <w:t>ustralian Securities Exchange (A</w:t>
            </w:r>
            <w:r>
              <w:t>SX</w:t>
            </w:r>
            <w:r w:rsidR="000C2279">
              <w:t>)</w:t>
            </w:r>
            <w:r>
              <w:t xml:space="preserve"> top 20 firms</w:t>
            </w:r>
          </w:p>
        </w:tc>
        <w:tc>
          <w:tcPr>
            <w:tcW w:w="2052" w:type="dxa"/>
          </w:tcPr>
          <w:p w:rsidR="00CA67C0" w:rsidRPr="00CA67C0" w:rsidRDefault="00CA67C0" w:rsidP="00CA67C0">
            <w:pPr>
              <w:cnfStyle w:val="000000000000" w:firstRow="0" w:lastRow="0" w:firstColumn="0" w:lastColumn="0" w:oddVBand="0" w:evenVBand="0" w:oddHBand="0" w:evenHBand="0" w:firstRowFirstColumn="0" w:firstRowLastColumn="0" w:lastRowFirstColumn="0" w:lastRowLastColumn="0"/>
            </w:pPr>
            <w:r w:rsidRPr="00883125">
              <w:t>0.</w:t>
            </w:r>
            <w:r w:rsidRPr="00CA67C0">
              <w:t>48 to 0.62</w:t>
            </w:r>
          </w:p>
        </w:tc>
        <w:tc>
          <w:tcPr>
            <w:tcW w:w="2052" w:type="dxa"/>
          </w:tcPr>
          <w:p w:rsidR="00CA67C0" w:rsidRPr="00CA67C0" w:rsidRDefault="00CA67C0" w:rsidP="00CA67C0">
            <w:pPr>
              <w:cnfStyle w:val="000000000000" w:firstRow="0" w:lastRow="0" w:firstColumn="0" w:lastColumn="0" w:oddVBand="0" w:evenVBand="0" w:oddHBand="0" w:evenHBand="0" w:firstRowFirstColumn="0" w:firstRowLastColumn="0" w:lastRowFirstColumn="0" w:lastRowLastColumn="0"/>
            </w:pPr>
            <w:r>
              <w:t>0.83</w:t>
            </w:r>
            <w:r w:rsidRPr="00CA67C0">
              <w:rPr>
                <w:rStyle w:val="FootnoteReference"/>
              </w:rPr>
              <w:footnoteReference w:id="30"/>
            </w:r>
          </w:p>
        </w:tc>
        <w:tc>
          <w:tcPr>
            <w:tcW w:w="2053" w:type="dxa"/>
          </w:tcPr>
          <w:p w:rsidR="00CA67C0" w:rsidRPr="00CA67C0" w:rsidRDefault="00CA67C0" w:rsidP="00CA67C0">
            <w:pPr>
              <w:cnfStyle w:val="000000000000" w:firstRow="0" w:lastRow="0" w:firstColumn="0" w:lastColumn="0" w:oddVBand="0" w:evenVBand="0" w:oddHBand="0" w:evenHBand="0" w:firstRowFirstColumn="0" w:firstRowLastColumn="0" w:lastRowFirstColumn="0" w:lastRowLastColumn="0"/>
            </w:pPr>
            <w:r>
              <w:t>0.40</w:t>
            </w:r>
            <w:r w:rsidRPr="00CA67C0">
              <w:t xml:space="preserve"> to 0.51</w:t>
            </w:r>
            <w:r w:rsidRPr="00CA67C0">
              <w:rPr>
                <w:rStyle w:val="FootnoteReference"/>
              </w:rPr>
              <w:footnoteReference w:id="31"/>
            </w:r>
          </w:p>
        </w:tc>
      </w:tr>
    </w:tbl>
    <w:p w:rsidR="00CA67C0" w:rsidRPr="00CA67C0" w:rsidRDefault="00CA67C0" w:rsidP="00CA67C0">
      <w:pPr>
        <w:pStyle w:val="AERtablesource"/>
      </w:pPr>
      <w:r w:rsidRPr="00883125">
        <w:t>Source:</w:t>
      </w:r>
      <w:r w:rsidRPr="00883125">
        <w:tab/>
        <w:t>AER analysis</w:t>
      </w:r>
      <w:r w:rsidRPr="00CA67C0">
        <w:t xml:space="preserve">; Lally, </w:t>
      </w:r>
      <w:r w:rsidRPr="00CA67C0">
        <w:rPr>
          <w:rStyle w:val="AERtextitalic"/>
        </w:rPr>
        <w:t>Gamma and the ACT Decision</w:t>
      </w:r>
      <w:r w:rsidRPr="00CA67C0">
        <w:t>, May 2016, p. 6.</w:t>
      </w:r>
    </w:p>
    <w:p w:rsidR="00CA67C0" w:rsidRDefault="00CA67C0" w:rsidP="00CA67C0">
      <w:r>
        <w:t>Using different distribution rates, tax statistics can potentially provide a range for gamma of 0.34 to 0.51 for the benchmark efficient entity. When Lally's preferred distribution rate is used, this implies a gamma of at least 0.4.</w:t>
      </w:r>
    </w:p>
    <w:p w:rsidR="00CA67C0" w:rsidRPr="00243100" w:rsidRDefault="00CA67C0" w:rsidP="00CA67C0">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32"/>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33"/>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34"/>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35"/>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w:t>
      </w:r>
      <w:r>
        <w:lastRenderedPageBreak/>
        <w:t>taxation statistics would be inconsistent with a higher estimate of gamma than 0.4 for the benchmark efficient entity.</w:t>
      </w:r>
    </w:p>
    <w:p w:rsidR="00CA67C0" w:rsidRDefault="00CA67C0" w:rsidP="00CA67C0">
      <w:pPr>
        <w:rPr>
          <w:rStyle w:val="AERtexthighlight"/>
        </w:rPr>
      </w:pPr>
      <w:r>
        <w:t xml:space="preserve">For the reasons explained above (and in section </w:t>
      </w:r>
      <w:r>
        <w:fldChar w:fldCharType="begin"/>
      </w:r>
      <w:r>
        <w:instrText xml:space="preserve"> REF _Ref451774702 \r \h </w:instrText>
      </w:r>
      <w:r>
        <w:fldChar w:fldCharType="separate"/>
      </w:r>
      <w:r w:rsidR="007261FC">
        <w:t>4.4</w:t>
      </w:r>
      <w:r>
        <w:fldChar w:fldCharType="end"/>
      </w:r>
      <w:r>
        <w:t xml:space="preserve"> and section </w:t>
      </w:r>
      <w:r>
        <w:fldChar w:fldCharType="begin"/>
      </w:r>
      <w:r>
        <w:instrText xml:space="preserve"> REF _Ref402179420 \r \h </w:instrText>
      </w:r>
      <w:r>
        <w:fldChar w:fldCharType="separate"/>
      </w:r>
      <w:r w:rsidR="007261FC">
        <w:t>A.13</w:t>
      </w:r>
      <w:r>
        <w:fldChar w:fldCharType="end"/>
      </w:r>
      <w:r>
        <w:t>), we consider tax statistics do not demonstrate our gamma value of 0.4 is unreasonable.</w:t>
      </w:r>
    </w:p>
    <w:p w:rsidR="00CA67C0" w:rsidRPr="00883125" w:rsidRDefault="00CA67C0" w:rsidP="00CA67C0">
      <w:pPr>
        <w:pStyle w:val="Heading2"/>
      </w:pPr>
      <w:bookmarkStart w:id="23" w:name="_Toc419366914"/>
      <w:bookmarkStart w:id="24" w:name="_Ref451709428"/>
      <w:bookmarkStart w:id="25" w:name="_Toc451842234"/>
      <w:bookmarkStart w:id="26" w:name="_Toc451938290"/>
      <w:bookmarkStart w:id="27" w:name="_Toc456614273"/>
      <w:r w:rsidRPr="00883125">
        <w:t>A</w:t>
      </w:r>
      <w:r>
        <w:t>usNet Services'</w:t>
      </w:r>
      <w:r w:rsidRPr="00883125">
        <w:t xml:space="preserve"> proposal</w:t>
      </w:r>
      <w:bookmarkEnd w:id="23"/>
      <w:bookmarkEnd w:id="24"/>
      <w:bookmarkEnd w:id="25"/>
      <w:bookmarkEnd w:id="26"/>
      <w:bookmarkEnd w:id="27"/>
    </w:p>
    <w:p w:rsidR="00805EE0" w:rsidRPr="00883125" w:rsidRDefault="00805EE0" w:rsidP="00805EE0">
      <w:pPr>
        <w:numPr>
          <w:ilvl w:val="0"/>
          <w:numId w:val="24"/>
        </w:numPr>
      </w:pPr>
      <w:r w:rsidRPr="00883125">
        <w:t>In its proposal</w:t>
      </w:r>
      <w:r w:rsidR="00DD047E">
        <w:rPr>
          <w:rStyle w:val="FootnoteReference"/>
        </w:rPr>
        <w:footnoteReference w:id="36"/>
      </w:r>
      <w:r w:rsidRPr="00883125">
        <w:t xml:space="preserve">, </w:t>
      </w:r>
      <w:r>
        <w:t xml:space="preserve">AusNet Services </w:t>
      </w:r>
      <w:r w:rsidRPr="00883125">
        <w:t xml:space="preserve">did not adopt our Guideline based approach to estimating gamma as reflected in our decisions released in </w:t>
      </w:r>
      <w:r>
        <w:t>2014 (</w:t>
      </w:r>
      <w:r w:rsidRPr="00883125">
        <w:t>November</w:t>
      </w:r>
      <w:r>
        <w:t>)</w:t>
      </w:r>
      <w:r w:rsidR="00C85408">
        <w:t xml:space="preserve"> and</w:t>
      </w:r>
      <w:r>
        <w:t xml:space="preserve"> 2015 ( April </w:t>
      </w:r>
      <w:r w:rsidR="00C85408">
        <w:t xml:space="preserve">and </w:t>
      </w:r>
      <w:r>
        <w:t>June).</w:t>
      </w:r>
      <w:r w:rsidR="00DD047E">
        <w:rPr>
          <w:rStyle w:val="FootnoteReference"/>
        </w:rPr>
        <w:footnoteReference w:id="37"/>
      </w:r>
      <w:r>
        <w:t xml:space="preserve"> We also adopted our Guideline based approached in decisions released in 2015 (October and November) and 2016 (May)</w:t>
      </w:r>
      <w:r w:rsidR="00B133CE">
        <w:t>.</w:t>
      </w:r>
      <w:r w:rsidR="00DD047E">
        <w:rPr>
          <w:rStyle w:val="FootnoteReference"/>
        </w:rPr>
        <w:footnoteReference w:id="38"/>
      </w:r>
      <w:r w:rsidR="00B133CE">
        <w:t xml:space="preserve"> Throughout this document we refer to </w:t>
      </w:r>
      <w:r w:rsidR="008644FE">
        <w:t xml:space="preserve">our </w:t>
      </w:r>
      <w:r w:rsidR="00B133CE">
        <w:t>decisions released fr</w:t>
      </w:r>
      <w:r w:rsidR="00A05218">
        <w:t>om Nov 2014 to May</w:t>
      </w:r>
      <w:r w:rsidR="00B133CE">
        <w:t xml:space="preserve"> 2016 as our</w:t>
      </w:r>
      <w:r>
        <w:t xml:space="preserve"> recent decisions</w:t>
      </w:r>
      <w:r w:rsidR="00C85408">
        <w:t>.</w:t>
      </w:r>
      <w:r w:rsidR="00DD047E" w:rsidRPr="00883125" w:rsidDel="00DD047E">
        <w:rPr>
          <w:rStyle w:val="FootnoteReference"/>
        </w:rPr>
        <w:t xml:space="preserve"> </w:t>
      </w:r>
    </w:p>
    <w:p w:rsidR="00CA67C0" w:rsidRDefault="00CA67C0" w:rsidP="00764AB1">
      <w:pPr>
        <w:numPr>
          <w:ilvl w:val="0"/>
          <w:numId w:val="24"/>
        </w:numPr>
      </w:pPr>
      <w:r w:rsidRPr="00883125">
        <w:t xml:space="preserve">In its proposal </w:t>
      </w:r>
      <w:r>
        <w:t xml:space="preserve">AusNet Services' </w:t>
      </w:r>
      <w:r w:rsidRPr="00883125">
        <w:t>proposed a value of imputation credits of 0.25, calculated as the product of a distribution rate of 0.7 and a utilisation rate of 0.35.</w:t>
      </w:r>
      <w:r w:rsidRPr="00883125">
        <w:rPr>
          <w:rStyle w:val="FootnoteReference"/>
        </w:rPr>
        <w:footnoteReference w:id="39"/>
      </w:r>
      <w:r w:rsidRPr="00883125">
        <w:t xml:space="preserve"> </w:t>
      </w:r>
      <w:r w:rsidR="00CB1153">
        <w:t>It indicated its</w:t>
      </w:r>
      <w:r w:rsidR="008A56CB">
        <w:t xml:space="preserve"> proposal is consistent with expert advice of Professor </w:t>
      </w:r>
      <w:r w:rsidR="008F15E8">
        <w:t xml:space="preserve">Stephen </w:t>
      </w:r>
      <w:r w:rsidR="008A56CB">
        <w:t xml:space="preserve">Gray </w:t>
      </w:r>
      <w:r w:rsidR="008F15E8">
        <w:t xml:space="preserve">(Gray) </w:t>
      </w:r>
      <w:r w:rsidR="008A56CB">
        <w:t xml:space="preserve">and Dr Jason Hall </w:t>
      </w:r>
      <w:r w:rsidR="008F15E8">
        <w:t xml:space="preserve">(Hall) </w:t>
      </w:r>
      <w:r w:rsidR="008A56CB">
        <w:t>at SFG Consulting</w:t>
      </w:r>
      <w:r w:rsidR="008F15E8">
        <w:t xml:space="preserve"> and Dr Simon Wheatley of NERA</w:t>
      </w:r>
      <w:r w:rsidR="00CB1153">
        <w:t>,</w:t>
      </w:r>
      <w:r w:rsidR="008F15E8">
        <w:t xml:space="preserve"> and</w:t>
      </w:r>
      <w:r w:rsidR="00CB1153">
        <w:t xml:space="preserve"> with</w:t>
      </w:r>
      <w:r w:rsidR="008F15E8">
        <w:t xml:space="preserve"> previous Tribunal decisions</w:t>
      </w:r>
      <w:r w:rsidR="008A56CB">
        <w:t>.</w:t>
      </w:r>
      <w:r w:rsidR="008F15E8">
        <w:rPr>
          <w:rStyle w:val="FootnoteReference"/>
        </w:rPr>
        <w:footnoteReference w:id="40"/>
      </w:r>
    </w:p>
    <w:p w:rsidR="00CA67C0" w:rsidRDefault="00CA67C0" w:rsidP="00764AB1">
      <w:pPr>
        <w:numPr>
          <w:ilvl w:val="0"/>
          <w:numId w:val="24"/>
        </w:numPr>
      </w:pPr>
      <w:r>
        <w:t xml:space="preserve">AusNet Services' </w:t>
      </w:r>
      <w:r w:rsidRPr="00883125">
        <w:t xml:space="preserve">proposed distribution rate of 0.7 </w:t>
      </w:r>
      <w:r>
        <w:t>is</w:t>
      </w:r>
      <w:r w:rsidRPr="00883125">
        <w:t xml:space="preserve"> consistent with the value in the Guideline and </w:t>
      </w:r>
      <w:r>
        <w:t>the</w:t>
      </w:r>
      <w:r w:rsidRPr="00883125">
        <w:t xml:space="preserve"> value in </w:t>
      </w:r>
      <w:r>
        <w:t>our recent decisions</w:t>
      </w:r>
      <w:r w:rsidRPr="00883125">
        <w:t xml:space="preserve"> when estimated over all companies</w:t>
      </w:r>
      <w:r>
        <w:t xml:space="preserve"> (all equity)</w:t>
      </w:r>
      <w:r w:rsidRPr="00883125">
        <w:t>.</w:t>
      </w:r>
      <w:r w:rsidR="008A56CB">
        <w:rPr>
          <w:rStyle w:val="FootnoteReference"/>
        </w:rPr>
        <w:footnoteReference w:id="41"/>
      </w:r>
      <w:r w:rsidRPr="00883125">
        <w:t xml:space="preserve"> However, in our </w:t>
      </w:r>
      <w:r>
        <w:t>recent decisions</w:t>
      </w:r>
      <w:r w:rsidRPr="00883125">
        <w:t xml:space="preserve"> we also relied</w:t>
      </w:r>
      <w:r>
        <w:t>,</w:t>
      </w:r>
      <w:r w:rsidRPr="00883125">
        <w:t xml:space="preserve"> in part</w:t>
      </w:r>
      <w:r>
        <w:t>,</w:t>
      </w:r>
      <w:r w:rsidRPr="00883125">
        <w:t xml:space="preserve"> on a distribution rate estimated over just public companies</w:t>
      </w:r>
      <w:r>
        <w:t xml:space="preserve"> (listed equity). </w:t>
      </w:r>
    </w:p>
    <w:p w:rsidR="00CA67C0" w:rsidRPr="00883125" w:rsidRDefault="00CA67C0" w:rsidP="00764AB1">
      <w:pPr>
        <w:numPr>
          <w:ilvl w:val="0"/>
          <w:numId w:val="24"/>
        </w:numPr>
      </w:pPr>
      <w:r>
        <w:t xml:space="preserve">AusNet Services' </w:t>
      </w:r>
      <w:r w:rsidRPr="00883125">
        <w:t xml:space="preserve">proposed utilisation rate of 0.35 </w:t>
      </w:r>
      <w:r>
        <w:t>is</w:t>
      </w:r>
      <w:r w:rsidRPr="00883125">
        <w:t xml:space="preserve"> lower than the value in the Guideline and a number of estimates we </w:t>
      </w:r>
      <w:r>
        <w:t>relied on</w:t>
      </w:r>
      <w:r w:rsidRPr="00883125">
        <w:t xml:space="preserve"> in making our </w:t>
      </w:r>
      <w:r>
        <w:t xml:space="preserve">recent </w:t>
      </w:r>
      <w:r w:rsidRPr="00883125">
        <w:t>decisions.</w:t>
      </w:r>
      <w:r w:rsidR="008A56CB">
        <w:rPr>
          <w:rStyle w:val="FootnoteReference"/>
        </w:rPr>
        <w:footnoteReference w:id="42"/>
      </w:r>
      <w:r w:rsidRPr="00883125">
        <w:t xml:space="preserve"> This estimate is from a 'dividend drop off' study by SFG Consulting and co-authored by Gray.</w:t>
      </w:r>
      <w:r w:rsidRPr="00883125">
        <w:rPr>
          <w:rStyle w:val="FootnoteReference"/>
        </w:rPr>
        <w:footnoteReference w:id="43"/>
      </w:r>
      <w:r w:rsidR="008A56CB">
        <w:t xml:space="preserve"> AusNet Services </w:t>
      </w:r>
      <w:r w:rsidR="00DB2758">
        <w:t>consid</w:t>
      </w:r>
      <w:r w:rsidR="008A56CB">
        <w:t>er</w:t>
      </w:r>
      <w:r w:rsidR="00CB1153">
        <w:t>s</w:t>
      </w:r>
      <w:r w:rsidR="008A56CB">
        <w:t xml:space="preserve"> this estimate is the be</w:t>
      </w:r>
      <w:r w:rsidR="00DB2758">
        <w:t xml:space="preserve">st estimate </w:t>
      </w:r>
      <w:r w:rsidR="008F15E8">
        <w:t xml:space="preserve">of gamma </w:t>
      </w:r>
      <w:r w:rsidR="00DB2758">
        <w:t>as it has been honed</w:t>
      </w:r>
      <w:r w:rsidR="008A56CB">
        <w:t xml:space="preserve"> and tested in multiple </w:t>
      </w:r>
      <w:r w:rsidR="00DB2758">
        <w:t>previous</w:t>
      </w:r>
      <w:r w:rsidR="008A56CB">
        <w:t xml:space="preserve"> regulatory determinations.</w:t>
      </w:r>
      <w:r w:rsidR="008A56CB">
        <w:rPr>
          <w:rStyle w:val="FootnoteReference"/>
        </w:rPr>
        <w:footnoteReference w:id="44"/>
      </w:r>
    </w:p>
    <w:p w:rsidR="00CA67C0" w:rsidRPr="00883125" w:rsidRDefault="00CA67C0" w:rsidP="00CA67C0">
      <w:r>
        <w:lastRenderedPageBreak/>
        <w:t xml:space="preserve">AusNet Services' </w:t>
      </w:r>
      <w:r w:rsidRPr="00883125">
        <w:t xml:space="preserve">proposed value of imputation credits </w:t>
      </w:r>
      <w:r>
        <w:t>(</w:t>
      </w:r>
      <w:r w:rsidRPr="00883125">
        <w:t>of 0.25</w:t>
      </w:r>
      <w:r>
        <w:t>)</w:t>
      </w:r>
      <w:r w:rsidRPr="00883125">
        <w:t xml:space="preserve"> and supporting reasons </w:t>
      </w:r>
      <w:r>
        <w:t>are</w:t>
      </w:r>
      <w:r w:rsidRPr="00883125">
        <w:t xml:space="preserve"> broadly consistent with the proposals we received from a number of other service providers. </w:t>
      </w:r>
      <w:r>
        <w:t>17</w:t>
      </w:r>
      <w:r w:rsidRPr="00883125">
        <w:t xml:space="preserve"> service providers over the past 23 </w:t>
      </w:r>
      <w:r>
        <w:t>m</w:t>
      </w:r>
      <w:r w:rsidRPr="00883125">
        <w:t>onths have now made broadly consistent proposals on the value of imputation credits</w:t>
      </w:r>
      <w:r>
        <w:t>.</w:t>
      </w:r>
      <w:r>
        <w:rPr>
          <w:rStyle w:val="FootnoteReference"/>
        </w:rPr>
        <w:footnoteReference w:id="45"/>
      </w:r>
      <w:r w:rsidRPr="00883125">
        <w:t xml:space="preserve"> The majority of the</w:t>
      </w:r>
      <w:r>
        <w:t>se</w:t>
      </w:r>
      <w:r w:rsidRPr="00883125">
        <w:t xml:space="preserve"> service providers jointly commissioned two reports from SFG Consulting (SFG) and relied on these reports in their proposals. In addition, the majority of service providers have commissioned and relied on expert reports from NERA Economic Consulting (NERA) and Frontier Economics (Frontier).</w:t>
      </w:r>
      <w:r>
        <w:rPr>
          <w:rStyle w:val="FootnoteReference"/>
        </w:rPr>
        <w:footnoteReference w:id="46"/>
      </w:r>
    </w:p>
    <w:p w:rsidR="00CA67C0" w:rsidRPr="00883125" w:rsidRDefault="00CA67C0" w:rsidP="00CA67C0">
      <w:pPr>
        <w:pStyle w:val="Heading2"/>
      </w:pPr>
      <w:bookmarkStart w:id="28" w:name="_Toc450119220"/>
      <w:bookmarkStart w:id="29" w:name="_Toc450119382"/>
      <w:bookmarkStart w:id="30" w:name="_Toc450119221"/>
      <w:bookmarkStart w:id="31" w:name="_Toc450119383"/>
      <w:bookmarkStart w:id="32" w:name="_Toc408404322"/>
      <w:bookmarkStart w:id="33" w:name="_Toc419366915"/>
      <w:bookmarkStart w:id="34" w:name="_Toc451842235"/>
      <w:bookmarkStart w:id="35" w:name="_Toc451938291"/>
      <w:bookmarkStart w:id="36" w:name="_Toc456614274"/>
      <w:bookmarkEnd w:id="28"/>
      <w:bookmarkEnd w:id="29"/>
      <w:bookmarkEnd w:id="30"/>
      <w:bookmarkEnd w:id="31"/>
      <w:r w:rsidRPr="00883125">
        <w:t>AER’s assessment approach</w:t>
      </w:r>
      <w:bookmarkEnd w:id="32"/>
      <w:bookmarkEnd w:id="33"/>
      <w:bookmarkEnd w:id="34"/>
      <w:bookmarkEnd w:id="35"/>
      <w:bookmarkEnd w:id="36"/>
    </w:p>
    <w:p w:rsidR="00CA67C0" w:rsidRPr="00883125" w:rsidRDefault="00CA67C0" w:rsidP="00764AB1">
      <w:pPr>
        <w:numPr>
          <w:ilvl w:val="0"/>
          <w:numId w:val="24"/>
        </w:numPr>
      </w:pPr>
      <w:r w:rsidRPr="00883125">
        <w:t>In this section we set out the approach we have taken to assessing proposals on the value of imputation credits. This approach includes consideration of:</w:t>
      </w:r>
    </w:p>
    <w:p w:rsidR="00CA67C0" w:rsidRPr="00883125" w:rsidRDefault="00CA67C0" w:rsidP="00CA67C0">
      <w:pPr>
        <w:pStyle w:val="AERbulletlistfirststyle"/>
      </w:pPr>
      <w:r w:rsidRPr="00883125">
        <w:t>the requirements of the NEL/NGL and NER/NGR</w:t>
      </w:r>
    </w:p>
    <w:p w:rsidR="00CA67C0" w:rsidRPr="00883125" w:rsidRDefault="00CA67C0" w:rsidP="00CA67C0">
      <w:pPr>
        <w:pStyle w:val="AERbulletlistfirststyle"/>
      </w:pPr>
      <w:r w:rsidRPr="00883125">
        <w:t>the Guideline</w:t>
      </w:r>
    </w:p>
    <w:p w:rsidR="00CA67C0" w:rsidRPr="00883125" w:rsidRDefault="00CA67C0" w:rsidP="00CA67C0">
      <w:pPr>
        <w:pStyle w:val="AERbulletlistfirststyle"/>
      </w:pPr>
      <w:r w:rsidRPr="00883125">
        <w:t>our definition of the benchmark efficient entity</w:t>
      </w:r>
    </w:p>
    <w:p w:rsidR="00CA67C0" w:rsidRPr="00883125" w:rsidRDefault="00CA67C0" w:rsidP="00CA67C0">
      <w:pPr>
        <w:pStyle w:val="AERbulletlistfirststyle"/>
      </w:pPr>
      <w:r w:rsidRPr="00883125">
        <w:t>interrelationships with other aspects of the decision</w:t>
      </w:r>
    </w:p>
    <w:p w:rsidR="00CA67C0" w:rsidRPr="00883125" w:rsidRDefault="00CA67C0" w:rsidP="00CA67C0">
      <w:pPr>
        <w:pStyle w:val="AERbulletlistfirststyle"/>
      </w:pPr>
      <w:r w:rsidRPr="00883125">
        <w:t>expert reports</w:t>
      </w:r>
    </w:p>
    <w:p w:rsidR="00CA67C0" w:rsidRPr="00883125" w:rsidRDefault="00CA67C0" w:rsidP="00CA67C0">
      <w:pPr>
        <w:pStyle w:val="AERbulletlistfirststyle"/>
      </w:pPr>
      <w:r w:rsidRPr="00883125">
        <w:t>our approach to determining the value of imputation credits.</w:t>
      </w:r>
    </w:p>
    <w:p w:rsidR="00CA67C0" w:rsidRPr="00883125" w:rsidRDefault="00CA67C0" w:rsidP="00CA67C0">
      <w:pPr>
        <w:pStyle w:val="Heading3"/>
      </w:pPr>
      <w:bookmarkStart w:id="37" w:name="_Ref400272912"/>
      <w:bookmarkStart w:id="38" w:name="_Ref416802130"/>
      <w:bookmarkStart w:id="39" w:name="_Ref416802459"/>
      <w:bookmarkStart w:id="40" w:name="_Toc451842236"/>
      <w:bookmarkStart w:id="41" w:name="_Toc451938292"/>
      <w:bookmarkStart w:id="42" w:name="_Toc456614275"/>
      <w:r w:rsidRPr="00883125">
        <w:t xml:space="preserve">Requirements of the </w:t>
      </w:r>
      <w:bookmarkEnd w:id="37"/>
      <w:r w:rsidRPr="00883125">
        <w:t>NEL/NGL and NER/NGR</w:t>
      </w:r>
      <w:bookmarkEnd w:id="38"/>
      <w:bookmarkEnd w:id="39"/>
      <w:bookmarkEnd w:id="40"/>
      <w:bookmarkEnd w:id="41"/>
      <w:bookmarkEnd w:id="42"/>
    </w:p>
    <w:p w:rsidR="00CA67C0" w:rsidRPr="00883125" w:rsidRDefault="00CA67C0" w:rsidP="00764AB1">
      <w:pPr>
        <w:numPr>
          <w:ilvl w:val="0"/>
          <w:numId w:val="24"/>
        </w:numPr>
      </w:pPr>
      <w:r w:rsidRPr="00883125">
        <w:t>The NER/NGR require that the estimated cost of corporate income tax of a service provider for each regulatory year (</w:t>
      </w:r>
      <w:bookmarkStart w:id="43"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43"/>
      <w:r w:rsidRPr="00883125">
        <w:t>) must be estimated in accordance with the following formula:</w:t>
      </w:r>
      <w:r>
        <w:rPr>
          <w:rStyle w:val="FootnoteReference"/>
        </w:rPr>
        <w:footnoteReference w:id="47"/>
      </w:r>
    </w:p>
    <w:p w:rsidR="00CA67C0" w:rsidRPr="00883125" w:rsidRDefault="007261FC" w:rsidP="00764AB1">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CA67C0" w:rsidRPr="00883125" w:rsidRDefault="00CA67C0" w:rsidP="00764AB1">
      <w:pPr>
        <w:numPr>
          <w:ilvl w:val="0"/>
          <w:numId w:val="24"/>
        </w:numPr>
      </w:pPr>
      <w:r w:rsidRPr="00883125">
        <w:t>where:</w:t>
      </w:r>
    </w:p>
    <w:p w:rsidR="00CA67C0" w:rsidRPr="001D37D5" w:rsidRDefault="007261FC" w:rsidP="00CA67C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CA67C0" w:rsidRPr="001D37D5">
        <w:t xml:space="preserve"> is an estimate of the taxable income for that regulatory year that would be earned by a benchmark efficient entity as a result of the provision of regulated services if such an </w:t>
      </w:r>
      <w:r w:rsidR="00CA67C0" w:rsidRPr="001D37D5">
        <w:lastRenderedPageBreak/>
        <w:t>entity, rather than the service provider, operated the business of the service provider, such estimate being determined in accordance with the post-tax revenue model.</w:t>
      </w:r>
    </w:p>
    <w:p w:rsidR="00CA67C0" w:rsidRPr="001D37D5" w:rsidRDefault="007261FC" w:rsidP="00CA67C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CA67C0" w:rsidRPr="001D37D5">
        <w:t> is the expected statutory income tax rate for that regulatory year as determined by the AER.</w:t>
      </w:r>
    </w:p>
    <w:p w:rsidR="00CA67C0" w:rsidRPr="001D37D5" w:rsidRDefault="00CA67C0" w:rsidP="00CA67C0">
      <w:pPr>
        <w:pStyle w:val="AERbulletlistfirststyle"/>
      </w:pPr>
      <m:oMath>
        <m:r>
          <w:rPr>
            <w:rFonts w:ascii="Cambria Math" w:hAnsi="Cambria Math"/>
          </w:rPr>
          <m:t>γ</m:t>
        </m:r>
      </m:oMath>
      <w:r w:rsidRPr="001D37D5">
        <w:t> is the value of imputation credits.</w:t>
      </w:r>
    </w:p>
    <w:p w:rsidR="00CA67C0" w:rsidRPr="00883125" w:rsidRDefault="00CA67C0" w:rsidP="00764AB1">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48"/>
      </w:r>
    </w:p>
    <w:p w:rsidR="00CA67C0" w:rsidRPr="00883125" w:rsidRDefault="00CA67C0" w:rsidP="00764AB1">
      <w:pPr>
        <w:numPr>
          <w:ilvl w:val="0"/>
          <w:numId w:val="24"/>
        </w:numPr>
      </w:pPr>
      <w:r w:rsidRPr="00883125">
        <w:t>In this context, the conceptual rate of return framework developed by Officer in a 1994 paper informs our approach to interpreting and estimating the value of imputation credits.</w:t>
      </w:r>
      <w:r w:rsidRPr="00883125">
        <w:rPr>
          <w:rStyle w:val="FootnoteReference"/>
        </w:rPr>
        <w:footnoteReference w:id="49"/>
      </w:r>
      <w:r w:rsidRPr="00883125">
        <w:t xml:space="preserve"> This is because:</w:t>
      </w:r>
    </w:p>
    <w:p w:rsidR="00CA67C0" w:rsidRPr="001D37D5" w:rsidRDefault="00CA67C0" w:rsidP="00CA67C0">
      <w:pPr>
        <w:pStyle w:val="AERbulletlistfirststyle"/>
      </w:pPr>
      <w:r w:rsidRPr="00883125">
        <w:t>The NER/NGR's cost of corporate income tax formula (shown above) mirrors Officer's framework for the treatment of imputation credits, including through the use of the parameter denoted by the Greek letter 'gamma'.</w:t>
      </w:r>
      <w:r w:rsidRPr="001D37D5">
        <w:rPr>
          <w:rStyle w:val="FootnoteReference"/>
        </w:rPr>
        <w:footnoteReference w:id="50"/>
      </w:r>
    </w:p>
    <w:p w:rsidR="00CA67C0" w:rsidRPr="001D37D5" w:rsidRDefault="00CA67C0" w:rsidP="00CA67C0">
      <w:pPr>
        <w:pStyle w:val="AERbulletlistfirststyle"/>
      </w:pPr>
      <w:r w:rsidRPr="00883125">
        <w:t>We have received expert advice that Officer's definition of the nominal vanilla rate of return provides the basis for the rate of return framework in the NER/NGR.</w:t>
      </w:r>
      <w:r w:rsidRPr="001D37D5">
        <w:rPr>
          <w:rStyle w:val="FootnoteReference"/>
        </w:rPr>
        <w:footnoteReference w:id="51"/>
      </w:r>
      <w:r w:rsidRPr="001D37D5">
        <w:t xml:space="preserve"> Previous statements by the consultant for the majority of the service providers', Gray, and their industry association appear to support this consideration:</w:t>
      </w:r>
    </w:p>
    <w:p w:rsidR="00CA67C0" w:rsidRPr="00883125" w:rsidRDefault="00CA67C0" w:rsidP="00CA67C0">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52"/>
      </w:r>
    </w:p>
    <w:p w:rsidR="00CA67C0" w:rsidRPr="00883125" w:rsidRDefault="00CA67C0" w:rsidP="00CA67C0">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53"/>
      </w:r>
      <w:r w:rsidRPr="00883125">
        <w:t xml:space="preserve"> </w:t>
      </w:r>
    </w:p>
    <w:p w:rsidR="00CA67C0" w:rsidRPr="00883125" w:rsidRDefault="00CA67C0" w:rsidP="00CA67C0">
      <w:r w:rsidRPr="00883125">
        <w:lastRenderedPageBreak/>
        <w:t>The NER/NGR require that we determine the rate of return on a nominal vanilla basis that is consistent with our estimate of the value of imputation credits.</w:t>
      </w:r>
      <w:r w:rsidRPr="00883125">
        <w:rPr>
          <w:rStyle w:val="FootnoteReference"/>
        </w:rPr>
        <w:footnoteReference w:id="54"/>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55"/>
      </w:r>
      <w:r w:rsidRPr="00883125">
        <w:t xml:space="preserve"> An important implication of this is that gamma is not a standalone concept or parameter. It is part of a broader framework, and should be interpreted and estimated accordingly.</w:t>
      </w:r>
    </w:p>
    <w:p w:rsidR="00CA67C0" w:rsidRPr="00883125" w:rsidRDefault="00CA67C0" w:rsidP="00764AB1">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56"/>
      </w:r>
      <w:r w:rsidRPr="00883125">
        <w:t xml:space="preserve"> and other requirements of the NER/NGR.</w:t>
      </w:r>
    </w:p>
    <w:p w:rsidR="00CA67C0" w:rsidRPr="00883125" w:rsidRDefault="00CA67C0" w:rsidP="00764AB1">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7261FC">
        <w:t>A.7.3</w:t>
      </w:r>
      <w:r w:rsidRPr="00883125">
        <w:fldChar w:fldCharType="end"/>
      </w:r>
      <w:r w:rsidRPr="00883125">
        <w:t>, we accept Handley's expert advice on the Officer framework. An important aspect of this advice is that the framework is on a 'before-personal-tax and before-personal-costs' basis.</w:t>
      </w:r>
      <w:r w:rsidRPr="00883125">
        <w:rPr>
          <w:rStyle w:val="FootnoteReference"/>
        </w:rPr>
        <w:footnoteReference w:id="57"/>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58"/>
      </w:r>
    </w:p>
    <w:p w:rsidR="00CA67C0" w:rsidRPr="00883125" w:rsidRDefault="00CA67C0" w:rsidP="00764AB1">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59"/>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60"/>
      </w:r>
      <w:r w:rsidRPr="00883125">
        <w:t xml:space="preserve"> The RPP provide, amongst other things, that:</w:t>
      </w:r>
      <w:r w:rsidRPr="00883125">
        <w:rPr>
          <w:rStyle w:val="FootnoteReference"/>
        </w:rPr>
        <w:footnoteReference w:id="61"/>
      </w:r>
    </w:p>
    <w:p w:rsidR="00CA67C0" w:rsidRPr="00883125" w:rsidRDefault="00CA67C0" w:rsidP="00CA67C0">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CA67C0" w:rsidRPr="00883125" w:rsidRDefault="00CA67C0" w:rsidP="00CA67C0">
      <w:pPr>
        <w:pStyle w:val="AERbulletlistfirststyle"/>
      </w:pPr>
      <w:r w:rsidRPr="00883125">
        <w:t xml:space="preserve">a service provider should be provided with effective incentives in order to promote economic efficiency with respect to the regulated services it provides, and </w:t>
      </w:r>
    </w:p>
    <w:p w:rsidR="00CA67C0" w:rsidRPr="00883125" w:rsidRDefault="00CA67C0" w:rsidP="00CA67C0">
      <w:pPr>
        <w:pStyle w:val="AERbulletlistfirststyle"/>
      </w:pPr>
      <w:r w:rsidRPr="00883125">
        <w:lastRenderedPageBreak/>
        <w:t xml:space="preserve">a price, charge or tariff for the provision of a regulated service should allow for a return commensurate with the regulatory and commercial risks involved in providing the regulated service. </w:t>
      </w:r>
    </w:p>
    <w:p w:rsidR="00CA67C0" w:rsidRPr="00883125" w:rsidRDefault="00CA67C0" w:rsidP="00764AB1">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CA67C0" w:rsidRPr="00883125" w:rsidRDefault="00CA67C0" w:rsidP="00764AB1">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CA67C0" w:rsidRPr="00883125" w:rsidRDefault="00CA67C0" w:rsidP="00CA67C0">
      <w:pPr>
        <w:pStyle w:val="AERbulletlistfirststyle"/>
      </w:pPr>
      <w:r w:rsidRPr="00883125">
        <w:t>not too low, in that it contributes to providing a reasonable opportunity to recover at least efficient corporate tax costs</w:t>
      </w:r>
    </w:p>
    <w:p w:rsidR="00CA67C0" w:rsidRPr="00883125" w:rsidRDefault="00CA67C0" w:rsidP="00CA67C0">
      <w:pPr>
        <w:pStyle w:val="AERbulletlistfirststyle"/>
      </w:pPr>
      <w:r w:rsidRPr="00883125">
        <w:t>not too high, in that it contributes to a return that is not excessive and is commensurate with the relevant risks.</w:t>
      </w:r>
    </w:p>
    <w:p w:rsidR="00CA67C0" w:rsidRPr="00883125" w:rsidRDefault="00CA67C0" w:rsidP="00764AB1">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CA67C0" w:rsidRPr="00883125" w:rsidRDefault="00CA67C0" w:rsidP="00CA67C0">
      <w:pPr>
        <w:pStyle w:val="Heading3"/>
      </w:pPr>
      <w:bookmarkStart w:id="44" w:name="_Ref401234016"/>
      <w:bookmarkStart w:id="45" w:name="_Toc451842237"/>
      <w:bookmarkStart w:id="46" w:name="_Toc451938293"/>
      <w:bookmarkStart w:id="47" w:name="_Toc456614276"/>
      <w:r w:rsidRPr="00883125">
        <w:t>Rate of return Guideline</w:t>
      </w:r>
      <w:bookmarkEnd w:id="44"/>
      <w:bookmarkEnd w:id="45"/>
      <w:bookmarkEnd w:id="46"/>
      <w:bookmarkEnd w:id="47"/>
    </w:p>
    <w:p w:rsidR="00CA67C0" w:rsidRPr="00883125" w:rsidRDefault="00CA67C0" w:rsidP="00764AB1">
      <w:pPr>
        <w:numPr>
          <w:ilvl w:val="0"/>
          <w:numId w:val="24"/>
        </w:numPr>
      </w:pPr>
      <w:r w:rsidRPr="00883125">
        <w:t>In December 2013, we published the Guideline which is available on our website.</w:t>
      </w:r>
      <w:r w:rsidRPr="00883125">
        <w:rPr>
          <w:rStyle w:val="FootnoteReference"/>
        </w:rPr>
        <w:footnoteReference w:id="62"/>
      </w:r>
      <w:r w:rsidRPr="00883125">
        <w:t xml:space="preserve"> Within it we specified:</w:t>
      </w:r>
      <w:r w:rsidRPr="00883125">
        <w:rPr>
          <w:rStyle w:val="FootnoteReference"/>
        </w:rPr>
        <w:footnoteReference w:id="63"/>
      </w:r>
    </w:p>
    <w:p w:rsidR="00CA67C0" w:rsidRPr="001D37D5" w:rsidRDefault="00CA67C0" w:rsidP="00CA67C0">
      <w:pPr>
        <w:pStyle w:val="AERbulletlistfirststyle"/>
      </w:pPr>
      <w:r>
        <w:t>t</w:t>
      </w:r>
      <w:r w:rsidRPr="001D37D5">
        <w:t>he methodologies we propose to use to estimate the allowed rate of return (derived from the expected return on equity and the return on debt) for electricity and gas network service providers</w:t>
      </w:r>
    </w:p>
    <w:p w:rsidR="00CA67C0" w:rsidRPr="001D37D5" w:rsidRDefault="00CA67C0" w:rsidP="00CA67C0">
      <w:pPr>
        <w:pStyle w:val="AERbulletlistfirststyle"/>
      </w:pPr>
      <w:r>
        <w:t>t</w:t>
      </w:r>
      <w:r w:rsidRPr="001D37D5">
        <w:t>he method we propose to use to estimate the value of imputation credits</w:t>
      </w:r>
    </w:p>
    <w:p w:rsidR="00CA67C0" w:rsidRPr="001D37D5" w:rsidRDefault="00CA67C0" w:rsidP="00CA67C0">
      <w:pPr>
        <w:pStyle w:val="AERbulletlistfirststyle"/>
      </w:pPr>
      <w:r>
        <w:t>h</w:t>
      </w:r>
      <w:r w:rsidRPr="001D37D5">
        <w:t>ow these methods will result in an allowed return on equity and return on debt which we are satisfied achieve the allowed rate of return objective.</w:t>
      </w:r>
    </w:p>
    <w:p w:rsidR="00CA67C0" w:rsidRPr="00883125" w:rsidRDefault="00CA67C0" w:rsidP="00764AB1">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64"/>
      </w:r>
      <w:r w:rsidRPr="00883125">
        <w:t xml:space="preserve"> We discuss our development of the Guideline in detail in attachment 3 of this decision.  </w:t>
      </w:r>
    </w:p>
    <w:p w:rsidR="00CA67C0" w:rsidRPr="00883125" w:rsidRDefault="00CA67C0" w:rsidP="00764AB1">
      <w:pPr>
        <w:numPr>
          <w:ilvl w:val="0"/>
          <w:numId w:val="24"/>
        </w:numPr>
      </w:pPr>
      <w:r w:rsidRPr="00883125">
        <w:lastRenderedPageBreak/>
        <w:t>The Guideline is not binding in determining the value of imputation credits. However, should we decide to depart from the Guideline we must provide reasons for doing so.</w:t>
      </w:r>
      <w:r w:rsidRPr="00883125">
        <w:rPr>
          <w:rStyle w:val="FootnoteReference"/>
        </w:rPr>
        <w:footnoteReference w:id="65"/>
      </w:r>
      <w:r w:rsidRPr="00883125">
        <w:t xml:space="preserve"> Equally, it is open to service providers to propose departures from the Guideline, so long as they provide reasons.</w:t>
      </w:r>
      <w:r w:rsidRPr="00883125">
        <w:rPr>
          <w:rStyle w:val="FootnoteReference"/>
        </w:rPr>
        <w:footnoteReference w:id="66"/>
      </w:r>
      <w:r w:rsidRPr="00883125">
        <w:t xml:space="preserve"> </w:t>
      </w:r>
    </w:p>
    <w:p w:rsidR="00CA67C0" w:rsidRPr="001D37D5" w:rsidRDefault="00CA67C0" w:rsidP="00CA67C0">
      <w:pPr>
        <w:pStyle w:val="Heading3"/>
      </w:pPr>
      <w:bookmarkStart w:id="48" w:name="_Ref404065332"/>
      <w:bookmarkStart w:id="49" w:name="_Toc451842238"/>
      <w:bookmarkStart w:id="50" w:name="_Toc451938294"/>
      <w:bookmarkStart w:id="51" w:name="_Toc456614277"/>
      <w:r w:rsidRPr="00883125">
        <w:t xml:space="preserve">Definition of </w:t>
      </w:r>
      <w:r w:rsidRPr="001D37D5">
        <w:t>a benchmark efficient entity</w:t>
      </w:r>
      <w:bookmarkEnd w:id="48"/>
      <w:bookmarkEnd w:id="49"/>
      <w:bookmarkEnd w:id="50"/>
      <w:bookmarkEnd w:id="51"/>
    </w:p>
    <w:p w:rsidR="00CA67C0" w:rsidRPr="00883125" w:rsidRDefault="00CA67C0" w:rsidP="00764AB1">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7261FC">
        <w:t>4.3.1</w:t>
      </w:r>
      <w:r w:rsidRPr="00883125">
        <w:fldChar w:fldCharType="end"/>
      </w:r>
      <w:r w:rsidRPr="00883125">
        <w:t xml:space="preserve">, the NER/NGR refer to a 'benchmark efficient entity'. </w:t>
      </w:r>
      <w:r>
        <w:t>W</w:t>
      </w:r>
      <w:r w:rsidRPr="00883125">
        <w:t>e have adopted:</w:t>
      </w:r>
    </w:p>
    <w:p w:rsidR="00CA67C0" w:rsidRPr="00883125" w:rsidRDefault="00CA67C0" w:rsidP="00CA67C0">
      <w:pPr>
        <w:pStyle w:val="AERbulletlistfirststyle"/>
      </w:pPr>
      <w:r w:rsidRPr="00883125">
        <w:t>a single benchmark across gas, electricity, transmission and distribution</w:t>
      </w:r>
    </w:p>
    <w:p w:rsidR="00CA67C0" w:rsidRPr="001D37D5" w:rsidRDefault="00CA67C0" w:rsidP="00CA67C0">
      <w:pPr>
        <w:pStyle w:val="AERbulletlistfirststyle"/>
      </w:pPr>
      <w:r w:rsidRPr="00883125">
        <w:t>a conceptual definition of the benchmark efficient entity as 'a 'pure play', regulated energy network business operating within Australia'.</w:t>
      </w:r>
      <w:r w:rsidRPr="001D37D5">
        <w:rPr>
          <w:rStyle w:val="FootnoteReference"/>
        </w:rPr>
        <w:footnoteReference w:id="67"/>
      </w:r>
    </w:p>
    <w:p w:rsidR="00CA67C0" w:rsidRDefault="00CA67C0" w:rsidP="00764AB1">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CA67C0" w:rsidRDefault="00CA67C0" w:rsidP="00764AB1">
      <w:pPr>
        <w:numPr>
          <w:ilvl w:val="0"/>
          <w:numId w:val="24"/>
        </w:numPr>
      </w:pPr>
      <w:r w:rsidRPr="00830E47">
        <w:t xml:space="preserve">However, we discuss one element of the definition in this attachment: 'operating within Australia'. We consider </w:t>
      </w:r>
      <w:r>
        <w:t>the</w:t>
      </w:r>
      <w:r w:rsidRPr="001806B7">
        <w:t xml:space="preserve"> rate of return should be estimated on a basis that is consistent with our estimate of gamma. The rate of return should also be commensurate with the 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r w:rsidRPr="00883125">
        <w:t xml:space="preserve"> </w:t>
      </w:r>
    </w:p>
    <w:p w:rsidR="007261FC" w:rsidRDefault="007261FC" w:rsidP="007261FC"/>
    <w:p w:rsidR="007261FC" w:rsidRPr="00883125" w:rsidRDefault="007261FC" w:rsidP="007261FC"/>
    <w:p w:rsidR="00CA67C0" w:rsidRPr="00883125" w:rsidRDefault="00CA67C0" w:rsidP="00CA67C0">
      <w:pPr>
        <w:pStyle w:val="Heading3"/>
      </w:pPr>
      <w:bookmarkStart w:id="52" w:name="_Ref415070818"/>
      <w:bookmarkStart w:id="53" w:name="_Toc451842239"/>
      <w:bookmarkStart w:id="54" w:name="_Toc451938295"/>
      <w:bookmarkStart w:id="55" w:name="_Toc456614278"/>
      <w:r w:rsidRPr="00883125">
        <w:lastRenderedPageBreak/>
        <w:t>Interrelationships</w:t>
      </w:r>
      <w:bookmarkEnd w:id="52"/>
      <w:bookmarkEnd w:id="53"/>
      <w:bookmarkEnd w:id="54"/>
      <w:bookmarkEnd w:id="55"/>
    </w:p>
    <w:p w:rsidR="00CA67C0" w:rsidRPr="00883125" w:rsidRDefault="00CA67C0" w:rsidP="00CA67C0">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CA67C0" w:rsidRPr="00883125" w:rsidRDefault="00CA67C0" w:rsidP="00CA67C0">
      <w:r w:rsidRPr="00883125">
        <w:t>The CCP's view suggests that we should take into account the interrelationship with the corporate tax allowance when determining the value of imputation credits. The CCP submitted evidence that our benchmark tax allowance was substantially higher than the corporate tax actually paid by service providers.</w:t>
      </w:r>
      <w:r w:rsidRPr="00883125">
        <w:rPr>
          <w:rStyle w:val="FootnoteReference"/>
        </w:rPr>
        <w:footnoteReference w:id="68"/>
      </w:r>
      <w:r w:rsidRPr="00883125">
        <w:t xml:space="preserve"> The CCP then concluded:</w:t>
      </w:r>
      <w:r w:rsidRPr="00883125">
        <w:rPr>
          <w:rStyle w:val="FootnoteReference"/>
        </w:rPr>
        <w:footnoteReference w:id="69"/>
      </w:r>
    </w:p>
    <w:p w:rsidR="00CA67C0" w:rsidRPr="00883125" w:rsidRDefault="00CA67C0" w:rsidP="00CA67C0">
      <w:pPr>
        <w:pStyle w:val="AERquote"/>
      </w:pPr>
      <w:r w:rsidRPr="00883125">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CA67C0" w:rsidRPr="00883125" w:rsidRDefault="00CA67C0" w:rsidP="00CA67C0">
      <w:r w:rsidRPr="00883125">
        <w:t>We agree with the CCP's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draft 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CA67C0" w:rsidRPr="00883125" w:rsidRDefault="00CA67C0" w:rsidP="00CA67C0">
      <w:r w:rsidRPr="00883125">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70"/>
      </w:r>
    </w:p>
    <w:p w:rsidR="00CA67C0" w:rsidRPr="00883125" w:rsidRDefault="00CA67C0" w:rsidP="00CA67C0">
      <w:pPr>
        <w:pStyle w:val="Heading3"/>
      </w:pPr>
      <w:bookmarkStart w:id="56" w:name="_Toc451842240"/>
      <w:bookmarkStart w:id="57" w:name="_Toc451938296"/>
      <w:bookmarkStart w:id="58" w:name="_Toc456614279"/>
      <w:r w:rsidRPr="00883125">
        <w:t>Expert reports</w:t>
      </w:r>
      <w:bookmarkEnd w:id="56"/>
      <w:bookmarkEnd w:id="57"/>
      <w:bookmarkEnd w:id="58"/>
    </w:p>
    <w:p w:rsidR="00CA67C0" w:rsidRPr="00883125" w:rsidRDefault="00CA67C0" w:rsidP="00764AB1">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71"/>
      </w:r>
    </w:p>
    <w:p w:rsidR="00CA67C0" w:rsidRPr="00883125" w:rsidRDefault="00CA67C0" w:rsidP="00764AB1">
      <w:pPr>
        <w:numPr>
          <w:ilvl w:val="0"/>
          <w:numId w:val="24"/>
        </w:numPr>
      </w:pPr>
      <w:r w:rsidRPr="00883125">
        <w:lastRenderedPageBreak/>
        <w:t>Since the Guideline, we commissioned further expert advice from Associate Professor John Handley of the University of Melbourne and Dr Martin Lally.</w:t>
      </w:r>
      <w:r w:rsidRPr="00883125">
        <w:rPr>
          <w:rStyle w:val="FootnoteReference"/>
        </w:rPr>
        <w:footnoteReference w:id="72"/>
      </w:r>
      <w:r w:rsidRPr="00883125">
        <w:t xml:space="preserve"> We have also had regard to, among other things:</w:t>
      </w:r>
    </w:p>
    <w:p w:rsidR="00CA67C0" w:rsidRPr="001D37D5" w:rsidRDefault="00CA67C0" w:rsidP="00CA67C0">
      <w:pPr>
        <w:pStyle w:val="AERbulletlistfirststyle"/>
      </w:pPr>
      <w:r w:rsidRPr="00883125">
        <w:t>the May 2014, February 2015,</w:t>
      </w:r>
      <w:r w:rsidRPr="001D37D5">
        <w:t xml:space="preserve"> June 2015 and January 2016 reports by Professor Stephen Gray that were commissioned by service providers.</w:t>
      </w:r>
      <w:r w:rsidRPr="001D37D5">
        <w:rPr>
          <w:rStyle w:val="FootnoteReference"/>
        </w:rPr>
        <w:footnoteReference w:id="73"/>
      </w:r>
    </w:p>
    <w:p w:rsidR="00CA67C0" w:rsidRPr="001D37D5" w:rsidRDefault="00CA67C0" w:rsidP="00CA67C0">
      <w:pPr>
        <w:pStyle w:val="AERbulletlistfirststyle"/>
      </w:pPr>
      <w:r w:rsidRPr="00883125">
        <w:t>the March 2015, April 2015 and June 2015 reports by NERA Economic Consulting (NERA) that were commissioned by service providers.</w:t>
      </w:r>
      <w:r w:rsidRPr="001D37D5">
        <w:rPr>
          <w:rStyle w:val="FootnoteReference"/>
        </w:rPr>
        <w:footnoteReference w:id="74"/>
      </w:r>
    </w:p>
    <w:p w:rsidR="00CA67C0" w:rsidRPr="001D37D5" w:rsidRDefault="00CA67C0" w:rsidP="00CA67C0">
      <w:pPr>
        <w:pStyle w:val="AERbulletlistfirststyle"/>
      </w:pPr>
      <w:r w:rsidRPr="00883125">
        <w:t>the November 2013 and March 2014 reports by Associate Professor Lally that were commissioned by the Queensland Competition Authority.</w:t>
      </w:r>
      <w:r w:rsidRPr="001D37D5">
        <w:rPr>
          <w:rStyle w:val="FootnoteReference"/>
        </w:rPr>
        <w:footnoteReference w:id="75"/>
      </w:r>
    </w:p>
    <w:p w:rsidR="00CA67C0" w:rsidRPr="001D37D5" w:rsidRDefault="00CA67C0" w:rsidP="00CA67C0">
      <w:pPr>
        <w:pStyle w:val="AERbulletlistfirststyle"/>
      </w:pPr>
      <w:r w:rsidRPr="00883125">
        <w:t>an October 2013 review of a network rail access undertaking by Professor Michael McKenzie of the University of Liverpool and Associate Professor Graham Partington of the University of Sydney.</w:t>
      </w:r>
      <w:r w:rsidRPr="001D37D5">
        <w:rPr>
          <w:rStyle w:val="FootnoteReference"/>
        </w:rPr>
        <w:footnoteReference w:id="76"/>
      </w:r>
      <w:r w:rsidRPr="001D37D5">
        <w:t xml:space="preserve"> This review was commissioned by the Queensland Resources Council and submitted to the Queensland Competition Authority.</w:t>
      </w:r>
    </w:p>
    <w:p w:rsidR="00CA67C0" w:rsidRPr="001D37D5" w:rsidRDefault="00CA67C0" w:rsidP="00CA67C0">
      <w:pPr>
        <w:pStyle w:val="AERbulletlistfirststyle"/>
      </w:pPr>
      <w:r w:rsidRPr="00883125">
        <w:t>a September 2013 report on tax statistics by Dr. Neville Hathaway that was commissioned by the Energy Networks Association.</w:t>
      </w:r>
      <w:r w:rsidRPr="001D37D5">
        <w:rPr>
          <w:rStyle w:val="FootnoteReference"/>
        </w:rPr>
        <w:footnoteReference w:id="77"/>
      </w:r>
    </w:p>
    <w:p w:rsidR="00CA67C0" w:rsidRPr="001D37D5" w:rsidRDefault="00CA67C0" w:rsidP="00CA67C0">
      <w:pPr>
        <w:pStyle w:val="AERbulletlistfirststyle"/>
      </w:pPr>
      <w:r w:rsidRPr="00883125">
        <w:t>a June 2013 report on the distribution rate by NERA that was commissioned by the Energy Networks Association.</w:t>
      </w:r>
      <w:r w:rsidRPr="001D37D5">
        <w:rPr>
          <w:rStyle w:val="FootnoteReference"/>
        </w:rPr>
        <w:footnoteReference w:id="78"/>
      </w:r>
    </w:p>
    <w:p w:rsidR="00CA67C0" w:rsidRPr="00883125" w:rsidRDefault="00CA67C0" w:rsidP="00CA67C0">
      <w:pPr>
        <w:pStyle w:val="Heading3"/>
      </w:pPr>
      <w:bookmarkStart w:id="59" w:name="_Ref415048973"/>
      <w:bookmarkStart w:id="60" w:name="_Toc451842241"/>
      <w:bookmarkStart w:id="61" w:name="_Toc451938297"/>
      <w:bookmarkStart w:id="62" w:name="_Toc456614280"/>
      <w:r w:rsidRPr="00883125">
        <w:t>Approach to determining the value of imputation credits</w:t>
      </w:r>
      <w:bookmarkEnd w:id="59"/>
      <w:bookmarkEnd w:id="60"/>
      <w:bookmarkEnd w:id="61"/>
      <w:bookmarkEnd w:id="62"/>
    </w:p>
    <w:p w:rsidR="00CA67C0" w:rsidRPr="00883125" w:rsidRDefault="00CA67C0" w:rsidP="00764AB1">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79"/>
      </w:r>
      <w:r w:rsidRPr="00883125">
        <w:t xml:space="preserve"> Our approach to determining the value of imputation credits is guided by:</w:t>
      </w:r>
    </w:p>
    <w:p w:rsidR="00CA67C0" w:rsidRPr="001D37D5" w:rsidRDefault="00CA67C0" w:rsidP="00CA67C0">
      <w:pPr>
        <w:pStyle w:val="AERbulletlistfirststyle"/>
      </w:pPr>
      <w:r>
        <w:t>T</w:t>
      </w:r>
      <w:r w:rsidRPr="001D37D5">
        <w:t xml:space="preserve">he requirements of the NER/NGR—see section </w:t>
      </w:r>
      <w:r w:rsidRPr="001D37D5">
        <w:fldChar w:fldCharType="begin"/>
      </w:r>
      <w:r w:rsidRPr="001D37D5">
        <w:instrText xml:space="preserve"> REF _Ref400272912 \r \h </w:instrText>
      </w:r>
      <w:r w:rsidRPr="001D37D5">
        <w:fldChar w:fldCharType="separate"/>
      </w:r>
      <w:r w:rsidR="007261FC">
        <w:t>4.3.1</w:t>
      </w:r>
      <w:r w:rsidRPr="001D37D5">
        <w:fldChar w:fldCharType="end"/>
      </w:r>
      <w:r w:rsidRPr="001D37D5">
        <w:t>.</w:t>
      </w:r>
    </w:p>
    <w:p w:rsidR="00CA67C0" w:rsidRPr="001D37D5" w:rsidRDefault="00CA67C0" w:rsidP="00CA67C0">
      <w:pPr>
        <w:pStyle w:val="AERbulletlistfirststyle"/>
      </w:pPr>
      <w:r>
        <w:lastRenderedPageBreak/>
        <w:t>T</w:t>
      </w:r>
      <w:r w:rsidRPr="001D37D5">
        <w:t>he role of the value of the imputation credits in the revenue building block framework—this suggests that the value of imputation credits is intended to reflect the value of imputation credits to investors in the benchmark efficient entity.</w:t>
      </w:r>
      <w:r w:rsidRPr="001D37D5">
        <w:rPr>
          <w:rStyle w:val="FootnoteReference"/>
        </w:rPr>
        <w:footnoteReference w:id="80"/>
      </w:r>
    </w:p>
    <w:p w:rsidR="00CA67C0" w:rsidRPr="001D37D5" w:rsidRDefault="00CA67C0" w:rsidP="00CA67C0">
      <w:pPr>
        <w:pStyle w:val="AERbulletlistfirststyle"/>
      </w:pPr>
      <w:r>
        <w:t>R</w:t>
      </w:r>
      <w:r w:rsidRPr="001D37D5">
        <w:t>elevant academic literature (Officer)—the framework developed in a 1994 paper by Officer is widely recognised as providing the basis for the value of imputation credits in the building block framework.</w:t>
      </w:r>
      <w:r w:rsidRPr="001D37D5">
        <w:rPr>
          <w:rStyle w:val="FootnoteReference"/>
        </w:rPr>
        <w:footnoteReference w:id="81"/>
      </w:r>
      <w:r w:rsidRPr="001D37D5">
        <w:t xml:space="preserve"> A key implication of Officer's framework is that the value of imputation credits should be estimated on a before-personal-tax and before-personal-costs basis. This is consistent with a rate of return determined on a nominal vanilla (that is, a post-company tax pre-personal tax and costs) basis. Therefore, we view the value of imputation credits as the proportion of company tax returned to investors through the utilisation of imputation credits. </w:t>
      </w:r>
    </w:p>
    <w:p w:rsidR="00CA67C0" w:rsidRPr="001D37D5" w:rsidRDefault="00CA67C0" w:rsidP="00CA67C0">
      <w:pPr>
        <w:pStyle w:val="AERbulletlistfirststyle"/>
      </w:pPr>
      <w:r>
        <w:t>Relevant academic literature (Monkhouse)—t</w:t>
      </w:r>
      <w:r w:rsidRPr="001D37D5">
        <w:t>he work of Monkhouse (and others) extends the Officer framework, and shows that the value of imputation credits can be estimated as the product of two parameters:</w:t>
      </w:r>
    </w:p>
    <w:p w:rsidR="00CA67C0" w:rsidRPr="00883125" w:rsidRDefault="00CA67C0" w:rsidP="00CA67C0">
      <w:pPr>
        <w:pStyle w:val="AERbulletlistsecondstyle"/>
      </w:pPr>
      <w:r w:rsidRPr="00883125">
        <w:t xml:space="preserve">the proportion of imputation credits generated that is distributed to investors (the distribution rate) </w:t>
      </w:r>
    </w:p>
    <w:p w:rsidR="00CA67C0" w:rsidRPr="00883125" w:rsidRDefault="00CA67C0" w:rsidP="00CA67C0">
      <w:pPr>
        <w:pStyle w:val="AERbulletlistsecondstyle"/>
      </w:pPr>
      <w:r w:rsidRPr="00883125">
        <w:t>the utilisation value to investors in the market per dollar of imputation credits distributed (the utilisation rate).</w:t>
      </w:r>
      <w:r w:rsidRPr="00883125">
        <w:rPr>
          <w:rStyle w:val="FootnoteReference"/>
        </w:rPr>
        <w:footnoteReference w:id="82"/>
      </w:r>
      <w:r w:rsidRPr="00883125">
        <w:t xml:space="preserve"> </w:t>
      </w:r>
    </w:p>
    <w:p w:rsidR="00CA67C0" w:rsidRPr="00883125" w:rsidRDefault="00CA67C0" w:rsidP="00CA67C0">
      <w:pPr>
        <w:pStyle w:val="ListContinue"/>
      </w:pPr>
      <w:r w:rsidRPr="00883125">
        <w:t>Consistent with this literature, we determine the value of imputation credits as the product of these two parameters.</w:t>
      </w:r>
    </w:p>
    <w:p w:rsidR="00CA67C0" w:rsidRPr="001D37D5" w:rsidRDefault="00CA67C0" w:rsidP="00CA67C0">
      <w:pPr>
        <w:pStyle w:val="AERbulletlistfirststyle"/>
      </w:pPr>
      <w:r>
        <w:t>A</w:t>
      </w:r>
      <w:r w:rsidRPr="001D37D5">
        <w:t xml:space="preserve"> wide range of relevant evidence—we use this range of evidence to estimate the distribution rate and utilisation rate. In particular:</w:t>
      </w:r>
    </w:p>
    <w:p w:rsidR="00CA67C0" w:rsidRDefault="00CA67C0" w:rsidP="00CA67C0">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83"/>
      </w:r>
    </w:p>
    <w:p w:rsidR="00CA67C0" w:rsidRPr="00883125" w:rsidRDefault="00CA67C0" w:rsidP="00CA67C0">
      <w:pPr>
        <w:pStyle w:val="AERbulletlistsecondstyle"/>
      </w:pPr>
      <w:r>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CA67C0" w:rsidRPr="00883125" w:rsidRDefault="00CA67C0" w:rsidP="00CA67C0">
      <w:pPr>
        <w:pStyle w:val="AERbulletlistthirdstyle"/>
      </w:pPr>
      <w:r w:rsidRPr="00883125">
        <w:t>the proportion of Australian equity held by domestic investors (the 'equity ownership approach')</w:t>
      </w:r>
      <w:r>
        <w:rPr>
          <w:rStyle w:val="FootnoteReference"/>
        </w:rPr>
        <w:footnoteReference w:id="84"/>
      </w:r>
    </w:p>
    <w:p w:rsidR="00CA67C0" w:rsidRPr="00883125" w:rsidRDefault="00CA67C0" w:rsidP="00CA67C0">
      <w:pPr>
        <w:pStyle w:val="AERbulletlistthirdstyle"/>
      </w:pPr>
      <w:r w:rsidRPr="00883125">
        <w:t>the reported value of credits utilised by investors in Australian Taxation Office (ATO) statistics ('tax statistics')</w:t>
      </w:r>
      <w:r>
        <w:rPr>
          <w:rStyle w:val="FootnoteReference"/>
        </w:rPr>
        <w:footnoteReference w:id="85"/>
      </w:r>
    </w:p>
    <w:p w:rsidR="00CA67C0" w:rsidRDefault="00CA67C0" w:rsidP="00CA67C0">
      <w:pPr>
        <w:pStyle w:val="AERbulletlistthirdstyle"/>
      </w:pPr>
      <w:r w:rsidRPr="00883125">
        <w:lastRenderedPageBreak/>
        <w:t>studies that seek to infer from market prices the value to investors of distributed imputation credits ('implied market value studies')</w:t>
      </w:r>
      <w:r>
        <w:t>.</w:t>
      </w:r>
      <w:r>
        <w:rPr>
          <w:rStyle w:val="FootnoteReference"/>
        </w:rPr>
        <w:footnoteReference w:id="86"/>
      </w:r>
    </w:p>
    <w:p w:rsidR="00CA67C0" w:rsidRDefault="00CA67C0" w:rsidP="00CA67C0">
      <w:pPr>
        <w:pStyle w:val="ListContinue3"/>
      </w:pPr>
      <w:r>
        <w:t>We place varying levels of reliance on these sources of evidence (which is supported by Lally).</w:t>
      </w:r>
      <w:r w:rsidRPr="00A316AD">
        <w:rPr>
          <w:rStyle w:val="FootnoteReference"/>
        </w:rPr>
        <w:footnoteReference w:id="87"/>
      </w:r>
      <w:r>
        <w:t xml:space="preserve"> That is:</w:t>
      </w:r>
    </w:p>
    <w:p w:rsidR="00CA67C0" w:rsidRDefault="00CA67C0" w:rsidP="00CA67C0">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CA67C0" w:rsidRDefault="00CA67C0" w:rsidP="00CA67C0">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CA67C0" w:rsidRDefault="00CA67C0" w:rsidP="00CA67C0">
      <w:pPr>
        <w:pStyle w:val="AERbulletlistthirdstyle"/>
      </w:pPr>
      <w:r>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88"/>
      </w:r>
      <w:r>
        <w:t xml:space="preserve"> </w:t>
      </w:r>
    </w:p>
    <w:p w:rsidR="00CA67C0" w:rsidRDefault="00CA67C0" w:rsidP="00CA67C0">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89"/>
      </w:r>
      <w:r w:rsidRPr="00A90D90">
        <w:t xml:space="preserve"> In determining the value of imputation credits, we rely on the results from both approaches.</w:t>
      </w:r>
    </w:p>
    <w:p w:rsidR="00CA67C0" w:rsidRPr="00883125" w:rsidRDefault="00CA67C0" w:rsidP="00CA67C0">
      <w:pPr>
        <w:pStyle w:val="AERbulletlistfirststyle"/>
      </w:pPr>
      <w:r w:rsidRPr="00883125">
        <w:t>the views of experts—experts differ in their interpretations of the:</w:t>
      </w:r>
    </w:p>
    <w:p w:rsidR="00CA67C0" w:rsidRPr="00883125" w:rsidRDefault="00CA67C0" w:rsidP="00CA67C0">
      <w:pPr>
        <w:pStyle w:val="AERbulletlistsecondstyle"/>
      </w:pPr>
      <w:r w:rsidRPr="00883125">
        <w:t>role of the value of imputation credits in the regulatory framework</w:t>
      </w:r>
    </w:p>
    <w:p w:rsidR="00CA67C0" w:rsidRPr="00883125" w:rsidRDefault="00CA67C0" w:rsidP="00CA67C0">
      <w:pPr>
        <w:pStyle w:val="AERbulletlistsecondstyle"/>
      </w:pPr>
      <w:r w:rsidRPr="00883125">
        <w:t>underlying theory and academic literature</w:t>
      </w:r>
    </w:p>
    <w:p w:rsidR="00CA67C0" w:rsidRPr="00883125" w:rsidRDefault="00CA67C0" w:rsidP="00CA67C0">
      <w:pPr>
        <w:pStyle w:val="AERbulletlistsecondstyle"/>
      </w:pPr>
      <w:r w:rsidRPr="00883125">
        <w:t>relevance of different estimation techniques, particularly for the utilisation rate</w:t>
      </w:r>
      <w:r>
        <w:t>.</w:t>
      </w:r>
    </w:p>
    <w:p w:rsidR="00CA67C0" w:rsidRPr="00883125" w:rsidRDefault="00CA67C0" w:rsidP="00CA67C0">
      <w:pPr>
        <w:pStyle w:val="Heading2"/>
      </w:pPr>
      <w:bookmarkStart w:id="63" w:name="_Toc408404324"/>
      <w:bookmarkStart w:id="64" w:name="_Toc419366917"/>
      <w:bookmarkStart w:id="65" w:name="_Ref451240509"/>
      <w:bookmarkStart w:id="66" w:name="_Ref451240512"/>
      <w:bookmarkStart w:id="67" w:name="_Ref451240513"/>
      <w:bookmarkStart w:id="68" w:name="_Ref451240526"/>
      <w:bookmarkStart w:id="69" w:name="_Ref451240541"/>
      <w:bookmarkStart w:id="70" w:name="_Ref451240553"/>
      <w:bookmarkStart w:id="71" w:name="_Ref451262944"/>
      <w:bookmarkStart w:id="72" w:name="_Ref451271627"/>
      <w:bookmarkStart w:id="73" w:name="_Ref451286698"/>
      <w:bookmarkStart w:id="74" w:name="_Ref451288073"/>
      <w:bookmarkStart w:id="75" w:name="_Ref451291076"/>
      <w:bookmarkStart w:id="76" w:name="_Ref451342609"/>
      <w:bookmarkStart w:id="77" w:name="_Ref451342743"/>
      <w:bookmarkStart w:id="78" w:name="_Ref451342752"/>
      <w:bookmarkStart w:id="79" w:name="_Ref451347585"/>
      <w:bookmarkStart w:id="80" w:name="_Ref451350649"/>
      <w:bookmarkStart w:id="81" w:name="_Ref451350656"/>
      <w:bookmarkStart w:id="82" w:name="_Ref451353895"/>
      <w:bookmarkStart w:id="83" w:name="_Ref451464892"/>
      <w:bookmarkStart w:id="84" w:name="_Ref451774702"/>
      <w:bookmarkStart w:id="85" w:name="_Ref451790207"/>
      <w:bookmarkStart w:id="86" w:name="_Ref451815218"/>
      <w:bookmarkStart w:id="87" w:name="_Toc451842242"/>
      <w:bookmarkStart w:id="88" w:name="_Toc451938298"/>
      <w:bookmarkStart w:id="89" w:name="_Toc456614281"/>
      <w:r w:rsidRPr="00883125">
        <w:t xml:space="preserve">Reasons for </w:t>
      </w:r>
      <w:r>
        <w:t>draft</w:t>
      </w:r>
      <w:r w:rsidRPr="00883125">
        <w:t xml:space="preserve"> decision</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CA67C0" w:rsidRPr="005764F6" w:rsidRDefault="00CA67C0" w:rsidP="00764AB1">
      <w:pPr>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7261FC">
        <w:rPr>
          <w:rStyle w:val="AERbody"/>
        </w:rPr>
        <w:t>4.3.6</w:t>
      </w:r>
      <w:r w:rsidRPr="005764F6">
        <w:rPr>
          <w:rStyle w:val="AERbody"/>
        </w:rPr>
        <w:fldChar w:fldCharType="end"/>
      </w:r>
      <w:r w:rsidRPr="005764F6">
        <w:rPr>
          <w:rStyle w:val="AERbody"/>
        </w:rPr>
        <w:t xml:space="preserve"> for our approach). We consider that a </w:t>
      </w:r>
      <w:r w:rsidRPr="005764F6">
        <w:rPr>
          <w:rStyle w:val="AERbody"/>
        </w:rPr>
        <w:lastRenderedPageBreak/>
        <w:t>value of imputation credits of 0.4, selected from within a range of 0.3 to 0.5, is reasonable because:</w:t>
      </w:r>
    </w:p>
    <w:p w:rsidR="00CA67C0" w:rsidRPr="001D37D5" w:rsidRDefault="00CA67C0" w:rsidP="00CA67C0">
      <w:pPr>
        <w:pStyle w:val="AERbulletlistfirststyle"/>
      </w:pPr>
      <w:r w:rsidRPr="005764F6">
        <w:t xml:space="preserve">It </w:t>
      </w:r>
      <w:r w:rsidRPr="001D37D5">
        <w:t>is within the range of values indicated by the evidence, and the relevance of the evidence is supported by the expert opinion of Handley, Lally, and McKenzie and Partington.</w:t>
      </w:r>
    </w:p>
    <w:p w:rsidR="00CA67C0" w:rsidRPr="001D37D5" w:rsidRDefault="00CA67C0" w:rsidP="00CA67C0">
      <w:pPr>
        <w:pStyle w:val="AERbulletlistfirststyle"/>
      </w:pPr>
      <w:r w:rsidRPr="005764F6">
        <w:t xml:space="preserve">It </w:t>
      </w:r>
      <w:r w:rsidRPr="001D37D5">
        <w:t>primarily reflects an estimate of the utilisation rate from the equity ownership approach. Handley considered this the most important approach to estimating the utilisation rate, relative to the alternatives of tax statistics and implied market value studies.</w:t>
      </w:r>
      <w:r w:rsidRPr="001D37D5">
        <w:rPr>
          <w:rStyle w:val="FootnoteReference"/>
        </w:rPr>
        <w:footnoteReference w:id="90"/>
      </w:r>
      <w:r w:rsidRPr="001D37D5">
        <w:t xml:space="preserve"> The equity ownership approach was Lally's second preference after his recommendation for a utilisation rate of 1.</w:t>
      </w:r>
      <w:r w:rsidRPr="001D37D5">
        <w:rPr>
          <w:rStyle w:val="FootnoteReference"/>
        </w:rPr>
        <w:footnoteReference w:id="91"/>
      </w:r>
    </w:p>
    <w:p w:rsidR="00CA67C0" w:rsidRPr="001D37D5" w:rsidRDefault="00CA67C0" w:rsidP="00CA67C0">
      <w:pPr>
        <w:pStyle w:val="AERbulletlistfirststyle"/>
      </w:pPr>
      <w:r w:rsidRPr="005764F6">
        <w:t xml:space="preserve">It </w:t>
      </w:r>
      <w:r w:rsidRPr="001D37D5">
        <w:t>is within the 'preferred' range for the value of imputation credits (0.4 to 0.5) in Handley's September 2014 advice.</w:t>
      </w:r>
      <w:r w:rsidRPr="001D37D5">
        <w:rPr>
          <w:rStyle w:val="FootnoteReference"/>
        </w:rPr>
        <w:footnoteReference w:id="92"/>
      </w:r>
    </w:p>
    <w:p w:rsidR="00CA67C0" w:rsidRPr="001D37D5" w:rsidRDefault="00CA67C0" w:rsidP="00CA67C0">
      <w:pPr>
        <w:pStyle w:val="AERbulletlistfirststyle"/>
      </w:pPr>
      <w:r w:rsidRPr="005764F6">
        <w:t xml:space="preserve">It is </w:t>
      </w:r>
      <w:r w:rsidRPr="001D37D5">
        <w:t>slightly below the Lally's recommended application of the equity ownership approach.</w:t>
      </w:r>
      <w:r w:rsidRPr="001D37D5">
        <w:rPr>
          <w:rStyle w:val="FootnoteReference"/>
        </w:rPr>
        <w:footnoteReference w:id="93"/>
      </w:r>
      <w:r w:rsidRPr="001D37D5">
        <w:t xml:space="preserve"> This suggests a gamma of at least 0.50 based on Lally's preferred estimate of the distribution rate and using the equity ownership data based on all equity (which Lally prefers). </w:t>
      </w:r>
    </w:p>
    <w:p w:rsidR="00CA67C0" w:rsidRPr="001D37D5" w:rsidRDefault="00CA67C0" w:rsidP="00CA67C0">
      <w:pPr>
        <w:pStyle w:val="AERbulletlistfirststyle"/>
      </w:pPr>
      <w:r w:rsidRPr="005764F6">
        <w:t>It is consistent with providing regulatory certainty given it is consistent with the value we used for all regulatory decisions released in 2015</w:t>
      </w:r>
      <w:r w:rsidRPr="001D37D5">
        <w:t xml:space="preserve">, including our draft decision for </w:t>
      </w:r>
      <w:r>
        <w:t>AusNet Services</w:t>
      </w:r>
      <w:r w:rsidRPr="001D37D5">
        <w:t>.</w:t>
      </w:r>
    </w:p>
    <w:p w:rsidR="00CA67C0" w:rsidRPr="001D37D5" w:rsidRDefault="00CA67C0" w:rsidP="00CA67C0">
      <w:pPr>
        <w:pStyle w:val="AERbulletlistfirststyle"/>
      </w:pPr>
      <w:r w:rsidRPr="005764F6">
        <w:t xml:space="preserve">Based </w:t>
      </w:r>
      <w:r w:rsidRPr="001D37D5">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1D37D5">
        <w:rPr>
          <w:rStyle w:val="FootnoteReference"/>
        </w:rPr>
        <w:footnoteReference w:id="94"/>
      </w:r>
      <w:r w:rsidRPr="001D37D5">
        <w:t xml:space="preserve"> The imprecision of determining the value of imputation credits was emphasised by Handley.</w:t>
      </w:r>
      <w:r w:rsidRPr="001D37D5">
        <w:rPr>
          <w:rStyle w:val="FootnoteReference"/>
        </w:rPr>
        <w:footnoteReference w:id="95"/>
      </w:r>
    </w:p>
    <w:p w:rsidR="00CA67C0" w:rsidRPr="005764F6" w:rsidRDefault="00CA67C0" w:rsidP="00764AB1">
      <w:pPr>
        <w:numPr>
          <w:ilvl w:val="0"/>
          <w:numId w:val="24"/>
        </w:numPr>
        <w:rPr>
          <w:rStyle w:val="AERbody"/>
        </w:rPr>
      </w:pPr>
      <w:r w:rsidRPr="005764F6">
        <w:rPr>
          <w:rStyle w:val="AERbody"/>
        </w:rPr>
        <w:t xml:space="preserve">In considering the evidence on the distribution and utilisation rates, we have broadly maintained the approach set out in the Guideline, but have re-examined the relevant </w:t>
      </w:r>
      <w:r w:rsidRPr="005764F6">
        <w:rPr>
          <w:rStyle w:val="AERbody"/>
        </w:rPr>
        <w:lastRenderedPageBreak/>
        <w:t>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CA67C0" w:rsidRPr="005764F6" w:rsidRDefault="00CA67C0" w:rsidP="00764AB1">
      <w:pPr>
        <w:numPr>
          <w:ilvl w:val="0"/>
          <w:numId w:val="24"/>
        </w:numPr>
        <w:rPr>
          <w:rStyle w:val="AERbody"/>
        </w:rPr>
      </w:pPr>
      <w:r w:rsidRPr="005764F6">
        <w:rPr>
          <w:rStyle w:val="AERbody"/>
        </w:rPr>
        <w:t xml:space="preserve">Further to the Guideline approach, in this </w:t>
      </w:r>
      <w:r w:rsidR="00F15ADC">
        <w:rPr>
          <w:rStyle w:val="AERbody"/>
        </w:rPr>
        <w:t xml:space="preserve">draft </w:t>
      </w:r>
      <w:r w:rsidRPr="005764F6">
        <w:rPr>
          <w:rStyle w:val="AERbody"/>
        </w:rPr>
        <w:t xml:space="preserve">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7261FC">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7261FC">
        <w:rPr>
          <w:rStyle w:val="AERbody"/>
        </w:rPr>
        <w:t>A.8.4</w:t>
      </w:r>
      <w:r w:rsidRPr="005764F6">
        <w:rPr>
          <w:rStyle w:val="AERbody"/>
        </w:rPr>
        <w:fldChar w:fldCharType="end"/>
      </w:r>
      <w:r w:rsidRPr="005764F6">
        <w:rPr>
          <w:rStyle w:val="AERbody"/>
        </w:rPr>
        <w:t>. We did not consider this issue in the Guideline.</w:t>
      </w:r>
    </w:p>
    <w:p w:rsidR="00CA67C0" w:rsidRPr="005764F6" w:rsidRDefault="00CA67C0" w:rsidP="00CA67C0">
      <w:pPr>
        <w:rPr>
          <w:rStyle w:val="AERbody"/>
        </w:rPr>
      </w:pPr>
      <w:r w:rsidRPr="005764F6">
        <w:rPr>
          <w:rStyle w:val="AERbody"/>
        </w:rPr>
        <w:t xml:space="preserve">Lally, in his latest report, considered it is </w:t>
      </w:r>
      <w:r>
        <w:rPr>
          <w:rStyle w:val="AERbody"/>
        </w:rPr>
        <w:t>'</w:t>
      </w:r>
      <w:r w:rsidRPr="005764F6">
        <w:rPr>
          <w:rStyle w:val="AERbody"/>
        </w:rPr>
        <w:t>not essential</w:t>
      </w:r>
      <w:r>
        <w:rPr>
          <w:rStyle w:val="AERbody"/>
        </w:rPr>
        <w:t xml:space="preserve"> but nor is it precluded'</w:t>
      </w:r>
      <w:r w:rsidRPr="005764F6">
        <w:rPr>
          <w:rStyle w:val="AERbody"/>
        </w:rPr>
        <w:t xml:space="preserve"> to </w:t>
      </w:r>
      <w:r>
        <w:rPr>
          <w:rStyle w:val="AERbody"/>
        </w:rPr>
        <w:t>'</w:t>
      </w:r>
      <w:r w:rsidRPr="005764F6">
        <w:rPr>
          <w:rStyle w:val="AERbody"/>
        </w:rPr>
        <w:t>match</w:t>
      </w:r>
      <w:r>
        <w:rPr>
          <w:rStyle w:val="AERbody"/>
        </w:rPr>
        <w:t>'</w:t>
      </w:r>
      <w:r w:rsidRPr="005764F6">
        <w:rPr>
          <w:rStyle w:val="AERbody"/>
        </w:rPr>
        <w:t xml:space="preserve"> distribution rates from all equity (all listed equity) to utilisation rates from all equity (all listed equity).</w:t>
      </w:r>
      <w:r w:rsidRPr="005942A6">
        <w:rPr>
          <w:rStyle w:val="FootnoteReference"/>
        </w:rPr>
        <w:footnoteReference w:id="96"/>
      </w:r>
      <w:r w:rsidRPr="005764F6">
        <w:rPr>
          <w:rStyle w:val="AERbody"/>
        </w:rPr>
        <w:t xml:space="preserve"> Following this, we consider it </w:t>
      </w:r>
      <w:r>
        <w:rPr>
          <w:rStyle w:val="AERbody"/>
        </w:rPr>
        <w:t>is</w:t>
      </w:r>
      <w:r w:rsidRPr="005764F6">
        <w:rPr>
          <w:rStyle w:val="AERbody"/>
        </w:rPr>
        <w:t xml:space="preserve"> not necessary to </w:t>
      </w:r>
      <w:r>
        <w:rPr>
          <w:rStyle w:val="AERbody"/>
        </w:rPr>
        <w:t>'</w:t>
      </w:r>
      <w:r w:rsidRPr="005764F6">
        <w:rPr>
          <w:rStyle w:val="AERbody"/>
        </w:rPr>
        <w:t>match</w:t>
      </w:r>
      <w:r>
        <w:rPr>
          <w:rStyle w:val="AERbody"/>
        </w:rPr>
        <w:t>'</w:t>
      </w:r>
      <w:r w:rsidRPr="005764F6">
        <w:rPr>
          <w:rStyle w:val="AERbody"/>
        </w:rPr>
        <w:t xml:space="preserve"> estimates of distribution rates and utilisation rates based on the dataset used</w:t>
      </w:r>
      <w:r>
        <w:rPr>
          <w:rStyle w:val="AERbody"/>
        </w:rPr>
        <w:t>; although we note the choice is open to us</w:t>
      </w:r>
      <w:r w:rsidRPr="005764F6">
        <w:rPr>
          <w:rStyle w:val="AERbody"/>
        </w:rPr>
        <w:t xml:space="preserve">. We discuss this further in section 4.4.1 and </w:t>
      </w:r>
      <w:r w:rsidRPr="005764F6">
        <w:rPr>
          <w:rStyle w:val="AERbody"/>
        </w:rPr>
        <w:fldChar w:fldCharType="begin"/>
      </w:r>
      <w:r w:rsidRPr="005764F6">
        <w:rPr>
          <w:rStyle w:val="AERbody"/>
        </w:rPr>
        <w:instrText xml:space="preserve"> REF _Ref403481194 \r \h  \* MERGEFORMAT </w:instrText>
      </w:r>
      <w:r w:rsidRPr="005764F6">
        <w:rPr>
          <w:rStyle w:val="AERbody"/>
        </w:rPr>
      </w:r>
      <w:r w:rsidRPr="005764F6">
        <w:rPr>
          <w:rStyle w:val="AERbody"/>
        </w:rPr>
        <w:fldChar w:fldCharType="separate"/>
      </w:r>
      <w:r w:rsidR="007261FC">
        <w:rPr>
          <w:rStyle w:val="AERbody"/>
        </w:rPr>
        <w:t>A.9.2</w:t>
      </w:r>
      <w:r w:rsidRPr="005764F6">
        <w:rPr>
          <w:rStyle w:val="AERbody"/>
        </w:rPr>
        <w:fldChar w:fldCharType="end"/>
      </w:r>
      <w:r w:rsidRPr="005764F6">
        <w:rPr>
          <w:rStyle w:val="AERbody"/>
        </w:rPr>
        <w:t>.</w:t>
      </w:r>
    </w:p>
    <w:p w:rsidR="00CA67C0" w:rsidRPr="005764F6" w:rsidRDefault="00CA67C0" w:rsidP="00CA67C0">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97"/>
      </w:r>
      <w:r w:rsidRPr="005764F6">
        <w:rPr>
          <w:rStyle w:val="AERbody"/>
        </w:rPr>
        <w:t xml:space="preserve"> </w:t>
      </w:r>
    </w:p>
    <w:p w:rsidR="00CA67C0" w:rsidRPr="005764F6" w:rsidRDefault="00CA67C0" w:rsidP="00764AB1">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7261FC" w:rsidRPr="007261FC">
        <w:rPr>
          <w:rStyle w:val="AERbody"/>
        </w:rPr>
        <w:t>table 4</w:t>
      </w:r>
      <w:r w:rsidR="007261FC" w:rsidRPr="007261FC">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7261FC" w:rsidRPr="007261FC">
        <w:rPr>
          <w:rStyle w:val="AERbody"/>
        </w:rPr>
        <w:t>table 4</w:t>
      </w:r>
      <w:r w:rsidR="007261FC" w:rsidRPr="007261FC">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98"/>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CA67C0" w:rsidRPr="00883125" w:rsidRDefault="00CA67C0" w:rsidP="00CA67C0">
      <w:pPr>
        <w:pStyle w:val="Caption"/>
      </w:pPr>
      <w:bookmarkStart w:id="90" w:name="_Ref400900366"/>
      <w:bookmarkStart w:id="91" w:name="_Ref400900335"/>
      <w:r w:rsidRPr="00883125">
        <w:lastRenderedPageBreak/>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3</w:t>
      </w:r>
      <w:r w:rsidRPr="001D37D5">
        <w:fldChar w:fldCharType="end"/>
      </w:r>
      <w:bookmarkEnd w:id="90"/>
      <w:r w:rsidRPr="00883125">
        <w:tab/>
        <w:t>Estimates of the value of imputation credits—evidence from all equity</w:t>
      </w:r>
      <w:bookmarkEnd w:id="91"/>
    </w:p>
    <w:tbl>
      <w:tblPr>
        <w:tblStyle w:val="AERtable-numbers"/>
        <w:tblW w:w="0" w:type="auto"/>
        <w:tblLook w:val="04A0" w:firstRow="1" w:lastRow="0" w:firstColumn="1" w:lastColumn="0" w:noHBand="0" w:noVBand="1"/>
      </w:tblPr>
      <w:tblGrid>
        <w:gridCol w:w="3085"/>
        <w:gridCol w:w="2052"/>
        <w:gridCol w:w="2052"/>
        <w:gridCol w:w="2053"/>
      </w:tblGrid>
      <w:tr w:rsidR="00CA67C0" w:rsidTr="00CA67C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A67C0" w:rsidRPr="00883125" w:rsidRDefault="00CA67C0" w:rsidP="00764AB1">
            <w:pPr>
              <w:numPr>
                <w:ilvl w:val="0"/>
                <w:numId w:val="24"/>
              </w:numPr>
            </w:pPr>
            <w:r w:rsidRPr="00883125">
              <w:t xml:space="preserve">Evidence on utilisation </w:t>
            </w:r>
            <w:r>
              <w:t>rate</w:t>
            </w:r>
          </w:p>
        </w:tc>
        <w:tc>
          <w:tcPr>
            <w:tcW w:w="2052" w:type="dxa"/>
          </w:tcPr>
          <w:p w:rsidR="00CA67C0" w:rsidRPr="00CA67C0" w:rsidRDefault="00CA67C0" w:rsidP="00CA67C0">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CA67C0">
              <w:t>rate</w:t>
            </w:r>
          </w:p>
        </w:tc>
        <w:tc>
          <w:tcPr>
            <w:tcW w:w="2052" w:type="dxa"/>
          </w:tcPr>
          <w:p w:rsidR="00CA67C0" w:rsidRPr="00CA67C0" w:rsidRDefault="00CA67C0" w:rsidP="00CA67C0">
            <w:p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CA67C0" w:rsidRPr="00CA67C0" w:rsidRDefault="00CA67C0" w:rsidP="00CA67C0">
            <w:p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3085" w:type="dxa"/>
          </w:tcPr>
          <w:p w:rsidR="00CA67C0" w:rsidRPr="00883125" w:rsidRDefault="00CA67C0" w:rsidP="00764AB1">
            <w:pPr>
              <w:numPr>
                <w:ilvl w:val="0"/>
                <w:numId w:val="24"/>
              </w:numPr>
            </w:pPr>
            <w:r w:rsidRPr="00883125">
              <w:t>Equity ownership approach</w:t>
            </w:r>
          </w:p>
        </w:tc>
        <w:tc>
          <w:tcPr>
            <w:tcW w:w="2052" w:type="dxa"/>
          </w:tcPr>
          <w:p w:rsidR="00CA67C0" w:rsidRPr="00CA67C0" w:rsidRDefault="00CA67C0" w:rsidP="00CA67C0">
            <w:pPr>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A67C0" w:rsidRPr="00CA67C0" w:rsidRDefault="00CA67C0" w:rsidP="00CA67C0">
            <w:r w:rsidRPr="000C3267">
              <w:t xml:space="preserve">Equity ownership approach (Lally recommended distribution </w:t>
            </w:r>
            <w:r w:rsidRPr="00CA67C0">
              <w:t>rate)</w:t>
            </w:r>
          </w:p>
        </w:tc>
        <w:tc>
          <w:tcPr>
            <w:tcW w:w="2052" w:type="dxa"/>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0C3267">
              <w:t>0.56 to 0.68</w:t>
            </w:r>
          </w:p>
        </w:tc>
        <w:tc>
          <w:tcPr>
            <w:tcW w:w="2052" w:type="dxa"/>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0C3267">
              <w:t>0.8</w:t>
            </w:r>
            <w:r w:rsidRPr="00CA67C0">
              <w:t>3</w:t>
            </w:r>
          </w:p>
        </w:tc>
        <w:tc>
          <w:tcPr>
            <w:tcW w:w="2053" w:type="dxa"/>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0C3267">
              <w:t>0.4</w:t>
            </w:r>
            <w:r w:rsidRPr="00CA67C0">
              <w:t>6 to 0.56</w:t>
            </w:r>
            <w:r w:rsidRPr="00CA67C0">
              <w:rPr>
                <w:rStyle w:val="FootnoteReference"/>
              </w:rPr>
              <w:footnoteReference w:id="99"/>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3085" w:type="dxa"/>
          </w:tcPr>
          <w:p w:rsidR="00CA67C0" w:rsidRPr="00883125" w:rsidRDefault="00CA67C0" w:rsidP="00764AB1">
            <w:pPr>
              <w:numPr>
                <w:ilvl w:val="0"/>
                <w:numId w:val="24"/>
              </w:numPr>
            </w:pPr>
            <w:r w:rsidRPr="00883125">
              <w:t>Tax statistics</w:t>
            </w:r>
          </w:p>
        </w:tc>
        <w:tc>
          <w:tcPr>
            <w:tcW w:w="2052" w:type="dxa"/>
          </w:tcPr>
          <w:p w:rsidR="00CA67C0" w:rsidRPr="00CA67C0" w:rsidRDefault="00CA67C0" w:rsidP="00CA67C0">
            <w:pPr>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CA67C0" w:rsidRPr="00CA67C0" w:rsidRDefault="00CA67C0" w:rsidP="00CA67C0">
            <w:p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A67C0" w:rsidRPr="00CA67C0" w:rsidRDefault="00CA67C0" w:rsidP="00CA67C0">
            <w:pPr>
              <w:cnfStyle w:val="000000000000" w:firstRow="0" w:lastRow="0" w:firstColumn="0" w:lastColumn="0" w:oddVBand="0" w:evenVBand="0" w:oddHBand="0" w:evenHBand="0" w:firstRowFirstColumn="0" w:firstRowLastColumn="0" w:lastRowFirstColumn="0" w:lastRowLastColumn="0"/>
            </w:pPr>
            <w:r w:rsidRPr="00883125">
              <w:t>0.34</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A67C0" w:rsidRPr="00883125" w:rsidRDefault="00CA67C0" w:rsidP="00764AB1">
            <w:pPr>
              <w:numPr>
                <w:ilvl w:val="0"/>
                <w:numId w:val="24"/>
              </w:numPr>
            </w:pPr>
            <w:r w:rsidRPr="00883125">
              <w:t>Tax statistics</w:t>
            </w:r>
            <w:r>
              <w:t xml:space="preserve"> (Lally recommended distribution rate)</w:t>
            </w:r>
          </w:p>
        </w:tc>
        <w:tc>
          <w:tcPr>
            <w:tcW w:w="2052" w:type="dxa"/>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t>0.40</w:t>
            </w:r>
          </w:p>
        </w:tc>
      </w:tr>
    </w:tbl>
    <w:p w:rsidR="00CA67C0" w:rsidRPr="00883125" w:rsidRDefault="00CA67C0" w:rsidP="00CA67C0">
      <w:pPr>
        <w:pStyle w:val="AERtablesource"/>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92" w:name="_Ref400900373"/>
    </w:p>
    <w:p w:rsidR="00CA67C0" w:rsidRPr="00883125" w:rsidRDefault="00CA67C0" w:rsidP="00CA67C0">
      <w:pPr>
        <w:pStyle w:val="Caption"/>
      </w:pPr>
      <w:bookmarkStart w:id="93" w:name="_Ref404072148"/>
      <w:r w:rsidRPr="00883125">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4</w:t>
      </w:r>
      <w:r w:rsidRPr="001D37D5">
        <w:fldChar w:fldCharType="end"/>
      </w:r>
      <w:bookmarkEnd w:id="92"/>
      <w:bookmarkEnd w:id="93"/>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CA67C0" w:rsidTr="00CA67C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CA67C0" w:rsidRPr="00883125" w:rsidRDefault="00CA67C0" w:rsidP="00764AB1">
            <w:pPr>
              <w:numPr>
                <w:ilvl w:val="0"/>
                <w:numId w:val="24"/>
              </w:numPr>
            </w:pPr>
            <w:r w:rsidRPr="00883125">
              <w:t xml:space="preserve">Evidence on utilisation </w:t>
            </w:r>
            <w:r>
              <w:t>rate</w:t>
            </w:r>
          </w:p>
        </w:tc>
        <w:tc>
          <w:tcPr>
            <w:tcW w:w="2146"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2802" w:type="dxa"/>
          </w:tcPr>
          <w:p w:rsidR="00CA67C0" w:rsidRPr="00883125" w:rsidRDefault="00CA67C0" w:rsidP="00764AB1">
            <w:pPr>
              <w:numPr>
                <w:ilvl w:val="0"/>
                <w:numId w:val="24"/>
              </w:numPr>
            </w:pPr>
            <w:r w:rsidRPr="00883125">
              <w:t>Equity ownership approach</w:t>
            </w:r>
          </w:p>
        </w:tc>
        <w:tc>
          <w:tcPr>
            <w:tcW w:w="2146"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CA67C0" w:rsidRPr="00CA67C0" w:rsidRDefault="00CA67C0" w:rsidP="00CA67C0">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CA67C0" w:rsidRPr="00CA67C0" w:rsidRDefault="00CA67C0" w:rsidP="00CA67C0">
            <w:r w:rsidRPr="00883125">
              <w:t>Implied market value studies</w:t>
            </w:r>
          </w:p>
          <w:p w:rsidR="00CA67C0" w:rsidRPr="00CA67C0" w:rsidRDefault="00CA67C0" w:rsidP="00CA67C0">
            <w:pPr>
              <w:rPr>
                <w:rStyle w:val="AERtextitalic"/>
              </w:rPr>
            </w:pPr>
            <w:r w:rsidRPr="00883125">
              <w:rPr>
                <w:rStyle w:val="AERtextitalic"/>
              </w:rPr>
              <w:t>SFG dividend drop off study</w:t>
            </w:r>
          </w:p>
        </w:tc>
        <w:tc>
          <w:tcPr>
            <w:tcW w:w="2146" w:type="dxa"/>
            <w:vAlign w:val="top"/>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883125">
              <w:t>0 to 1</w:t>
            </w:r>
          </w:p>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CA67C0">
              <w:rPr>
                <w:rStyle w:val="AERsuperscript"/>
              </w:rPr>
              <w:t>(a)</w:t>
            </w:r>
          </w:p>
        </w:tc>
        <w:tc>
          <w:tcPr>
            <w:tcW w:w="2147" w:type="dxa"/>
            <w:vAlign w:val="top"/>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883125">
              <w:t>0 to 0.75</w:t>
            </w:r>
          </w:p>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883125">
              <w:rPr>
                <w:rStyle w:val="AERtextitalic"/>
              </w:rPr>
              <w:t>0.26 (0.30)</w:t>
            </w:r>
            <w:r w:rsidRPr="00CA67C0">
              <w:rPr>
                <w:rStyle w:val="AERsuperscript"/>
              </w:rPr>
              <w:t>(b)</w:t>
            </w:r>
          </w:p>
        </w:tc>
      </w:tr>
    </w:tbl>
    <w:p w:rsidR="00CA67C0" w:rsidRPr="00883125" w:rsidRDefault="00CA67C0" w:rsidP="00CA67C0">
      <w:pPr>
        <w:pStyle w:val="AERtablesource"/>
      </w:pPr>
      <w:r w:rsidRPr="00883125">
        <w:t>Source:</w:t>
      </w:r>
      <w:r w:rsidRPr="00883125">
        <w:tab/>
        <w:t>AER analysis.</w:t>
      </w:r>
    </w:p>
    <w:p w:rsidR="00CA67C0" w:rsidRDefault="00CA67C0" w:rsidP="00CA67C0">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CA67C0" w:rsidRPr="00883125" w:rsidRDefault="00CA67C0" w:rsidP="00CA67C0">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7261FC">
        <w:t>A.15.4</w:t>
      </w:r>
      <w:r>
        <w:fldChar w:fldCharType="end"/>
      </w:r>
      <w:r w:rsidRPr="00883125">
        <w:t xml:space="preserve">. </w:t>
      </w:r>
    </w:p>
    <w:p w:rsidR="00CA67C0" w:rsidRPr="005764F6" w:rsidRDefault="00CA67C0" w:rsidP="00CA67C0">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100"/>
      </w:r>
      <w:r w:rsidRPr="005764F6">
        <w:rPr>
          <w:rStyle w:val="AERbody"/>
        </w:rPr>
        <w:t xml:space="preserve"> From within these possible ranges, we choose a value for gamma of 0.4 based on the following considerations: </w:t>
      </w:r>
    </w:p>
    <w:p w:rsidR="00CA67C0" w:rsidRPr="001D37D5" w:rsidRDefault="00CA67C0" w:rsidP="00CA67C0">
      <w:pPr>
        <w:pStyle w:val="AERbulletlistfirststyle"/>
      </w:pPr>
      <w:r w:rsidRPr="005764F6">
        <w:t>T</w:t>
      </w:r>
      <w:r w:rsidRPr="001D37D5">
        <w:t xml:space="preserve">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w:t>
      </w:r>
      <w:r w:rsidRPr="001D37D5">
        <w:lastRenderedPageBreak/>
        <w:t>different evidence from the equity ownership approach using these 'matched' distribution and utilisation rates suggests a value between 0.40 and 0.41. We also have regard to Lally's recommended approach, which combines the use of an all equity utilisation rate from the equity ownership approach with a distribution rate for listed equity from financial reports of the top 20 listed firms.</w:t>
      </w:r>
    </w:p>
    <w:p w:rsidR="00CA67C0" w:rsidRPr="001D37D5" w:rsidRDefault="00CA67C0" w:rsidP="00CA67C0">
      <w:pPr>
        <w:pStyle w:val="AERbulletlistfirststyle"/>
      </w:pPr>
      <w:r w:rsidRPr="005764F6">
        <w:t>T</w:t>
      </w:r>
      <w:r w:rsidRPr="001D37D5">
        <w: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CA67C0" w:rsidRPr="001D37D5" w:rsidRDefault="00CA67C0" w:rsidP="00CA67C0">
      <w:pPr>
        <w:pStyle w:val="AERbulletlistfirststyle"/>
      </w:pPr>
      <w:r w:rsidRPr="005764F6">
        <w:t>The evidence from implied market value studies, on which we place even less reliance, suggests a value between 0 and 0.75. In particular, SFG's dividend drop off study</w:t>
      </w:r>
      <w:r w:rsidRPr="001D37D5" w:rsidDel="000467B0">
        <w:t xml:space="preserve"> </w:t>
      </w:r>
      <w:r w:rsidRPr="001D37D5">
        <w:t>suggests a value of 0.26 or 0.30. This is around the bottom end of the 'matched' equity ownership approach range of 0.28 to 0.47, below the overlap of 0.40 to 0.41, and well below Lally's recommended gamma estimate of at least 0.5. Evidence from implied market value studies more generally suggests the value could be higher than 0.5 or lower than 0.28.</w:t>
      </w:r>
    </w:p>
    <w:p w:rsidR="00CA67C0" w:rsidRPr="005764F6" w:rsidRDefault="00CA67C0" w:rsidP="00CA67C0">
      <w:pPr>
        <w:rPr>
          <w:rStyle w:val="AERbody"/>
        </w:rPr>
      </w:pPr>
      <w:r w:rsidRPr="005764F6">
        <w:rPr>
          <w:rStyle w:val="AERbody"/>
        </w:rPr>
        <w:t xml:space="preserve">On balance, we have considered it appropriate to continue to apply a value of imputation credits of 0.4 in this </w:t>
      </w:r>
      <w:r w:rsidR="00F15ADC">
        <w:rPr>
          <w:rStyle w:val="AERbody"/>
        </w:rPr>
        <w:t xml:space="preserve">draft </w:t>
      </w:r>
      <w:r w:rsidRPr="005764F6">
        <w:rPr>
          <w:rStyle w:val="AERbody"/>
        </w:rPr>
        <w:t>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CA67C0" w:rsidRPr="005764F6" w:rsidRDefault="00CA67C0" w:rsidP="00CA67C0">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 In maintaining the use of a gamma value of 0.4 we have given particular consideration to the desirability of regulatory certainty and predictability. We also note we have used a value of 0.4 for all decisions released in 2015 and </w:t>
      </w:r>
      <w:r w:rsidR="001135B9">
        <w:rPr>
          <w:rStyle w:val="AERbody"/>
        </w:rPr>
        <w:t>2016</w:t>
      </w:r>
      <w:r w:rsidRPr="005764F6">
        <w:rPr>
          <w:rStyle w:val="AERbody"/>
        </w:rPr>
        <w:t xml:space="preserve">. Given these considerations, we would be reluctant to depart from the value of 0.4 used in our </w:t>
      </w:r>
      <w:r w:rsidR="00E43EA2">
        <w:rPr>
          <w:rStyle w:val="AERbody"/>
        </w:rPr>
        <w:t>recent</w:t>
      </w:r>
      <w:r w:rsidR="00E43EA2" w:rsidRPr="005764F6">
        <w:rPr>
          <w:rStyle w:val="AERbody"/>
        </w:rPr>
        <w:t xml:space="preserve"> </w:t>
      </w:r>
      <w:r w:rsidRPr="005764F6">
        <w:rPr>
          <w:rStyle w:val="AERbody"/>
        </w:rPr>
        <w:t>decision</w:t>
      </w:r>
      <w:r w:rsidR="00E43EA2">
        <w:rPr>
          <w:rStyle w:val="AERbody"/>
        </w:rPr>
        <w:t>s</w:t>
      </w:r>
      <w:r w:rsidRPr="005764F6">
        <w:rPr>
          <w:rStyle w:val="AERbody"/>
        </w:rPr>
        <w:t xml:space="preserve"> without broad stakeholder consultation, and we note stakeholders have not had an opportunity to comment on Lally's latest report.  We also do not consider Lally's report shows 0.4 is not open to us to choose when exercising our regulatory discretion.</w:t>
      </w:r>
    </w:p>
    <w:p w:rsidR="00CA67C0" w:rsidRPr="005764F6" w:rsidRDefault="00CA67C0" w:rsidP="00CA67C0">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CA67C0" w:rsidRPr="005764F6" w:rsidRDefault="00CA67C0" w:rsidP="00CA67C0">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7261FC">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7261FC" w:rsidRPr="007261FC">
        <w:rPr>
          <w:rStyle w:val="AERbody"/>
        </w:rPr>
        <w:t>table 4</w:t>
      </w:r>
      <w:r w:rsidR="007261FC" w:rsidRPr="007261FC">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7261FC" w:rsidRPr="007261FC">
        <w:rPr>
          <w:rStyle w:val="AERbody"/>
        </w:rPr>
        <w:t>table 4</w:t>
      </w:r>
      <w:r w:rsidR="007261FC" w:rsidRPr="007261FC">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CA67C0" w:rsidRPr="000C3267" w:rsidRDefault="00CA67C0" w:rsidP="00CA67C0">
      <w:pPr>
        <w:rPr>
          <w:rStyle w:val="AERbody"/>
        </w:rPr>
      </w:pPr>
      <w:r w:rsidRPr="005764F6">
        <w:rPr>
          <w:rStyle w:val="AERbody"/>
        </w:rPr>
        <w:lastRenderedPageBreak/>
        <w:t xml:space="preserve">We do not accept the </w:t>
      </w:r>
      <w:r w:rsidR="00DB2758">
        <w:rPr>
          <w:rStyle w:val="AERbody"/>
        </w:rPr>
        <w:t>AusNet Services'</w:t>
      </w:r>
      <w:r w:rsidRPr="005764F6">
        <w:rPr>
          <w:rStyle w:val="AERbody"/>
        </w:rPr>
        <w:t xml:space="preserve"> proposed value of imputation credits of 0.25, calculated as the product of a distribution rate of 0.7 and a utilisation rate of 0.35 (see section </w:t>
      </w:r>
      <w:r w:rsidRPr="005764F6">
        <w:rPr>
          <w:rStyle w:val="AERbody"/>
        </w:rPr>
        <w:fldChar w:fldCharType="begin"/>
      </w:r>
      <w:r w:rsidRPr="005764F6">
        <w:rPr>
          <w:rStyle w:val="AERbody"/>
        </w:rPr>
        <w:instrText xml:space="preserve"> REF _Ref451709428 \r \h </w:instrText>
      </w:r>
      <w:r>
        <w:rPr>
          <w:rStyle w:val="AERbody"/>
        </w:rPr>
        <w:instrText xml:space="preserve"> \* MERGEFORMAT </w:instrText>
      </w:r>
      <w:r w:rsidRPr="005764F6">
        <w:rPr>
          <w:rStyle w:val="AERbody"/>
        </w:rPr>
      </w:r>
      <w:r w:rsidRPr="005764F6">
        <w:rPr>
          <w:rStyle w:val="AERbody"/>
        </w:rPr>
        <w:fldChar w:fldCharType="separate"/>
      </w:r>
      <w:r w:rsidR="007261FC">
        <w:rPr>
          <w:rStyle w:val="AERbody"/>
        </w:rPr>
        <w:t>4.2</w:t>
      </w:r>
      <w:r w:rsidRPr="005764F6">
        <w:rPr>
          <w:rStyle w:val="AERbody"/>
        </w:rPr>
        <w:fldChar w:fldCharType="end"/>
      </w:r>
      <w:r w:rsidRPr="005764F6">
        <w:rPr>
          <w:rStyle w:val="AERbody"/>
        </w:rPr>
        <w:t xml:space="preserve">). Specifically, we do not accept </w:t>
      </w:r>
      <w:r w:rsidR="00DB2758">
        <w:rPr>
          <w:rStyle w:val="AERbody"/>
        </w:rPr>
        <w:t>AusNet Services'</w:t>
      </w:r>
      <w:r w:rsidRPr="005764F6">
        <w:rPr>
          <w:rStyle w:val="AERbody"/>
        </w:rPr>
        <w:t xml:space="preserve"> proposed estimate of the utilisation rate of 0.35. This is because we do not consider it appropriate to rely exclusively on implied market value studies (or SFG's single dividend drop off study). This position is supported by a number of experts.</w:t>
      </w:r>
      <w:r w:rsidRPr="006D590A">
        <w:rPr>
          <w:rStyle w:val="FootnoteReference"/>
        </w:rPr>
        <w:footnoteReference w:id="101"/>
      </w:r>
      <w:r w:rsidRPr="000C3267">
        <w:rPr>
          <w:rStyle w:val="AERbody"/>
        </w:rPr>
        <w:t xml:space="preserve"> The South Australian Centre for Economic Studies suggested that dividend drop off studies be disregarded entirely.</w:t>
      </w:r>
      <w:r w:rsidRPr="006D590A">
        <w:rPr>
          <w:rStyle w:val="FootnoteReference"/>
        </w:rPr>
        <w:footnoteReference w:id="102"/>
      </w:r>
      <w:r w:rsidRPr="000C3267">
        <w:rPr>
          <w:rStyle w:val="AERbody"/>
        </w:rPr>
        <w:t xml:space="preserve"> </w:t>
      </w:r>
    </w:p>
    <w:p w:rsidR="00CA67C0" w:rsidRPr="00883125" w:rsidRDefault="00CA67C0" w:rsidP="00764AB1">
      <w:pPr>
        <w:numPr>
          <w:ilvl w:val="0"/>
          <w:numId w:val="24"/>
        </w:numPr>
      </w:pPr>
      <w:r w:rsidRPr="00883125">
        <w:t>Even if we were to rely solely on the estimate of the utilisation rate of 0.35 from SFG's study, we consider that a value of imputation credits of 0.25 is unreasonable. This is because:</w:t>
      </w:r>
    </w:p>
    <w:p w:rsidR="00CA67C0" w:rsidRPr="001D37D5" w:rsidRDefault="00CA67C0" w:rsidP="00CA67C0">
      <w:pPr>
        <w:pStyle w:val="AERbulletlistfirststyle"/>
      </w:pPr>
      <w:r w:rsidRPr="005764F6">
        <w:t>Handley and Lally advised that the proper use of this estimate of the utilisation rate requires its adjustment to 0.4. We agree with this adjustment which is required to correct for the incorrect post</w:t>
      </w:r>
      <w:r w:rsidR="0085172B">
        <w:t>-company pre-personal</w:t>
      </w:r>
      <w:r w:rsidRPr="001D37D5">
        <w:t xml:space="preserve">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w:t>
      </w:r>
      <w:r w:rsidR="0085172B">
        <w:t xml:space="preserve"> (pre-personal tax)</w:t>
      </w:r>
      <w:r w:rsidRPr="001D37D5">
        <w:t>. This is clear from Officer's definition of after tax net cash flows consistent with the post-tax vanilla WACC in formula (12) of his 1994 paper.</w:t>
      </w:r>
      <w:r w:rsidRPr="001D37D5">
        <w:rPr>
          <w:rStyle w:val="FootnoteReference"/>
        </w:rPr>
        <w:footnoteReference w:id="103"/>
      </w:r>
      <w:r w:rsidRPr="001D37D5">
        <w:t xml:space="preserve"> The incorrect post </w:t>
      </w:r>
      <w:r w:rsidR="0085172B">
        <w:t xml:space="preserve">(company) </w:t>
      </w:r>
      <w:r w:rsidRPr="001D37D5">
        <w:t>tax</w:t>
      </w:r>
      <w:r w:rsidR="0085172B">
        <w:t xml:space="preserve"> (pre-personal tax)</w:t>
      </w:r>
      <w:r w:rsidRPr="001D37D5">
        <w:t xml:space="preserve"> valuation of dividends (that will also be reflected in the estimated utilisation rate) is most likely due to differential personal taxes on dividends and capital gains which impact dividend drop off studies.</w:t>
      </w:r>
    </w:p>
    <w:p w:rsidR="00CA67C0" w:rsidRPr="001D37D5" w:rsidRDefault="00CA67C0" w:rsidP="00CA67C0">
      <w:pPr>
        <w:pStyle w:val="AERbulletlistfirststyle"/>
      </w:pPr>
      <w:r w:rsidRPr="00883125">
        <w:t xml:space="preserve">This is an estimate of the utilisation rate of investors in only listed equity, and therefore </w:t>
      </w:r>
      <w:r w:rsidRPr="001D37D5">
        <w:t xml:space="preserve">we remain of the view it should be paired with either an estimate of the distribution rate from only listed equity using the cumulative payout approach (that is, 0.75); or Lally's estimate for only listed equity estimated using the top 20 listed firms (that is, 0.83). </w:t>
      </w:r>
    </w:p>
    <w:p w:rsidR="00CA67C0" w:rsidRDefault="00CA67C0" w:rsidP="00764AB1">
      <w:pPr>
        <w:numPr>
          <w:ilvl w:val="0"/>
          <w:numId w:val="24"/>
        </w:numPr>
      </w:pPr>
      <w:r w:rsidRPr="00883125">
        <w:t xml:space="preserve">Therefore, even if </w:t>
      </w:r>
      <w:r w:rsidR="00DB2758">
        <w:t>AusNet Services'</w:t>
      </w:r>
      <w:r w:rsidRPr="00883125">
        <w:t xml:space="preserve"> proposed utilisation rate </w:t>
      </w:r>
      <w:r>
        <w:t xml:space="preserve">estimate </w:t>
      </w:r>
      <w:r w:rsidRPr="00883125">
        <w:t xml:space="preserve">is used, it yields a value of imputation credits of </w:t>
      </w:r>
      <w:r>
        <w:t xml:space="preserve">at least </w:t>
      </w:r>
      <w:r w:rsidRPr="00883125">
        <w:t xml:space="preserve">0.30 (0.4 x 0.75) rather than 0.25. However, with </w:t>
      </w:r>
      <w:r w:rsidRPr="00883125">
        <w:lastRenderedPageBreak/>
        <w:t>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7261FC">
        <w:t>4.4.1</w:t>
      </w:r>
      <w:r>
        <w:fldChar w:fldCharType="end"/>
      </w:r>
      <w:r>
        <w:t>).</w:t>
      </w:r>
    </w:p>
    <w:p w:rsidR="00CA67C0" w:rsidRPr="000C3267" w:rsidRDefault="00CA67C0" w:rsidP="00764AB1">
      <w:pPr>
        <w:numPr>
          <w:ilvl w:val="0"/>
          <w:numId w:val="24"/>
        </w:numPr>
        <w:rPr>
          <w:rStyle w:val="AERbody"/>
        </w:rPr>
      </w:pPr>
      <w:r w:rsidRPr="000C3267">
        <w:rPr>
          <w:rStyle w:val="AERbody"/>
        </w:rPr>
        <w:t>We remain of the view that limited reliance should be placed on market based studies. These studies are influenced by differential personal taxes and are determined by the marginal investor that is trading around the ex-dividend date. We consider market based studies are unlikely to provide an appropriate estimate for the utilisation rate. Therefore, given the data reliability issues with tax statistics, we consider the equity ownership 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on a</w:t>
      </w:r>
      <w:r w:rsidR="0085172B">
        <w:rPr>
          <w:rStyle w:val="AERbody"/>
        </w:rPr>
        <w:t xml:space="preserve"> post-company</w:t>
      </w:r>
      <w:r w:rsidRPr="000C3267">
        <w:rPr>
          <w:rStyle w:val="AERbody"/>
        </w:rPr>
        <w:t xml:space="preserve"> pre-personal tax and pre-personal costs basis.</w:t>
      </w:r>
      <w:r w:rsidRPr="005764F6">
        <w:rPr>
          <w:rStyle w:val="FootnoteReference"/>
        </w:rPr>
        <w:footnoteReference w:id="104"/>
      </w:r>
      <w:r w:rsidRPr="000C3267">
        <w:rPr>
          <w:rStyle w:val="AERbody"/>
        </w:rPr>
        <w:t xml:space="preserve"> We remain of the view the 45 day holding rule does not be have a material impact on the utilisation of imputation credits by otherwise eligible (that is, domestic) investors.</w:t>
      </w:r>
    </w:p>
    <w:p w:rsidR="00805EE0" w:rsidRPr="00E43EA2" w:rsidRDefault="00805EE0" w:rsidP="00805EE0">
      <w:pPr>
        <w:pStyle w:val="ListParagraph"/>
        <w:numPr>
          <w:ilvl w:val="0"/>
          <w:numId w:val="24"/>
        </w:numPr>
      </w:pPr>
      <w:r w:rsidRPr="00E43EA2">
        <w:t xml:space="preserve">In section </w:t>
      </w:r>
      <w:r w:rsidRPr="00E43EA2">
        <w:fldChar w:fldCharType="begin"/>
      </w:r>
      <w:r w:rsidRPr="00E43EA2">
        <w:instrText xml:space="preserve"> REF _Ref451240961 \r \h </w:instrText>
      </w:r>
      <w:r w:rsidRPr="00E43EA2">
        <w:fldChar w:fldCharType="separate"/>
      </w:r>
      <w:r w:rsidR="007261FC">
        <w:t>4.4.2</w:t>
      </w:r>
      <w:r w:rsidRPr="00E43EA2">
        <w:fldChar w:fldCharType="end"/>
      </w:r>
      <w:r w:rsidRPr="00E43EA2">
        <w:t xml:space="preserve"> (and appendix A) we </w:t>
      </w:r>
      <w:r>
        <w:t>address</w:t>
      </w:r>
      <w:r w:rsidRPr="00E43EA2">
        <w:t xml:space="preserve"> AusNet Service</w:t>
      </w:r>
      <w:r>
        <w:t>s</w:t>
      </w:r>
      <w:r w:rsidRPr="00E43EA2">
        <w:t xml:space="preserve"> proposal in more detail. We also </w:t>
      </w:r>
      <w:r>
        <w:t>address</w:t>
      </w:r>
      <w:r w:rsidRPr="00E43EA2">
        <w:t xml:space="preserve"> other service providers</w:t>
      </w:r>
      <w:r>
        <w:t>'</w:t>
      </w:r>
      <w:r w:rsidRPr="00E43EA2">
        <w:t xml:space="preserve"> revised proposals and late submissions </w:t>
      </w:r>
      <w:r>
        <w:t>relating to</w:t>
      </w:r>
      <w:r w:rsidRPr="00E43EA2">
        <w:t xml:space="preserve"> the recent Tribunal decision, which were submitted after AusNet submitted its proposal.</w:t>
      </w:r>
    </w:p>
    <w:p w:rsidR="00CA67C0" w:rsidRPr="001D37D5" w:rsidRDefault="00CA67C0" w:rsidP="00CA67C0">
      <w:pPr>
        <w:pStyle w:val="Heading3"/>
      </w:pPr>
      <w:bookmarkStart w:id="94" w:name="_Ref450761230"/>
      <w:bookmarkStart w:id="95" w:name="_Toc451842243"/>
      <w:bookmarkStart w:id="96" w:name="_Toc451938299"/>
      <w:bookmarkStart w:id="97" w:name="_Toc456614282"/>
      <w:r>
        <w:t>Evidence underlying our estimate of the value of imputation credits</w:t>
      </w:r>
      <w:bookmarkEnd w:id="94"/>
      <w:bookmarkEnd w:id="95"/>
      <w:bookmarkEnd w:id="96"/>
      <w:bookmarkEnd w:id="97"/>
      <w:r>
        <w:t xml:space="preserve"> </w:t>
      </w:r>
    </w:p>
    <w:p w:rsidR="00CA67C0" w:rsidRDefault="00CA67C0" w:rsidP="00CA67C0">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CA67C0" w:rsidRDefault="00CA67C0" w:rsidP="00CA67C0">
      <w:pPr>
        <w:pStyle w:val="HeadingBoldBlue"/>
      </w:pPr>
      <w:bookmarkStart w:id="98" w:name="_Toc456614283"/>
      <w:r>
        <w:t>The distribution rate</w:t>
      </w:r>
      <w:bookmarkEnd w:id="98"/>
    </w:p>
    <w:p w:rsidR="00CA67C0" w:rsidRDefault="00CA67C0" w:rsidP="00CA67C0">
      <w:r w:rsidRPr="00883125">
        <w:t>The distribution rate is the proportion of imputation credits generated by the benchmark efficient entity that is distributed to investors.</w:t>
      </w:r>
      <w:r w:rsidRPr="00883125">
        <w:rPr>
          <w:rStyle w:val="FootnoteReference"/>
        </w:rPr>
        <w:footnoteReference w:id="105"/>
      </w:r>
      <w:r w:rsidRPr="00883125">
        <w:t xml:space="preserve"> We consider</w:t>
      </w:r>
      <w:r>
        <w:t>:</w:t>
      </w:r>
      <w:r w:rsidRPr="00883125">
        <w:t xml:space="preserve"> </w:t>
      </w:r>
    </w:p>
    <w:p w:rsidR="00CA67C0" w:rsidRPr="001D37D5" w:rsidRDefault="00CA67C0" w:rsidP="00CA67C0">
      <w:pPr>
        <w:pStyle w:val="AERbulletlistfirststyle"/>
      </w:pPr>
      <w:r w:rsidRPr="00856171">
        <w:t xml:space="preserve">an estimate of 0.75 for the distribution rate is </w:t>
      </w:r>
      <w:r w:rsidRPr="001D37D5">
        <w:t xml:space="preserve">reasonable when considering estimates of the utilisation rate that relate to only listed equity. </w:t>
      </w:r>
    </w:p>
    <w:p w:rsidR="00CA67C0" w:rsidRPr="001D37D5" w:rsidRDefault="00CA67C0" w:rsidP="00CA67C0">
      <w:pPr>
        <w:pStyle w:val="AERbulletlistfirststyle"/>
      </w:pPr>
      <w:r w:rsidRPr="00856171">
        <w:lastRenderedPageBreak/>
        <w:t xml:space="preserve">an estimate of 0.7 for the distribution rate is </w:t>
      </w:r>
      <w:r w:rsidRPr="001D37D5">
        <w:t xml:space="preserve">reasonable when considering estimates of the utilisation rate that relate to all equity. </w:t>
      </w:r>
    </w:p>
    <w:p w:rsidR="00CA67C0" w:rsidRDefault="00CA67C0" w:rsidP="00764AB1">
      <w:pPr>
        <w:numPr>
          <w:ilvl w:val="0"/>
          <w:numId w:val="24"/>
        </w:numPr>
      </w:pPr>
      <w:r>
        <w:t>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note Lally effectively considers both 'matched' estimates will be too low given what he considers to be the best estimate of the market wide utilisation rate (of around 0.6) and the appropriate (firm specific) estimate of the distribution rate for a benchmark efficient entity (of 0.83).</w:t>
      </w:r>
      <w:r>
        <w:rPr>
          <w:rStyle w:val="FootnoteReference"/>
        </w:rPr>
        <w:footnoteReference w:id="106"/>
      </w:r>
      <w:r>
        <w:t xml:space="preserve"> </w:t>
      </w:r>
    </w:p>
    <w:p w:rsidR="00CA67C0" w:rsidRPr="00883125" w:rsidRDefault="00CA67C0" w:rsidP="00764AB1">
      <w:pPr>
        <w:numPr>
          <w:ilvl w:val="0"/>
          <w:numId w:val="24"/>
        </w:numPr>
      </w:pPr>
      <w:r w:rsidRPr="00883125">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07"/>
      </w:r>
      <w:r w:rsidRPr="00AE6B35">
        <w:t xml:space="preserve"> </w:t>
      </w:r>
      <w:r w:rsidRPr="00883125">
        <w:t>We use the cumulative payout ratio approach because it:</w:t>
      </w:r>
    </w:p>
    <w:p w:rsidR="00CA67C0" w:rsidRPr="00883125" w:rsidRDefault="00CA67C0" w:rsidP="00CA67C0">
      <w:pPr>
        <w:pStyle w:val="AERbulletlistfirststyle"/>
      </w:pPr>
      <w:r w:rsidRPr="00883125">
        <w:t>uses long-term, published data</w:t>
      </w:r>
    </w:p>
    <w:p w:rsidR="00CA67C0" w:rsidRPr="001D37D5" w:rsidRDefault="00CA67C0" w:rsidP="00CA67C0">
      <w:pPr>
        <w:pStyle w:val="AERbulletlistfirststyle"/>
      </w:pPr>
      <w:r w:rsidRPr="00883125">
        <w:t>is supported by the service providers, Gray (for SFG), Handley, and McKenzie and Partington</w:t>
      </w:r>
      <w:r w:rsidRPr="001D37D5">
        <w:rPr>
          <w:rStyle w:val="FootnoteReference"/>
        </w:rPr>
        <w:footnoteReference w:id="108"/>
      </w:r>
      <w:r w:rsidRPr="001D37D5">
        <w:t xml:space="preserve"> </w:t>
      </w:r>
    </w:p>
    <w:p w:rsidR="00CA67C0" w:rsidRPr="00883125" w:rsidRDefault="00CA67C0" w:rsidP="00CA67C0">
      <w:pPr>
        <w:pStyle w:val="AERbulletlistfirststyle"/>
      </w:pPr>
      <w:r w:rsidRPr="00883125">
        <w:t>is simple and intuitive.</w:t>
      </w:r>
    </w:p>
    <w:p w:rsidR="00CA67C0" w:rsidRPr="00856171" w:rsidRDefault="00CA67C0" w:rsidP="00CA67C0">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09"/>
      </w:r>
      <w:r w:rsidRPr="00856171">
        <w:t xml:space="preserve"> Hathaway found a similar estimate for the period 2004 to 2011.</w:t>
      </w:r>
      <w:r w:rsidRPr="00856171">
        <w:rPr>
          <w:rStyle w:val="FootnoteReference"/>
        </w:rPr>
        <w:footnoteReference w:id="110"/>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11"/>
      </w:r>
      <w:r w:rsidRPr="00856171">
        <w:t xml:space="preserve"> </w:t>
      </w:r>
    </w:p>
    <w:p w:rsidR="00CA67C0" w:rsidRPr="00856171" w:rsidRDefault="00CA67C0" w:rsidP="00CA67C0">
      <w:r w:rsidRPr="00883125">
        <w:t xml:space="preserve">Gray </w:t>
      </w:r>
      <w:r w:rsidRPr="00856171">
        <w:t>(for Frontier) updated the ATO data up to 2012-13 and found that the payout ratio for all equity latest year is 64% and the cumulative ratio is 67%.</w:t>
      </w:r>
      <w:r w:rsidRPr="00856171">
        <w:rPr>
          <w:rStyle w:val="FootnoteReference"/>
        </w:rPr>
        <w:footnoteReference w:id="112"/>
      </w:r>
      <w:r w:rsidRPr="00856171">
        <w:t xml:space="preserve"> However, recognising the volatility in the data Frontier considered that 0.7 distribution rate still remained appropriate </w:t>
      </w:r>
      <w:r w:rsidRPr="00856171">
        <w:lastRenderedPageBreak/>
        <w:t>for all equity.</w:t>
      </w:r>
      <w:r w:rsidRPr="00856171">
        <w:rPr>
          <w:rStyle w:val="FootnoteReference"/>
        </w:rPr>
        <w:footnoteReference w:id="113"/>
      </w:r>
      <w:r w:rsidRPr="00856171">
        <w:t xml:space="preserve"> We have updated this data to 2014 and find the cumulative payout ratio for listed equity is 0.75 and for all equity is 0.68. However, consistent with </w:t>
      </w:r>
      <w:r w:rsidR="00DB2758">
        <w:t>AusNet Services' proposal</w:t>
      </w:r>
      <w:r w:rsidRPr="00856171">
        <w:t>, we remain of the view that a distribution rate of 0.7 is appropriate for all equity.</w:t>
      </w:r>
    </w:p>
    <w:p w:rsidR="00CA67C0" w:rsidRPr="00883125" w:rsidRDefault="00CA67C0" w:rsidP="00764AB1">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14"/>
      </w:r>
      <w:r w:rsidRPr="00883125">
        <w:t xml:space="preserve"> We found a similar estimate for the period 2004 to 2011.</w:t>
      </w:r>
      <w:r w:rsidRPr="00883125">
        <w:rPr>
          <w:rStyle w:val="FootnoteReference"/>
        </w:rPr>
        <w:footnoteReference w:id="115"/>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16"/>
      </w:r>
      <w:r w:rsidRPr="00883125">
        <w:t xml:space="preserve"> In this </w:t>
      </w:r>
      <w:r w:rsidR="00F15ADC">
        <w:t xml:space="preserve">draft </w:t>
      </w:r>
      <w:r w:rsidRPr="00883125">
        <w:t xml:space="preserve">decision following a further update incorporating 2013 and 2014 data we consider an appropriate estimate of the distribution rate over only listed equity is 0.75. This is slightly lower than the value of 0.77 we used in </w:t>
      </w:r>
      <w:r>
        <w:t xml:space="preserve">our </w:t>
      </w:r>
      <w:r w:rsidRPr="00883125">
        <w:t xml:space="preserve">October and November 2015 decisions. </w:t>
      </w:r>
    </w:p>
    <w:p w:rsidR="00CA67C0" w:rsidRDefault="00CA67C0" w:rsidP="00764AB1">
      <w:pPr>
        <w:pStyle w:val="AERbulletlistfirststyle"/>
        <w:numPr>
          <w:ilvl w:val="0"/>
          <w:numId w:val="24"/>
        </w:numPr>
      </w:pPr>
      <w:r w:rsidRPr="00883125">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7261FC">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7261FC">
        <w:t>A.10</w:t>
      </w:r>
      <w:r>
        <w:fldChar w:fldCharType="end"/>
      </w:r>
      <w:r>
        <w:t>).</w:t>
      </w:r>
      <w:r>
        <w:rPr>
          <w:rStyle w:val="FootnoteReference"/>
        </w:rPr>
        <w:footnoteReference w:id="117"/>
      </w:r>
      <w:r>
        <w:t xml:space="preserve"> </w:t>
      </w:r>
    </w:p>
    <w:p w:rsidR="00CA67C0" w:rsidRDefault="00CA67C0" w:rsidP="00764AB1">
      <w:pPr>
        <w:pStyle w:val="AERbulletlistfirststyle"/>
        <w:numPr>
          <w:ilvl w:val="0"/>
          <w:numId w:val="24"/>
        </w:numPr>
      </w:pPr>
      <w:r>
        <w:t>In his latest report, 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18"/>
      </w:r>
    </w:p>
    <w:p w:rsidR="00CA67C0" w:rsidRPr="001D37D5" w:rsidRDefault="00CA67C0" w:rsidP="00CA67C0">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CA67C0" w:rsidRPr="00663AD0" w:rsidRDefault="00CA67C0" w:rsidP="00764AB1">
      <w:pPr>
        <w:pStyle w:val="AERbulletlistfirststyle"/>
        <w:numPr>
          <w:ilvl w:val="0"/>
          <w:numId w:val="24"/>
        </w:numPr>
        <w:rPr>
          <w:rStyle w:val="AERtexthighlight"/>
        </w:rPr>
      </w:pPr>
      <w:r>
        <w:t>I</w:t>
      </w:r>
      <w:r w:rsidRPr="005764F6">
        <w:t xml:space="preserve">n his latest report, </w:t>
      </w:r>
      <w:r>
        <w:t xml:space="preserve">Lally also </w:t>
      </w:r>
      <w:r w:rsidRPr="005764F6">
        <w:t>considered it is 'not essential but nor is it precluded' to 'match' distribution rates from all equity (all listed equity) to utilisation rates from all equity (all listed equity).</w:t>
      </w:r>
      <w:r w:rsidRPr="00757350">
        <w:rPr>
          <w:rStyle w:val="FootnoteReference"/>
        </w:rPr>
        <w:footnoteReference w:id="119"/>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20"/>
      </w:r>
      <w:r w:rsidRPr="005764F6">
        <w:t xml:space="preserve"> Following this, we consider it is not necessary to 'match' estimates of distribution rates and utilisation rates based on the dataset used</w:t>
      </w:r>
      <w:r>
        <w:rPr>
          <w:rStyle w:val="AERbody"/>
        </w:rPr>
        <w:t>; although we note the choice is open to us</w:t>
      </w:r>
      <w:r w:rsidRPr="00E64E9B">
        <w:rPr>
          <w:rStyle w:val="AERbody"/>
        </w:rPr>
        <w:t>.</w:t>
      </w:r>
      <w:r>
        <w:t xml:space="preserve"> While we principally maintain our previous approach (as is </w:t>
      </w:r>
      <w:r>
        <w:lastRenderedPageBreak/>
        <w:t xml:space="preserve">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21"/>
      </w:r>
      <w:r w:rsidRPr="00663AD0">
        <w:rPr>
          <w:rStyle w:val="AERtexthighlight"/>
        </w:rPr>
        <w:t xml:space="preserve"> </w:t>
      </w:r>
    </w:p>
    <w:p w:rsidR="00CA67C0" w:rsidRDefault="00CA67C0" w:rsidP="00CA67C0">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7261FC">
        <w:t>A.8</w:t>
      </w:r>
      <w:r>
        <w:fldChar w:fldCharType="end"/>
      </w:r>
      <w:r>
        <w:t xml:space="preserve"> and </w:t>
      </w:r>
      <w:r>
        <w:fldChar w:fldCharType="begin"/>
      </w:r>
      <w:r>
        <w:instrText xml:space="preserve"> REF _Ref415068711 \r \h </w:instrText>
      </w:r>
      <w:r>
        <w:fldChar w:fldCharType="separate"/>
      </w:r>
      <w:r w:rsidR="007261FC">
        <w:t>A.8.4</w:t>
      </w:r>
      <w:r>
        <w:fldChar w:fldCharType="end"/>
      </w:r>
      <w:r w:rsidRPr="00883125">
        <w:t>.</w:t>
      </w:r>
    </w:p>
    <w:p w:rsidR="00CA67C0" w:rsidRPr="00856171" w:rsidRDefault="00CA67C0" w:rsidP="00CA67C0">
      <w:pPr>
        <w:pStyle w:val="HeadingBoldBlue"/>
      </w:pPr>
      <w:bookmarkStart w:id="99" w:name="_Toc456614284"/>
      <w:r>
        <w:t>The utilisation</w:t>
      </w:r>
      <w:r w:rsidRPr="00856171">
        <w:t xml:space="preserve"> rate</w:t>
      </w:r>
      <w:bookmarkEnd w:id="99"/>
      <w:r w:rsidRPr="00856171">
        <w:t xml:space="preserve"> </w:t>
      </w:r>
    </w:p>
    <w:p w:rsidR="00CA67C0" w:rsidRPr="00883125" w:rsidRDefault="00CA67C0" w:rsidP="00764AB1">
      <w:pPr>
        <w:numPr>
          <w:ilvl w:val="0"/>
          <w:numId w:val="24"/>
        </w:numPr>
      </w:pPr>
      <w:r w:rsidRPr="00883125">
        <w:t>We understand the utilisation rate to be the utilisation value to investors in the market per dollar of imputation credits distributed.</w:t>
      </w:r>
      <w:r>
        <w:rPr>
          <w:rStyle w:val="FootnoteReference"/>
        </w:rPr>
        <w:footnoteReference w:id="122"/>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23"/>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reduce their tax or obtain a refund. </w:t>
      </w:r>
    </w:p>
    <w:p w:rsidR="00CA67C0" w:rsidRPr="00883125" w:rsidRDefault="00CA67C0" w:rsidP="00764AB1">
      <w:pPr>
        <w:pStyle w:val="AERbulletlistfirststyle"/>
        <w:numPr>
          <w:ilvl w:val="0"/>
          <w:numId w:val="24"/>
        </w:numPr>
      </w:pPr>
      <w:r>
        <w:t>This means</w:t>
      </w:r>
      <w:r w:rsidRPr="00883125">
        <w:t xml:space="preserve"> imputation credits expected to be utilised should be valued at full face value on a</w:t>
      </w:r>
      <w:r w:rsidR="0085172B">
        <w:t xml:space="preserve"> post-company</w:t>
      </w:r>
      <w:r w:rsidRPr="00883125">
        <w:t xml:space="preserve">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CA67C0" w:rsidRPr="00883125" w:rsidRDefault="00CA67C0" w:rsidP="00764AB1">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 We do not consider this is appropriate given our post (corporate) tax regulatory framework based on Officer 1994.</w:t>
      </w:r>
      <w:r w:rsidRPr="00856171">
        <w:rPr>
          <w:rStyle w:val="FootnoteReference"/>
        </w:rPr>
        <w:footnoteReference w:id="124"/>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25"/>
      </w:r>
    </w:p>
    <w:p w:rsidR="00CA67C0" w:rsidRPr="00883125" w:rsidRDefault="00CA67C0" w:rsidP="00764AB1">
      <w:pPr>
        <w:numPr>
          <w:ilvl w:val="0"/>
          <w:numId w:val="24"/>
        </w:numPr>
      </w:pPr>
      <w:r w:rsidRPr="00883125">
        <w:t>Consistent with the Guideline, when estimating the utilisation rate we place:</w:t>
      </w:r>
    </w:p>
    <w:p w:rsidR="00CA67C0" w:rsidRPr="00883125" w:rsidRDefault="00CA67C0" w:rsidP="00CA67C0">
      <w:pPr>
        <w:pStyle w:val="AERbulletlistfirststyle"/>
      </w:pPr>
      <w:r w:rsidRPr="00883125">
        <w:t>significant reliance upon the equity ownership approach</w:t>
      </w:r>
    </w:p>
    <w:p w:rsidR="00CA67C0" w:rsidRPr="00883125" w:rsidRDefault="00CA67C0" w:rsidP="00CA67C0">
      <w:pPr>
        <w:pStyle w:val="AERbulletlistfirststyle"/>
      </w:pPr>
      <w:r w:rsidRPr="00883125">
        <w:lastRenderedPageBreak/>
        <w:t>some reliance upon tax statistics</w:t>
      </w:r>
    </w:p>
    <w:p w:rsidR="00CA67C0" w:rsidRPr="001D37D5" w:rsidRDefault="00CA67C0" w:rsidP="00CA67C0">
      <w:pPr>
        <w:pStyle w:val="AERbulletlistfirststyle"/>
      </w:pPr>
      <w:r w:rsidRPr="00883125">
        <w:t>less reliance upon implied market value studies.</w:t>
      </w:r>
    </w:p>
    <w:p w:rsidR="00CA67C0" w:rsidRPr="00883125" w:rsidRDefault="00CA67C0" w:rsidP="00CA67C0">
      <w:r>
        <w:t>This weighting is supported by Lally.</w:t>
      </w:r>
      <w:r>
        <w:rPr>
          <w:rStyle w:val="FootnoteReference"/>
        </w:rPr>
        <w:footnoteReference w:id="126"/>
      </w:r>
    </w:p>
    <w:p w:rsidR="00CA67C0" w:rsidRDefault="00CA67C0" w:rsidP="00764AB1">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7261FC" w:rsidRPr="00883125">
        <w:t xml:space="preserve">table </w:t>
      </w:r>
      <w:r w:rsidR="007261FC">
        <w:rPr>
          <w:noProof/>
        </w:rPr>
        <w:t>4</w:t>
      </w:r>
      <w:r w:rsidR="007261FC">
        <w:noBreakHyphen/>
      </w:r>
      <w:r w:rsidR="007261FC">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7261FC" w:rsidRPr="00883125">
        <w:t xml:space="preserve">table </w:t>
      </w:r>
      <w:r w:rsidR="007261FC">
        <w:rPr>
          <w:noProof/>
        </w:rPr>
        <w:t>4</w:t>
      </w:r>
      <w:r w:rsidR="007261FC">
        <w:noBreakHyphen/>
      </w:r>
      <w:r w:rsidR="007261FC">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27"/>
      </w:r>
      <w:r w:rsidRPr="00883125">
        <w:t xml:space="preserve"> We discuss each approach in the sections below.</w:t>
      </w:r>
      <w:r w:rsidRPr="00883125">
        <w:rPr>
          <w:rStyle w:val="FootnoteReference"/>
        </w:rPr>
        <w:footnoteReference w:id="128"/>
      </w:r>
      <w:r w:rsidRPr="00883125">
        <w:t xml:space="preserve"> We depart from the Guideline by not relying upon the 'conceptual goalposts approach'.</w:t>
      </w:r>
    </w:p>
    <w:p w:rsidR="00CA67C0" w:rsidRDefault="00CA67C0" w:rsidP="00764AB1">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7261FC">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7261FC">
        <w:t>A.8</w:t>
      </w:r>
      <w:r w:rsidRPr="00883125">
        <w:fldChar w:fldCharType="end"/>
      </w:r>
      <w:r w:rsidRPr="00883125">
        <w:t xml:space="preserve">. </w:t>
      </w:r>
    </w:p>
    <w:p w:rsidR="00CA67C0" w:rsidRPr="00856171" w:rsidRDefault="00CA67C0" w:rsidP="00CA67C0">
      <w:pPr>
        <w:pStyle w:val="HeadingBoldItalic"/>
      </w:pPr>
      <w:bookmarkStart w:id="100" w:name="_Toc456614285"/>
      <w:r>
        <w:t>The equity ownership approach</w:t>
      </w:r>
      <w:bookmarkEnd w:id="100"/>
    </w:p>
    <w:p w:rsidR="00CA67C0" w:rsidRPr="00883125" w:rsidRDefault="00CA67C0" w:rsidP="00764AB1">
      <w:pPr>
        <w:numPr>
          <w:ilvl w:val="0"/>
          <w:numId w:val="24"/>
        </w:numPr>
      </w:pPr>
      <w:r w:rsidRPr="00883125">
        <w:t>We consider that the value-weighted proportion of domestic investors in the Australian equity market is a reasonable estimate of the utilisation rate. This is because, in general, domestic 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29"/>
      </w:r>
    </w:p>
    <w:p w:rsidR="00CA67C0" w:rsidRPr="00883125" w:rsidRDefault="00CA67C0" w:rsidP="00764AB1">
      <w:pPr>
        <w:numPr>
          <w:ilvl w:val="0"/>
          <w:numId w:val="24"/>
        </w:numPr>
      </w:pPr>
      <w:r w:rsidRPr="00883125">
        <w:t>We place significant reliance upon the equity ownership approach when considering estimates of the utilisation rate. This is because:</w:t>
      </w:r>
    </w:p>
    <w:p w:rsidR="00CA67C0" w:rsidRPr="00883125" w:rsidRDefault="00CA67C0" w:rsidP="00CA67C0">
      <w:pPr>
        <w:pStyle w:val="AERbulletlistfirststyle"/>
      </w:pPr>
      <w:r w:rsidRPr="00883125">
        <w:t>it is well aligned with the definition of the utilisation rate in the Monkhouse framework</w:t>
      </w:r>
    </w:p>
    <w:p w:rsidR="00CA67C0" w:rsidRPr="00883125" w:rsidRDefault="00CA67C0" w:rsidP="00CA67C0">
      <w:pPr>
        <w:pStyle w:val="AERbulletlistfirststyle"/>
      </w:pPr>
      <w:r w:rsidRPr="00883125">
        <w:t>it employs a relatively simple and intuitive methodology</w:t>
      </w:r>
    </w:p>
    <w:p w:rsidR="00CA67C0" w:rsidRPr="00883125" w:rsidRDefault="00CA67C0" w:rsidP="00CA67C0">
      <w:pPr>
        <w:pStyle w:val="AERbulletlistfirststyle"/>
      </w:pPr>
      <w:r w:rsidRPr="00883125">
        <w:t>it uses a reliable and transparent source of data</w:t>
      </w:r>
    </w:p>
    <w:p w:rsidR="00CA67C0" w:rsidRPr="001D37D5" w:rsidRDefault="00CA67C0" w:rsidP="00CA67C0">
      <w:pPr>
        <w:pStyle w:val="AERbulletlistfirststyle"/>
      </w:pPr>
      <w:r w:rsidRPr="00883125">
        <w:t>it provides estimates of the utilisation rate for investors in both all equity and only listed equity</w:t>
      </w:r>
    </w:p>
    <w:p w:rsidR="00CA67C0" w:rsidRDefault="00CA67C0" w:rsidP="00CA67C0">
      <w:r>
        <w:lastRenderedPageBreak/>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30"/>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CA67C0" w:rsidRDefault="00CA67C0" w:rsidP="00CA67C0">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31"/>
      </w:r>
      <w:r w:rsidRPr="004F21F7">
        <w:t xml:space="preserve"> </w:t>
      </w:r>
      <w:r>
        <w:t>We also note Lally's statement that:</w:t>
      </w:r>
      <w:r>
        <w:rPr>
          <w:rStyle w:val="FootnoteReference"/>
        </w:rPr>
        <w:footnoteReference w:id="132"/>
      </w:r>
    </w:p>
    <w:p w:rsidR="00CA67C0" w:rsidRPr="00883125" w:rsidRDefault="00CA67C0" w:rsidP="00CA67C0">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CA67C0" w:rsidRPr="00883125" w:rsidRDefault="00CA67C0" w:rsidP="00764AB1">
      <w:pPr>
        <w:numPr>
          <w:ilvl w:val="0"/>
          <w:numId w:val="24"/>
        </w:numPr>
      </w:pPr>
      <w:r w:rsidRPr="00883125">
        <w:t>We consider that a reasonable estimate for the utilisation rate from the equity ownership approach is between:</w:t>
      </w:r>
    </w:p>
    <w:p w:rsidR="00CA67C0" w:rsidRPr="00883125" w:rsidRDefault="00CA67C0" w:rsidP="00CA67C0">
      <w:pPr>
        <w:pStyle w:val="AERbulletlistfirststyle"/>
      </w:pPr>
      <w:r w:rsidRPr="00883125">
        <w:t>0.56 and 0.68, if all equity is considered</w:t>
      </w:r>
    </w:p>
    <w:p w:rsidR="00CA67C0" w:rsidRPr="00883125" w:rsidRDefault="00CA67C0" w:rsidP="00CA67C0">
      <w:pPr>
        <w:pStyle w:val="AERbulletlistfirststyle"/>
      </w:pPr>
      <w:r w:rsidRPr="00883125">
        <w:t>0.38 and 0.55, if only listed equity is considered.</w:t>
      </w:r>
    </w:p>
    <w:p w:rsidR="00CA67C0" w:rsidRDefault="00CA67C0" w:rsidP="00CA67C0">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CA67C0" w:rsidRDefault="00CA67C0" w:rsidP="00CA67C0">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7261FC">
        <w:t>A.12</w:t>
      </w:r>
      <w:r w:rsidRPr="00883125">
        <w:fldChar w:fldCharType="end"/>
      </w:r>
      <w:r w:rsidRPr="00883125">
        <w:t>.</w:t>
      </w:r>
    </w:p>
    <w:p w:rsidR="00CA67C0" w:rsidRPr="00856171" w:rsidRDefault="00CA67C0" w:rsidP="00CA67C0">
      <w:pPr>
        <w:pStyle w:val="HeadingBoldItalic"/>
      </w:pPr>
      <w:bookmarkStart w:id="101" w:name="_Toc456614286"/>
      <w:r>
        <w:t>Tax statistics</w:t>
      </w:r>
      <w:bookmarkEnd w:id="101"/>
    </w:p>
    <w:p w:rsidR="00CA67C0" w:rsidRPr="00883125" w:rsidRDefault="00CA67C0" w:rsidP="00764AB1">
      <w:pPr>
        <w:numPr>
          <w:ilvl w:val="0"/>
          <w:numId w:val="24"/>
        </w:numPr>
      </w:pPr>
      <w:r w:rsidRPr="00883125">
        <w:t xml:space="preserve">The ATO publishes aggregate statistics on the tax returns submitted by individuals, superannuation funds and companies, as well as on the imputation credits refunded to </w:t>
      </w:r>
      <w:r w:rsidRPr="00883125">
        <w:lastRenderedPageBreak/>
        <w:t>certain income tax exempt entities (for example, charities).</w:t>
      </w:r>
      <w:r w:rsidRPr="00883125">
        <w:rPr>
          <w:rStyle w:val="FootnoteReference"/>
        </w:rPr>
        <w:footnoteReference w:id="133"/>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an estimate of the utilisation rate</w:t>
      </w:r>
      <w:r>
        <w:t>.</w:t>
      </w:r>
    </w:p>
    <w:p w:rsidR="00CA67C0" w:rsidRDefault="00CA67C0" w:rsidP="00764AB1">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34"/>
      </w:r>
      <w:r w:rsidRPr="00883125">
        <w:t xml:space="preserve"> Lally considered that the tax statistics approach lacks precision, and he did not prefer it to the equity ownership approach.</w:t>
      </w:r>
      <w:r w:rsidRPr="00883125">
        <w:rPr>
          <w:rStyle w:val="FootnoteReference"/>
        </w:rPr>
        <w:footnoteReference w:id="135"/>
      </w:r>
      <w:r w:rsidRPr="00883125">
        <w:t xml:space="preserve"> However, Lally still preferred tax statistics to implied market value studies.</w:t>
      </w:r>
      <w:r w:rsidRPr="00883125">
        <w:rPr>
          <w:rStyle w:val="FootnoteReference"/>
        </w:rPr>
        <w:footnoteReference w:id="136"/>
      </w:r>
    </w:p>
    <w:p w:rsidR="00CA67C0" w:rsidRPr="00883125" w:rsidRDefault="00CA67C0" w:rsidP="00764AB1">
      <w:pPr>
        <w:numPr>
          <w:ilvl w:val="0"/>
          <w:numId w:val="24"/>
        </w:numPr>
      </w:pPr>
      <w:r w:rsidRPr="00883125">
        <w:t>We have placed less reliance upon tax statistics compared with the equity ownership approach because we consider that tax statistics have a number of limitations:</w:t>
      </w:r>
    </w:p>
    <w:p w:rsidR="00CA67C0" w:rsidRPr="001D37D5" w:rsidRDefault="00CA67C0" w:rsidP="00CA67C0">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Pr="001D37D5">
        <w:t>. Hathaway also identified a significant discrepancy associated with the tracking of imputation credits in the data that led him to 'urge all caution in using ATO statistics for any estimates of parameters concerned with [imputation] credits'.</w:t>
      </w:r>
      <w:r w:rsidRPr="001D37D5">
        <w:rPr>
          <w:rStyle w:val="FootnoteReference"/>
        </w:rPr>
        <w:footnoteReference w:id="137"/>
      </w:r>
    </w:p>
    <w:p w:rsidR="00CA67C0" w:rsidRPr="00883125" w:rsidRDefault="00CA67C0" w:rsidP="00CA67C0">
      <w:pPr>
        <w:pStyle w:val="AERbulletlistfirststyle"/>
      </w:pPr>
      <w:r w:rsidRPr="00883125">
        <w:t>They do not reflect the amount of credits refunded to individuals that do not have to fill out a tax return.</w:t>
      </w:r>
    </w:p>
    <w:p w:rsidR="00CA67C0" w:rsidRPr="001D37D5" w:rsidRDefault="00CA67C0" w:rsidP="00CA67C0">
      <w:pPr>
        <w:pStyle w:val="AERbulletlistfirststyle"/>
      </w:pPr>
      <w:r w:rsidRPr="00883125">
        <w:t>They might not reflect the amount of credits refunded to certain types of entities.</w:t>
      </w:r>
      <w:r w:rsidRPr="001D37D5">
        <w:rPr>
          <w:rStyle w:val="FootnoteReference"/>
        </w:rPr>
        <w:footnoteReference w:id="138"/>
      </w:r>
      <w:r w:rsidRPr="001D37D5">
        <w:t xml:space="preserve"> </w:t>
      </w:r>
    </w:p>
    <w:p w:rsidR="00CA67C0" w:rsidRPr="001D37D5" w:rsidRDefault="00CA67C0" w:rsidP="00CA67C0">
      <w:pPr>
        <w:pStyle w:val="AERbulletlistfirststyle"/>
      </w:pPr>
      <w:r w:rsidRPr="00883125">
        <w:lastRenderedPageBreak/>
        <w:t>They do not provide estimates of the utilisation rate for investors in only listed equity. Handley suggested that evidence from listed equity is more relevant to the benchmark efficient entity.</w:t>
      </w:r>
      <w:r w:rsidRPr="001D37D5">
        <w:rPr>
          <w:rStyle w:val="FootnoteReference"/>
        </w:rPr>
        <w:footnoteReference w:id="139"/>
      </w:r>
    </w:p>
    <w:p w:rsidR="00CA67C0" w:rsidRPr="001D37D5" w:rsidRDefault="00CA67C0" w:rsidP="00CA67C0">
      <w:pPr>
        <w:pStyle w:val="AERbulletlistfirststyle"/>
      </w:pPr>
      <w:r w:rsidRPr="005764F6">
        <w:t xml:space="preserve">Lally, in his latest report, considered tax statistics </w:t>
      </w:r>
      <w:r w:rsidRPr="001D37D5">
        <w:t>based estimates of the utilisation rate are unreliable and potentially biased.</w:t>
      </w:r>
      <w:r w:rsidRPr="001D37D5">
        <w:rPr>
          <w:rStyle w:val="FootnoteReference"/>
        </w:rPr>
        <w:footnoteReference w:id="140"/>
      </w:r>
      <w:r w:rsidRPr="001D37D5">
        <w:t xml:space="preserve"> </w:t>
      </w:r>
    </w:p>
    <w:p w:rsidR="00CA67C0" w:rsidRPr="00883125" w:rsidRDefault="00CA67C0" w:rsidP="00764AB1">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41"/>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CA67C0" w:rsidRPr="00883125" w:rsidRDefault="00CA67C0" w:rsidP="00764AB1">
      <w:pPr>
        <w:numPr>
          <w:ilvl w:val="0"/>
          <w:numId w:val="24"/>
        </w:numPr>
      </w:pPr>
      <w:r w:rsidRPr="00883125">
        <w:t>Since the Guideline, we have continued to examine this evidence. We now consider that greater reliance should be placed upon estimates that are:</w:t>
      </w:r>
    </w:p>
    <w:p w:rsidR="00CA67C0" w:rsidRPr="001D37D5" w:rsidRDefault="00CA67C0" w:rsidP="00CA67C0">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142"/>
      </w:r>
    </w:p>
    <w:p w:rsidR="00CA67C0" w:rsidRPr="001D37D5" w:rsidRDefault="00CA67C0" w:rsidP="00CA67C0">
      <w:pPr>
        <w:pStyle w:val="AERbulletlistfirststyle"/>
      </w:pPr>
      <w:r w:rsidRPr="00883125">
        <w:t>consistent with our estimates of the distribution rate</w:t>
      </w:r>
      <w:r w:rsidRPr="001D37D5">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1D37D5">
        <w:rPr>
          <w:rStyle w:val="FootnoteReference"/>
        </w:rPr>
        <w:footnoteReference w:id="143"/>
      </w:r>
      <w:r w:rsidRPr="001D37D5">
        <w:t xml:space="preserve"> </w:t>
      </w:r>
    </w:p>
    <w:p w:rsidR="00CA67C0" w:rsidRPr="00856171" w:rsidRDefault="00CA67C0" w:rsidP="00CA67C0">
      <w:r w:rsidRPr="00883125">
        <w:t xml:space="preserve">In this </w:t>
      </w:r>
      <w:r w:rsidR="00F15ADC">
        <w:t>draft</w:t>
      </w:r>
      <w:r w:rsidR="00471129">
        <w:t xml:space="preserve"> </w:t>
      </w:r>
      <w:r w:rsidRPr="00856171">
        <w:t>decision, we have regard to NERA's updated analysis of the ATO data to the 2012 tax year.</w:t>
      </w:r>
      <w:r w:rsidRPr="00856171">
        <w:rPr>
          <w:rStyle w:val="FootnoteReference"/>
        </w:rPr>
        <w:footnoteReference w:id="144"/>
      </w:r>
      <w:r w:rsidRPr="00856171">
        <w:t xml:space="preserve"> This analysis supports a distribution rate of 0.7 and a utilisation rate of 0.45. Using updated ATO data to the 2012-13 year, Gray (for Frontier) has estimated a slightly higher utilisation rate of 0.46 for the period 2004 to 2013. Our analysis uses updated ATO data up to 2013-14 and estimates a slightly higher utilisation rate of 0.48 for the period 2004 to 2014.</w:t>
      </w:r>
    </w:p>
    <w:p w:rsidR="00CA67C0" w:rsidRPr="00856171" w:rsidRDefault="00CA67C0" w:rsidP="00CA67C0">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t>Nevertheless, h</w:t>
      </w:r>
      <w:r w:rsidRPr="00F17E04">
        <w:t xml:space="preserve">aving regard to the potential data limitations and alternate </w:t>
      </w:r>
      <w:r w:rsidRPr="00F17E04">
        <w:lastRenderedPageBreak/>
        <w:t>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r w:rsidRPr="00856171">
        <w:t xml:space="preserve"> </w:t>
      </w:r>
    </w:p>
    <w:p w:rsidR="00CA67C0" w:rsidRDefault="00CA67C0" w:rsidP="00CA67C0">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7261FC">
        <w:t>A.13</w:t>
      </w:r>
      <w:r w:rsidRPr="00883125">
        <w:fldChar w:fldCharType="end"/>
      </w:r>
      <w:r w:rsidRPr="00883125">
        <w:t>.</w:t>
      </w:r>
    </w:p>
    <w:p w:rsidR="00CA67C0" w:rsidRPr="00856171" w:rsidRDefault="00CA67C0" w:rsidP="00CA67C0">
      <w:pPr>
        <w:pStyle w:val="HeadingBoldItalic"/>
      </w:pPr>
      <w:bookmarkStart w:id="102" w:name="_Toc456614287"/>
      <w:r>
        <w:t>Implied market value studies</w:t>
      </w:r>
      <w:bookmarkEnd w:id="102"/>
    </w:p>
    <w:p w:rsidR="00CA67C0" w:rsidRPr="00883125" w:rsidRDefault="00CA67C0" w:rsidP="00764AB1">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7261FC">
        <w:t>A.15.1</w:t>
      </w:r>
      <w:r w:rsidRPr="00883125">
        <w:fldChar w:fldCharType="end"/>
      </w:r>
      <w:r w:rsidRPr="00883125">
        <w:t>.</w:t>
      </w:r>
    </w:p>
    <w:p w:rsidR="00CA67C0" w:rsidRPr="00883125" w:rsidRDefault="00CA67C0" w:rsidP="00764AB1">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45"/>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46"/>
      </w:r>
      <w:r>
        <w:t xml:space="preserve"> In his latest report, Lally preferred both the equity ownership approach and tax statistics to dividend drop off studies.</w:t>
      </w:r>
      <w:r>
        <w:rPr>
          <w:rStyle w:val="FootnoteReference"/>
        </w:rPr>
        <w:footnoteReference w:id="147"/>
      </w:r>
    </w:p>
    <w:p w:rsidR="00CA67C0" w:rsidRPr="00883125" w:rsidRDefault="00CA67C0" w:rsidP="00764AB1">
      <w:pPr>
        <w:numPr>
          <w:ilvl w:val="0"/>
          <w:numId w:val="24"/>
        </w:numPr>
      </w:pPr>
      <w:r w:rsidRPr="00883125">
        <w:t>We also consider that these studies can be subject to a number of limitations. The limitations of implied market value studies can include:</w:t>
      </w:r>
    </w:p>
    <w:p w:rsidR="00CA67C0" w:rsidRPr="00883125" w:rsidRDefault="00CA67C0" w:rsidP="00CA67C0">
      <w:pPr>
        <w:pStyle w:val="AERbulletlistfirststyle"/>
      </w:pPr>
      <w:r w:rsidRPr="00883125">
        <w:t>These studies can produce nonsensical estimates of the utilisation rate; that is, greater than one or less than zero.</w:t>
      </w:r>
    </w:p>
    <w:p w:rsidR="00CA67C0" w:rsidRPr="00883125" w:rsidRDefault="00CA67C0" w:rsidP="00CA67C0">
      <w:pPr>
        <w:pStyle w:val="AERbulletlistfirststyle"/>
      </w:pPr>
      <w:r w:rsidRPr="00883125">
        <w:t xml:space="preserve">The results of these studies can be influenced by factors, such as differential personal taxes and risk, which are not relevant to the utilisation rate. The utilisation rate should be estimated on a </w:t>
      </w:r>
      <w:r w:rsidR="0085172B">
        <w:t xml:space="preserve">post-company </w:t>
      </w:r>
      <w:r w:rsidRPr="00883125">
        <w:t>pre-personal tax basis consistent with the allowed rate of return parameters and the post (corporate) tax framework in the NER/NGR.</w:t>
      </w:r>
    </w:p>
    <w:p w:rsidR="00CA67C0" w:rsidRPr="001D37D5" w:rsidRDefault="00CA67C0" w:rsidP="00CA67C0">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w:t>
      </w:r>
      <w:r w:rsidRPr="00883125">
        <w:lastRenderedPageBreak/>
        <w:t>dividend date.</w:t>
      </w:r>
      <w:r w:rsidRPr="001D37D5">
        <w:rPr>
          <w:rStyle w:val="FootnoteReference"/>
        </w:rPr>
        <w:footnoteReference w:id="148"/>
      </w:r>
      <w:r w:rsidRPr="001D37D5">
        <w:t xml:space="preserve"> There is no reason to assume this reflects the value that long term investors who provide capital to a benchmark efficient entity place on imputation credits in aggregate. There is also no reason to assume this value will show what proportion of company tax is a prepayment of personal tax.</w:t>
      </w:r>
      <w:r w:rsidRPr="001D37D5">
        <w:rPr>
          <w:rStyle w:val="FootnoteReference"/>
        </w:rPr>
        <w:footnoteReference w:id="149"/>
      </w:r>
    </w:p>
    <w:p w:rsidR="00CA67C0" w:rsidRPr="00883125" w:rsidRDefault="00CA67C0" w:rsidP="00CA67C0">
      <w:pPr>
        <w:pStyle w:val="AERbulletlistfirststyle"/>
      </w:pPr>
      <w:r w:rsidRPr="00883125">
        <w:t>These studies can be data intensive and employ complex and sometimes problematic estimation methodologies.</w:t>
      </w:r>
    </w:p>
    <w:p w:rsidR="00CA67C0" w:rsidRPr="00883125" w:rsidRDefault="00CA67C0" w:rsidP="00CA67C0">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CA67C0" w:rsidRDefault="00CA67C0" w:rsidP="00764AB1">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7261FC">
        <w:t>A.15</w:t>
      </w:r>
      <w:r>
        <w:fldChar w:fldCharType="end"/>
      </w:r>
      <w:r w:rsidRPr="00883125">
        <w:t>.</w:t>
      </w:r>
      <w:r w:rsidRPr="00375E4D">
        <w:t xml:space="preserve"> </w:t>
      </w:r>
      <w:r>
        <w:t>However, we note here the following statement from Lally's latest report:</w:t>
      </w:r>
      <w:r>
        <w:rPr>
          <w:rStyle w:val="FootnoteReference"/>
        </w:rPr>
        <w:footnoteReference w:id="150"/>
      </w:r>
    </w:p>
    <w:p w:rsidR="00CA67C0" w:rsidRPr="00883125" w:rsidRDefault="00CA67C0" w:rsidP="00CA67C0">
      <w:pPr>
        <w:pStyle w:val="AERquote"/>
      </w:pPr>
      <w:r w:rsidRPr="00375E4D">
        <w:t>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behaviour around ex-days, and the need to correct the estimated coefficient on imputation credits for the difference in the tax rate on capital gains and dividends.</w:t>
      </w:r>
    </w:p>
    <w:p w:rsidR="00CA67C0" w:rsidRPr="00883125" w:rsidRDefault="00CA67C0" w:rsidP="00764AB1">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7261FC">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CA67C0" w:rsidRPr="001D37D5" w:rsidRDefault="00CA67C0" w:rsidP="00CA67C0">
      <w:pPr>
        <w:pStyle w:val="AERbulletlistfirststyle"/>
      </w:pPr>
      <w:r w:rsidRPr="00883125">
        <w:t>Gray (for SFG) considered that implied market value studies should be relied upon exclusively when estimating the (after-personal-tax and after-personal-costs) utilisation rate. Moreover, he considered that dividend drop off studies should be preferred to alternative market studies. In Gray's view, there is no reasonable basis for adopting an estimate from dividend drop off analysis above the 0.35 estimate from SFG's study.</w:t>
      </w:r>
      <w:r w:rsidRPr="001D37D5">
        <w:rPr>
          <w:rStyle w:val="FootnoteReference"/>
        </w:rPr>
        <w:footnoteReference w:id="151"/>
      </w:r>
    </w:p>
    <w:p w:rsidR="00CA67C0" w:rsidRPr="001D37D5" w:rsidRDefault="00CA67C0" w:rsidP="00CA67C0">
      <w:pPr>
        <w:pStyle w:val="AERbulletlistfirststyle"/>
      </w:pPr>
      <w:r w:rsidRPr="00883125">
        <w:lastRenderedPageBreak/>
        <w:t>The Economic Regulation Authority of Western Australia (ERA) conducted its own dividend drop off study and concluded that a reasonable estimate is between 0.35 and 0.55.</w:t>
      </w:r>
      <w:r w:rsidRPr="001D37D5">
        <w:rPr>
          <w:rStyle w:val="FootnoteReference"/>
        </w:rPr>
        <w:footnoteReference w:id="152"/>
      </w:r>
    </w:p>
    <w:p w:rsidR="00CA67C0" w:rsidRPr="001D37D5" w:rsidRDefault="00CA67C0" w:rsidP="00CA67C0">
      <w:pPr>
        <w:pStyle w:val="AERbulletlistfirststyle"/>
      </w:pPr>
      <w:r w:rsidRPr="00883125">
        <w:t>Lally concurred with the view that implied market value studies 'warrant low weight', but suggested that some studies are more useful than others based on their characteristics.</w:t>
      </w:r>
      <w:r w:rsidRPr="001D37D5">
        <w:rPr>
          <w:rStyle w:val="FootnoteReference"/>
        </w:rPr>
        <w:footnoteReference w:id="153"/>
      </w:r>
      <w:r w:rsidRPr="001D37D5">
        <w:t xml:space="preserve"> Lally also raised a number of issues in relation to SFG's dividend drop off study.</w:t>
      </w:r>
      <w:r w:rsidRPr="001D37D5">
        <w:rPr>
          <w:rStyle w:val="FootnoteReference"/>
        </w:rPr>
        <w:footnoteReference w:id="154"/>
      </w:r>
      <w:r w:rsidRPr="001D37D5">
        <w:t xml:space="preserve"> In his latest report, Lally reaffirmed his view that 'minimal weight' should be placed on dividend drop off studies.</w:t>
      </w:r>
      <w:r w:rsidRPr="001D37D5">
        <w:rPr>
          <w:rStyle w:val="FootnoteReference"/>
        </w:rPr>
        <w:footnoteReference w:id="155"/>
      </w:r>
    </w:p>
    <w:p w:rsidR="00CA67C0" w:rsidRPr="001D37D5" w:rsidRDefault="00CA67C0" w:rsidP="00CA67C0">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1D37D5">
        <w:rPr>
          <w:rStyle w:val="FootnoteReference"/>
        </w:rPr>
        <w:footnoteReference w:id="156"/>
      </w:r>
    </w:p>
    <w:p w:rsidR="00CA67C0" w:rsidRPr="001D37D5" w:rsidRDefault="00CA67C0" w:rsidP="00CA67C0">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1D37D5">
        <w:rPr>
          <w:rStyle w:val="FootnoteReference"/>
        </w:rPr>
        <w:footnoteReference w:id="157"/>
      </w:r>
      <w:r w:rsidRPr="001D37D5">
        <w:t xml:space="preserve"> </w:t>
      </w:r>
    </w:p>
    <w:p w:rsidR="00CA67C0" w:rsidRPr="005764F6" w:rsidRDefault="00CA67C0" w:rsidP="00CA67C0">
      <w:pPr>
        <w:rPr>
          <w:rStyle w:val="AERbody"/>
        </w:rPr>
      </w:pPr>
      <w:r w:rsidRPr="005764F6">
        <w:rPr>
          <w:rStyle w:val="AERbody"/>
        </w:rPr>
        <w:t xml:space="preserve">A further issue regarding implied market value studies is the appropriate interpretation of their results. Handley and Lally both advised that in the rate of return framework investors are assumed to value one dollar of dividends at one dollar (on a </w:t>
      </w:r>
      <w:r w:rsidR="0085172B">
        <w:rPr>
          <w:rStyle w:val="AERbody"/>
        </w:rPr>
        <w:t xml:space="preserve">post-company </w:t>
      </w:r>
      <w:r w:rsidRPr="005764F6">
        <w:rPr>
          <w:rStyle w:val="AERbody"/>
        </w:rPr>
        <w:t>pre-personal-tax basis). This is certainly true of how the MRP is estimated, where the face value of 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58"/>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59"/>
      </w:r>
      <w:r w:rsidRPr="005764F6">
        <w:rPr>
          <w:rStyle w:val="AERbody"/>
        </w:rPr>
        <w:t xml:space="preserve"> Therefore, Handley and </w:t>
      </w:r>
      <w:r w:rsidRPr="005764F6">
        <w:rPr>
          <w:rStyle w:val="AERbody"/>
        </w:rPr>
        <w:lastRenderedPageBreak/>
        <w:t>Lally advised that the 0.35 estimate from SFG's dividend drop off study should in fact be interpreted as an estimate of around 0.4.</w:t>
      </w:r>
    </w:p>
    <w:p w:rsidR="00CA67C0" w:rsidRDefault="00CA67C0" w:rsidP="00764AB1">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post</w:t>
      </w:r>
      <w:r w:rsidR="00934BBB">
        <w:t xml:space="preserve">-company pre-personal </w:t>
      </w:r>
      <w:r>
        <w:t xml:space="preserve">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7261FC">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CA67C0" w:rsidRPr="00883125" w:rsidRDefault="00CA67C0" w:rsidP="00764AB1">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CA67C0" w:rsidRPr="00883125" w:rsidRDefault="00CA67C0" w:rsidP="00CA67C0">
      <w:pPr>
        <w:pStyle w:val="AERbulletlistfirststyle"/>
      </w:pPr>
      <w:r w:rsidRPr="00883125">
        <w:t>used longer data periods</w:t>
      </w:r>
    </w:p>
    <w:p w:rsidR="00CA67C0" w:rsidRPr="00883125" w:rsidRDefault="00CA67C0" w:rsidP="00CA67C0">
      <w:pPr>
        <w:pStyle w:val="AERbulletlistfirststyle"/>
      </w:pPr>
      <w:r w:rsidRPr="00883125">
        <w:t>used data since 2000, when the change in tax law entitled eligible investors to a refund of credits that exceeded their tax liability</w:t>
      </w:r>
    </w:p>
    <w:p w:rsidR="00CA67C0" w:rsidRPr="00883125" w:rsidRDefault="00CA67C0" w:rsidP="00CA67C0">
      <w:pPr>
        <w:pStyle w:val="AERbulletlistfirststyle"/>
      </w:pPr>
      <w:r w:rsidRPr="00883125">
        <w:t>encompassed the breadth of the market instead of just selected firms, and</w:t>
      </w:r>
    </w:p>
    <w:p w:rsidR="00CA67C0" w:rsidRPr="00883125" w:rsidRDefault="00CA67C0" w:rsidP="00CA67C0">
      <w:pPr>
        <w:pStyle w:val="AERbulletlistfirststyle"/>
      </w:pPr>
      <w:r w:rsidRPr="00883125">
        <w:t>appeared to use more reasonable and robust econometric treatments.</w:t>
      </w:r>
    </w:p>
    <w:p w:rsidR="00CA67C0" w:rsidRPr="00883125" w:rsidRDefault="00CA67C0" w:rsidP="00764AB1">
      <w:pPr>
        <w:numPr>
          <w:ilvl w:val="0"/>
          <w:numId w:val="24"/>
        </w:numPr>
      </w:pPr>
      <w:r w:rsidRPr="00883125">
        <w:t xml:space="preserve">However, in this </w:t>
      </w:r>
      <w:r w:rsidR="00F15ADC">
        <w:t xml:space="preserve">draft </w:t>
      </w:r>
      <w:r w:rsidRPr="00883125">
        <w:t>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60"/>
      </w:r>
      <w:r w:rsidRPr="00883125">
        <w:t xml:space="preserve"> In Gray's view (for SFG), there is no reasonable basis for adopting an estimate from dividend drop off analysis above the 0.35 estimate from SFG's study.</w:t>
      </w:r>
      <w:r w:rsidRPr="00883125">
        <w:rPr>
          <w:rStyle w:val="FootnoteReference"/>
        </w:rPr>
        <w:footnoteReference w:id="161"/>
      </w:r>
      <w:r w:rsidRPr="00883125">
        <w:t xml:space="preserve"> It appears that Gray (for Frontier) continues to hold this view.</w:t>
      </w:r>
      <w:r w:rsidRPr="00883125">
        <w:rPr>
          <w:rStyle w:val="FootnoteReference"/>
        </w:rPr>
        <w:footnoteReference w:id="162"/>
      </w:r>
      <w:r w:rsidRPr="00883125">
        <w:t xml:space="preserve"> </w:t>
      </w:r>
    </w:p>
    <w:p w:rsidR="00CA67C0" w:rsidRPr="00883125" w:rsidRDefault="00CA67C0" w:rsidP="00764AB1">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7261FC">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w:t>
      </w:r>
      <w:r w:rsidRPr="00883125">
        <w:lastRenderedPageBreak/>
        <w:t>Gray's comments (for Frontier) on our consideration of "pre-2000 and low-quality studies"</w:t>
      </w:r>
      <w:r w:rsidRPr="00883125">
        <w:rPr>
          <w:rStyle w:val="FootnoteReference"/>
        </w:rPr>
        <w:footnoteReference w:id="163"/>
      </w:r>
      <w:r>
        <w:t xml:space="preserve"> </w:t>
      </w:r>
      <w:r w:rsidRPr="00883125">
        <w:t xml:space="preserve">we note that our having regard to more studies since the Guideline, including those that use pre 2000 data and those that estimate a value for theta between 0.5 and 1, was not material to our decision to set gamma at 0.4, and that we have had particular regard to SFG's dividend drop off study in making our decision. </w:t>
      </w:r>
    </w:p>
    <w:p w:rsidR="00CA67C0" w:rsidRDefault="00CA67C0" w:rsidP="00CA67C0">
      <w:r>
        <w:t>We discuss our consideration of implied market value studies in detail in section A.15.</w:t>
      </w:r>
    </w:p>
    <w:p w:rsidR="00CA67C0" w:rsidRPr="001D37D5" w:rsidRDefault="00CA67C0" w:rsidP="00CA67C0">
      <w:pPr>
        <w:pStyle w:val="Heading3"/>
      </w:pPr>
      <w:bookmarkStart w:id="103" w:name="_Ref451240961"/>
      <w:bookmarkStart w:id="104" w:name="_Ref451816460"/>
      <w:bookmarkStart w:id="105" w:name="_Toc451842244"/>
      <w:bookmarkStart w:id="106" w:name="_Toc451938300"/>
      <w:bookmarkStart w:id="107" w:name="_Toc456614288"/>
      <w:r>
        <w:t>Response to submissions by stakeholders</w:t>
      </w:r>
      <w:bookmarkEnd w:id="103"/>
      <w:bookmarkEnd w:id="104"/>
      <w:bookmarkEnd w:id="105"/>
      <w:bookmarkEnd w:id="106"/>
      <w:bookmarkEnd w:id="107"/>
    </w:p>
    <w:p w:rsidR="00CA67C0" w:rsidRDefault="00CA67C0" w:rsidP="00CA67C0">
      <w:r>
        <w:t xml:space="preserve">In section </w:t>
      </w:r>
      <w:r>
        <w:fldChar w:fldCharType="begin"/>
      </w:r>
      <w:r>
        <w:instrText xml:space="preserve"> REF _Ref415070393 \r \h </w:instrText>
      </w:r>
      <w:r>
        <w:fldChar w:fldCharType="separate"/>
      </w:r>
      <w:r w:rsidR="007261FC">
        <w:t>A.4</w:t>
      </w:r>
      <w:r>
        <w:fldChar w:fldCharType="end"/>
      </w:r>
      <w:r>
        <w:t xml:space="preserve">, we set out the key issues raised by </w:t>
      </w:r>
      <w:r w:rsidR="00DB2758">
        <w:t>AusNet Services</w:t>
      </w:r>
      <w:r>
        <w:t xml:space="preserve">, as well as the key issues raised by service providers we have assessed in the past (post-Guideline). The key issues raised are broadly consistent across the service providers. </w:t>
      </w:r>
    </w:p>
    <w:p w:rsidR="00CA67C0" w:rsidRDefault="00E43EA2" w:rsidP="00764AB1">
      <w:pPr>
        <w:numPr>
          <w:ilvl w:val="0"/>
          <w:numId w:val="24"/>
        </w:numPr>
      </w:pPr>
      <w:r w:rsidRPr="00883125">
        <w:t xml:space="preserve">Since </w:t>
      </w:r>
      <w:r>
        <w:t>AusNet Services</w:t>
      </w:r>
      <w:r w:rsidRPr="00883125">
        <w:t xml:space="preserve"> submitted </w:t>
      </w:r>
      <w:r>
        <w:t>its</w:t>
      </w:r>
      <w:r w:rsidRPr="00883125">
        <w:t xml:space="preserve"> proposal, </w:t>
      </w:r>
      <w:r>
        <w:t>a number of other service providers have submitted revised proposals and made late submissions.</w:t>
      </w:r>
      <w:r>
        <w:rPr>
          <w:rStyle w:val="FootnoteReference"/>
        </w:rPr>
        <w:footnoteReference w:id="164"/>
      </w:r>
      <w:r>
        <w:t xml:space="preserve"> The late </w:t>
      </w:r>
      <w:r w:rsidR="00CA67C0">
        <w:t xml:space="preserve">submissions have asked us to take into account a range of issues identified in </w:t>
      </w:r>
      <w:r w:rsidR="00CA67C0" w:rsidRPr="00883125">
        <w:t xml:space="preserve">the </w:t>
      </w:r>
      <w:r w:rsidR="00CA67C0">
        <w:t>Tribunal's</w:t>
      </w:r>
      <w:r w:rsidR="00CA67C0" w:rsidRPr="00883125">
        <w:t xml:space="preserve"> </w:t>
      </w:r>
      <w:r w:rsidR="00CA67C0">
        <w:t xml:space="preserve">recent </w:t>
      </w:r>
      <w:r w:rsidR="00CA67C0" w:rsidRPr="00883125">
        <w:t>decisions for ActewAGL Distribution, Ausgrid, Endeavour Energy, Essential Energy and Jemena Gas Networks.</w:t>
      </w:r>
      <w:r w:rsidR="00CA67C0">
        <w:rPr>
          <w:rStyle w:val="FootnoteReference"/>
        </w:rPr>
        <w:footnoteReference w:id="165"/>
      </w:r>
      <w:r w:rsidR="00CA67C0" w:rsidRPr="00883125">
        <w:t xml:space="preserve"> The Tribunal </w:t>
      </w:r>
      <w:r w:rsidR="00CA67C0">
        <w:t>ordered the remittal of our final decisions for these service providers, with directions to remake by reference to an estimated cost of corporate income tax based on a gamma of 0.25</w:t>
      </w:r>
      <w:r w:rsidR="00CA67C0" w:rsidRPr="00883125">
        <w:t>.</w:t>
      </w:r>
    </w:p>
    <w:p w:rsidR="00CA67C0" w:rsidRPr="00883125" w:rsidRDefault="00CA67C0" w:rsidP="00764AB1">
      <w:pPr>
        <w:numPr>
          <w:ilvl w:val="0"/>
          <w:numId w:val="24"/>
        </w:numPr>
      </w:pPr>
      <w:r>
        <w:t xml:space="preserve">As discussed in section </w:t>
      </w:r>
      <w:r>
        <w:fldChar w:fldCharType="begin"/>
      </w:r>
      <w:r>
        <w:instrText xml:space="preserve"> REF _Ref451246970 \r \h </w:instrText>
      </w:r>
      <w:r>
        <w:fldChar w:fldCharType="separate"/>
      </w:r>
      <w:r w:rsidR="007261FC">
        <w:t>4.1</w:t>
      </w:r>
      <w:r>
        <w:fldChar w:fldCharType="end"/>
      </w:r>
      <w:r>
        <w:t xml:space="preserve">, at this time we have not completed the remittal of our final </w:t>
      </w:r>
      <w:r w:rsidRPr="008C419F">
        <w:t>decisions for ActewAGL Distribution, Ausgrid, Endeavour Energy, Essential Energy and Jemena Gas Networks</w:t>
      </w:r>
      <w:r>
        <w:t>. As such, we have not fully considered the Tribunal’s reasons nor formed a concluded view on how they should be applied in future decisions. However, in the limited time available, we have reviewed the late submissions from United Energy, ActewAGL, CitiPower and Powercor.</w:t>
      </w:r>
      <w:r>
        <w:rPr>
          <w:rStyle w:val="FootnoteReference"/>
        </w:rPr>
        <w:footnoteReference w:id="166"/>
      </w:r>
      <w:r>
        <w:t xml:space="preserve"> We have updated this decision to include a limited response to the key issues raised in the late submissions, with reference to the Tribunal's reasoning on these specific issues. </w:t>
      </w:r>
    </w:p>
    <w:p w:rsidR="00E43EA2" w:rsidRPr="00E43EA2" w:rsidRDefault="00E43EA2" w:rsidP="00E43EA2">
      <w:pPr>
        <w:pStyle w:val="ListParagraph"/>
        <w:numPr>
          <w:ilvl w:val="0"/>
          <w:numId w:val="24"/>
        </w:numPr>
      </w:pPr>
      <w:r w:rsidRPr="00E43EA2">
        <w:fldChar w:fldCharType="begin"/>
      </w:r>
      <w:r w:rsidRPr="00E43EA2">
        <w:instrText xml:space="preserve"> REF _Ref450761546 \h </w:instrText>
      </w:r>
      <w:r w:rsidRPr="00E43EA2">
        <w:fldChar w:fldCharType="separate"/>
      </w:r>
      <w:r w:rsidR="007261FC">
        <w:t xml:space="preserve">Table </w:t>
      </w:r>
      <w:r w:rsidR="007261FC">
        <w:rPr>
          <w:noProof/>
        </w:rPr>
        <w:t>4</w:t>
      </w:r>
      <w:r w:rsidR="007261FC" w:rsidRPr="00856171">
        <w:noBreakHyphen/>
      </w:r>
      <w:r w:rsidR="007261FC">
        <w:rPr>
          <w:noProof/>
        </w:rPr>
        <w:t>5</w:t>
      </w:r>
      <w:r w:rsidRPr="00E43EA2">
        <w:fldChar w:fldCharType="end"/>
      </w:r>
      <w:r w:rsidRPr="00E43EA2">
        <w:t xml:space="preserve"> sets out the key issues raised by AusNet Services and other service providers in their recent proposals and late submissions. We also provide a summary of our response and a reference to our more detailed response. </w:t>
      </w:r>
    </w:p>
    <w:p w:rsidR="00CA67C0" w:rsidRPr="00856171" w:rsidRDefault="00CA67C0" w:rsidP="00CA67C0">
      <w:pPr>
        <w:pStyle w:val="Caption"/>
      </w:pPr>
      <w:bookmarkStart w:id="108" w:name="_Ref450761546"/>
      <w:r>
        <w:lastRenderedPageBreak/>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rsidRPr="00856171">
        <w:noBreakHyphen/>
      </w:r>
      <w:r w:rsidRPr="001D37D5">
        <w:fldChar w:fldCharType="begin"/>
      </w:r>
      <w:r>
        <w:instrText xml:space="preserve"> SEQ Table \* ARABIC \s 1 </w:instrText>
      </w:r>
      <w:r w:rsidRPr="001D37D5">
        <w:fldChar w:fldCharType="separate"/>
      </w:r>
      <w:r w:rsidR="007261FC">
        <w:rPr>
          <w:noProof/>
        </w:rPr>
        <w:t>5</w:t>
      </w:r>
      <w:r w:rsidRPr="001D37D5">
        <w:fldChar w:fldCharType="end"/>
      </w:r>
      <w:bookmarkEnd w:id="108"/>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851"/>
      </w:tblGrid>
      <w:tr w:rsidR="00CA67C0" w:rsidTr="00CA67C0">
        <w:trPr>
          <w:cnfStyle w:val="100000000000" w:firstRow="1" w:lastRow="0" w:firstColumn="0" w:lastColumn="0" w:oddVBand="0" w:evenVBand="0" w:oddHBand="0" w:evenHBand="0" w:firstRowFirstColumn="0" w:firstRowLastColumn="0" w:lastRowFirstColumn="0" w:lastRowLastColumn="0"/>
          <w:tblHeader/>
        </w:trPr>
        <w:tc>
          <w:tcPr>
            <w:tcW w:w="3652" w:type="dxa"/>
          </w:tcPr>
          <w:p w:rsidR="00CA67C0" w:rsidRPr="00CA67C0" w:rsidRDefault="00CA67C0" w:rsidP="00CA67C0">
            <w:r>
              <w:t>Issue</w:t>
            </w:r>
          </w:p>
        </w:tc>
        <w:tc>
          <w:tcPr>
            <w:tcW w:w="4394" w:type="dxa"/>
          </w:tcPr>
          <w:p w:rsidR="00CA67C0" w:rsidRPr="00CA67C0" w:rsidRDefault="00CA67C0" w:rsidP="00CA67C0">
            <w:r>
              <w:t>Summary of response</w:t>
            </w:r>
          </w:p>
        </w:tc>
        <w:tc>
          <w:tcPr>
            <w:tcW w:w="851" w:type="dxa"/>
          </w:tcPr>
          <w:p w:rsidR="00CA67C0" w:rsidRPr="00CA67C0" w:rsidRDefault="00CA67C0" w:rsidP="00CA67C0">
            <w:r>
              <w:t>S</w:t>
            </w:r>
            <w:r w:rsidRPr="00CA67C0">
              <w:t>ection</w:t>
            </w:r>
          </w:p>
        </w:tc>
      </w:tr>
      <w:tr w:rsidR="00CA67C0" w:rsidTr="00CA67C0">
        <w:tc>
          <w:tcPr>
            <w:tcW w:w="3652" w:type="dxa"/>
          </w:tcPr>
          <w:p w:rsidR="00CA67C0" w:rsidRPr="00CA67C0" w:rsidRDefault="00CA67C0" w:rsidP="00CA67C0">
            <w:pPr>
              <w:rPr>
                <w:rStyle w:val="Strong"/>
              </w:rPr>
            </w:pPr>
            <w:r w:rsidRPr="00E82D06">
              <w:rPr>
                <w:rStyle w:val="Strong"/>
              </w:rPr>
              <w:t>Conceptual framework</w:t>
            </w:r>
          </w:p>
        </w:tc>
        <w:tc>
          <w:tcPr>
            <w:tcW w:w="4394" w:type="dxa"/>
          </w:tcPr>
          <w:p w:rsidR="00CA67C0" w:rsidRDefault="00CA67C0" w:rsidP="00CA67C0"/>
        </w:tc>
        <w:tc>
          <w:tcPr>
            <w:tcW w:w="851" w:type="dxa"/>
          </w:tcPr>
          <w:p w:rsidR="00CA67C0" w:rsidRDefault="00CA67C0" w:rsidP="00CA67C0"/>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r>
              <w:t xml:space="preserve">Our </w:t>
            </w:r>
            <w:r w:rsidRPr="00CA67C0">
              <w:t>conceptual approach to gamma, redefining it as the value of imputation credits that are available for redemption, is inconsistent with the concept of gamma in the Officer framework for the WACC and inconsistent with the requirements of the NGR</w:t>
            </w:r>
            <w:r w:rsidR="003E1CE7">
              <w:t>/NER and the NGO/NEO</w:t>
            </w:r>
            <w:r w:rsidRPr="00CA67C0">
              <w:t>. It is also inconsistent with the objective of ensuring a market rate of return on equity.</w:t>
            </w:r>
            <w:r w:rsidRPr="00CA67C0">
              <w:rPr>
                <w:rStyle w:val="FootnoteReference"/>
              </w:rPr>
              <w:footnoteReference w:id="167"/>
            </w:r>
          </w:p>
          <w:p w:rsidR="00CA67C0" w:rsidRPr="00CA67C0" w:rsidRDefault="00CA67C0" w:rsidP="00CA67C0">
            <w:r>
              <w:t>The Tribunal considered</w:t>
            </w:r>
            <w:r w:rsidRPr="00CA67C0">
              <w:t xml:space="preserve">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CA67C0">
              <w:rPr>
                <w:rStyle w:val="FootnoteReference"/>
              </w:rPr>
              <w:footnoteReference w:id="168"/>
            </w:r>
          </w:p>
        </w:tc>
        <w:tc>
          <w:tcPr>
            <w:tcW w:w="4394" w:type="dxa"/>
          </w:tcPr>
          <w:p w:rsidR="00CA67C0" w:rsidRPr="00CA67C0" w:rsidRDefault="00CA67C0" w:rsidP="00CA67C0">
            <w:r w:rsidRPr="00365D40">
              <w:t xml:space="preserve">We have not redefined gamma as the value of imputation credits available for redemption. Rather, our conceptual approach considers </w:t>
            </w:r>
            <w:r w:rsidRPr="00CA67C0">
              <w:t xml:space="preserve">imputation credits should be valued on a post-company tax basis, before the impact of personal taxes and transaction costs. This </w:t>
            </w:r>
            <w:r w:rsidR="00DB2758">
              <w:t xml:space="preserve">corresponds to valuing imputation credits </w:t>
            </w:r>
            <w:r w:rsidR="004B144E">
              <w:t xml:space="preserve">utilised by eligible investors </w:t>
            </w:r>
            <w:r w:rsidR="00DB2758">
              <w:t xml:space="preserve">at their face value and </w:t>
            </w:r>
            <w:r w:rsidRPr="00CA67C0">
              <w:t xml:space="preserve">is consistent with the Officer framework. Based on this, we consider gamma to be equal to the product of the distribution rate and the utilisation rate to investors in the market per dollar of credits distributed (the 'utilisation rate'). </w:t>
            </w:r>
          </w:p>
          <w:p w:rsidR="00CA67C0" w:rsidRPr="00CA67C0" w:rsidRDefault="00CA67C0" w:rsidP="00CA67C0">
            <w:r>
              <w:t xml:space="preserve">The equity ownership approach and tax statistics are consistent with our conceptual approach. They value </w:t>
            </w:r>
            <w:r w:rsidRPr="00CA67C0">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CA67C0" w:rsidRPr="00CA67C0" w:rsidRDefault="00CA67C0" w:rsidP="00CA67C0">
            <w:r>
              <w:t>Also, v</w:t>
            </w:r>
            <w:r w:rsidRPr="00CA67C0">
              <w:t>aluing imputation credits at face value is consistent with how all inputs into the allowed rate of return are estimated.</w:t>
            </w:r>
          </w:p>
          <w:p w:rsidR="00CA67C0" w:rsidRPr="00CA67C0" w:rsidRDefault="00CA67C0" w:rsidP="00CA67C0">
            <w:r>
              <w:t>In regards to the 'factors', w</w:t>
            </w:r>
            <w:r w:rsidRPr="00CA67C0">
              <w:t>e have received advice from Handley on these factors. We consider such factors are either immaterial or should not be accounted for when estimating the properly defined utilisation rate.</w:t>
            </w:r>
          </w:p>
        </w:tc>
        <w:tc>
          <w:tcPr>
            <w:tcW w:w="851" w:type="dxa"/>
          </w:tcPr>
          <w:p w:rsidR="00CA67C0" w:rsidRPr="00CA67C0" w:rsidRDefault="00CA67C0" w:rsidP="00CA67C0">
            <w:r w:rsidRPr="00CA67C0">
              <w:fldChar w:fldCharType="begin"/>
            </w:r>
            <w:r w:rsidRPr="00CA67C0">
              <w:instrText xml:space="preserve"> REF _Ref451789904 \r \h </w:instrText>
            </w:r>
            <w:r w:rsidRPr="00CA67C0">
              <w:fldChar w:fldCharType="separate"/>
            </w:r>
            <w:r w:rsidR="007261FC">
              <w:t>4.1</w:t>
            </w:r>
            <w:r w:rsidRPr="00CA67C0">
              <w:fldChar w:fldCharType="end"/>
            </w:r>
          </w:p>
          <w:p w:rsidR="00CA67C0" w:rsidRPr="00CA67C0" w:rsidRDefault="00CA67C0" w:rsidP="00CA67C0">
            <w:r w:rsidRPr="00CA67C0">
              <w:fldChar w:fldCharType="begin"/>
            </w:r>
            <w:r w:rsidRPr="00CA67C0">
              <w:instrText xml:space="preserve"> REF _Ref416802130 \r \h </w:instrText>
            </w:r>
            <w:r w:rsidRPr="00CA67C0">
              <w:fldChar w:fldCharType="separate"/>
            </w:r>
            <w:r w:rsidR="007261FC">
              <w:t>4.3.1</w:t>
            </w:r>
            <w:r w:rsidRPr="00CA67C0">
              <w:fldChar w:fldCharType="end"/>
            </w:r>
          </w:p>
          <w:p w:rsidR="00CA67C0" w:rsidRPr="00CA67C0" w:rsidRDefault="00CA67C0" w:rsidP="00CA67C0">
            <w:r w:rsidRPr="00CA67C0">
              <w:fldChar w:fldCharType="begin"/>
            </w:r>
            <w:r w:rsidRPr="00CA67C0">
              <w:instrText xml:space="preserve"> REF _Ref415144114 \r \h </w:instrText>
            </w:r>
            <w:r w:rsidRPr="00CA67C0">
              <w:fldChar w:fldCharType="separate"/>
            </w:r>
            <w:r w:rsidR="007261FC">
              <w:t>A.5</w:t>
            </w:r>
            <w:r w:rsidRPr="00CA67C0">
              <w:fldChar w:fldCharType="end"/>
            </w:r>
          </w:p>
          <w:p w:rsidR="00CA67C0" w:rsidRPr="00CA67C0" w:rsidRDefault="00CA67C0" w:rsidP="00CA67C0">
            <w:r w:rsidRPr="00CA67C0">
              <w:fldChar w:fldCharType="begin"/>
            </w:r>
            <w:r w:rsidRPr="00CA67C0">
              <w:instrText xml:space="preserve"> REF _Ref400965182 \r \h </w:instrText>
            </w:r>
            <w:r w:rsidRPr="00CA67C0">
              <w:fldChar w:fldCharType="separate"/>
            </w:r>
            <w:r w:rsidR="007261FC">
              <w:t>A.6</w:t>
            </w:r>
            <w:r w:rsidRPr="00CA67C0">
              <w:fldChar w:fldCharType="end"/>
            </w:r>
          </w:p>
          <w:p w:rsidR="00CA67C0" w:rsidRPr="00CA67C0" w:rsidRDefault="00CA67C0" w:rsidP="00CA67C0">
            <w:r w:rsidRPr="00CA67C0">
              <w:fldChar w:fldCharType="begin"/>
            </w:r>
            <w:r w:rsidRPr="00CA67C0">
              <w:instrText xml:space="preserve"> REF _Ref451789926 \r \h </w:instrText>
            </w:r>
            <w:r w:rsidRPr="00CA67C0">
              <w:fldChar w:fldCharType="separate"/>
            </w:r>
            <w:r w:rsidR="007261FC">
              <w:t>A.7</w:t>
            </w:r>
            <w:r w:rsidRPr="00CA67C0">
              <w:fldChar w:fldCharType="end"/>
            </w:r>
          </w:p>
          <w:p w:rsidR="00CA67C0" w:rsidRPr="00CA67C0" w:rsidRDefault="00CA67C0" w:rsidP="00CA67C0">
            <w:r w:rsidRPr="00CA67C0">
              <w:fldChar w:fldCharType="begin"/>
            </w:r>
            <w:r w:rsidRPr="00CA67C0">
              <w:instrText xml:space="preserve"> REF _Ref414623120 \r \h </w:instrText>
            </w:r>
            <w:r w:rsidRPr="00CA67C0">
              <w:fldChar w:fldCharType="separate"/>
            </w:r>
            <w:r w:rsidR="007261FC">
              <w:t>A.8</w:t>
            </w:r>
            <w:r w:rsidRPr="00CA67C0">
              <w:fldChar w:fldCharType="end"/>
            </w:r>
          </w:p>
        </w:tc>
      </w:tr>
      <w:tr w:rsidR="00CA67C0" w:rsidTr="00CA67C0">
        <w:tc>
          <w:tcPr>
            <w:tcW w:w="3652" w:type="dxa"/>
          </w:tcPr>
          <w:p w:rsidR="00CA67C0" w:rsidRPr="00CA67C0" w:rsidRDefault="00CA67C0" w:rsidP="00CA67C0">
            <w:pPr>
              <w:rPr>
                <w:rStyle w:val="Strong"/>
              </w:rPr>
            </w:pPr>
            <w:r w:rsidRPr="00E82D06">
              <w:rPr>
                <w:rStyle w:val="Strong"/>
              </w:rPr>
              <w:t>Distribution rate</w:t>
            </w:r>
          </w:p>
        </w:tc>
        <w:tc>
          <w:tcPr>
            <w:tcW w:w="4394" w:type="dxa"/>
          </w:tcPr>
          <w:p w:rsidR="00CA67C0" w:rsidRDefault="00CA67C0" w:rsidP="00CA67C0"/>
        </w:tc>
        <w:tc>
          <w:tcPr>
            <w:tcW w:w="851" w:type="dxa"/>
          </w:tcPr>
          <w:p w:rsidR="00CA67C0" w:rsidRDefault="00CA67C0" w:rsidP="00CA67C0"/>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r>
              <w:t>It is appropriate to use an all equity based estimate of the distribution rate.</w:t>
            </w:r>
            <w:r w:rsidRPr="00CA67C0">
              <w:rPr>
                <w:rStyle w:val="FootnoteReference"/>
              </w:rPr>
              <w:footnoteReference w:id="169"/>
            </w:r>
            <w:r w:rsidRPr="00CA67C0">
              <w:t xml:space="preserve"> The </w:t>
            </w:r>
            <w:r w:rsidRPr="00CA67C0">
              <w:lastRenderedPageBreak/>
              <w:t>distribution rate for listed equity is likely to be a poor proxy for a benchmark efficient entity.</w:t>
            </w:r>
            <w:r w:rsidRPr="00CA67C0">
              <w:rPr>
                <w:rStyle w:val="FootnoteReference"/>
              </w:rPr>
              <w:footnoteReference w:id="170"/>
            </w:r>
          </w:p>
          <w:p w:rsidR="00CA67C0" w:rsidRPr="00CA67C0" w:rsidRDefault="00CA67C0" w:rsidP="00CA67C0">
            <w:r w:rsidRPr="00692B72">
              <w:t>The Tribunal considered we provided insufficient</w:t>
            </w:r>
            <w:r w:rsidRPr="00CA67C0">
              <w:t xml:space="preserve"> reasoning for introducing listed equity distribution rate.</w:t>
            </w:r>
            <w:r w:rsidRPr="00CA67C0">
              <w:rPr>
                <w:rStyle w:val="FootnoteReference"/>
              </w:rPr>
              <w:footnoteReference w:id="171"/>
            </w:r>
          </w:p>
        </w:tc>
        <w:tc>
          <w:tcPr>
            <w:tcW w:w="4394" w:type="dxa"/>
          </w:tcPr>
          <w:p w:rsidR="00CA67C0" w:rsidRPr="00CA67C0" w:rsidRDefault="00CA67C0" w:rsidP="00CA67C0">
            <w:r>
              <w:lastRenderedPageBreak/>
              <w:t xml:space="preserve">We consider the use of a </w:t>
            </w:r>
            <w:r w:rsidRPr="00CA67C0">
              <w:t xml:space="preserve">distribution rate for listed equity is open to us and reasonably reflective of a benchmark </w:t>
            </w:r>
            <w:r w:rsidRPr="00CA67C0">
              <w:lastRenderedPageBreak/>
              <w:t>efficient entity given the difficulties associated with choosing a representative dataset. Lally also recommends distribution rate based on listed equity for a benchmark efficient entity, although he estimates this using financial statements of the top 20 listed firms.</w:t>
            </w:r>
          </w:p>
          <w:p w:rsidR="00CA67C0" w:rsidRPr="00CA67C0" w:rsidRDefault="00CA67C0" w:rsidP="00CA67C0">
            <w:r>
              <w:t>Further, w</w:t>
            </w:r>
            <w:r w:rsidRPr="00CA67C0">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CA67C0" w:rsidRPr="00CA67C0" w:rsidRDefault="00CA67C0" w:rsidP="00CA67C0">
            <w:r w:rsidRPr="000076F2">
              <w:t>Finally, it is not clear that foreign income results in a higher imputation payout ratio. In fact, Lally's analysis suggests the opposite.</w:t>
            </w:r>
          </w:p>
        </w:tc>
        <w:tc>
          <w:tcPr>
            <w:tcW w:w="851" w:type="dxa"/>
          </w:tcPr>
          <w:p w:rsidR="00CA67C0" w:rsidRPr="00CA67C0" w:rsidRDefault="00CA67C0" w:rsidP="00CA67C0">
            <w:r w:rsidRPr="00CA67C0">
              <w:lastRenderedPageBreak/>
              <w:fldChar w:fldCharType="begin"/>
            </w:r>
            <w:r w:rsidRPr="00CA67C0">
              <w:instrText xml:space="preserve"> REF _Ref450761230 \r \h </w:instrText>
            </w:r>
            <w:r w:rsidRPr="00CA67C0">
              <w:fldChar w:fldCharType="separate"/>
            </w:r>
            <w:r w:rsidR="007261FC">
              <w:t>4.4.1</w:t>
            </w:r>
            <w:r w:rsidRPr="00CA67C0">
              <w:fldChar w:fldCharType="end"/>
            </w:r>
          </w:p>
          <w:p w:rsidR="00CA67C0" w:rsidRPr="00CA67C0" w:rsidRDefault="00CA67C0" w:rsidP="00CA67C0">
            <w:r w:rsidRPr="00CA67C0">
              <w:lastRenderedPageBreak/>
              <w:fldChar w:fldCharType="begin"/>
            </w:r>
            <w:r w:rsidRPr="00CA67C0">
              <w:instrText xml:space="preserve"> REF _Ref401133206 \r \h </w:instrText>
            </w:r>
            <w:r w:rsidRPr="00CA67C0">
              <w:fldChar w:fldCharType="separate"/>
            </w:r>
            <w:r w:rsidR="007261FC">
              <w:t>A.10</w:t>
            </w:r>
            <w:r w:rsidRPr="00CA67C0">
              <w:fldChar w:fldCharType="end"/>
            </w:r>
          </w:p>
        </w:tc>
      </w:tr>
      <w:tr w:rsidR="00CA67C0" w:rsidTr="00CA67C0">
        <w:tc>
          <w:tcPr>
            <w:tcW w:w="3652" w:type="dxa"/>
          </w:tcPr>
          <w:p w:rsidR="00CA67C0" w:rsidRPr="00CA67C0" w:rsidRDefault="00CA67C0" w:rsidP="00CA67C0">
            <w:r>
              <w:lastRenderedPageBreak/>
              <w:t>Estimates of the utilisation rate from listed equity (all equity) do not have to be paired with estimates of the distribution rate from listed equity (all equity).</w:t>
            </w:r>
            <w:r w:rsidRPr="00CA67C0">
              <w:rPr>
                <w:rStyle w:val="FootnoteReference"/>
              </w:rPr>
              <w:footnoteReference w:id="172"/>
            </w:r>
            <w:r w:rsidRPr="00CA67C0">
              <w:t xml:space="preserve"> </w:t>
            </w:r>
          </w:p>
        </w:tc>
        <w:tc>
          <w:tcPr>
            <w:tcW w:w="4394" w:type="dxa"/>
          </w:tcPr>
          <w:p w:rsidR="00CA67C0" w:rsidRPr="00CA67C0" w:rsidRDefault="00CA67C0" w:rsidP="00CA67C0">
            <w:r>
              <w:t>F</w:t>
            </w:r>
            <w:r w:rsidRPr="00CA67C0">
              <w:t>ollowing Lally's latest report, we consider it is not essential to 'match' estimates of distribution rates and utilisation rates based on the dataset used; although we note the choice is open to us. While we primarily rely on 'matched' estimates, we also have regard to Lally's preferred estimate based on an all equity utilisation rate from the equity ownership approach and a distribution rate for listed equity from financial reports of the top 20 listed firms.</w:t>
            </w:r>
          </w:p>
        </w:tc>
        <w:tc>
          <w:tcPr>
            <w:tcW w:w="851" w:type="dxa"/>
          </w:tcPr>
          <w:p w:rsidR="00CA67C0" w:rsidRPr="00CA67C0" w:rsidRDefault="00CA67C0" w:rsidP="00CA67C0">
            <w:r w:rsidRPr="00CA67C0">
              <w:fldChar w:fldCharType="begin"/>
            </w:r>
            <w:r w:rsidRPr="00CA67C0">
              <w:instrText xml:space="preserve"> REF _Ref450761230 \r \h </w:instrText>
            </w:r>
            <w:r w:rsidRPr="00CA67C0">
              <w:fldChar w:fldCharType="separate"/>
            </w:r>
            <w:r w:rsidR="007261FC">
              <w:t>4.4.1</w:t>
            </w:r>
            <w:r w:rsidRPr="00CA67C0">
              <w:fldChar w:fldCharType="end"/>
            </w:r>
          </w:p>
          <w:p w:rsidR="00CA67C0" w:rsidRPr="00CA67C0" w:rsidRDefault="00CA67C0" w:rsidP="00CA67C0">
            <w:r w:rsidRPr="00CA67C0">
              <w:fldChar w:fldCharType="begin"/>
            </w:r>
            <w:r w:rsidRPr="00CA67C0">
              <w:instrText xml:space="preserve"> REF _Ref451790065 \r \h </w:instrText>
            </w:r>
            <w:r w:rsidRPr="00CA67C0">
              <w:fldChar w:fldCharType="separate"/>
            </w:r>
            <w:r w:rsidR="007261FC">
              <w:t>A.9</w:t>
            </w:r>
            <w:r w:rsidRPr="00CA67C0">
              <w:fldChar w:fldCharType="end"/>
            </w:r>
          </w:p>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pPr>
              <w:rPr>
                <w:rStyle w:val="Strong"/>
              </w:rPr>
            </w:pPr>
            <w:r w:rsidRPr="00E82D06">
              <w:rPr>
                <w:rStyle w:val="Strong"/>
              </w:rPr>
              <w:lastRenderedPageBreak/>
              <w:t>Utilisation rate</w:t>
            </w:r>
          </w:p>
        </w:tc>
        <w:tc>
          <w:tcPr>
            <w:tcW w:w="4394" w:type="dxa"/>
          </w:tcPr>
          <w:p w:rsidR="00CA67C0" w:rsidRDefault="00CA67C0" w:rsidP="00CA67C0"/>
        </w:tc>
        <w:tc>
          <w:tcPr>
            <w:tcW w:w="851" w:type="dxa"/>
          </w:tcPr>
          <w:p w:rsidR="00CA67C0" w:rsidRDefault="00CA67C0" w:rsidP="00CA67C0"/>
        </w:tc>
      </w:tr>
      <w:tr w:rsidR="00CA67C0" w:rsidTr="00CA67C0">
        <w:tc>
          <w:tcPr>
            <w:tcW w:w="3652" w:type="dxa"/>
          </w:tcPr>
          <w:p w:rsidR="00CA67C0" w:rsidRPr="00CA67C0" w:rsidRDefault="00CA67C0" w:rsidP="00CA67C0">
            <w:r w:rsidRPr="006B5C23">
              <w:rPr>
                <w:rStyle w:val="AERtextitalic"/>
              </w:rPr>
              <w:t>Equity ownership approach</w:t>
            </w:r>
          </w:p>
        </w:tc>
        <w:tc>
          <w:tcPr>
            <w:tcW w:w="4394" w:type="dxa"/>
          </w:tcPr>
          <w:p w:rsidR="00CA67C0" w:rsidRDefault="00CA67C0" w:rsidP="00CA67C0"/>
        </w:tc>
        <w:tc>
          <w:tcPr>
            <w:tcW w:w="851" w:type="dxa"/>
          </w:tcPr>
          <w:p w:rsidR="00CA67C0" w:rsidRDefault="00CA67C0" w:rsidP="00CA67C0"/>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r>
              <w:t>The equity ownership approach overstates the utilisation rate (</w:t>
            </w:r>
            <w:r w:rsidRPr="00CA67C0">
              <w:t>relative to an upper bound based on tax statistics)</w:t>
            </w:r>
            <w:r w:rsidRPr="00CA67C0">
              <w:rPr>
                <w:rStyle w:val="FootnoteReference"/>
              </w:rPr>
              <w:footnoteReference w:id="173"/>
            </w:r>
            <w:r w:rsidRPr="00CA67C0">
              <w:t xml:space="preserve"> </w:t>
            </w:r>
          </w:p>
          <w:p w:rsidR="00CA67C0" w:rsidRPr="00CA67C0" w:rsidRDefault="00CA67C0" w:rsidP="00CA67C0">
            <w:pPr>
              <w:rPr>
                <w:rStyle w:val="AERtextitalic"/>
              </w:rPr>
            </w:pPr>
            <w:r>
              <w:t>The Tribunal consider</w:t>
            </w:r>
            <w:r w:rsidRPr="00CA67C0">
              <w:t>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CA67C0">
              <w:rPr>
                <w:rStyle w:val="FootnoteReference"/>
              </w:rPr>
              <w:footnoteReference w:id="174"/>
            </w:r>
          </w:p>
        </w:tc>
        <w:tc>
          <w:tcPr>
            <w:tcW w:w="4394" w:type="dxa"/>
          </w:tcPr>
          <w:p w:rsidR="00CA67C0" w:rsidRPr="00CA67C0" w:rsidRDefault="00CA67C0" w:rsidP="00CA67C0">
            <w:r>
              <w:t xml:space="preserve">We do not consider the estimate of the utilisation rate from tax statistics is an upper bound (see </w:t>
            </w:r>
            <w:r w:rsidRPr="00CA67C0">
              <w:t xml:space="preserve">response under 'Tax statistics'). </w:t>
            </w:r>
          </w:p>
          <w:p w:rsidR="00CA67C0" w:rsidRPr="00CA67C0" w:rsidRDefault="00CA67C0" w:rsidP="00CA67C0">
            <w:r>
              <w:t>We consider the 45 day rule</w:t>
            </w:r>
            <w:r w:rsidRPr="00CA67C0">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CA67C0">
              <w:rPr>
                <w:rStyle w:val="FootnoteReference"/>
              </w:rPr>
              <w:footnoteReference w:id="175"/>
            </w:r>
          </w:p>
          <w:p w:rsidR="00CA67C0" w:rsidRPr="00CA67C0" w:rsidRDefault="00CA67C0" w:rsidP="00CA67C0">
            <w:r>
              <w:t>We use an estimate of the utilisation rate below the top of the range from the equity ownership approach.</w:t>
            </w:r>
          </w:p>
        </w:tc>
        <w:tc>
          <w:tcPr>
            <w:tcW w:w="851" w:type="dxa"/>
          </w:tcPr>
          <w:p w:rsidR="00CA67C0" w:rsidRPr="00CA67C0" w:rsidRDefault="00CA67C0" w:rsidP="00CA67C0">
            <w:r w:rsidRPr="00CA67C0">
              <w:fldChar w:fldCharType="begin"/>
            </w:r>
            <w:r w:rsidRPr="00CA67C0">
              <w:instrText xml:space="preserve"> REF _Ref450761230 \r \h </w:instrText>
            </w:r>
            <w:r w:rsidRPr="00CA67C0">
              <w:fldChar w:fldCharType="separate"/>
            </w:r>
            <w:r w:rsidR="007261FC">
              <w:t>4.4.1</w:t>
            </w:r>
            <w:r w:rsidRPr="00CA67C0">
              <w:fldChar w:fldCharType="end"/>
            </w:r>
          </w:p>
          <w:p w:rsidR="00CA67C0" w:rsidRPr="00CA67C0" w:rsidRDefault="00CA67C0" w:rsidP="00CA67C0">
            <w:r w:rsidRPr="00CA67C0">
              <w:fldChar w:fldCharType="begin"/>
            </w:r>
            <w:r w:rsidRPr="00CA67C0">
              <w:instrText xml:space="preserve"> REF _Ref415049811 \r \h </w:instrText>
            </w:r>
            <w:r w:rsidRPr="00CA67C0">
              <w:fldChar w:fldCharType="separate"/>
            </w:r>
            <w:r w:rsidR="007261FC">
              <w:t>A.12</w:t>
            </w:r>
            <w:r w:rsidRPr="00CA67C0">
              <w:fldChar w:fldCharType="end"/>
            </w:r>
          </w:p>
          <w:p w:rsidR="00CA67C0" w:rsidRPr="00CA67C0" w:rsidRDefault="00CA67C0" w:rsidP="00CA67C0">
            <w:r w:rsidRPr="00CA67C0">
              <w:fldChar w:fldCharType="begin"/>
            </w:r>
            <w:r w:rsidRPr="00CA67C0">
              <w:instrText xml:space="preserve"> REF _Ref450298682 \r \h </w:instrText>
            </w:r>
            <w:r w:rsidRPr="00CA67C0">
              <w:fldChar w:fldCharType="separate"/>
            </w:r>
            <w:r w:rsidR="007261FC">
              <w:t>A.14</w:t>
            </w:r>
            <w:r w:rsidRPr="00CA67C0">
              <w:fldChar w:fldCharType="end"/>
            </w:r>
          </w:p>
          <w:p w:rsidR="00CA67C0" w:rsidRPr="00CA67C0" w:rsidRDefault="00CA67C0" w:rsidP="00CA67C0">
            <w:r w:rsidRPr="00CA67C0">
              <w:fldChar w:fldCharType="begin"/>
            </w:r>
            <w:r w:rsidRPr="00CA67C0">
              <w:instrText xml:space="preserve"> REF _Ref414099389 \r \h </w:instrText>
            </w:r>
            <w:r w:rsidRPr="00CA67C0">
              <w:fldChar w:fldCharType="separate"/>
            </w:r>
            <w:r w:rsidR="007261FC">
              <w:t>A.8.3</w:t>
            </w:r>
            <w:r w:rsidRPr="00CA67C0">
              <w:fldChar w:fldCharType="end"/>
            </w:r>
          </w:p>
        </w:tc>
      </w:tr>
      <w:tr w:rsidR="00CA67C0" w:rsidTr="00CA67C0">
        <w:tc>
          <w:tcPr>
            <w:tcW w:w="3652" w:type="dxa"/>
          </w:tcPr>
          <w:p w:rsidR="00CA67C0" w:rsidRPr="00CA67C0" w:rsidRDefault="00CA67C0" w:rsidP="00CA67C0">
            <w:r>
              <w:t>T</w:t>
            </w:r>
            <w:r w:rsidRPr="00CA67C0">
              <w:t>he equity ownership approach is inconsistent with the proper interpretation of the Officer framework.</w:t>
            </w:r>
            <w:r w:rsidRPr="00CA67C0">
              <w:rPr>
                <w:rStyle w:val="FootnoteReference"/>
              </w:rPr>
              <w:footnoteReference w:id="176"/>
            </w:r>
          </w:p>
          <w:p w:rsidR="00CA67C0" w:rsidRPr="00CA67C0" w:rsidRDefault="00CA67C0" w:rsidP="00CA67C0">
            <w:r>
              <w:t xml:space="preserve">The equity ownership approach does not </w:t>
            </w:r>
            <w:r w:rsidRPr="00CA67C0">
              <w:t>reflect factors which affect investors' valuation of imputation credits (below their full face value).</w:t>
            </w:r>
            <w:r w:rsidRPr="00CA67C0">
              <w:rPr>
                <w:rStyle w:val="FootnoteReference"/>
              </w:rPr>
              <w:footnoteReference w:id="177"/>
            </w:r>
          </w:p>
        </w:tc>
        <w:tc>
          <w:tcPr>
            <w:tcW w:w="4394" w:type="dxa"/>
          </w:tcPr>
          <w:p w:rsidR="00CA67C0" w:rsidRPr="00CA67C0" w:rsidRDefault="00CA67C0" w:rsidP="00CA67C0">
            <w:r>
              <w:t>See response under 'Conceptual framework'</w:t>
            </w:r>
            <w:r w:rsidRPr="00CA67C0">
              <w:t xml:space="preserve">. </w:t>
            </w:r>
          </w:p>
        </w:tc>
        <w:tc>
          <w:tcPr>
            <w:tcW w:w="851" w:type="dxa"/>
          </w:tcPr>
          <w:p w:rsidR="00CA67C0" w:rsidRPr="00CA67C0" w:rsidRDefault="00CA67C0" w:rsidP="00CA67C0">
            <w:r w:rsidRPr="00CA67C0">
              <w:fldChar w:fldCharType="begin"/>
            </w:r>
            <w:r w:rsidRPr="00CA67C0">
              <w:instrText xml:space="preserve"> REF _Ref414099389 \r \h </w:instrText>
            </w:r>
            <w:r w:rsidRPr="00CA67C0">
              <w:fldChar w:fldCharType="separate"/>
            </w:r>
            <w:r w:rsidR="007261FC">
              <w:t>A.8.3</w:t>
            </w:r>
            <w:r w:rsidRPr="00CA67C0">
              <w:fldChar w:fldCharType="end"/>
            </w:r>
          </w:p>
          <w:p w:rsidR="00CA67C0" w:rsidRPr="00CA67C0" w:rsidRDefault="00CA67C0" w:rsidP="00CA67C0">
            <w:r w:rsidRPr="00CA67C0">
              <w:fldChar w:fldCharType="begin"/>
            </w:r>
            <w:r w:rsidRPr="00CA67C0">
              <w:instrText xml:space="preserve"> REF _Ref415049811 \r \h </w:instrText>
            </w:r>
            <w:r w:rsidRPr="00CA67C0">
              <w:fldChar w:fldCharType="separate"/>
            </w:r>
            <w:r w:rsidR="007261FC">
              <w:t>A.12</w:t>
            </w:r>
            <w:r w:rsidRPr="00CA67C0">
              <w:fldChar w:fldCharType="end"/>
            </w:r>
          </w:p>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r>
              <w:lastRenderedPageBreak/>
              <w:t>The equity ownership approach can only be used informatively</w:t>
            </w:r>
            <w:r w:rsidRPr="00CA67C0">
              <w:t xml:space="preserve"> as an upper bound or as a check on other estimates (like tax statistics)</w:t>
            </w:r>
            <w:r w:rsidRPr="00CA67C0">
              <w:rPr>
                <w:rStyle w:val="FootnoteReference"/>
              </w:rPr>
              <w:footnoteReference w:id="178"/>
            </w:r>
          </w:p>
        </w:tc>
        <w:tc>
          <w:tcPr>
            <w:tcW w:w="4394" w:type="dxa"/>
          </w:tcPr>
          <w:p w:rsidR="00CA67C0" w:rsidRPr="00CA67C0" w:rsidRDefault="00CA67C0" w:rsidP="00CA67C0">
            <w:r>
              <w:t>The equity ownership approach (and tax statistics) can</w:t>
            </w:r>
            <w:r w:rsidRPr="00CA67C0">
              <w:t xml:space="preserve"> used to generate a point estimate of the utilisation rate.</w:t>
            </w:r>
            <w:r w:rsidRPr="00CA67C0">
              <w:tab/>
            </w:r>
          </w:p>
        </w:tc>
        <w:tc>
          <w:tcPr>
            <w:tcW w:w="851" w:type="dxa"/>
          </w:tcPr>
          <w:p w:rsidR="00CA67C0" w:rsidRPr="00CA67C0" w:rsidRDefault="00CA67C0" w:rsidP="00CA67C0">
            <w:r w:rsidRPr="00CA67C0">
              <w:fldChar w:fldCharType="begin"/>
            </w:r>
            <w:r w:rsidRPr="00CA67C0">
              <w:instrText xml:space="preserve"> REF _Ref451790207 \r \h </w:instrText>
            </w:r>
            <w:r w:rsidRPr="00CA67C0">
              <w:fldChar w:fldCharType="separate"/>
            </w:r>
            <w:r w:rsidR="007261FC">
              <w:t>4.4</w:t>
            </w:r>
            <w:r w:rsidRPr="00CA67C0">
              <w:fldChar w:fldCharType="end"/>
            </w:r>
          </w:p>
          <w:p w:rsidR="00CA67C0" w:rsidRPr="00CA67C0" w:rsidRDefault="00CA67C0" w:rsidP="00CA67C0">
            <w:r w:rsidRPr="00CA67C0">
              <w:fldChar w:fldCharType="begin"/>
            </w:r>
            <w:r w:rsidRPr="00CA67C0">
              <w:instrText xml:space="preserve"> REF _Ref415049811 \r \h </w:instrText>
            </w:r>
            <w:r w:rsidRPr="00CA67C0">
              <w:fldChar w:fldCharType="separate"/>
            </w:r>
            <w:r w:rsidR="007261FC">
              <w:t>A.12</w:t>
            </w:r>
            <w:r w:rsidRPr="00CA67C0">
              <w:fldChar w:fldCharType="end"/>
            </w:r>
          </w:p>
        </w:tc>
      </w:tr>
      <w:tr w:rsidR="00CA67C0" w:rsidTr="00CA67C0">
        <w:tc>
          <w:tcPr>
            <w:tcW w:w="3652" w:type="dxa"/>
          </w:tcPr>
          <w:p w:rsidR="00CA67C0" w:rsidRPr="00CA67C0" w:rsidRDefault="00CA67C0" w:rsidP="00CA67C0">
            <w:r>
              <w:t>The equity ownership approach estimate of the utilisation rate should be based on listed equity</w:t>
            </w:r>
            <w:r w:rsidRPr="00CA67C0">
              <w:rPr>
                <w:rStyle w:val="FootnoteReference"/>
              </w:rPr>
              <w:footnoteReference w:id="179"/>
            </w:r>
          </w:p>
        </w:tc>
        <w:tc>
          <w:tcPr>
            <w:tcW w:w="4394" w:type="dxa"/>
          </w:tcPr>
          <w:p w:rsidR="00CA67C0" w:rsidRPr="00CA67C0" w:rsidRDefault="00CA67C0" w:rsidP="00CA67C0">
            <w:r>
              <w:t>We consider utilisation rates from the equity ownership approach based on listed equity and all equity.</w:t>
            </w:r>
          </w:p>
        </w:tc>
        <w:tc>
          <w:tcPr>
            <w:tcW w:w="851" w:type="dxa"/>
          </w:tcPr>
          <w:p w:rsidR="00CA67C0" w:rsidRPr="00CA67C0" w:rsidRDefault="00CA67C0" w:rsidP="00CA67C0">
            <w:r w:rsidRPr="00CA67C0">
              <w:fldChar w:fldCharType="begin"/>
            </w:r>
            <w:r w:rsidRPr="00CA67C0">
              <w:instrText xml:space="preserve"> REF _Ref401048631 \r \h </w:instrText>
            </w:r>
            <w:r w:rsidRPr="00CA67C0">
              <w:fldChar w:fldCharType="separate"/>
            </w:r>
            <w:r w:rsidR="007261FC">
              <w:t>A.9.1</w:t>
            </w:r>
            <w:r w:rsidRPr="00CA67C0">
              <w:fldChar w:fldCharType="end"/>
            </w:r>
          </w:p>
          <w:p w:rsidR="00CA67C0" w:rsidRPr="00CA67C0" w:rsidRDefault="00CA67C0" w:rsidP="00CA67C0">
            <w:r w:rsidRPr="00CA67C0">
              <w:fldChar w:fldCharType="begin"/>
            </w:r>
            <w:r w:rsidRPr="00CA67C0">
              <w:instrText xml:space="preserve"> REF _Ref415049811 \r \h </w:instrText>
            </w:r>
            <w:r w:rsidRPr="00CA67C0">
              <w:fldChar w:fldCharType="separate"/>
            </w:r>
            <w:r w:rsidR="007261FC">
              <w:t>A.12</w:t>
            </w:r>
            <w:r w:rsidRPr="00CA67C0">
              <w:fldChar w:fldCharType="end"/>
            </w:r>
          </w:p>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r>
              <w:t>O</w:t>
            </w:r>
            <w:r w:rsidRPr="00CA67C0">
              <w:t>nly the most recent point estimates of the equity ownership share are relevant.</w:t>
            </w:r>
            <w:r w:rsidRPr="00CA67C0">
              <w:rPr>
                <w:rStyle w:val="FootnoteReference"/>
              </w:rPr>
              <w:footnoteReference w:id="180"/>
            </w:r>
          </w:p>
        </w:tc>
        <w:tc>
          <w:tcPr>
            <w:tcW w:w="4394" w:type="dxa"/>
          </w:tcPr>
          <w:p w:rsidR="00CA67C0" w:rsidRPr="00CA67C0" w:rsidRDefault="00CA67C0" w:rsidP="00CA67C0">
            <w:r w:rsidRPr="005B650B">
              <w:t xml:space="preserve">We disagree. Given that the series exhibits considerable volatility, we </w:t>
            </w:r>
            <w:r w:rsidRPr="00CA67C0">
              <w:t xml:space="preserve">consider it is reasonable to not rely solely on the most recent point estimate. Similarly, we estimate an MRP (for the return on equity) that reflects prevailing market conditions using a historical series of excess returns. </w:t>
            </w:r>
          </w:p>
        </w:tc>
        <w:tc>
          <w:tcPr>
            <w:tcW w:w="851" w:type="dxa"/>
          </w:tcPr>
          <w:p w:rsidR="00CA67C0" w:rsidRPr="00CA67C0" w:rsidRDefault="00CA67C0" w:rsidP="00CA67C0">
            <w:r w:rsidRPr="00CA67C0">
              <w:fldChar w:fldCharType="begin"/>
            </w:r>
            <w:r w:rsidRPr="00CA67C0">
              <w:instrText xml:space="preserve"> REF _Ref415049811 \r \h </w:instrText>
            </w:r>
            <w:r w:rsidRPr="00CA67C0">
              <w:fldChar w:fldCharType="separate"/>
            </w:r>
            <w:r w:rsidR="007261FC">
              <w:t>A.12</w:t>
            </w:r>
            <w:r w:rsidRPr="00CA67C0">
              <w:fldChar w:fldCharType="end"/>
            </w:r>
          </w:p>
        </w:tc>
      </w:tr>
      <w:tr w:rsidR="00CA67C0" w:rsidTr="00CA67C0">
        <w:tc>
          <w:tcPr>
            <w:tcW w:w="3652" w:type="dxa"/>
          </w:tcPr>
          <w:p w:rsidR="00CA67C0" w:rsidRPr="00CA67C0" w:rsidRDefault="00CA67C0" w:rsidP="00CA67C0">
            <w:r w:rsidRPr="006B5C23">
              <w:rPr>
                <w:rStyle w:val="AERtextitalic"/>
              </w:rPr>
              <w:t>Tax statistics</w:t>
            </w:r>
          </w:p>
        </w:tc>
        <w:tc>
          <w:tcPr>
            <w:tcW w:w="4394" w:type="dxa"/>
          </w:tcPr>
          <w:p w:rsidR="00CA67C0" w:rsidRDefault="00CA67C0" w:rsidP="00CA67C0"/>
        </w:tc>
        <w:tc>
          <w:tcPr>
            <w:tcW w:w="851" w:type="dxa"/>
          </w:tcPr>
          <w:p w:rsidR="00CA67C0" w:rsidRDefault="00CA67C0" w:rsidP="00CA67C0"/>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r>
              <w:t xml:space="preserve">Tax statistics are inconsistent with the </w:t>
            </w:r>
            <w:r w:rsidRPr="00CA67C0">
              <w:t>proper interpretation of the Officer framework</w:t>
            </w:r>
            <w:r w:rsidRPr="00CA67C0">
              <w:rPr>
                <w:rStyle w:val="FootnoteReference"/>
              </w:rPr>
              <w:footnoteReference w:id="181"/>
            </w:r>
          </w:p>
          <w:p w:rsidR="00CA67C0" w:rsidRPr="00CA67C0" w:rsidRDefault="00CA67C0" w:rsidP="00CA67C0">
            <w:r>
              <w:t>Tax statistics do</w:t>
            </w:r>
            <w:r w:rsidRPr="00CA67C0">
              <w:t xml:space="preserve"> not reflect factors which affect investors' valuation of imputation credits (below their full face value).</w:t>
            </w:r>
            <w:r w:rsidRPr="00CA67C0">
              <w:rPr>
                <w:rStyle w:val="FootnoteReference"/>
              </w:rPr>
              <w:footnoteReference w:id="182"/>
            </w:r>
          </w:p>
        </w:tc>
        <w:tc>
          <w:tcPr>
            <w:tcW w:w="4394" w:type="dxa"/>
          </w:tcPr>
          <w:p w:rsidR="00CA67C0" w:rsidRPr="00CA67C0" w:rsidRDefault="00CA67C0" w:rsidP="00CA67C0">
            <w:r>
              <w:t xml:space="preserve">See </w:t>
            </w:r>
            <w:r w:rsidRPr="00CA67C0">
              <w:t>response under 'Conceptual framework'.</w:t>
            </w:r>
          </w:p>
        </w:tc>
        <w:tc>
          <w:tcPr>
            <w:tcW w:w="851" w:type="dxa"/>
          </w:tcPr>
          <w:p w:rsidR="00CA67C0" w:rsidRPr="00CA67C0" w:rsidRDefault="00CA67C0" w:rsidP="00CA67C0">
            <w:r w:rsidRPr="00CA67C0">
              <w:fldChar w:fldCharType="begin"/>
            </w:r>
            <w:r w:rsidRPr="00CA67C0">
              <w:instrText xml:space="preserve"> REF _Ref451793040 \r \h </w:instrText>
            </w:r>
            <w:r w:rsidRPr="00CA67C0">
              <w:fldChar w:fldCharType="separate"/>
            </w:r>
            <w:r w:rsidR="007261FC">
              <w:t>4.1</w:t>
            </w:r>
            <w:r w:rsidRPr="00CA67C0">
              <w:fldChar w:fldCharType="end"/>
            </w:r>
          </w:p>
          <w:p w:rsidR="00CA67C0" w:rsidRPr="00CA67C0" w:rsidRDefault="00CA67C0" w:rsidP="00CA67C0">
            <w:r w:rsidRPr="00CA67C0">
              <w:fldChar w:fldCharType="begin"/>
            </w:r>
            <w:r w:rsidRPr="00CA67C0">
              <w:instrText xml:space="preserve"> REF _Ref414099389 \r \h </w:instrText>
            </w:r>
            <w:r w:rsidRPr="00CA67C0">
              <w:fldChar w:fldCharType="separate"/>
            </w:r>
            <w:r w:rsidR="007261FC">
              <w:t>A.8.3</w:t>
            </w:r>
            <w:r w:rsidRPr="00CA67C0">
              <w:fldChar w:fldCharType="end"/>
            </w:r>
          </w:p>
          <w:p w:rsidR="00CA67C0" w:rsidRPr="00CA67C0" w:rsidRDefault="00CA67C0" w:rsidP="00CA67C0">
            <w:r w:rsidRPr="00CA67C0">
              <w:fldChar w:fldCharType="begin"/>
            </w:r>
            <w:r w:rsidRPr="00CA67C0">
              <w:instrText xml:space="preserve"> REF _Ref402179420 \r \h </w:instrText>
            </w:r>
            <w:r w:rsidRPr="00CA67C0">
              <w:fldChar w:fldCharType="separate"/>
            </w:r>
            <w:r w:rsidR="007261FC">
              <w:t>A.13</w:t>
            </w:r>
            <w:r w:rsidRPr="00CA67C0">
              <w:fldChar w:fldCharType="end"/>
            </w:r>
          </w:p>
        </w:tc>
      </w:tr>
      <w:tr w:rsidR="00CA67C0" w:rsidTr="00CA67C0">
        <w:tc>
          <w:tcPr>
            <w:tcW w:w="3652" w:type="dxa"/>
          </w:tcPr>
          <w:p w:rsidR="00CA67C0" w:rsidRPr="00CA67C0" w:rsidRDefault="00CA67C0" w:rsidP="00CA67C0">
            <w:pPr>
              <w:rPr>
                <w:rStyle w:val="AERtextitalic"/>
              </w:rPr>
            </w:pPr>
            <w:r>
              <w:lastRenderedPageBreak/>
              <w:t>Tax statistics can only provide an upper bound for the estimate of the utilisation rate</w:t>
            </w:r>
            <w:r w:rsidRPr="00CA67C0">
              <w:rPr>
                <w:rStyle w:val="FootnoteReference"/>
              </w:rPr>
              <w:footnoteReference w:id="183"/>
            </w:r>
          </w:p>
        </w:tc>
        <w:tc>
          <w:tcPr>
            <w:tcW w:w="4394" w:type="dxa"/>
          </w:tcPr>
          <w:p w:rsidR="00CA67C0" w:rsidRPr="00CA67C0" w:rsidRDefault="00CA67C0" w:rsidP="00CA67C0">
            <w:r>
              <w:t>We do not consider t</w:t>
            </w:r>
            <w:r w:rsidRPr="00CA67C0">
              <w:t>ax statistics provide an upper bound estimate. An upper bound is a value above which the true value cannot exceed.</w:t>
            </w:r>
            <w:r w:rsidRPr="00CA67C0">
              <w:rPr>
                <w:rStyle w:val="FootnoteReference"/>
              </w:rPr>
              <w:footnoteReference w:id="184"/>
            </w:r>
          </w:p>
          <w:p w:rsidR="00CA67C0" w:rsidRPr="00CA67C0" w:rsidRDefault="00CA67C0" w:rsidP="00CA67C0">
            <w:r w:rsidRPr="00C70506">
              <w:t xml:space="preserve">Rather, tax statistics provide one point estimate for the </w:t>
            </w:r>
            <w:r w:rsidRPr="00CA67C0">
              <w:t>utilisation rate. This estimate is, by definition, uncertain and dependant on the quality of the underlying data. As such, the true (unknown) value could be higher or lower. Importantly, the quality of the underlying taxation data is poor and experts consider it to be unreliable. Lally considers the tax statistic used by us is not an upper bound.</w:t>
            </w:r>
            <w:r w:rsidRPr="00CA67C0">
              <w:rPr>
                <w:rStyle w:val="FootnoteReference"/>
              </w:rPr>
              <w:footnoteReference w:id="185"/>
            </w:r>
          </w:p>
        </w:tc>
        <w:tc>
          <w:tcPr>
            <w:tcW w:w="851" w:type="dxa"/>
          </w:tcPr>
          <w:p w:rsidR="00CA67C0" w:rsidRPr="00CA67C0" w:rsidRDefault="00CA67C0" w:rsidP="00CA67C0">
            <w:r w:rsidRPr="00CA67C0">
              <w:fldChar w:fldCharType="begin"/>
            </w:r>
            <w:r w:rsidRPr="00CA67C0">
              <w:instrText xml:space="preserve"> REF _Ref450761230 \r \h </w:instrText>
            </w:r>
            <w:r w:rsidRPr="00CA67C0">
              <w:fldChar w:fldCharType="separate"/>
            </w:r>
            <w:r w:rsidR="007261FC">
              <w:t>4.4.1</w:t>
            </w:r>
            <w:r w:rsidRPr="00CA67C0">
              <w:fldChar w:fldCharType="end"/>
            </w:r>
          </w:p>
          <w:p w:rsidR="00CA67C0" w:rsidRPr="00CA67C0" w:rsidRDefault="00CA67C0" w:rsidP="00CA67C0">
            <w:r w:rsidRPr="00CA67C0">
              <w:fldChar w:fldCharType="begin"/>
            </w:r>
            <w:r w:rsidRPr="00CA67C0">
              <w:instrText xml:space="preserve"> REF _Ref402179420 \r \h </w:instrText>
            </w:r>
            <w:r w:rsidRPr="00CA67C0">
              <w:fldChar w:fldCharType="separate"/>
            </w:r>
            <w:r w:rsidR="007261FC">
              <w:t>A.13</w:t>
            </w:r>
            <w:r w:rsidRPr="00CA67C0">
              <w:fldChar w:fldCharType="end"/>
            </w:r>
          </w:p>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r w:rsidRPr="006B5C23">
              <w:rPr>
                <w:rStyle w:val="AERtextitalic"/>
              </w:rPr>
              <w:t>Implied market value studies</w:t>
            </w:r>
          </w:p>
        </w:tc>
        <w:tc>
          <w:tcPr>
            <w:tcW w:w="4394" w:type="dxa"/>
          </w:tcPr>
          <w:p w:rsidR="00CA67C0" w:rsidRDefault="00CA67C0" w:rsidP="00CA67C0"/>
        </w:tc>
        <w:tc>
          <w:tcPr>
            <w:tcW w:w="851" w:type="dxa"/>
          </w:tcPr>
          <w:p w:rsidR="00CA67C0" w:rsidRDefault="00CA67C0" w:rsidP="00CA67C0"/>
        </w:tc>
      </w:tr>
      <w:tr w:rsidR="00CA67C0" w:rsidTr="00CA67C0">
        <w:tc>
          <w:tcPr>
            <w:tcW w:w="3652" w:type="dxa"/>
          </w:tcPr>
          <w:p w:rsidR="00CA67C0" w:rsidRPr="00CA67C0" w:rsidRDefault="00CA67C0" w:rsidP="00CA67C0">
            <w:r>
              <w:t>W</w:t>
            </w:r>
            <w:r w:rsidRPr="00CA67C0">
              <w:t>e should rely more on estimates of the utilisation rate from implied market value studies as they are direct evidence on the value of imputation credits to investors.</w:t>
            </w:r>
            <w:r w:rsidRPr="00CA67C0">
              <w:rPr>
                <w:rStyle w:val="FootnoteReference"/>
              </w:rPr>
              <w:footnoteReference w:id="186"/>
            </w:r>
          </w:p>
          <w:p w:rsidR="00CA67C0" w:rsidRPr="00CA67C0" w:rsidRDefault="00CA67C0" w:rsidP="00CA67C0">
            <w:pPr>
              <w:rPr>
                <w:rStyle w:val="AERtextitalic"/>
              </w:rPr>
            </w:pPr>
            <w:r>
              <w:t>T</w:t>
            </w:r>
            <w:r w:rsidRPr="00CA67C0">
              <w:t xml:space="preserve">he Tribunal considered implied market value studies are best placed to capture the considerations investors make in determining </w:t>
            </w:r>
            <w:r w:rsidRPr="00CA67C0">
              <w:lastRenderedPageBreak/>
              <w:t>the utilisation rate (or the worth of imputation credits to them).</w:t>
            </w:r>
            <w:r w:rsidRPr="00CA67C0">
              <w:rPr>
                <w:rStyle w:val="FootnoteReference"/>
              </w:rPr>
              <w:footnoteReference w:id="187"/>
            </w:r>
          </w:p>
        </w:tc>
        <w:tc>
          <w:tcPr>
            <w:tcW w:w="4394" w:type="dxa"/>
          </w:tcPr>
          <w:p w:rsidR="00CA67C0" w:rsidRPr="00CA67C0" w:rsidRDefault="00CA67C0" w:rsidP="00CA67C0">
            <w:r>
              <w:lastRenderedPageBreak/>
              <w:t xml:space="preserve">See </w:t>
            </w:r>
            <w:r w:rsidRPr="00CA67C0">
              <w:t>response under 'Conceptual framework'.</w:t>
            </w:r>
          </w:p>
          <w:p w:rsidR="00CA67C0" w:rsidRPr="00CA67C0" w:rsidRDefault="00CA67C0" w:rsidP="00CA67C0">
            <w:r>
              <w:t>E</w:t>
            </w:r>
            <w:r w:rsidRPr="00CA67C0">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CA67C0" w:rsidRPr="00CA67C0" w:rsidRDefault="00CA67C0" w:rsidP="00CA67C0">
            <w:r>
              <w:t>We consider m</w:t>
            </w:r>
            <w:r w:rsidRPr="00CA67C0">
              <w:t>arket value studies do not provide a post-</w:t>
            </w:r>
            <w:r w:rsidR="00744B81">
              <w:lastRenderedPageBreak/>
              <w:t xml:space="preserve">company pre-personal </w:t>
            </w:r>
            <w:r w:rsidRPr="00CA67C0">
              <w:t>tax estimate of the utilisation rate unless they are corrected for the impact of differential personal taxation on capital gains and dividend income. Without this adjustment they are inconsistent with the Officer framework.</w:t>
            </w:r>
          </w:p>
          <w:p w:rsidR="00CA67C0" w:rsidRDefault="00CA67C0" w:rsidP="00CA67C0"/>
        </w:tc>
        <w:tc>
          <w:tcPr>
            <w:tcW w:w="851" w:type="dxa"/>
          </w:tcPr>
          <w:p w:rsidR="00CA67C0" w:rsidRPr="00CA67C0" w:rsidRDefault="00CA67C0" w:rsidP="00CA67C0">
            <w:r w:rsidRPr="00CA67C0">
              <w:lastRenderedPageBreak/>
              <w:fldChar w:fldCharType="begin"/>
            </w:r>
            <w:r w:rsidRPr="00CA67C0">
              <w:instrText xml:space="preserve"> REF _Ref450761230 \r \h </w:instrText>
            </w:r>
            <w:r w:rsidRPr="00CA67C0">
              <w:fldChar w:fldCharType="separate"/>
            </w:r>
            <w:r w:rsidR="007261FC">
              <w:t>4.4.1</w:t>
            </w:r>
            <w:r w:rsidRPr="00CA67C0">
              <w:fldChar w:fldCharType="end"/>
            </w:r>
          </w:p>
          <w:p w:rsidR="00CA67C0" w:rsidRPr="00CA67C0" w:rsidRDefault="00CA67C0" w:rsidP="00CA67C0">
            <w:r>
              <w:t>A.15</w:t>
            </w:r>
          </w:p>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r>
              <w:lastRenderedPageBreak/>
              <w:t>We should rely exclusively on SFG's study</w:t>
            </w:r>
            <w:r w:rsidRPr="00CA67C0">
              <w:t>, which suggests a best estimate of 0.35 for the utilisation rate</w:t>
            </w:r>
            <w:r w:rsidRPr="00CA67C0">
              <w:rPr>
                <w:rStyle w:val="FootnoteReference"/>
              </w:rPr>
              <w:footnoteReference w:id="188"/>
            </w:r>
          </w:p>
        </w:tc>
        <w:tc>
          <w:tcPr>
            <w:tcW w:w="4394" w:type="dxa"/>
          </w:tcPr>
          <w:p w:rsidR="00CA67C0" w:rsidRPr="00CA67C0" w:rsidRDefault="00CA67C0" w:rsidP="00CA67C0">
            <w:r>
              <w:t>See response to '</w:t>
            </w:r>
            <w:r w:rsidRPr="00CA67C0">
              <w:t>We should rely more on estimates of the utilisation rate from implied market value studies'.</w:t>
            </w:r>
          </w:p>
          <w:p w:rsidR="00CA67C0" w:rsidRPr="00CA67C0" w:rsidRDefault="00CA67C0" w:rsidP="00CA67C0">
            <w:r>
              <w:t>W</w:t>
            </w:r>
            <w:r w:rsidRPr="00CA67C0">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an adjustment for factors that suggest investors value a dollar of dividends at less than one dollar. </w:t>
            </w:r>
          </w:p>
        </w:tc>
        <w:tc>
          <w:tcPr>
            <w:tcW w:w="851" w:type="dxa"/>
          </w:tcPr>
          <w:p w:rsidR="00CA67C0" w:rsidRPr="00CA67C0" w:rsidRDefault="00CA67C0" w:rsidP="00CA67C0">
            <w:r>
              <w:t>4.4</w:t>
            </w:r>
          </w:p>
          <w:p w:rsidR="00CA67C0" w:rsidRPr="00CA67C0" w:rsidRDefault="00CA67C0" w:rsidP="00CA67C0">
            <w:r>
              <w:t>4.4.1</w:t>
            </w:r>
          </w:p>
        </w:tc>
      </w:tr>
      <w:tr w:rsidR="00CA67C0" w:rsidTr="00CA67C0">
        <w:tc>
          <w:tcPr>
            <w:tcW w:w="3652" w:type="dxa"/>
          </w:tcPr>
          <w:p w:rsidR="00CA67C0" w:rsidRPr="00CA67C0" w:rsidRDefault="00CA67C0" w:rsidP="00CA67C0">
            <w:r>
              <w:t>T</w:t>
            </w:r>
            <w:r w:rsidRPr="00CA67C0">
              <w:t>he use of implied market value studies to estimate the utilisation rate (and thus gamma) is consistent with the approach to estimating other rate of return parameters.</w:t>
            </w:r>
            <w:r w:rsidRPr="00CA67C0">
              <w:rPr>
                <w:rStyle w:val="FootnoteReference"/>
              </w:rPr>
              <w:footnoteReference w:id="189"/>
            </w:r>
          </w:p>
        </w:tc>
        <w:tc>
          <w:tcPr>
            <w:tcW w:w="4394" w:type="dxa"/>
          </w:tcPr>
          <w:p w:rsidR="00CA67C0" w:rsidRPr="00CA67C0" w:rsidRDefault="00CA67C0" w:rsidP="00CA67C0">
            <w:r>
              <w:t xml:space="preserve">We disagree. See </w:t>
            </w:r>
            <w:r w:rsidRPr="00CA67C0">
              <w:t>response under 'Conceptual framework'.</w:t>
            </w:r>
          </w:p>
        </w:tc>
        <w:tc>
          <w:tcPr>
            <w:tcW w:w="851" w:type="dxa"/>
          </w:tcPr>
          <w:p w:rsidR="00CA67C0" w:rsidRPr="00CA67C0" w:rsidRDefault="00CA67C0" w:rsidP="00CA67C0">
            <w:r w:rsidRPr="00CA67C0">
              <w:fldChar w:fldCharType="begin"/>
            </w:r>
            <w:r w:rsidRPr="00CA67C0">
              <w:instrText xml:space="preserve"> REF _Ref450298425 \r \h </w:instrText>
            </w:r>
            <w:r w:rsidRPr="00CA67C0">
              <w:fldChar w:fldCharType="separate"/>
            </w:r>
            <w:r w:rsidR="007261FC">
              <w:t>A.8.2</w:t>
            </w:r>
            <w:r w:rsidRPr="00CA67C0">
              <w:fldChar w:fldCharType="end"/>
            </w:r>
          </w:p>
          <w:p w:rsidR="00CA67C0" w:rsidRPr="00CA67C0" w:rsidRDefault="00CA67C0" w:rsidP="00CA67C0">
            <w:r>
              <w:t>A.15</w:t>
            </w:r>
          </w:p>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r>
              <w:t xml:space="preserve">Under our conceptual approach to gamma, the appropriate adjustment to </w:t>
            </w:r>
            <w:r w:rsidRPr="00CA67C0">
              <w:t>the results of SFG's study results in a gamma of 0.3. However, this adjustment is not necessary because our conceptual approach is incorrect.</w:t>
            </w:r>
            <w:r w:rsidRPr="00CA67C0">
              <w:rPr>
                <w:rStyle w:val="FootnoteReference"/>
              </w:rPr>
              <w:footnoteReference w:id="190"/>
            </w:r>
          </w:p>
        </w:tc>
        <w:tc>
          <w:tcPr>
            <w:tcW w:w="4394" w:type="dxa"/>
          </w:tcPr>
          <w:p w:rsidR="00CA67C0" w:rsidRPr="00CA67C0" w:rsidRDefault="00CA67C0" w:rsidP="00CA67C0">
            <w:r>
              <w:t xml:space="preserve">See </w:t>
            </w:r>
            <w:r w:rsidRPr="00CA67C0">
              <w:t>response under 'Conceptual framework'.</w:t>
            </w:r>
          </w:p>
          <w:p w:rsidR="00CA67C0" w:rsidRPr="00CA67C0" w:rsidRDefault="00CA67C0" w:rsidP="00CA67C0">
            <w:r>
              <w:t xml:space="preserve">We </w:t>
            </w:r>
            <w:r w:rsidRPr="00CA67C0">
              <w:t>disagree and consider the Handley/Lally adjustment is necessary.</w:t>
            </w:r>
          </w:p>
        </w:tc>
        <w:tc>
          <w:tcPr>
            <w:tcW w:w="851" w:type="dxa"/>
          </w:tcPr>
          <w:p w:rsidR="00CA67C0" w:rsidRPr="00CA67C0" w:rsidRDefault="00CA67C0" w:rsidP="00CA67C0">
            <w:r w:rsidRPr="00CA67C0">
              <w:fldChar w:fldCharType="begin"/>
            </w:r>
            <w:r w:rsidRPr="00CA67C0">
              <w:instrText xml:space="preserve"> REF _Ref450761230 \r \h </w:instrText>
            </w:r>
            <w:r w:rsidRPr="00CA67C0">
              <w:fldChar w:fldCharType="separate"/>
            </w:r>
            <w:r w:rsidR="007261FC">
              <w:t>4.4.1</w:t>
            </w:r>
            <w:r w:rsidRPr="00CA67C0">
              <w:fldChar w:fldCharType="end"/>
            </w:r>
          </w:p>
          <w:p w:rsidR="00CA67C0" w:rsidRPr="00CA67C0" w:rsidRDefault="00CA67C0" w:rsidP="00CA67C0">
            <w:r>
              <w:t>A.15</w:t>
            </w:r>
          </w:p>
        </w:tc>
      </w:tr>
      <w:tr w:rsidR="00CA67C0" w:rsidTr="00CA67C0">
        <w:tc>
          <w:tcPr>
            <w:tcW w:w="3652" w:type="dxa"/>
          </w:tcPr>
          <w:p w:rsidR="00CA67C0" w:rsidRPr="00CA67C0" w:rsidRDefault="00CA67C0" w:rsidP="00CA67C0">
            <w:r>
              <w:t>S</w:t>
            </w:r>
            <w:r w:rsidRPr="00CA67C0">
              <w:t xml:space="preserve">everal of the limitations that we have identified as applying to implied market value studies do </w:t>
            </w:r>
            <w:r w:rsidRPr="00CA67C0">
              <w:lastRenderedPageBreak/>
              <w:t>not apply to SFG's study, which has not been assessed individually on its merits</w:t>
            </w:r>
            <w:r w:rsidRPr="00CA67C0">
              <w:rPr>
                <w:rStyle w:val="FootnoteReference"/>
              </w:rPr>
              <w:footnoteReference w:id="191"/>
            </w:r>
          </w:p>
        </w:tc>
        <w:tc>
          <w:tcPr>
            <w:tcW w:w="4394" w:type="dxa"/>
          </w:tcPr>
          <w:p w:rsidR="00CA67C0" w:rsidRPr="00CA67C0" w:rsidRDefault="00CA67C0" w:rsidP="00CA67C0">
            <w:r>
              <w:lastRenderedPageBreak/>
              <w:t>We consider the key limitations that apply to implied market value studies also apply to SFG's study.</w:t>
            </w:r>
          </w:p>
        </w:tc>
        <w:tc>
          <w:tcPr>
            <w:tcW w:w="851" w:type="dxa"/>
          </w:tcPr>
          <w:p w:rsidR="00CA67C0" w:rsidRPr="00CA67C0" w:rsidRDefault="00CA67C0" w:rsidP="00CA67C0">
            <w:r>
              <w:t>A.15</w:t>
            </w:r>
          </w:p>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r>
              <w:lastRenderedPageBreak/>
              <w:t xml:space="preserve">Instead of adjusting the estimate of the utilisation rate (theta) to correct for </w:t>
            </w:r>
            <w:r w:rsidRPr="00CA67C0">
              <w:t>the apparent incorrect valuation of cash dividends, the appropriate response is not to adjust the theta estimate. Rather it is to adjust the allowed return on equity.</w:t>
            </w:r>
            <w:r w:rsidRPr="00CA67C0">
              <w:rPr>
                <w:rStyle w:val="FootnoteReference"/>
              </w:rPr>
              <w:footnoteReference w:id="192"/>
            </w:r>
          </w:p>
        </w:tc>
        <w:tc>
          <w:tcPr>
            <w:tcW w:w="4394" w:type="dxa"/>
          </w:tcPr>
          <w:p w:rsidR="00CA67C0" w:rsidRPr="00CA67C0" w:rsidRDefault="00CA67C0" w:rsidP="00744B81">
            <w:r w:rsidRPr="00C80AFF">
              <w:t>We consider that such an adjustment to the allowed return on equity would not be appropriate. The post-co</w:t>
            </w:r>
            <w:r w:rsidRPr="00CA67C0">
              <w:t>mpany tax and pre-personal tax required return on the equities market is reflective of the face value of dividends paid in the market, not a higher amount. We also note the equities market sets equilibrium prices based on the expected post</w:t>
            </w:r>
            <w:r w:rsidR="00744B81">
              <w:t xml:space="preserve">-company pre-personal </w:t>
            </w:r>
            <w:r w:rsidRPr="00CA67C0">
              <w:t xml:space="preserve">tax returns to shareholders (post-tax dividends, post-tax capital gains and post-tax imputation credits). </w:t>
            </w:r>
          </w:p>
        </w:tc>
        <w:tc>
          <w:tcPr>
            <w:tcW w:w="851" w:type="dxa"/>
          </w:tcPr>
          <w:p w:rsidR="00CA67C0" w:rsidRDefault="00CA67C0" w:rsidP="00CA67C0"/>
        </w:tc>
      </w:tr>
      <w:tr w:rsidR="00CA67C0" w:rsidTr="00CA67C0">
        <w:tc>
          <w:tcPr>
            <w:tcW w:w="3652" w:type="dxa"/>
          </w:tcPr>
          <w:p w:rsidR="00CA67C0" w:rsidRPr="00CA67C0" w:rsidRDefault="00CA67C0" w:rsidP="00CA67C0">
            <w:r w:rsidRPr="006B5C23">
              <w:rPr>
                <w:rStyle w:val="Strong"/>
              </w:rPr>
              <w:t>Other</w:t>
            </w:r>
          </w:p>
        </w:tc>
        <w:tc>
          <w:tcPr>
            <w:tcW w:w="4394" w:type="dxa"/>
          </w:tcPr>
          <w:p w:rsidR="00CA67C0" w:rsidRDefault="00CA67C0" w:rsidP="00CA67C0"/>
        </w:tc>
        <w:tc>
          <w:tcPr>
            <w:tcW w:w="851" w:type="dxa"/>
          </w:tcPr>
          <w:p w:rsidR="00CA67C0" w:rsidRDefault="00CA67C0" w:rsidP="00CA67C0"/>
        </w:tc>
      </w:tr>
      <w:tr w:rsidR="00CA67C0" w:rsidTr="00CA67C0">
        <w:trPr>
          <w:cnfStyle w:val="000000010000" w:firstRow="0" w:lastRow="0" w:firstColumn="0" w:lastColumn="0" w:oddVBand="0" w:evenVBand="0" w:oddHBand="0" w:evenHBand="1" w:firstRowFirstColumn="0" w:firstRowLastColumn="0" w:lastRowFirstColumn="0" w:lastRowLastColumn="0"/>
        </w:trPr>
        <w:tc>
          <w:tcPr>
            <w:tcW w:w="3652" w:type="dxa"/>
          </w:tcPr>
          <w:p w:rsidR="00CA67C0" w:rsidRPr="00CA67C0" w:rsidRDefault="00CA67C0" w:rsidP="00CA67C0">
            <w:r w:rsidRPr="00E82D06">
              <w:t>There is an inconsistency between the corporate income tax and the allowed rate of return.</w:t>
            </w:r>
            <w:r w:rsidRPr="00CA67C0">
              <w:rPr>
                <w:rStyle w:val="FootnoteReference"/>
              </w:rPr>
              <w:footnoteReference w:id="193"/>
            </w:r>
          </w:p>
        </w:tc>
        <w:tc>
          <w:tcPr>
            <w:tcW w:w="4394" w:type="dxa"/>
          </w:tcPr>
          <w:p w:rsidR="00CA67C0" w:rsidRPr="00CA67C0" w:rsidRDefault="00CA67C0" w:rsidP="00CA67C0">
            <w:r>
              <w:t>We disagree. We discuss this</w:t>
            </w:r>
            <w:r w:rsidRPr="00CA67C0">
              <w:t xml:space="preserve"> in detail in section C.6 of Attachment 3.</w:t>
            </w:r>
          </w:p>
        </w:tc>
        <w:tc>
          <w:tcPr>
            <w:tcW w:w="851" w:type="dxa"/>
          </w:tcPr>
          <w:p w:rsidR="00CA67C0" w:rsidRDefault="00CA67C0" w:rsidP="00CA67C0"/>
        </w:tc>
      </w:tr>
    </w:tbl>
    <w:p w:rsidR="00CA67C0" w:rsidRDefault="00CA67C0" w:rsidP="00CA67C0">
      <w:pPr>
        <w:pStyle w:val="AERtablesource"/>
      </w:pPr>
      <w:r>
        <w:t>Source:</w:t>
      </w:r>
      <w:r>
        <w:tab/>
        <w:t xml:space="preserve">AER analysis; </w:t>
      </w:r>
      <w:r w:rsidR="00E628E5">
        <w:t>AusNet Service</w:t>
      </w:r>
      <w:r w:rsidR="00D83064">
        <w:t>s' proposal</w:t>
      </w:r>
      <w:r w:rsidR="00E628E5">
        <w:t xml:space="preserve">; </w:t>
      </w:r>
      <w:r>
        <w:t>service providers' revised proposals; Tribunal decisions.</w:t>
      </w:r>
    </w:p>
    <w:p w:rsidR="00CA67C0" w:rsidRPr="00883125" w:rsidRDefault="00CA67C0" w:rsidP="00CA67C0">
      <w:r>
        <w:t>We have also received a number of submissions on gamma from consumer representatives. These are</w:t>
      </w:r>
      <w:r w:rsidRPr="00031E20">
        <w:t xml:space="preserve"> </w:t>
      </w:r>
      <w:r w:rsidRPr="00883125">
        <w:t>summarised below:</w:t>
      </w:r>
    </w:p>
    <w:p w:rsidR="00CA67C0" w:rsidRPr="001D37D5" w:rsidRDefault="00CA67C0" w:rsidP="00CA67C0">
      <w:pPr>
        <w:pStyle w:val="AERbulletlistfirststyle"/>
      </w:pPr>
      <w:r w:rsidRPr="00883125">
        <w:t>The CCP expressed a view that suggests we should take into account the interrelationship with the corporate tax allowance when determining the value of imputation credits.</w:t>
      </w:r>
      <w:r w:rsidRPr="001D37D5">
        <w:rPr>
          <w:rStyle w:val="FootnoteReference"/>
        </w:rPr>
        <w:footnoteReference w:id="194"/>
      </w:r>
      <w:r w:rsidRPr="001D37D5">
        <w:t xml:space="preserve"> We address this in section </w:t>
      </w:r>
      <w:r w:rsidRPr="001D37D5">
        <w:fldChar w:fldCharType="begin"/>
      </w:r>
      <w:r w:rsidRPr="001D37D5">
        <w:instrText xml:space="preserve"> REF _Ref415070818 \r \h </w:instrText>
      </w:r>
      <w:r w:rsidRPr="001D37D5">
        <w:fldChar w:fldCharType="separate"/>
      </w:r>
      <w:r w:rsidR="007261FC">
        <w:t>4.3.4</w:t>
      </w:r>
      <w:r w:rsidRPr="001D37D5">
        <w:fldChar w:fldCharType="end"/>
      </w:r>
      <w:r w:rsidRPr="001D37D5">
        <w:t>.</w:t>
      </w:r>
    </w:p>
    <w:p w:rsidR="00CA67C0" w:rsidRPr="001D37D5" w:rsidRDefault="00CA67C0" w:rsidP="00CA67C0">
      <w:pPr>
        <w:pStyle w:val="AERbulletlistfirststyle"/>
      </w:pPr>
      <w:r w:rsidRPr="00883125">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1D37D5">
        <w:rPr>
          <w:rStyle w:val="FootnoteReference"/>
        </w:rPr>
        <w:footnoteReference w:id="195"/>
      </w:r>
      <w:r w:rsidRPr="001D37D5">
        <w:t xml:space="preserve"> We agree with these comments in light of the Tribunal's finding that:</w:t>
      </w:r>
      <w:r w:rsidRPr="001D37D5">
        <w:rPr>
          <w:rStyle w:val="FootnoteReference"/>
        </w:rPr>
        <w:footnoteReference w:id="196"/>
      </w:r>
    </w:p>
    <w:p w:rsidR="00CA67C0" w:rsidRPr="00883125" w:rsidRDefault="00CA67C0" w:rsidP="00CA67C0">
      <w:pPr>
        <w:pStyle w:val="AERquote"/>
      </w:pPr>
      <w:r w:rsidRPr="00883125">
        <w:lastRenderedPageBreak/>
        <w:t>Further, the Tribunal notes that estimation of a parameter such as gamma [the value of imputation credits] is necessarily, and desirably, an ongoing intellectual and empirical endeavour. Its decision in these proceedings is based on the material before it.</w:t>
      </w:r>
    </w:p>
    <w:p w:rsidR="00CA67C0" w:rsidRPr="001D37D5" w:rsidRDefault="00CA67C0" w:rsidP="00CA67C0">
      <w:pPr>
        <w:pStyle w:val="AERbulletlistfirststyle"/>
      </w:pPr>
      <w:r w:rsidRPr="00883125">
        <w:t>PIAC also submitted that our draft decisions adequately set out the reasons for departing from the value of imputation credits in the Guideline.</w:t>
      </w:r>
      <w:r w:rsidRPr="001D37D5">
        <w:rPr>
          <w:rStyle w:val="FootnoteReference"/>
        </w:rPr>
        <w:footnoteReference w:id="197"/>
      </w:r>
    </w:p>
    <w:p w:rsidR="00CA67C0" w:rsidRPr="001D37D5" w:rsidRDefault="00CA67C0" w:rsidP="00CA67C0">
      <w:pPr>
        <w:pStyle w:val="AERbulletlistfirststyle"/>
      </w:pPr>
      <w:r w:rsidRPr="00883125">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1D37D5">
        <w:rPr>
          <w:rStyle w:val="FootnoteReference"/>
        </w:rPr>
        <w:footnoteReference w:id="198"/>
      </w:r>
      <w:r w:rsidRPr="001D37D5">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1D37D5">
        <w:rPr>
          <w:rStyle w:val="FootnoteReference"/>
        </w:rPr>
        <w:footnoteReference w:id="199"/>
      </w:r>
      <w:r w:rsidRPr="001D37D5">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1D37D5">
        <w:rPr>
          <w:rStyle w:val="FootnoteReference"/>
        </w:rPr>
        <w:footnoteReference w:id="200"/>
      </w:r>
    </w:p>
    <w:p w:rsidR="00CA67C0" w:rsidRPr="001D37D5" w:rsidRDefault="00CA67C0" w:rsidP="00CA67C0">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1D37D5">
        <w:rPr>
          <w:rStyle w:val="FootnoteReference"/>
        </w:rPr>
        <w:footnoteReference w:id="201"/>
      </w:r>
      <w:r w:rsidRPr="001D37D5">
        <w:t xml:space="preserve"> SACOSS supported a value of imputation credits of at least 0.4. In a subsequent submission on the AER's preliminary decision for SA Power Networks SACOSS supported the AER's decision to use the lower estimate of gamma than in the rate of return guideline, although noting its preferred estimate was for a gamma of 0.36. However, given the AER is reporting gamma to one decimal place SACOSS acknowledged that its preferred estimate of 0.36 concurs with the AER's estimate of 0.4 to one decimal place.</w:t>
      </w:r>
      <w:r w:rsidRPr="001D37D5">
        <w:rPr>
          <w:rStyle w:val="FootnoteReference"/>
        </w:rPr>
        <w:footnoteReference w:id="202"/>
      </w:r>
    </w:p>
    <w:p w:rsidR="00CA67C0" w:rsidRPr="001D37D5" w:rsidRDefault="00CA67C0" w:rsidP="00CA67C0">
      <w:pPr>
        <w:pStyle w:val="AERbulletlistfirststyle"/>
      </w:pPr>
      <w:r w:rsidRPr="00883125">
        <w:lastRenderedPageBreak/>
        <w:t>The Energy Consumers Coalition of South Australia (ECCSA) considered that the service providers (who had submitted regulatory proposals to us in 2014) submitted no new evidence to change our conclusions in the Guideline regarding the value of imputation credits.</w:t>
      </w:r>
      <w:r w:rsidRPr="001D37D5">
        <w:rPr>
          <w:rStyle w:val="FootnoteReference"/>
        </w:rPr>
        <w:footnoteReference w:id="203"/>
      </w:r>
      <w:r w:rsidRPr="001D37D5">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1D37D5">
        <w:rPr>
          <w:rStyle w:val="FootnoteReference"/>
        </w:rPr>
        <w:footnoteReference w:id="204"/>
      </w:r>
    </w:p>
    <w:p w:rsidR="00CA67C0" w:rsidRPr="001D37D5" w:rsidRDefault="00CA67C0" w:rsidP="00CA67C0">
      <w:pPr>
        <w:pStyle w:val="AERbulletlistfirststyle"/>
      </w:pPr>
      <w:r w:rsidRPr="00883125">
        <w:t xml:space="preserve">In a submission on </w:t>
      </w:r>
      <w:r w:rsidRPr="001D37D5">
        <w:t>our draft decision for Australian Gas Networks, the ECCSA consider that imposing an assumption that the benchmark entity would frank its dividend to the market average is a conservative assumption.</w:t>
      </w:r>
      <w:r w:rsidRPr="001D37D5">
        <w:rPr>
          <w:rStyle w:val="FootnoteReference"/>
        </w:rPr>
        <w:footnoteReference w:id="205"/>
      </w:r>
      <w:r w:rsidRPr="001D37D5">
        <w:t xml:space="preserve"> The AER considers that the benchmark selected to estimate gamma is appropriate. In section </w:t>
      </w:r>
      <w:r w:rsidRPr="001D37D5">
        <w:fldChar w:fldCharType="begin"/>
      </w:r>
      <w:r w:rsidRPr="001D37D5">
        <w:instrText xml:space="preserve"> REF _Ref403481194 \r \h </w:instrText>
      </w:r>
      <w:r w:rsidRPr="001D37D5">
        <w:fldChar w:fldCharType="separate"/>
      </w:r>
      <w:r w:rsidR="007261FC">
        <w:t>A.9.2</w:t>
      </w:r>
      <w:r w:rsidRPr="001D37D5">
        <w:fldChar w:fldCharType="end"/>
      </w:r>
      <w:r w:rsidRPr="001D37D5">
        <w:t xml:space="preserve"> and section </w:t>
      </w:r>
      <w:r w:rsidRPr="001D37D5">
        <w:fldChar w:fldCharType="begin"/>
      </w:r>
      <w:r w:rsidRPr="001D37D5">
        <w:instrText xml:space="preserve"> REF _Ref414289334 \r \h </w:instrText>
      </w:r>
      <w:r w:rsidRPr="001D37D5">
        <w:fldChar w:fldCharType="separate"/>
      </w:r>
      <w:r w:rsidR="007261FC">
        <w:t>A.10.1</w:t>
      </w:r>
      <w:r w:rsidRPr="001D37D5">
        <w:fldChar w:fldCharType="end"/>
      </w:r>
      <w:r w:rsidRPr="001D37D5">
        <w:t>, the AER considers that benchmark should be assessed holistically. Further, the ECCSA stated that it is inappropriate to reward offshore investors in energy networks by providing extra revenue when they have made a conscious decision to invest even though they gain no benefit from imputation.</w:t>
      </w:r>
      <w:r w:rsidRPr="001D37D5">
        <w:rPr>
          <w:rStyle w:val="FootnoteReference"/>
        </w:rPr>
        <w:footnoteReference w:id="206"/>
      </w:r>
      <w:r w:rsidRPr="001D37D5">
        <w:t xml:space="preserve"> In response, the AER considers that gamma and the return on equity are estimated on a consistent basis.</w:t>
      </w:r>
    </w:p>
    <w:p w:rsidR="00CA67C0" w:rsidRPr="001D37D5" w:rsidRDefault="00CA67C0" w:rsidP="00CA67C0">
      <w:pPr>
        <w:pStyle w:val="AERbulletlistfirststyle"/>
      </w:pPr>
      <w:r w:rsidRPr="00883125">
        <w:t>The Queensland Council of Social Service (QCOSS) submitted a 'more even-handed and consistent approach' would be a value of imputation credits of 0.5 as per the Guideline.</w:t>
      </w:r>
      <w:r w:rsidRPr="001D37D5">
        <w:rPr>
          <w:rStyle w:val="FootnoteReference"/>
        </w:rPr>
        <w:footnoteReference w:id="207"/>
      </w:r>
      <w:r w:rsidRPr="001D37D5">
        <w:t xml:space="preserve"> QCOSS had regard to a recent decision by the Queensland Competition Authority for a value of 0.47. We set out in this decision why we consider 0.4 to be the best estimate from within the range 0.3 to 0.5.</w:t>
      </w:r>
    </w:p>
    <w:p w:rsidR="00CA67C0" w:rsidRPr="001D37D5" w:rsidRDefault="00CA67C0" w:rsidP="00CA67C0">
      <w:pPr>
        <w:pStyle w:val="AERbulletlistfirststyle"/>
      </w:pPr>
      <w:r w:rsidRPr="00883125">
        <w:t>The Alliance of Electricity Consumers (the Alliance) employed a value of imputation credits of 0.25 in its estimation of an efficient rate of return.</w:t>
      </w:r>
      <w:r w:rsidRPr="001D37D5">
        <w:rPr>
          <w:rStyle w:val="FootnoteReference"/>
        </w:rPr>
        <w:footnoteReference w:id="208"/>
      </w:r>
      <w:r w:rsidRPr="001D37D5">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CA67C0" w:rsidRDefault="00CA67C0" w:rsidP="00CA67C0">
      <w:pPr>
        <w:pStyle w:val="AERbulletlistfirststyle"/>
      </w:pPr>
      <w:r w:rsidRPr="00883125">
        <w:lastRenderedPageBreak/>
        <w:t>UnitingCare Australia supported our value for gamma, if a value for gamma is necessary.</w:t>
      </w:r>
      <w:r w:rsidRPr="001D37D5">
        <w:rPr>
          <w:rStyle w:val="FootnoteReference"/>
        </w:rPr>
        <w:footnoteReference w:id="209"/>
      </w:r>
      <w:bookmarkStart w:id="109" w:name="_Toc450119234"/>
      <w:bookmarkStart w:id="110" w:name="_Toc450119396"/>
      <w:bookmarkStart w:id="111" w:name="_Toc450119236"/>
      <w:bookmarkStart w:id="112" w:name="_Toc450119398"/>
      <w:bookmarkStart w:id="113" w:name="_Toc450119239"/>
      <w:bookmarkStart w:id="114" w:name="_Toc450119401"/>
      <w:bookmarkEnd w:id="109"/>
      <w:bookmarkEnd w:id="110"/>
      <w:bookmarkEnd w:id="111"/>
      <w:bookmarkEnd w:id="112"/>
      <w:bookmarkEnd w:id="113"/>
      <w:bookmarkEnd w:id="114"/>
    </w:p>
    <w:p w:rsidR="00261FEE" w:rsidRPr="001D37D5" w:rsidRDefault="00261FEE" w:rsidP="00CA67C0">
      <w:pPr>
        <w:pStyle w:val="AERbulletlistfirststyle"/>
      </w:pPr>
      <w:r>
        <w:t>The CCP sees no clear reason for a further downward departure from the guideline gamma estimate of 0.5.</w:t>
      </w:r>
      <w:r>
        <w:rPr>
          <w:rStyle w:val="FootnoteReference"/>
        </w:rPr>
        <w:footnoteReference w:id="210"/>
      </w:r>
      <w:r>
        <w:t xml:space="preserve"> Their view is that gamma should be at least 0.5 because a higher gamma better meets the NEO and given the imprecision around estimating this input in the revenue calculation.</w:t>
      </w:r>
      <w:r>
        <w:rPr>
          <w:rStyle w:val="FootnoteReference"/>
        </w:rPr>
        <w:footnoteReference w:id="211"/>
      </w:r>
      <w:r>
        <w:t xml:space="preserve"> We agree that estimating gamma is an imprecise exercise. However, we consider that a gamma estimate of 0.4 meets the requirement of the NEO.</w:t>
      </w:r>
    </w:p>
    <w:p w:rsidR="00CA67C0" w:rsidRPr="00883125" w:rsidRDefault="00CA67C0" w:rsidP="00CA67C0"/>
    <w:p w:rsidR="00CA67C0" w:rsidRPr="00883125" w:rsidRDefault="00CA67C0" w:rsidP="00CA67C0">
      <w:pPr>
        <w:pStyle w:val="Heading7"/>
      </w:pPr>
      <w:bookmarkStart w:id="115" w:name="_Toc436049441"/>
      <w:bookmarkStart w:id="116" w:name="_Toc451842245"/>
      <w:bookmarkStart w:id="117" w:name="_Toc451938301"/>
      <w:bookmarkStart w:id="118" w:name="_Toc456614289"/>
      <w:r w:rsidRPr="00883125">
        <w:lastRenderedPageBreak/>
        <w:t>Value of imputation credits: Detailed analysis</w:t>
      </w:r>
      <w:bookmarkEnd w:id="115"/>
      <w:bookmarkEnd w:id="116"/>
      <w:bookmarkEnd w:id="117"/>
      <w:bookmarkEnd w:id="118"/>
    </w:p>
    <w:p w:rsidR="00CA67C0" w:rsidRPr="00883125" w:rsidRDefault="00CA67C0" w:rsidP="00CA67C0">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CA67C0" w:rsidRPr="00883125" w:rsidRDefault="00616A0E" w:rsidP="00616A0E">
      <w:r>
        <w:t xml:space="preserve">AusNet Services proposed </w:t>
      </w:r>
      <w:r w:rsidR="00CA67C0" w:rsidRPr="00883125">
        <w:t>a value of imputation credits of 0.25</w:t>
      </w:r>
      <w:r w:rsidR="00ED527E">
        <w:t xml:space="preserve"> for this</w:t>
      </w:r>
      <w:r w:rsidR="00800CCB">
        <w:t xml:space="preserve"> transmission determination</w:t>
      </w:r>
      <w:r w:rsidR="00A94F84">
        <w:t>,</w:t>
      </w:r>
      <w:r>
        <w:t xml:space="preserve"> which is </w:t>
      </w:r>
      <w:r w:rsidR="00800CCB">
        <w:t xml:space="preserve">also </w:t>
      </w:r>
      <w:r>
        <w:t>consistent with the revised proposal</w:t>
      </w:r>
      <w:r w:rsidR="00800CCB">
        <w:t>s</w:t>
      </w:r>
      <w:r>
        <w:t xml:space="preserve"> submitted to the AER in January 2016</w:t>
      </w:r>
      <w:r w:rsidR="00800CCB">
        <w:t xml:space="preserve">, including the revised proposal of AusNet Services for its </w:t>
      </w:r>
      <w:r w:rsidR="00ED527E">
        <w:t xml:space="preserve">Victorian </w:t>
      </w:r>
      <w:r w:rsidR="00800CCB">
        <w:t>distribution determination</w:t>
      </w:r>
      <w:r w:rsidR="00CA67C0" w:rsidRPr="00883125">
        <w:t xml:space="preserve">. </w:t>
      </w:r>
      <w:r>
        <w:t>A</w:t>
      </w:r>
      <w:r w:rsidR="00CA67C0">
        <w:t>s set out in section 4.1, the Australian Competition Tribunal (Tribunal) released its decisions for a number of service providers on 26 February 2016. Following this</w:t>
      </w:r>
      <w:r w:rsidR="00CA67C0" w:rsidRPr="00883125">
        <w:t xml:space="preserve">, </w:t>
      </w:r>
      <w:r w:rsidR="00CA67C0">
        <w:t>four</w:t>
      </w:r>
      <w:r w:rsidR="00CA67C0" w:rsidRPr="00883125">
        <w:t xml:space="preserve"> service providers </w:t>
      </w:r>
      <w:r w:rsidR="00CA67C0">
        <w:t>filed late submissions</w:t>
      </w:r>
      <w:r w:rsidR="00CA67C0" w:rsidRPr="00883125">
        <w:t xml:space="preserve"> in support of </w:t>
      </w:r>
      <w:r w:rsidR="00CA67C0">
        <w:t xml:space="preserve">a </w:t>
      </w:r>
      <w:r w:rsidR="00CA67C0" w:rsidRPr="00883125">
        <w:t xml:space="preserve">value of </w:t>
      </w:r>
      <w:r w:rsidR="00CA67C0">
        <w:t xml:space="preserve">imputation credits of </w:t>
      </w:r>
      <w:r w:rsidR="00CA67C0" w:rsidRPr="00883125">
        <w:t>0.25</w:t>
      </w:r>
      <w:r w:rsidR="00CA67C0">
        <w:t>, referencing</w:t>
      </w:r>
      <w:r w:rsidR="00CA67C0" w:rsidRPr="00883125">
        <w:t xml:space="preserve"> the </w:t>
      </w:r>
      <w:r w:rsidR="00CA67C0">
        <w:t xml:space="preserve">recent </w:t>
      </w:r>
      <w:r w:rsidR="00CA67C0" w:rsidRPr="00883125">
        <w:t>Tribunal decision</w:t>
      </w:r>
      <w:r w:rsidR="00CA67C0">
        <w:t>s</w:t>
      </w:r>
      <w:r w:rsidR="00CA67C0" w:rsidRPr="00883125">
        <w:t xml:space="preserve"> in support of their position.</w:t>
      </w:r>
      <w:r w:rsidR="00CA67C0">
        <w:rPr>
          <w:rStyle w:val="FootnoteReference"/>
        </w:rPr>
        <w:footnoteReference w:id="212"/>
      </w:r>
      <w:r w:rsidR="00CA67C0" w:rsidRPr="00883125">
        <w:t xml:space="preserve"> Consistent with our </w:t>
      </w:r>
      <w:r w:rsidR="00D455DE">
        <w:t>recent</w:t>
      </w:r>
      <w:r w:rsidR="000A181E">
        <w:t xml:space="preserve"> May 2016</w:t>
      </w:r>
      <w:r w:rsidR="00D54DFC" w:rsidRPr="00883125">
        <w:t xml:space="preserve"> </w:t>
      </w:r>
      <w:r w:rsidR="00CA67C0" w:rsidRPr="00883125">
        <w:t>decision</w:t>
      </w:r>
      <w:r w:rsidR="00D54DFC">
        <w:t>s</w:t>
      </w:r>
      <w:r w:rsidR="00CA67C0" w:rsidRPr="00883125">
        <w:t xml:space="preserve">, in this </w:t>
      </w:r>
      <w:r w:rsidR="00F15ADC">
        <w:t xml:space="preserve">draft </w:t>
      </w:r>
      <w:r w:rsidR="00CA67C0" w:rsidRPr="00883125">
        <w:t xml:space="preserve">decision we have adopted a value of 0.4 for gamma. We remain of the view 0.4 is appropriate having given careful consideration to all the material before us. </w:t>
      </w:r>
      <w:r w:rsidR="00CA67C0">
        <w:t>This includes the late submissions by a number of service providers, and a report we commissioned from Dr Martin Lally (Lally) following the late submissions. However, given the timing of the late submissions, we have had limited time to review the material.</w:t>
      </w:r>
      <w:r w:rsidR="00CA67C0" w:rsidRPr="00BE07EB">
        <w:t xml:space="preserve"> </w:t>
      </w:r>
    </w:p>
    <w:p w:rsidR="00CA67C0" w:rsidRDefault="00CA67C0" w:rsidP="00CA67C0">
      <w:r>
        <w:t>This appendix is structured under the following headings:</w:t>
      </w:r>
    </w:p>
    <w:p w:rsidR="00CA67C0" w:rsidRPr="001D37D5" w:rsidRDefault="00CA67C0" w:rsidP="00CA67C0">
      <w:pPr>
        <w:pStyle w:val="AERbulletlistfirststyle"/>
      </w:pPr>
      <w:r>
        <w:t>expert views</w:t>
      </w:r>
      <w:r w:rsidRPr="001D37D5">
        <w:t xml:space="preserve"> on the value of imputation credits</w:t>
      </w:r>
      <w:r w:rsidRPr="001D37D5" w:rsidDel="00BD4879">
        <w:t xml:space="preserve"> </w:t>
      </w:r>
    </w:p>
    <w:p w:rsidR="00CA67C0" w:rsidRPr="001D37D5" w:rsidRDefault="00CA67C0" w:rsidP="00CA67C0">
      <w:pPr>
        <w:pStyle w:val="AERbulletlistfirststyle"/>
      </w:pPr>
      <w:r>
        <w:t xml:space="preserve">the </w:t>
      </w:r>
      <w:r w:rsidRPr="001D37D5">
        <w:t>value of imputation credits used by other regulators</w:t>
      </w:r>
      <w:r w:rsidRPr="001D37D5" w:rsidDel="00BD4879">
        <w:t xml:space="preserve"> </w:t>
      </w:r>
    </w:p>
    <w:p w:rsidR="00CA67C0" w:rsidRPr="001D37D5" w:rsidRDefault="00CA67C0" w:rsidP="00CA67C0">
      <w:pPr>
        <w:pStyle w:val="AERbulletlistfirststyle"/>
      </w:pPr>
      <w:r>
        <w:t xml:space="preserve">previous </w:t>
      </w:r>
      <w:r w:rsidRPr="001D37D5">
        <w:t>Australian Competition Tribunal (Tribunal) considerations</w:t>
      </w:r>
    </w:p>
    <w:p w:rsidR="00CA67C0" w:rsidRPr="001D37D5" w:rsidRDefault="00CA67C0" w:rsidP="00CA67C0">
      <w:pPr>
        <w:pStyle w:val="AERbulletlistfirststyle"/>
      </w:pPr>
      <w:r>
        <w:t>key</w:t>
      </w:r>
      <w:r w:rsidRPr="001D37D5" w:rsidDel="00BD4879">
        <w:t xml:space="preserve"> </w:t>
      </w:r>
      <w:r w:rsidRPr="001D37D5">
        <w:t>concerns of the service providers</w:t>
      </w:r>
      <w:r w:rsidRPr="001D37D5" w:rsidDel="00BD4879">
        <w:t xml:space="preserve"> </w:t>
      </w:r>
    </w:p>
    <w:p w:rsidR="00CA67C0" w:rsidRPr="001D37D5" w:rsidRDefault="00CA67C0" w:rsidP="00CA67C0">
      <w:pPr>
        <w:pStyle w:val="AERbulletlistfirststyle"/>
      </w:pPr>
      <w:r>
        <w:t xml:space="preserve">the </w:t>
      </w:r>
      <w:r w:rsidRPr="001D37D5">
        <w:t>role of the value of imputation credits in the regulatory framework</w:t>
      </w:r>
      <w:r w:rsidRPr="001D37D5" w:rsidDel="00BD4879">
        <w:t xml:space="preserve"> </w:t>
      </w:r>
    </w:p>
    <w:p w:rsidR="00CA67C0" w:rsidRPr="001D37D5" w:rsidRDefault="00CA67C0" w:rsidP="00CA67C0">
      <w:pPr>
        <w:pStyle w:val="AERbulletlistfirststyle"/>
      </w:pPr>
      <w:r>
        <w:t xml:space="preserve">the </w:t>
      </w:r>
      <w:r w:rsidRPr="001D37D5">
        <w:t>conceptual framework for the value of imputation credits</w:t>
      </w:r>
      <w:r w:rsidRPr="001D37D5" w:rsidDel="00BD4879">
        <w:t xml:space="preserve"> </w:t>
      </w:r>
    </w:p>
    <w:p w:rsidR="00CA67C0" w:rsidRPr="001D37D5" w:rsidRDefault="00CA67C0" w:rsidP="00CA67C0">
      <w:pPr>
        <w:pStyle w:val="AERbulletlistfirststyle"/>
      </w:pPr>
      <w:r>
        <w:t xml:space="preserve">Professor Stephen Gray's (Gray's) </w:t>
      </w:r>
      <w:r w:rsidRPr="001D37D5">
        <w:t>comments on the conceptual framework</w:t>
      </w:r>
    </w:p>
    <w:p w:rsidR="00CA67C0" w:rsidRPr="001D37D5" w:rsidRDefault="00CA67C0" w:rsidP="00CA67C0">
      <w:pPr>
        <w:pStyle w:val="AERbulletlistfirststyle"/>
      </w:pPr>
      <w:r>
        <w:t>further</w:t>
      </w:r>
      <w:r w:rsidRPr="001D37D5" w:rsidDel="00BD4879">
        <w:t xml:space="preserve"> </w:t>
      </w:r>
      <w:r w:rsidRPr="001D37D5">
        <w:t>issues relating to the utilisation rate</w:t>
      </w:r>
      <w:r w:rsidRPr="001D37D5" w:rsidDel="00BD4879">
        <w:t xml:space="preserve"> </w:t>
      </w:r>
    </w:p>
    <w:p w:rsidR="00CA67C0" w:rsidRPr="001D37D5" w:rsidRDefault="00CA67C0" w:rsidP="00CA67C0">
      <w:pPr>
        <w:pStyle w:val="AERbulletlistfirststyle"/>
      </w:pPr>
      <w:r>
        <w:t xml:space="preserve">estimation </w:t>
      </w:r>
      <w:r w:rsidRPr="001D37D5">
        <w:t>approach considerations</w:t>
      </w:r>
      <w:r w:rsidRPr="001D37D5" w:rsidDel="00BD4879">
        <w:t xml:space="preserve"> </w:t>
      </w:r>
    </w:p>
    <w:p w:rsidR="00CA67C0" w:rsidRPr="001D37D5" w:rsidRDefault="00CA67C0" w:rsidP="00CA67C0">
      <w:pPr>
        <w:pStyle w:val="AERbulletlistfirststyle"/>
      </w:pPr>
      <w:r>
        <w:lastRenderedPageBreak/>
        <w:t xml:space="preserve">estimating </w:t>
      </w:r>
      <w:r w:rsidRPr="001D37D5">
        <w:t>the distribution rate</w:t>
      </w:r>
    </w:p>
    <w:p w:rsidR="00CA67C0" w:rsidRPr="001D37D5" w:rsidRDefault="00CA67C0" w:rsidP="00CA67C0">
      <w:pPr>
        <w:pStyle w:val="AERbulletlistfirststyle"/>
      </w:pPr>
      <w:r>
        <w:t xml:space="preserve">application </w:t>
      </w:r>
      <w:r w:rsidRPr="001D37D5">
        <w:t>of rate of return criteria to evidence on the utilisation rate</w:t>
      </w:r>
    </w:p>
    <w:p w:rsidR="00CA67C0" w:rsidRPr="001D37D5" w:rsidRDefault="00CA67C0" w:rsidP="00CA67C0">
      <w:pPr>
        <w:pStyle w:val="AERbulletlistfirststyle"/>
      </w:pPr>
      <w:r>
        <w:t xml:space="preserve">the </w:t>
      </w:r>
      <w:r w:rsidRPr="001D37D5">
        <w:t>equity ownership approach</w:t>
      </w:r>
    </w:p>
    <w:p w:rsidR="00CA67C0" w:rsidRPr="001D37D5" w:rsidRDefault="00CA67C0" w:rsidP="00CA67C0">
      <w:pPr>
        <w:pStyle w:val="AERbulletlistfirststyle"/>
      </w:pPr>
      <w:r>
        <w:t>tax statistics</w:t>
      </w:r>
    </w:p>
    <w:p w:rsidR="00CA67C0" w:rsidRPr="001D37D5" w:rsidRDefault="00CA67C0" w:rsidP="00CA67C0">
      <w:pPr>
        <w:pStyle w:val="AERbulletlistfirststyle"/>
      </w:pPr>
      <w:r>
        <w:t xml:space="preserve">the </w:t>
      </w:r>
      <w:r w:rsidRPr="001D37D5">
        <w:t>difference between equity ownership approach and tax statistics</w:t>
      </w:r>
    </w:p>
    <w:p w:rsidR="00CA67C0" w:rsidRPr="00B27BE5" w:rsidRDefault="00CA67C0" w:rsidP="00CA67C0">
      <w:pPr>
        <w:pStyle w:val="AERbulletlistfirststyle"/>
      </w:pPr>
      <w:r w:rsidRPr="00B27BE5">
        <w:t>implied market value studies.</w:t>
      </w:r>
    </w:p>
    <w:p w:rsidR="00CA67C0" w:rsidRPr="00883125" w:rsidRDefault="00CA67C0" w:rsidP="00CA67C0">
      <w:pPr>
        <w:pStyle w:val="Heading8"/>
      </w:pPr>
      <w:bookmarkStart w:id="119" w:name="_Ref414621676"/>
      <w:bookmarkStart w:id="120" w:name="_Toc436049442"/>
      <w:bookmarkStart w:id="121" w:name="_Toc451842246"/>
      <w:bookmarkStart w:id="122" w:name="_Toc451938302"/>
      <w:bookmarkStart w:id="123" w:name="_Toc456614290"/>
      <w:r w:rsidRPr="00883125">
        <w:t>Expert views on the value of imputation credits</w:t>
      </w:r>
      <w:bookmarkEnd w:id="119"/>
      <w:bookmarkEnd w:id="120"/>
      <w:bookmarkEnd w:id="121"/>
      <w:bookmarkEnd w:id="122"/>
      <w:bookmarkEnd w:id="123"/>
    </w:p>
    <w:p w:rsidR="00CA67C0" w:rsidRPr="00883125" w:rsidRDefault="00CA67C0" w:rsidP="00CA67C0">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7261FC" w:rsidRPr="00883125">
        <w:t xml:space="preserve">Table </w:t>
      </w:r>
      <w:r w:rsidR="007261FC">
        <w:rPr>
          <w:noProof/>
        </w:rPr>
        <w:t>4</w:t>
      </w:r>
      <w:r w:rsidR="007261FC">
        <w:noBreakHyphen/>
      </w:r>
      <w:r w:rsidR="007261FC">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w:t>
      </w:r>
      <w:r w:rsidR="001F278D" w:rsidRPr="00883125">
        <w:t xml:space="preserve">For this decision </w:t>
      </w:r>
      <w:r w:rsidR="001F278D">
        <w:t>we have</w:t>
      </w:r>
      <w:r w:rsidR="001F278D" w:rsidRPr="00883125">
        <w:t xml:space="preserve"> considered</w:t>
      </w:r>
      <w:r w:rsidR="001F278D">
        <w:t xml:space="preserve"> (in addition to the expert reports submitted by AusNet Services)</w:t>
      </w:r>
      <w:r w:rsidR="001F278D" w:rsidRPr="00883125">
        <w:t xml:space="preserve"> the new expert report </w:t>
      </w:r>
      <w:r w:rsidR="001F278D">
        <w:t>submitted by several</w:t>
      </w:r>
      <w:r w:rsidR="001F278D" w:rsidRPr="00883125">
        <w:t xml:space="preserve"> </w:t>
      </w:r>
      <w:r w:rsidR="001F278D">
        <w:t>service provider</w:t>
      </w:r>
      <w:r w:rsidR="001F278D" w:rsidRPr="00883125">
        <w:t>s</w:t>
      </w:r>
      <w:r w:rsidR="001F278D">
        <w:t xml:space="preserve"> in January 2016.</w:t>
      </w:r>
      <w:r w:rsidR="001F278D">
        <w:rPr>
          <w:rStyle w:val="FootnoteReference"/>
        </w:rPr>
        <w:footnoteReference w:id="213"/>
      </w:r>
      <w:r w:rsidR="001F278D">
        <w:t xml:space="preserve"> </w:t>
      </w:r>
      <w:r>
        <w:t>We</w:t>
      </w:r>
      <w:r w:rsidRPr="00883125">
        <w:t xml:space="preserve"> </w:t>
      </w:r>
      <w:r>
        <w:t>have</w:t>
      </w:r>
      <w:r w:rsidRPr="00883125">
        <w:t xml:space="preserve"> </w:t>
      </w:r>
      <w:r>
        <w:t xml:space="preserve">also </w:t>
      </w:r>
      <w:r w:rsidRPr="00883125">
        <w:t>commissioned further expert advice</w:t>
      </w:r>
      <w:r>
        <w:t xml:space="preserve"> from Lally following late submissions by a number of service providers</w:t>
      </w:r>
      <w:r w:rsidRPr="00883125">
        <w:t>.</w:t>
      </w:r>
      <w:r>
        <w:rPr>
          <w:rStyle w:val="FootnoteReference"/>
        </w:rPr>
        <w:footnoteReference w:id="214"/>
      </w:r>
      <w:r w:rsidRPr="00883125">
        <w:t xml:space="preserve"> We consider the new expert report from the service providers do not provide new evidence to justify a departure from the position we adopted in the decisions we released in October and November 2015.</w:t>
      </w:r>
    </w:p>
    <w:p w:rsidR="00CA67C0" w:rsidRPr="00883125" w:rsidRDefault="00CA67C0" w:rsidP="00CA67C0">
      <w:pPr>
        <w:pStyle w:val="Caption"/>
      </w:pPr>
      <w:bookmarkStart w:id="124" w:name="_Ref400609043"/>
      <w:r w:rsidRPr="00883125">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6</w:t>
      </w:r>
      <w:r w:rsidRPr="001D37D5">
        <w:fldChar w:fldCharType="end"/>
      </w:r>
      <w:bookmarkEnd w:id="124"/>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CA67C0" w:rsidTr="00CA67C0">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CA67C0" w:rsidRPr="00883125" w:rsidRDefault="00CA67C0" w:rsidP="00764AB1">
            <w:pPr>
              <w:numPr>
                <w:ilvl w:val="0"/>
                <w:numId w:val="24"/>
              </w:numPr>
            </w:pPr>
            <w:r w:rsidRPr="00883125">
              <w:t>Expert</w:t>
            </w:r>
          </w:p>
        </w:tc>
        <w:tc>
          <w:tcPr>
            <w:tcW w:w="2560" w:type="dxa"/>
          </w:tcPr>
          <w:p w:rsidR="00CA67C0" w:rsidRPr="00883125" w:rsidRDefault="00CA67C0" w:rsidP="00764AB1">
            <w:pPr>
              <w:numPr>
                <w:ilvl w:val="0"/>
                <w:numId w:val="24"/>
              </w:numPr>
            </w:pPr>
            <w:r w:rsidRPr="00883125">
              <w:t>Distribution rate</w:t>
            </w:r>
          </w:p>
        </w:tc>
        <w:tc>
          <w:tcPr>
            <w:tcW w:w="2560" w:type="dxa"/>
          </w:tcPr>
          <w:p w:rsidR="00CA67C0" w:rsidRPr="00883125" w:rsidRDefault="00CA67C0" w:rsidP="00764AB1">
            <w:pPr>
              <w:numPr>
                <w:ilvl w:val="0"/>
                <w:numId w:val="24"/>
              </w:numPr>
            </w:pPr>
            <w:r w:rsidRPr="00883125">
              <w:t>Utilisation rate</w:t>
            </w:r>
          </w:p>
        </w:tc>
        <w:tc>
          <w:tcPr>
            <w:tcW w:w="2560" w:type="dxa"/>
          </w:tcPr>
          <w:p w:rsidR="00CA67C0" w:rsidRPr="00883125" w:rsidRDefault="00CA67C0" w:rsidP="00764AB1">
            <w:pPr>
              <w:numPr>
                <w:ilvl w:val="0"/>
                <w:numId w:val="24"/>
              </w:numPr>
            </w:pPr>
            <w:r w:rsidRPr="00883125">
              <w:t>Value of imputation credits</w:t>
            </w:r>
          </w:p>
        </w:tc>
      </w:tr>
      <w:tr w:rsidR="00CA67C0" w:rsidTr="00CA67C0">
        <w:trPr>
          <w:cantSplit/>
        </w:trPr>
        <w:tc>
          <w:tcPr>
            <w:tcW w:w="1562" w:type="dxa"/>
          </w:tcPr>
          <w:p w:rsidR="00CA67C0" w:rsidRPr="00883125" w:rsidRDefault="00CA67C0" w:rsidP="00764AB1">
            <w:pPr>
              <w:numPr>
                <w:ilvl w:val="0"/>
                <w:numId w:val="24"/>
              </w:numPr>
            </w:pPr>
            <w:r>
              <w:t>Lally (2016)</w:t>
            </w:r>
            <w:r>
              <w:rPr>
                <w:rStyle w:val="FootnoteReference"/>
              </w:rPr>
              <w:footnoteReference w:id="215"/>
            </w:r>
          </w:p>
        </w:tc>
        <w:tc>
          <w:tcPr>
            <w:tcW w:w="2560" w:type="dxa"/>
          </w:tcPr>
          <w:p w:rsidR="00CA67C0" w:rsidRPr="00883125" w:rsidRDefault="00CA67C0" w:rsidP="00764AB1">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CA67C0" w:rsidRPr="00883125" w:rsidRDefault="00CA67C0" w:rsidP="00764AB1">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CA67C0" w:rsidRPr="00CA67C0" w:rsidRDefault="00CA67C0" w:rsidP="00CA67C0">
            <w:pPr>
              <w:rPr>
                <w:rStyle w:val="Strong"/>
              </w:rPr>
            </w:pPr>
            <w:r>
              <w:rPr>
                <w:rStyle w:val="Strong"/>
              </w:rPr>
              <w:t>At least 0.5</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1562" w:type="dxa"/>
          </w:tcPr>
          <w:p w:rsidR="00CA67C0" w:rsidRPr="00883125" w:rsidRDefault="00CA67C0" w:rsidP="00764AB1">
            <w:pPr>
              <w:numPr>
                <w:ilvl w:val="0"/>
                <w:numId w:val="24"/>
              </w:numPr>
            </w:pPr>
            <w:r w:rsidRPr="00883125">
              <w:t>Lally (2013a, 2013b, 2014)</w:t>
            </w:r>
            <w:r w:rsidRPr="00883125">
              <w:rPr>
                <w:rStyle w:val="FootnoteReference"/>
              </w:rPr>
              <w:footnoteReference w:id="216"/>
            </w:r>
          </w:p>
        </w:tc>
        <w:tc>
          <w:tcPr>
            <w:tcW w:w="2560" w:type="dxa"/>
          </w:tcPr>
          <w:p w:rsidR="00CA67C0" w:rsidRPr="00883125" w:rsidRDefault="00CA67C0" w:rsidP="00764AB1">
            <w:pPr>
              <w:numPr>
                <w:ilvl w:val="0"/>
                <w:numId w:val="24"/>
              </w:numPr>
            </w:pPr>
            <w:r w:rsidRPr="00883125">
              <w:rPr>
                <w:rStyle w:val="Strong"/>
              </w:rPr>
              <w:t>0.84</w:t>
            </w:r>
            <w:r w:rsidRPr="00883125">
              <w:t xml:space="preserve"> using the financial statements of 20 largest ASX-listed companies</w:t>
            </w:r>
          </w:p>
        </w:tc>
        <w:tc>
          <w:tcPr>
            <w:tcW w:w="2560" w:type="dxa"/>
          </w:tcPr>
          <w:p w:rsidR="00CA67C0" w:rsidRPr="00883125" w:rsidRDefault="00CA67C0" w:rsidP="00764AB1">
            <w:pPr>
              <w:numPr>
                <w:ilvl w:val="0"/>
                <w:numId w:val="24"/>
              </w:numPr>
            </w:pPr>
            <w:r w:rsidRPr="00883125">
              <w:rPr>
                <w:rStyle w:val="Strong"/>
              </w:rPr>
              <w:t>1.0</w:t>
            </w:r>
            <w:r w:rsidRPr="00883125">
              <w:t>, based on assumption that all investors in the Officer CAPM are domestic investors</w:t>
            </w:r>
          </w:p>
          <w:p w:rsidR="00CA67C0" w:rsidRPr="00883125" w:rsidRDefault="00CA67C0" w:rsidP="00764AB1">
            <w:pPr>
              <w:numPr>
                <w:ilvl w:val="0"/>
                <w:numId w:val="24"/>
              </w:numPr>
            </w:pPr>
            <w:r w:rsidRPr="00883125">
              <w:t>0.54 to 0.7, using equity ownership as second preference</w:t>
            </w:r>
          </w:p>
        </w:tc>
        <w:tc>
          <w:tcPr>
            <w:tcW w:w="2560" w:type="dxa"/>
          </w:tcPr>
          <w:p w:rsidR="00CA67C0" w:rsidRPr="00CA67C0" w:rsidRDefault="00CA67C0" w:rsidP="00CA67C0">
            <w:pPr>
              <w:rPr>
                <w:rStyle w:val="Strong"/>
              </w:rPr>
            </w:pPr>
            <w:r w:rsidRPr="00883125">
              <w:rPr>
                <w:rStyle w:val="Strong"/>
              </w:rPr>
              <w:t>0.84</w:t>
            </w:r>
          </w:p>
          <w:p w:rsidR="00CA67C0" w:rsidRPr="00CA67C0" w:rsidRDefault="00CA67C0" w:rsidP="00CA67C0">
            <w:pPr>
              <w:rPr>
                <w:rStyle w:val="Strong"/>
              </w:rPr>
            </w:pPr>
            <w:r w:rsidRPr="00883125">
              <w:t xml:space="preserve">0.45 to 0.59 using second preference utilisation </w:t>
            </w:r>
            <w:r w:rsidRPr="00CA67C0">
              <w:t>rate</w:t>
            </w:r>
          </w:p>
        </w:tc>
      </w:tr>
      <w:tr w:rsidR="00CA67C0" w:rsidTr="00CA67C0">
        <w:trPr>
          <w:cantSplit/>
        </w:trPr>
        <w:tc>
          <w:tcPr>
            <w:tcW w:w="1562" w:type="dxa"/>
          </w:tcPr>
          <w:p w:rsidR="00CA67C0" w:rsidRPr="00883125" w:rsidRDefault="00CA67C0" w:rsidP="00764AB1">
            <w:pPr>
              <w:numPr>
                <w:ilvl w:val="0"/>
                <w:numId w:val="24"/>
              </w:numPr>
            </w:pPr>
            <w:r w:rsidRPr="00883125">
              <w:lastRenderedPageBreak/>
              <w:t>McKenzie and Partington (2013)</w:t>
            </w:r>
            <w:r w:rsidRPr="00883125">
              <w:rPr>
                <w:rStyle w:val="FootnoteReference"/>
              </w:rPr>
              <w:footnoteReference w:id="217"/>
            </w:r>
          </w:p>
        </w:tc>
        <w:tc>
          <w:tcPr>
            <w:tcW w:w="2560" w:type="dxa"/>
          </w:tcPr>
          <w:p w:rsidR="00CA67C0" w:rsidRPr="00883125" w:rsidRDefault="00CA67C0" w:rsidP="00764AB1">
            <w:pPr>
              <w:numPr>
                <w:ilvl w:val="0"/>
                <w:numId w:val="24"/>
              </w:numPr>
            </w:pPr>
            <w:r w:rsidRPr="00883125">
              <w:rPr>
                <w:rStyle w:val="Strong"/>
              </w:rPr>
              <w:t>0.7</w:t>
            </w:r>
            <w:r w:rsidRPr="00883125">
              <w:t>, using cumulative payout ratio approach over all equity</w:t>
            </w:r>
          </w:p>
        </w:tc>
        <w:tc>
          <w:tcPr>
            <w:tcW w:w="2560" w:type="dxa"/>
          </w:tcPr>
          <w:p w:rsidR="00CA67C0" w:rsidRPr="00883125" w:rsidRDefault="00CA67C0" w:rsidP="00764AB1">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CA67C0" w:rsidRPr="00CA67C0" w:rsidRDefault="00CA67C0" w:rsidP="00CA67C0">
            <w:pPr>
              <w:rPr>
                <w:rStyle w:val="Strong"/>
              </w:rPr>
            </w:pPr>
            <w:r w:rsidRPr="001A60DE">
              <w:t>Evidence not compelling enough to depart from</w:t>
            </w:r>
            <w:r w:rsidRPr="00CA67C0">
              <w:rPr>
                <w:rStyle w:val="Strong"/>
              </w:rPr>
              <w:t xml:space="preserve"> 0.5</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1562" w:type="dxa"/>
          </w:tcPr>
          <w:p w:rsidR="00CA67C0" w:rsidRPr="00883125" w:rsidRDefault="00CA67C0" w:rsidP="00764AB1">
            <w:pPr>
              <w:numPr>
                <w:ilvl w:val="0"/>
                <w:numId w:val="24"/>
              </w:numPr>
            </w:pPr>
            <w:r w:rsidRPr="00883125">
              <w:t>Handley (2014)</w:t>
            </w:r>
            <w:r w:rsidRPr="00883125">
              <w:rPr>
                <w:rStyle w:val="FootnoteReference"/>
              </w:rPr>
              <w:footnoteReference w:id="218"/>
            </w:r>
          </w:p>
        </w:tc>
        <w:tc>
          <w:tcPr>
            <w:tcW w:w="2560" w:type="dxa"/>
          </w:tcPr>
          <w:p w:rsidR="00CA67C0" w:rsidRPr="00883125" w:rsidRDefault="00CA67C0" w:rsidP="00764AB1">
            <w:pPr>
              <w:numPr>
                <w:ilvl w:val="0"/>
                <w:numId w:val="24"/>
              </w:numPr>
            </w:pPr>
            <w:r w:rsidRPr="00883125">
              <w:rPr>
                <w:rStyle w:val="Strong"/>
              </w:rPr>
              <w:t>0.8</w:t>
            </w:r>
            <w:r w:rsidRPr="00883125">
              <w:t xml:space="preserve">, using cumulative payout ratio approach over only listed equity </w:t>
            </w:r>
          </w:p>
        </w:tc>
        <w:tc>
          <w:tcPr>
            <w:tcW w:w="2560" w:type="dxa"/>
          </w:tcPr>
          <w:p w:rsidR="00CA67C0" w:rsidRPr="00883125" w:rsidRDefault="00CA67C0" w:rsidP="00764AB1">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CA67C0" w:rsidRPr="00883125" w:rsidRDefault="00CA67C0" w:rsidP="00764AB1">
            <w:pPr>
              <w:numPr>
                <w:ilvl w:val="0"/>
                <w:numId w:val="24"/>
              </w:numPr>
              <w:rPr>
                <w:rStyle w:val="Strong"/>
              </w:rPr>
            </w:pPr>
            <w:r w:rsidRPr="00883125">
              <w:rPr>
                <w:rStyle w:val="Strong"/>
              </w:rPr>
              <w:t>0.4 to 0.5</w:t>
            </w:r>
          </w:p>
        </w:tc>
      </w:tr>
      <w:tr w:rsidR="00CA67C0" w:rsidTr="00CA67C0">
        <w:trPr>
          <w:cantSplit/>
        </w:trPr>
        <w:tc>
          <w:tcPr>
            <w:tcW w:w="1562" w:type="dxa"/>
          </w:tcPr>
          <w:p w:rsidR="00CA67C0" w:rsidRPr="00883125" w:rsidRDefault="00CA67C0" w:rsidP="00764AB1">
            <w:pPr>
              <w:numPr>
                <w:ilvl w:val="0"/>
                <w:numId w:val="24"/>
              </w:numPr>
            </w:pPr>
            <w:r w:rsidRPr="00883125">
              <w:t>SACES (2015)</w:t>
            </w:r>
            <w:r w:rsidRPr="00883125">
              <w:rPr>
                <w:rStyle w:val="FootnoteReference"/>
              </w:rPr>
              <w:footnoteReference w:id="219"/>
            </w:r>
          </w:p>
        </w:tc>
        <w:tc>
          <w:tcPr>
            <w:tcW w:w="2560" w:type="dxa"/>
          </w:tcPr>
          <w:p w:rsidR="00CA67C0" w:rsidRPr="00CA67C0" w:rsidRDefault="00CA67C0" w:rsidP="00CA67C0">
            <w:pPr>
              <w:rPr>
                <w:rStyle w:val="Strong"/>
              </w:rPr>
            </w:pPr>
            <w:r w:rsidRPr="00883125">
              <w:rPr>
                <w:rStyle w:val="Strong"/>
              </w:rPr>
              <w:t>0.8</w:t>
            </w:r>
            <w:r w:rsidRPr="00CA67C0">
              <w:t>, using cumulative payout ratio approach over only listed equity</w:t>
            </w:r>
          </w:p>
        </w:tc>
        <w:tc>
          <w:tcPr>
            <w:tcW w:w="2560" w:type="dxa"/>
          </w:tcPr>
          <w:p w:rsidR="00CA67C0" w:rsidRPr="00883125" w:rsidRDefault="00CA67C0" w:rsidP="00764AB1">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CA67C0" w:rsidRPr="00883125" w:rsidRDefault="00CA67C0" w:rsidP="00764AB1">
            <w:pPr>
              <w:numPr>
                <w:ilvl w:val="0"/>
                <w:numId w:val="24"/>
              </w:numPr>
              <w:rPr>
                <w:rStyle w:val="Strong"/>
              </w:rPr>
            </w:pPr>
            <w:r w:rsidRPr="00883125">
              <w:rPr>
                <w:rStyle w:val="Strong"/>
              </w:rPr>
              <w:t>0.36</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1562" w:type="dxa"/>
          </w:tcPr>
          <w:p w:rsidR="00CA67C0" w:rsidRPr="00883125" w:rsidRDefault="00CA67C0" w:rsidP="00764AB1">
            <w:pPr>
              <w:numPr>
                <w:ilvl w:val="0"/>
                <w:numId w:val="24"/>
              </w:numPr>
            </w:pPr>
            <w:r w:rsidRPr="00883125">
              <w:t>CEG (2014)</w:t>
            </w:r>
            <w:r w:rsidRPr="00883125">
              <w:rPr>
                <w:rStyle w:val="FootnoteReference"/>
              </w:rPr>
              <w:footnoteReference w:id="220"/>
            </w:r>
          </w:p>
        </w:tc>
        <w:tc>
          <w:tcPr>
            <w:tcW w:w="2560" w:type="dxa"/>
          </w:tcPr>
          <w:p w:rsidR="00CA67C0" w:rsidRPr="00883125" w:rsidRDefault="00CA67C0" w:rsidP="00764AB1">
            <w:pPr>
              <w:numPr>
                <w:ilvl w:val="0"/>
                <w:numId w:val="24"/>
              </w:numPr>
            </w:pPr>
            <w:r w:rsidRPr="00883125">
              <w:rPr>
                <w:rStyle w:val="Strong"/>
              </w:rPr>
              <w:t>0.7</w:t>
            </w:r>
            <w:r w:rsidRPr="00883125">
              <w:t>, using cumulative payout ratio approach over all equity</w:t>
            </w:r>
          </w:p>
        </w:tc>
        <w:tc>
          <w:tcPr>
            <w:tcW w:w="2560" w:type="dxa"/>
          </w:tcPr>
          <w:p w:rsidR="00CA67C0" w:rsidRPr="00883125" w:rsidRDefault="00CA67C0" w:rsidP="00764AB1">
            <w:pPr>
              <w:numPr>
                <w:ilvl w:val="0"/>
                <w:numId w:val="24"/>
              </w:numPr>
            </w:pPr>
            <w:r w:rsidRPr="00883125">
              <w:rPr>
                <w:rStyle w:val="Strong"/>
              </w:rPr>
              <w:t>0.35</w:t>
            </w:r>
            <w:r w:rsidRPr="00883125">
              <w:t>, based on SFG's dividend drop off study</w:t>
            </w:r>
          </w:p>
        </w:tc>
        <w:tc>
          <w:tcPr>
            <w:tcW w:w="2560" w:type="dxa"/>
          </w:tcPr>
          <w:p w:rsidR="00CA67C0" w:rsidRPr="00883125" w:rsidRDefault="00CA67C0" w:rsidP="00764AB1">
            <w:pPr>
              <w:numPr>
                <w:ilvl w:val="0"/>
                <w:numId w:val="24"/>
              </w:numPr>
              <w:rPr>
                <w:rStyle w:val="Strong"/>
              </w:rPr>
            </w:pPr>
            <w:r w:rsidRPr="00883125">
              <w:rPr>
                <w:rStyle w:val="Strong"/>
              </w:rPr>
              <w:t>0.25</w:t>
            </w:r>
          </w:p>
        </w:tc>
      </w:tr>
      <w:tr w:rsidR="00CA67C0" w:rsidTr="00CA67C0">
        <w:trPr>
          <w:cantSplit/>
        </w:trPr>
        <w:tc>
          <w:tcPr>
            <w:tcW w:w="1562" w:type="dxa"/>
          </w:tcPr>
          <w:p w:rsidR="00CA67C0" w:rsidRPr="00883125" w:rsidRDefault="00CA67C0" w:rsidP="00764AB1">
            <w:pPr>
              <w:numPr>
                <w:ilvl w:val="0"/>
                <w:numId w:val="24"/>
              </w:numPr>
            </w:pPr>
            <w:r w:rsidRPr="00883125">
              <w:t>Gray (for SFG) (2015)</w:t>
            </w:r>
            <w:r w:rsidRPr="00883125">
              <w:rPr>
                <w:rStyle w:val="FootnoteReference"/>
              </w:rPr>
              <w:footnoteReference w:id="221"/>
            </w:r>
          </w:p>
        </w:tc>
        <w:tc>
          <w:tcPr>
            <w:tcW w:w="2560" w:type="dxa"/>
          </w:tcPr>
          <w:p w:rsidR="00CA67C0" w:rsidRPr="00883125" w:rsidRDefault="00CA67C0" w:rsidP="00764AB1">
            <w:pPr>
              <w:numPr>
                <w:ilvl w:val="0"/>
                <w:numId w:val="24"/>
              </w:numPr>
            </w:pPr>
            <w:r w:rsidRPr="00883125">
              <w:rPr>
                <w:rStyle w:val="Strong"/>
              </w:rPr>
              <w:t>0.7</w:t>
            </w:r>
            <w:r w:rsidRPr="00883125">
              <w:t>, using cumulative payout ratio approach over all equity</w:t>
            </w:r>
          </w:p>
        </w:tc>
        <w:tc>
          <w:tcPr>
            <w:tcW w:w="2560" w:type="dxa"/>
          </w:tcPr>
          <w:p w:rsidR="00CA67C0" w:rsidRPr="00883125" w:rsidRDefault="00CA67C0" w:rsidP="00764AB1">
            <w:pPr>
              <w:numPr>
                <w:ilvl w:val="0"/>
                <w:numId w:val="24"/>
              </w:numPr>
            </w:pPr>
            <w:r w:rsidRPr="00883125">
              <w:rPr>
                <w:rStyle w:val="Strong"/>
              </w:rPr>
              <w:t>0.35</w:t>
            </w:r>
            <w:r w:rsidRPr="00883125">
              <w:t>, based on SFG's dividend drop off study</w:t>
            </w:r>
          </w:p>
        </w:tc>
        <w:tc>
          <w:tcPr>
            <w:tcW w:w="2560" w:type="dxa"/>
          </w:tcPr>
          <w:p w:rsidR="00CA67C0" w:rsidRPr="00883125" w:rsidRDefault="00CA67C0" w:rsidP="00764AB1">
            <w:pPr>
              <w:numPr>
                <w:ilvl w:val="0"/>
                <w:numId w:val="24"/>
              </w:numPr>
              <w:rPr>
                <w:rStyle w:val="Strong"/>
              </w:rPr>
            </w:pPr>
            <w:r w:rsidRPr="00883125">
              <w:rPr>
                <w:rStyle w:val="Strong"/>
              </w:rPr>
              <w:t>0.25</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1562" w:type="dxa"/>
          </w:tcPr>
          <w:p w:rsidR="00CA67C0" w:rsidRPr="00883125" w:rsidRDefault="00CA67C0" w:rsidP="00764AB1">
            <w:pPr>
              <w:numPr>
                <w:ilvl w:val="0"/>
                <w:numId w:val="24"/>
              </w:numPr>
            </w:pPr>
            <w:r w:rsidRPr="00883125">
              <w:t>Gray (for Frontier) (2015)</w:t>
            </w:r>
            <w:r w:rsidRPr="00883125">
              <w:rPr>
                <w:rStyle w:val="FootnoteReference"/>
              </w:rPr>
              <w:footnoteReference w:id="222"/>
            </w:r>
          </w:p>
        </w:tc>
        <w:tc>
          <w:tcPr>
            <w:tcW w:w="2560" w:type="dxa"/>
          </w:tcPr>
          <w:p w:rsidR="00CA67C0" w:rsidRPr="00CA67C0" w:rsidRDefault="00CA67C0" w:rsidP="00CA67C0">
            <w:pPr>
              <w:rPr>
                <w:rStyle w:val="Strong"/>
              </w:rPr>
            </w:pPr>
            <w:r w:rsidRPr="00883125">
              <w:rPr>
                <w:rStyle w:val="Strong"/>
              </w:rPr>
              <w:t>0.7</w:t>
            </w:r>
            <w:r w:rsidRPr="00CA67C0">
              <w:t>, using cumulative payout ratio approach over all equity, or alternatively using an estimate of the payout ratio for listed equity excluding the 20 largest firms.</w:t>
            </w:r>
          </w:p>
        </w:tc>
        <w:tc>
          <w:tcPr>
            <w:tcW w:w="2560" w:type="dxa"/>
          </w:tcPr>
          <w:p w:rsidR="00CA67C0" w:rsidRPr="00CA67C0" w:rsidRDefault="00CA67C0" w:rsidP="00CA67C0">
            <w:pPr>
              <w:rPr>
                <w:rStyle w:val="Strong"/>
              </w:rPr>
            </w:pPr>
            <w:r w:rsidRPr="00883125">
              <w:rPr>
                <w:rStyle w:val="Strong"/>
              </w:rPr>
              <w:t>0.35</w:t>
            </w:r>
            <w:r w:rsidRPr="00CA67C0">
              <w:t>, based on SFG's dividend drop off study</w:t>
            </w:r>
          </w:p>
        </w:tc>
        <w:tc>
          <w:tcPr>
            <w:tcW w:w="2560" w:type="dxa"/>
          </w:tcPr>
          <w:p w:rsidR="00CA67C0" w:rsidRPr="00883125" w:rsidRDefault="00CA67C0" w:rsidP="00764AB1">
            <w:pPr>
              <w:numPr>
                <w:ilvl w:val="0"/>
                <w:numId w:val="24"/>
              </w:numPr>
              <w:rPr>
                <w:rStyle w:val="Strong"/>
              </w:rPr>
            </w:pPr>
            <w:r w:rsidRPr="00883125">
              <w:rPr>
                <w:rStyle w:val="Strong"/>
              </w:rPr>
              <w:t>0.25</w:t>
            </w:r>
          </w:p>
        </w:tc>
      </w:tr>
    </w:tbl>
    <w:p w:rsidR="00CA67C0" w:rsidRPr="00883125" w:rsidRDefault="00CA67C0" w:rsidP="00CA67C0">
      <w:pPr>
        <w:pStyle w:val="AERtablesource"/>
      </w:pPr>
      <w:r w:rsidRPr="00883125">
        <w:t>Source:</w:t>
      </w:r>
      <w:r w:rsidRPr="00883125">
        <w:tab/>
        <w:t>As specified in table.</w:t>
      </w:r>
    </w:p>
    <w:p w:rsidR="00CA67C0" w:rsidRPr="00883125" w:rsidRDefault="00CA67C0" w:rsidP="00764AB1">
      <w:pPr>
        <w:numPr>
          <w:ilvl w:val="0"/>
          <w:numId w:val="24"/>
        </w:numPr>
      </w:pPr>
      <w:r w:rsidRPr="00883125">
        <w:t xml:space="preserve">In summary: </w:t>
      </w:r>
    </w:p>
    <w:p w:rsidR="00CA67C0" w:rsidRPr="001D37D5" w:rsidRDefault="00CA67C0" w:rsidP="00CA67C0">
      <w:pPr>
        <w:pStyle w:val="AERbulletlistfirststyle"/>
      </w:pPr>
      <w:r w:rsidRPr="00883125">
        <w:t xml:space="preserve">A distribution rate of 0.7 estimated using the cumulative payout ratio approach is most commonly accepted. We describe this approach in section </w:t>
      </w:r>
      <w:r w:rsidRPr="001D37D5">
        <w:fldChar w:fldCharType="begin"/>
      </w:r>
      <w:r w:rsidRPr="001D37D5">
        <w:instrText xml:space="preserve"> REF _Ref415126827 \r \h </w:instrText>
      </w:r>
      <w:r w:rsidRPr="001D37D5">
        <w:fldChar w:fldCharType="separate"/>
      </w:r>
      <w:r w:rsidR="007261FC">
        <w:t>A.10.2</w:t>
      </w:r>
      <w:r w:rsidRPr="001D37D5">
        <w:fldChar w:fldCharType="end"/>
      </w:r>
      <w:r w:rsidRPr="001D37D5">
        <w:t xml:space="preserve">. However, Handley considers that this approach should be applied to only listed equity, and this produces a </w:t>
      </w:r>
      <w:r w:rsidRPr="001D37D5">
        <w:lastRenderedPageBreak/>
        <w:t>higher estimate of the distribution rate. The South Australian Centre for Economic Studies (SACES) accepts Handley's approach. Lally considers consistency between the distribution rate and utilisation rate is not essential (but nor is it precluded). Lally considers the best estimate of the distribution rate for a benchmark efficient entity is 0.83, calculated using the financial statements of the 20 largest ASX-listed companies.</w:t>
      </w:r>
    </w:p>
    <w:p w:rsidR="00CA67C0" w:rsidRPr="001D37D5" w:rsidRDefault="00CA67C0" w:rsidP="00CA67C0">
      <w:pPr>
        <w:pStyle w:val="AERbulletlistfirststyle"/>
      </w:pPr>
      <w:r w:rsidRPr="00883125">
        <w:t>There is no widely accepted utilisation rate or method for estimating it. The recommended values for the utilisation rate range from 0.35 to 1</w:t>
      </w:r>
      <w:r w:rsidRPr="001D37D5">
        <w:t xml:space="preserve">.0. </w:t>
      </w:r>
    </w:p>
    <w:p w:rsidR="00CA67C0" w:rsidRPr="00883125" w:rsidRDefault="00CA67C0" w:rsidP="00CA67C0">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CA67C0" w:rsidRPr="001D37D5" w:rsidRDefault="00CA67C0" w:rsidP="00CA67C0">
      <w:pPr>
        <w:pStyle w:val="AERbulletlistfirststyle"/>
      </w:pPr>
      <w:r w:rsidRPr="00883125">
        <w:t>As a result of the differing approaches, particularly to the utilisation rate, the range of estimates of the value of imputation credits is 0.25 to 0.8</w:t>
      </w:r>
      <w:r w:rsidRPr="001D37D5">
        <w:t>3.</w:t>
      </w:r>
    </w:p>
    <w:p w:rsidR="00CA67C0" w:rsidRPr="00883125" w:rsidRDefault="00CA67C0" w:rsidP="00CA67C0">
      <w:r w:rsidRPr="00883125">
        <w:t>Conceptually, the value of imputation credits must be between 0 and 1. Accordingly</w:t>
      </w:r>
      <w:r>
        <w:t>,</w:t>
      </w:r>
      <w:r w:rsidRPr="00883125">
        <w:t xml:space="preserve"> the range of recommended estimates from 0.25 to 0.8</w:t>
      </w:r>
      <w:r>
        <w:t>3</w:t>
      </w:r>
      <w:r w:rsidRPr="00883125">
        <w:t xml:space="preserve">, which spans most of the possible range for the value of imputation credits, highlights the lack of consensus among experts. Our </w:t>
      </w:r>
      <w:r w:rsidR="00773A2C">
        <w:t>draft</w:t>
      </w:r>
      <w:r w:rsidR="00773A2C" w:rsidRPr="00883125">
        <w:t xml:space="preserve"> </w:t>
      </w:r>
      <w:r w:rsidRPr="00883125">
        <w:t>decision value of imputation credits of 0.4 sits in the lower half of the range recommended by experts, which is more favourable to service providers.</w:t>
      </w:r>
    </w:p>
    <w:p w:rsidR="00CA67C0" w:rsidRPr="00883125" w:rsidRDefault="00CA67C0" w:rsidP="00CA67C0">
      <w:pPr>
        <w:pStyle w:val="Heading8"/>
      </w:pPr>
      <w:bookmarkStart w:id="125" w:name="_Toc450119245"/>
      <w:bookmarkStart w:id="126" w:name="_Toc450119407"/>
      <w:bookmarkStart w:id="127" w:name="_Ref414621875"/>
      <w:bookmarkStart w:id="128" w:name="_Toc436049443"/>
      <w:bookmarkStart w:id="129" w:name="_Toc451842247"/>
      <w:bookmarkStart w:id="130" w:name="_Toc451938303"/>
      <w:bookmarkStart w:id="131" w:name="_Toc456614291"/>
      <w:bookmarkEnd w:id="125"/>
      <w:bookmarkEnd w:id="126"/>
      <w:r w:rsidRPr="00883125">
        <w:t>The value of imputation credits used by other regulators</w:t>
      </w:r>
      <w:bookmarkEnd w:id="127"/>
      <w:bookmarkEnd w:id="128"/>
      <w:bookmarkEnd w:id="129"/>
      <w:bookmarkEnd w:id="130"/>
      <w:bookmarkEnd w:id="131"/>
    </w:p>
    <w:p w:rsidR="00CA67C0" w:rsidRDefault="00CA67C0" w:rsidP="00CA67C0">
      <w:r w:rsidRPr="00883125">
        <w:t xml:space="preserve">Australian regulators have applied a wide range of approaches to estimate the value of imputation credits, resulting in varied outcomes. </w:t>
      </w:r>
      <w:r w:rsidRPr="00883125">
        <w:fldChar w:fldCharType="begin"/>
      </w:r>
      <w:r w:rsidRPr="00883125">
        <w:instrText xml:space="preserve"> REF _Ref401082422 \h </w:instrText>
      </w:r>
      <w:r w:rsidRPr="00883125">
        <w:fldChar w:fldCharType="separate"/>
      </w:r>
      <w:r w:rsidR="007261FC" w:rsidRPr="00883125">
        <w:t xml:space="preserve">Table </w:t>
      </w:r>
      <w:r w:rsidR="007261FC">
        <w:rPr>
          <w:noProof/>
        </w:rPr>
        <w:t>4</w:t>
      </w:r>
      <w:r w:rsidR="007261FC">
        <w:noBreakHyphen/>
      </w:r>
      <w:r w:rsidR="007261FC">
        <w:rPr>
          <w:noProof/>
        </w:rPr>
        <w:t>7</w:t>
      </w:r>
      <w:r w:rsidRPr="00883125">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7261FC" w:rsidRDefault="007261FC" w:rsidP="00CA67C0"/>
    <w:p w:rsidR="007261FC" w:rsidRPr="00883125" w:rsidRDefault="007261FC" w:rsidP="00CA67C0"/>
    <w:p w:rsidR="00CA67C0" w:rsidRPr="00883125" w:rsidRDefault="00CA67C0" w:rsidP="00CA67C0">
      <w:pPr>
        <w:pStyle w:val="Caption"/>
      </w:pPr>
      <w:bookmarkStart w:id="132" w:name="_Ref401082422"/>
      <w:r w:rsidRPr="00883125">
        <w:lastRenderedPageBreak/>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7</w:t>
      </w:r>
      <w:r w:rsidRPr="001D37D5">
        <w:fldChar w:fldCharType="end"/>
      </w:r>
      <w:bookmarkEnd w:id="132"/>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CA67C0" w:rsidTr="00CA67C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CA67C0" w:rsidRPr="00883125" w:rsidRDefault="00CA67C0" w:rsidP="00764AB1">
            <w:pPr>
              <w:numPr>
                <w:ilvl w:val="0"/>
                <w:numId w:val="24"/>
              </w:numPr>
            </w:pPr>
            <w:r w:rsidRPr="00883125">
              <w:t>Regulator</w:t>
            </w:r>
          </w:p>
        </w:tc>
        <w:tc>
          <w:tcPr>
            <w:tcW w:w="1842"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Form of adoption</w:t>
            </w:r>
          </w:p>
        </w:tc>
        <w:tc>
          <w:tcPr>
            <w:tcW w:w="709"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Year</w:t>
            </w:r>
          </w:p>
        </w:tc>
        <w:tc>
          <w:tcPr>
            <w:tcW w:w="1768"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1911"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Utilisation rate</w:t>
            </w:r>
          </w:p>
        </w:tc>
        <w:tc>
          <w:tcPr>
            <w:tcW w:w="1911"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1101" w:type="dxa"/>
          </w:tcPr>
          <w:p w:rsidR="00CA67C0" w:rsidRPr="00CA67C0" w:rsidRDefault="00CA67C0" w:rsidP="00CA67C0">
            <w:r w:rsidRPr="00883125">
              <w:t>IPART</w:t>
            </w:r>
            <w:r w:rsidRPr="00CA67C0">
              <w:rPr>
                <w:rStyle w:val="FootnoteReference"/>
              </w:rPr>
              <w:footnoteReference w:id="223"/>
            </w:r>
          </w:p>
        </w:tc>
        <w:tc>
          <w:tcPr>
            <w:tcW w:w="1842"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Review of imputation credits, final decision</w:t>
            </w:r>
          </w:p>
        </w:tc>
        <w:tc>
          <w:tcPr>
            <w:tcW w:w="709"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w:t>
            </w:r>
            <w:r w:rsidR="00E54534">
              <w:t>6</w:t>
            </w:r>
          </w:p>
        </w:tc>
        <w:tc>
          <w:tcPr>
            <w:tcW w:w="1768"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0.7</w:t>
            </w:r>
            <w:r w:rsidRPr="00883125">
              <w:t>, using cumulative payout ratio approach</w:t>
            </w:r>
          </w:p>
        </w:tc>
        <w:tc>
          <w:tcPr>
            <w:tcW w:w="1911"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0.35</w:t>
            </w:r>
            <w:r w:rsidRPr="00883125">
              <w:t>, using 2011 version of SFG dividend drop off study</w:t>
            </w:r>
          </w:p>
        </w:tc>
        <w:tc>
          <w:tcPr>
            <w:tcW w:w="1911"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0.25</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A67C0" w:rsidRPr="00CA67C0" w:rsidRDefault="00CA67C0" w:rsidP="00CA67C0">
            <w:r w:rsidRPr="00883125">
              <w:t>ESC</w:t>
            </w:r>
            <w:r w:rsidRPr="00CA67C0">
              <w:rPr>
                <w:rStyle w:val="AERsuperscript"/>
              </w:rPr>
              <w:footnoteReference w:id="224"/>
            </w:r>
          </w:p>
        </w:tc>
        <w:tc>
          <w:tcPr>
            <w:tcW w:w="1842" w:type="dxa"/>
          </w:tcPr>
          <w:p w:rsidR="00CA67C0" w:rsidRPr="00883125" w:rsidRDefault="00A009DC" w:rsidP="00764AB1">
            <w:pPr>
              <w:numPr>
                <w:ilvl w:val="0"/>
                <w:numId w:val="24"/>
              </w:numPr>
              <w:cnfStyle w:val="000000010000" w:firstRow="0" w:lastRow="0" w:firstColumn="0" w:lastColumn="0" w:oddVBand="0" w:evenVBand="0" w:oddHBand="0" w:evenHBand="1" w:firstRowFirstColumn="0" w:firstRowLastColumn="0" w:lastRowFirstColumn="0" w:lastRowLastColumn="0"/>
            </w:pPr>
            <w:r>
              <w:t>Goulburn-Murray Water Price Review 2016</w:t>
            </w:r>
          </w:p>
        </w:tc>
        <w:tc>
          <w:tcPr>
            <w:tcW w:w="709"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w:t>
            </w:r>
            <w:r w:rsidR="00A009DC">
              <w:t>6</w:t>
            </w:r>
          </w:p>
        </w:tc>
        <w:tc>
          <w:tcPr>
            <w:tcW w:w="1768"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CA67C0" w:rsidRPr="00883125" w:rsidRDefault="00CA67C0" w:rsidP="00A009DC">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rPr>
                <w:rStyle w:val="Strong"/>
              </w:rPr>
              <w:t>0.5</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1101" w:type="dxa"/>
          </w:tcPr>
          <w:p w:rsidR="00CA67C0" w:rsidRPr="00CA67C0" w:rsidRDefault="00CA67C0" w:rsidP="00CA67C0">
            <w:r w:rsidRPr="00883125">
              <w:t>QCA</w:t>
            </w:r>
            <w:r w:rsidRPr="00CA67C0">
              <w:rPr>
                <w:rStyle w:val="FootnoteReference"/>
              </w:rPr>
              <w:footnoteReference w:id="225"/>
            </w:r>
            <w:r w:rsidRPr="00CA67C0">
              <w:t xml:space="preserve">  </w:t>
            </w:r>
          </w:p>
        </w:tc>
        <w:tc>
          <w:tcPr>
            <w:tcW w:w="1842" w:type="dxa"/>
          </w:tcPr>
          <w:p w:rsidR="00CA67C0" w:rsidRPr="00883125" w:rsidRDefault="00606A85" w:rsidP="00606A85">
            <w:pPr>
              <w:numPr>
                <w:ilvl w:val="0"/>
                <w:numId w:val="24"/>
              </w:numPr>
              <w:cnfStyle w:val="000000000000" w:firstRow="0" w:lastRow="0" w:firstColumn="0" w:lastColumn="0" w:oddVBand="0" w:evenVBand="0" w:oddHBand="0" w:evenHBand="0" w:firstRowFirstColumn="0" w:firstRowLastColumn="0" w:lastRowFirstColumn="0" w:lastRowLastColumn="0"/>
            </w:pPr>
            <w:r>
              <w:t>Aurizon Network 2014 Access Undertaking - Volume IV- Maximum Allowable Revenue,</w:t>
            </w:r>
            <w:r w:rsidRPr="00883125" w:rsidDel="00606A85">
              <w:t xml:space="preserve"> </w:t>
            </w:r>
            <w:r w:rsidR="00CA67C0" w:rsidRPr="00883125">
              <w:t xml:space="preserve"> final decision</w:t>
            </w:r>
          </w:p>
        </w:tc>
        <w:tc>
          <w:tcPr>
            <w:tcW w:w="709"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w:t>
            </w:r>
            <w:r w:rsidR="00606A85">
              <w:t>6</w:t>
            </w:r>
          </w:p>
        </w:tc>
        <w:tc>
          <w:tcPr>
            <w:tcW w:w="1768" w:type="dxa"/>
          </w:tcPr>
          <w:p w:rsidR="00CA67C0" w:rsidRPr="00883125" w:rsidRDefault="00CA67C0" w:rsidP="00606A85">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0.84</w:t>
            </w:r>
            <w:r w:rsidRPr="00883125">
              <w:t>, using</w:t>
            </w:r>
            <w:r w:rsidR="00606A85">
              <w:t xml:space="preserve"> Lally's approach of using data sourced directly from companies' financial statements in their annual reports</w:t>
            </w:r>
          </w:p>
        </w:tc>
        <w:tc>
          <w:tcPr>
            <w:tcW w:w="1911"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0.56</w:t>
            </w:r>
            <w:r w:rsidRPr="00883125">
              <w:t>, based primarily on the domestic ownership share of listed equity</w:t>
            </w:r>
          </w:p>
        </w:tc>
        <w:tc>
          <w:tcPr>
            <w:tcW w:w="1911"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0.47</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A67C0" w:rsidRPr="00883125" w:rsidRDefault="00CA67C0" w:rsidP="00764AB1">
            <w:pPr>
              <w:numPr>
                <w:ilvl w:val="0"/>
                <w:numId w:val="24"/>
              </w:numPr>
            </w:pPr>
            <w:r w:rsidRPr="00883125">
              <w:t>ERA</w:t>
            </w:r>
            <w:r w:rsidRPr="00883125">
              <w:rPr>
                <w:rStyle w:val="FootnoteReference"/>
              </w:rPr>
              <w:footnoteReference w:id="226"/>
            </w:r>
            <w:r w:rsidRPr="00883125">
              <w:t xml:space="preserve">  </w:t>
            </w:r>
          </w:p>
        </w:tc>
        <w:tc>
          <w:tcPr>
            <w:tcW w:w="1842" w:type="dxa"/>
          </w:tcPr>
          <w:p w:rsidR="00CA67C0" w:rsidRPr="00883125" w:rsidRDefault="00BC775F" w:rsidP="00BC775F">
            <w:pPr>
              <w:numPr>
                <w:ilvl w:val="0"/>
                <w:numId w:val="24"/>
              </w:numPr>
              <w:cnfStyle w:val="000000010000" w:firstRow="0" w:lastRow="0" w:firstColumn="0" w:lastColumn="0" w:oddVBand="0" w:evenVBand="0" w:oddHBand="0" w:evenHBand="1" w:firstRowFirstColumn="0" w:firstRowLastColumn="0" w:lastRowFirstColumn="0" w:lastRowLastColumn="0"/>
            </w:pPr>
            <w:r>
              <w:t>Proposed Revisions to the Access Arrangement for the Dampier to Bunbury National Gas Pipeline 2016-30, final decision</w:t>
            </w:r>
            <w:r w:rsidR="00CA67C0" w:rsidRPr="00883125">
              <w:t xml:space="preserve"> </w:t>
            </w:r>
          </w:p>
        </w:tc>
        <w:tc>
          <w:tcPr>
            <w:tcW w:w="709"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w:t>
            </w:r>
            <w:r w:rsidR="00BC775F">
              <w:t>6</w:t>
            </w:r>
          </w:p>
        </w:tc>
        <w:tc>
          <w:tcPr>
            <w:tcW w:w="1768" w:type="dxa"/>
          </w:tcPr>
          <w:p w:rsidR="00CA67C0" w:rsidRPr="00883125" w:rsidRDefault="00CA67C0" w:rsidP="00BC775F">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sidR="00BC775F">
              <w:rPr>
                <w:rStyle w:val="Strong"/>
              </w:rPr>
              <w:t>7 to 0.8</w:t>
            </w:r>
          </w:p>
        </w:tc>
        <w:tc>
          <w:tcPr>
            <w:tcW w:w="1911" w:type="dxa"/>
          </w:tcPr>
          <w:p w:rsidR="00CA67C0" w:rsidRPr="00883125" w:rsidRDefault="00CA67C0" w:rsidP="00BC775F">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sidR="00BC775F">
              <w:rPr>
                <w:rStyle w:val="Strong"/>
              </w:rPr>
              <w:t>35 to 0.69</w:t>
            </w:r>
            <w:r w:rsidRPr="00883125">
              <w:t>, most weight</w:t>
            </w:r>
            <w:r w:rsidR="00BC775F">
              <w:t xml:space="preserve"> placed on the equity ownership approach which supports a utilisation rate of 0.47 to 0.59 and gamma estimate of 0.38 to 0.41</w:t>
            </w:r>
          </w:p>
        </w:tc>
        <w:tc>
          <w:tcPr>
            <w:tcW w:w="1911"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sidR="00BC775F">
              <w:rPr>
                <w:rStyle w:val="Strong"/>
              </w:rPr>
              <w:t>4</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1101" w:type="dxa"/>
          </w:tcPr>
          <w:p w:rsidR="00CA67C0" w:rsidRPr="00883125" w:rsidRDefault="00CA67C0" w:rsidP="00764AB1">
            <w:pPr>
              <w:numPr>
                <w:ilvl w:val="0"/>
                <w:numId w:val="24"/>
              </w:numPr>
            </w:pPr>
            <w:r w:rsidRPr="00883125">
              <w:t>ACCC</w:t>
            </w:r>
            <w:r w:rsidRPr="00883125">
              <w:rPr>
                <w:rStyle w:val="FootnoteReference"/>
              </w:rPr>
              <w:footnoteReference w:id="227"/>
            </w:r>
            <w:r w:rsidRPr="00883125">
              <w:t xml:space="preserve"> </w:t>
            </w:r>
          </w:p>
        </w:tc>
        <w:tc>
          <w:tcPr>
            <w:tcW w:w="1842" w:type="dxa"/>
          </w:tcPr>
          <w:p w:rsidR="00CA67C0" w:rsidRPr="00883125" w:rsidRDefault="002716D3" w:rsidP="002716D3">
            <w:pPr>
              <w:numPr>
                <w:ilvl w:val="0"/>
                <w:numId w:val="24"/>
              </w:numPr>
              <w:cnfStyle w:val="000000000000" w:firstRow="0" w:lastRow="0" w:firstColumn="0" w:lastColumn="0" w:oddVBand="0" w:evenVBand="0" w:oddHBand="0" w:evenHBand="0" w:firstRowFirstColumn="0" w:firstRowLastColumn="0" w:lastRowFirstColumn="0" w:lastRowLastColumn="0"/>
            </w:pPr>
            <w:r>
              <w:t>Australian Postal Corporation 2015 Price Notification</w:t>
            </w:r>
          </w:p>
        </w:tc>
        <w:tc>
          <w:tcPr>
            <w:tcW w:w="709"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2015</w:t>
            </w:r>
          </w:p>
        </w:tc>
        <w:tc>
          <w:tcPr>
            <w:tcW w:w="1768"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CA67C0" w:rsidRPr="00883125" w:rsidRDefault="00CA67C0" w:rsidP="002716D3">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0.4</w:t>
            </w:r>
            <w:r w:rsidRPr="00883125">
              <w:t>, set for consistency with previous ACCC</w:t>
            </w:r>
            <w:r w:rsidR="002716D3">
              <w:t xml:space="preserve"> and AER </w:t>
            </w:r>
            <w:r w:rsidRPr="00883125">
              <w:t>decisions</w:t>
            </w:r>
          </w:p>
        </w:tc>
      </w:tr>
    </w:tbl>
    <w:p w:rsidR="00CA67C0" w:rsidRPr="00883125" w:rsidRDefault="00CA67C0" w:rsidP="00CA67C0">
      <w:pPr>
        <w:pStyle w:val="AERtablesource"/>
      </w:pPr>
      <w:r w:rsidRPr="00883125">
        <w:t>Source:</w:t>
      </w:r>
      <w:r w:rsidRPr="00883125">
        <w:tab/>
        <w:t>As specified in table.</w:t>
      </w:r>
    </w:p>
    <w:p w:rsidR="00CA67C0" w:rsidRPr="00883125" w:rsidRDefault="00CA67C0" w:rsidP="00CA67C0">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w:t>
      </w:r>
      <w:r w:rsidRPr="00883125">
        <w:lastRenderedPageBreak/>
        <w:t xml:space="preserve">the lack of consensus among experts, this is perhaps not surprising. Our </w:t>
      </w:r>
      <w:r w:rsidR="00773A2C">
        <w:t>draft</w:t>
      </w:r>
      <w:r w:rsidR="00773A2C" w:rsidRPr="00883125">
        <w:t xml:space="preserve"> </w:t>
      </w:r>
      <w:r w:rsidRPr="00883125">
        <w:t>decision value of imputation credits of 0.4 sits within the range adopted by regulators.</w:t>
      </w:r>
    </w:p>
    <w:p w:rsidR="00CA67C0" w:rsidRPr="00883125" w:rsidRDefault="00CA67C0" w:rsidP="00CA67C0">
      <w:pPr>
        <w:pStyle w:val="Heading8"/>
      </w:pPr>
      <w:bookmarkStart w:id="133" w:name="_Toc436049444"/>
      <w:bookmarkStart w:id="134" w:name="_Toc451842248"/>
      <w:bookmarkStart w:id="135" w:name="_Toc451938304"/>
      <w:bookmarkStart w:id="136" w:name="_Toc456614292"/>
      <w:r w:rsidRPr="00883125">
        <w:t>Previous Australian Competition Tribunal considerations</w:t>
      </w:r>
      <w:bookmarkEnd w:id="133"/>
      <w:bookmarkEnd w:id="134"/>
      <w:bookmarkEnd w:id="135"/>
      <w:bookmarkEnd w:id="136"/>
    </w:p>
    <w:p w:rsidR="00CA67C0" w:rsidRPr="00883125" w:rsidRDefault="00CA67C0" w:rsidP="00764AB1">
      <w:pPr>
        <w:numPr>
          <w:ilvl w:val="0"/>
          <w:numId w:val="24"/>
        </w:numPr>
      </w:pPr>
      <w:r w:rsidRPr="00883125">
        <w:t>The Australian Competition Tribunal has considered in detail the value of imputation credits (gamma) in four proceedings since 2010, relating to applications by:</w:t>
      </w:r>
    </w:p>
    <w:p w:rsidR="00CA67C0" w:rsidRPr="00CD376D" w:rsidRDefault="00CA67C0" w:rsidP="00A94F84">
      <w:pPr>
        <w:pStyle w:val="AERbulletlistfirststyle"/>
        <w:rPr>
          <w:rStyle w:val="CommentReference"/>
          <w:sz w:val="22"/>
          <w:szCs w:val="22"/>
        </w:rPr>
      </w:pPr>
      <w:r w:rsidRPr="00A94F84">
        <w:t>ActewAGL Distribution, Ausgrid, Endeavour Energy, Essential Energy and Jemena Gas Networks</w:t>
      </w:r>
      <w:r w:rsidRPr="000C2279" w:rsidDel="00C2259D">
        <w:rPr>
          <w:rStyle w:val="CommentReference"/>
          <w:sz w:val="22"/>
          <w:szCs w:val="22"/>
        </w:rPr>
        <w:t xml:space="preserve"> </w:t>
      </w:r>
    </w:p>
    <w:p w:rsidR="00CA67C0" w:rsidRPr="00883125" w:rsidRDefault="00CA67C0" w:rsidP="00CA67C0">
      <w:pPr>
        <w:pStyle w:val="AERbulletlistfirststyle"/>
      </w:pPr>
      <w:r w:rsidRPr="00883125">
        <w:t>Energex Limited</w:t>
      </w:r>
    </w:p>
    <w:p w:rsidR="00CA67C0" w:rsidRPr="00883125" w:rsidRDefault="00CA67C0" w:rsidP="00CA67C0">
      <w:pPr>
        <w:pStyle w:val="AERbulletlistfirststyle"/>
      </w:pPr>
      <w:r w:rsidRPr="00883125">
        <w:t>DBNGP (WA) Transmission Pty Ltd, and</w:t>
      </w:r>
    </w:p>
    <w:p w:rsidR="00CA67C0" w:rsidRPr="00883125" w:rsidRDefault="00CA67C0" w:rsidP="00CA67C0">
      <w:pPr>
        <w:pStyle w:val="AERbulletlistfirststyle"/>
      </w:pPr>
      <w:r w:rsidRPr="00883125">
        <w:t>WA Gas Networks Pty Ltd.</w:t>
      </w:r>
    </w:p>
    <w:p w:rsidR="00CA67C0" w:rsidRPr="00883125" w:rsidRDefault="00CA67C0" w:rsidP="00764AB1">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CA67C0" w:rsidRPr="00883125" w:rsidRDefault="00CA67C0" w:rsidP="00CA67C0">
      <w:pPr>
        <w:pStyle w:val="Heading9"/>
      </w:pPr>
      <w:bookmarkStart w:id="137" w:name="_Ref451813952"/>
      <w:bookmarkStart w:id="138" w:name="_Toc456614293"/>
      <w:r w:rsidRPr="00883125">
        <w:t>ActewAGL Distribution, Ausgrid, Endeavour Energy, Essential Energy and Jemena Gas Networks</w:t>
      </w:r>
      <w:bookmarkEnd w:id="137"/>
      <w:bookmarkEnd w:id="138"/>
      <w:r w:rsidRPr="00883125">
        <w:t xml:space="preserve"> </w:t>
      </w:r>
    </w:p>
    <w:p w:rsidR="00CA67C0" w:rsidRPr="00883125" w:rsidRDefault="00CA67C0" w:rsidP="00CA67C0">
      <w:r w:rsidRPr="00883125">
        <w:t>In April and June 2015 we released our final decisions for ActewAGL Distribution, Ausgrid, Endeavour Energy, Essential Energy and Jemena Gas Networks. In these decisions, we adopted a gamma estimate of 0.4.</w:t>
      </w:r>
    </w:p>
    <w:p w:rsidR="00CA67C0" w:rsidRPr="00B27BE5" w:rsidRDefault="00CA67C0" w:rsidP="00CA67C0">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28"/>
      </w:r>
      <w:r w:rsidRPr="00B27BE5">
        <w:t xml:space="preserve"> The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t>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 xml:space="preserve">or theta). </w:t>
      </w:r>
    </w:p>
    <w:p w:rsidR="00CA67C0" w:rsidRPr="00883125" w:rsidRDefault="00CA67C0" w:rsidP="00CA67C0">
      <w:r w:rsidRPr="008F5D24">
        <w:t xml:space="preserve">In reaching its position, the Tribunal expressed views on the important factors in its decisions. The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7261FC" w:rsidRPr="005764F6">
        <w:t xml:space="preserve">table </w:t>
      </w:r>
      <w:r w:rsidR="007261FC">
        <w:t>4</w:t>
      </w:r>
      <w:r w:rsidR="007261FC" w:rsidRPr="005764F6">
        <w:noBreakHyphen/>
      </w:r>
      <w:r w:rsidR="007261FC">
        <w:t>8</w:t>
      </w:r>
      <w:r w:rsidRPr="00C43CF0">
        <w:fldChar w:fldCharType="end"/>
      </w:r>
      <w:r w:rsidRPr="008F5D24">
        <w:t xml:space="preserve"> below. However, we note that at this time, we have not completed the remittal of our final decisions for the above-mentioned service providers.</w:t>
      </w:r>
      <w:bookmarkStart w:id="139" w:name="_GoBack"/>
      <w:bookmarkEnd w:id="139"/>
    </w:p>
    <w:p w:rsidR="00CA67C0" w:rsidRPr="00883125" w:rsidRDefault="00CA67C0" w:rsidP="00CA67C0">
      <w:pPr>
        <w:sectPr w:rsidR="00CA67C0" w:rsidRPr="00883125" w:rsidSect="00CA67C0">
          <w:footerReference w:type="even" r:id="rId18"/>
          <w:footerReference w:type="default" r:id="rId19"/>
          <w:pgSz w:w="11906" w:h="16838"/>
          <w:pgMar w:top="1440" w:right="1440" w:bottom="1440" w:left="1440" w:header="708" w:footer="708" w:gutter="0"/>
          <w:pgNumType w:chapStyle="1"/>
          <w:cols w:space="708"/>
          <w:docGrid w:linePitch="360"/>
        </w:sectPr>
      </w:pPr>
    </w:p>
    <w:p w:rsidR="00CA67C0" w:rsidRPr="005764F6" w:rsidRDefault="00CA67C0" w:rsidP="00CA67C0">
      <w:pPr>
        <w:pStyle w:val="Tabletitle"/>
      </w:pPr>
      <w:bookmarkStart w:id="140" w:name="_Ref450040370"/>
      <w:r w:rsidRPr="005764F6">
        <w:lastRenderedPageBreak/>
        <w:t xml:space="preserve">Table </w:t>
      </w:r>
      <w:r w:rsidRPr="00CA67C0">
        <w:fldChar w:fldCharType="begin"/>
      </w:r>
      <w:r>
        <w:instrText xml:space="preserve"> STYLEREF 1 \s </w:instrText>
      </w:r>
      <w:r w:rsidRPr="00CA67C0">
        <w:fldChar w:fldCharType="separate"/>
      </w:r>
      <w:r w:rsidR="007261FC">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7261FC">
        <w:rPr>
          <w:noProof/>
        </w:rPr>
        <w:t>8</w:t>
      </w:r>
      <w:r w:rsidRPr="00CA67C0">
        <w:fldChar w:fldCharType="end"/>
      </w:r>
      <w:bookmarkEnd w:id="140"/>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CA67C0" w:rsidTr="00CA67C0">
        <w:trPr>
          <w:cnfStyle w:val="100000000000" w:firstRow="1" w:lastRow="0" w:firstColumn="0" w:lastColumn="0" w:oddVBand="0" w:evenVBand="0" w:oddHBand="0" w:evenHBand="0" w:firstRowFirstColumn="0" w:firstRowLastColumn="0" w:lastRowFirstColumn="0" w:lastRowLastColumn="0"/>
          <w:tblHeader/>
        </w:trPr>
        <w:tc>
          <w:tcPr>
            <w:tcW w:w="784" w:type="pct"/>
          </w:tcPr>
          <w:p w:rsidR="00CA67C0" w:rsidRPr="00CA67C0" w:rsidRDefault="00CA67C0" w:rsidP="00CA67C0">
            <w:r w:rsidRPr="00883125">
              <w:t>Issue</w:t>
            </w:r>
          </w:p>
        </w:tc>
        <w:tc>
          <w:tcPr>
            <w:tcW w:w="2271" w:type="pct"/>
          </w:tcPr>
          <w:p w:rsidR="00CA67C0" w:rsidRPr="00CA67C0" w:rsidRDefault="00CA67C0" w:rsidP="00CA67C0">
            <w:r w:rsidRPr="00883125">
              <w:t>Tribunal comments</w:t>
            </w:r>
          </w:p>
        </w:tc>
        <w:tc>
          <w:tcPr>
            <w:tcW w:w="1945" w:type="pct"/>
          </w:tcPr>
          <w:p w:rsidR="00CA67C0" w:rsidRPr="00CA67C0" w:rsidRDefault="00CA67C0" w:rsidP="00CA67C0">
            <w:r w:rsidRPr="00883125">
              <w:t xml:space="preserve">AER </w:t>
            </w:r>
            <w:r w:rsidRPr="00CA67C0">
              <w:t>initial comments</w:t>
            </w:r>
          </w:p>
        </w:tc>
      </w:tr>
      <w:tr w:rsidR="00CA67C0" w:rsidTr="00CA67C0">
        <w:tc>
          <w:tcPr>
            <w:tcW w:w="784" w:type="pct"/>
          </w:tcPr>
          <w:p w:rsidR="00CA67C0" w:rsidRPr="00CA67C0" w:rsidRDefault="00CA67C0" w:rsidP="00CA67C0">
            <w:r w:rsidRPr="00883125">
              <w:t>The conceptual framework for gamma</w:t>
            </w:r>
          </w:p>
        </w:tc>
        <w:tc>
          <w:tcPr>
            <w:tcW w:w="2271" w:type="pct"/>
          </w:tcPr>
          <w:p w:rsidR="00CA67C0" w:rsidRPr="00CA67C0" w:rsidRDefault="00CA67C0" w:rsidP="00CA67C0">
            <w:r w:rsidRPr="00883125">
              <w:t xml:space="preserve">By placing </w:t>
            </w:r>
            <w:r w:rsidRPr="00CA67C0">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CA67C0">
              <w:rPr>
                <w:rStyle w:val="FootnoteReference"/>
              </w:rPr>
              <w:footnoteReference w:id="229"/>
            </w:r>
            <w:r w:rsidRPr="00CA67C0">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CA67C0">
              <w:rPr>
                <w:rStyle w:val="FootnoteReference"/>
              </w:rPr>
              <w:footnoteReference w:id="230"/>
            </w:r>
          </w:p>
          <w:p w:rsidR="00CA67C0" w:rsidRPr="00CA67C0" w:rsidRDefault="00CA67C0" w:rsidP="00CA67C0">
            <w:r w:rsidRPr="00883125">
              <w:t xml:space="preserve">It </w:t>
            </w:r>
            <w:r w:rsidRPr="00CA67C0">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CA67C0">
              <w:rPr>
                <w:rStyle w:val="FootnoteReference"/>
              </w:rPr>
              <w:footnoteReference w:id="231"/>
            </w:r>
          </w:p>
          <w:p w:rsidR="00CA67C0" w:rsidRPr="00CA67C0" w:rsidRDefault="00CA67C0" w:rsidP="00CA67C0">
            <w:r w:rsidRPr="00883125">
              <w:t xml:space="preserve">Handley's extension of the Officer Framework does not appear to present an empirically robust and internally consistent explanation for the link </w:t>
            </w:r>
            <w:r w:rsidRPr="00CA67C0">
              <w:t>between the existence of imputation credits and the applicability of the vanilla WACC.</w:t>
            </w:r>
            <w:r w:rsidRPr="00CA67C0">
              <w:rPr>
                <w:rStyle w:val="FootnoteReference"/>
              </w:rPr>
              <w:footnoteReference w:id="232"/>
            </w:r>
          </w:p>
        </w:tc>
        <w:tc>
          <w:tcPr>
            <w:tcW w:w="1945" w:type="pct"/>
          </w:tcPr>
          <w:p w:rsidR="00CA67C0" w:rsidRPr="00CA67C0" w:rsidRDefault="00CA67C0" w:rsidP="00CA67C0">
            <w:r w:rsidRPr="00883125">
              <w:t>In developing the Guideline, we re-evaluated the conceptual framework for the value of imputation credits</w:t>
            </w:r>
            <w:r w:rsidRPr="00CA67C0">
              <w:t xml:space="preserve"> in consultation with stakeholders. In making this </w:t>
            </w:r>
            <w:r w:rsidR="00773A2C">
              <w:t>draft</w:t>
            </w:r>
            <w:r w:rsidR="00773A2C" w:rsidRPr="00CA67C0">
              <w:t xml:space="preserve"> </w:t>
            </w:r>
            <w:r w:rsidRPr="00CA67C0">
              <w:t xml:space="preserve">decision, we have built on this re-evaluation. We discuss the role of the value of imputation credits and the underlying conceptual framework in sections </w:t>
            </w:r>
            <w:r w:rsidRPr="00CA67C0">
              <w:fldChar w:fldCharType="begin"/>
            </w:r>
            <w:r w:rsidRPr="00CA67C0">
              <w:instrText xml:space="preserve"> REF _Ref415144114 \r \h  \* MERGEFORMAT </w:instrText>
            </w:r>
            <w:r w:rsidRPr="00CA67C0">
              <w:fldChar w:fldCharType="separate"/>
            </w:r>
            <w:r w:rsidR="007261FC">
              <w:t>A.5</w:t>
            </w:r>
            <w:r w:rsidRPr="00CA67C0">
              <w:fldChar w:fldCharType="end"/>
            </w:r>
            <w:r w:rsidRPr="00CA67C0">
              <w:t xml:space="preserve"> and </w:t>
            </w:r>
            <w:r w:rsidRPr="00CA67C0">
              <w:fldChar w:fldCharType="begin"/>
            </w:r>
            <w:r w:rsidRPr="00CA67C0">
              <w:instrText xml:space="preserve"> REF _Ref400965182 \r \h  \* MERGEFORMAT </w:instrText>
            </w:r>
            <w:r w:rsidRPr="00CA67C0">
              <w:fldChar w:fldCharType="separate"/>
            </w:r>
            <w:r w:rsidR="007261FC">
              <w:t>A.6</w:t>
            </w:r>
            <w:r w:rsidRPr="00CA67C0">
              <w:fldChar w:fldCharType="end"/>
            </w:r>
            <w:r w:rsidRPr="00CA67C0">
              <w:t>.</w:t>
            </w:r>
          </w:p>
          <w:p w:rsidR="00CA67C0" w:rsidRPr="00CA67C0" w:rsidRDefault="00CA67C0" w:rsidP="00CA67C0">
            <w:r>
              <w:t>We</w:t>
            </w:r>
            <w:r w:rsidRPr="00CA67C0">
              <w:t xml:space="preserve"> consider the face value of imputation credits is the most appropriate measure and is consistent with the Officer framework. We consider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CA67C0" w:rsidRPr="00CA67C0" w:rsidRDefault="00CA67C0" w:rsidP="00CA67C0">
            <w:r w:rsidRPr="00883125">
              <w:t xml:space="preserve">The </w:t>
            </w:r>
            <w:r w:rsidRPr="00CA67C0">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CA67C0" w:rsidRPr="00CA67C0" w:rsidRDefault="00CA67C0" w:rsidP="00CA67C0">
            <w:r w:rsidRPr="00883125">
              <w:t>However, t</w:t>
            </w:r>
            <w:r w:rsidRPr="00CA67C0">
              <w:t>he dividend drop off imputation credit estimate is neither a pre-</w:t>
            </w:r>
            <w:r w:rsidRPr="00CA67C0">
              <w:lastRenderedPageBreak/>
              <w:t xml:space="preserve">personal tax nor a post-personal tax estimate. As a result, this estimate (absent adjustment) cannot be used at all in our regulatory context as it is inconsistent with the post-tax Officer framework. This is further discussed in section </w:t>
            </w:r>
            <w:r w:rsidRPr="00CA67C0">
              <w:fldChar w:fldCharType="begin"/>
            </w:r>
            <w:r w:rsidRPr="00CA67C0">
              <w:instrText xml:space="preserve"> REF _Ref435171205 \r \h  \* MERGEFORMAT </w:instrText>
            </w:r>
            <w:r w:rsidRPr="00CA67C0">
              <w:fldChar w:fldCharType="separate"/>
            </w:r>
            <w:r w:rsidR="007261FC">
              <w:t>A.15.3</w:t>
            </w:r>
            <w:r w:rsidRPr="00CA67C0">
              <w:fldChar w:fldCharType="end"/>
            </w:r>
            <w:r w:rsidRPr="00CA67C0">
              <w:t>.</w:t>
            </w:r>
          </w:p>
        </w:tc>
      </w:tr>
      <w:tr w:rsidR="00CA67C0" w:rsidTr="00CA67C0">
        <w:trPr>
          <w:cnfStyle w:val="000000010000" w:firstRow="0" w:lastRow="0" w:firstColumn="0" w:lastColumn="0" w:oddVBand="0" w:evenVBand="0" w:oddHBand="0" w:evenHBand="1" w:firstRowFirstColumn="0" w:firstRowLastColumn="0" w:lastRowFirstColumn="0" w:lastRowLastColumn="0"/>
        </w:trPr>
        <w:tc>
          <w:tcPr>
            <w:tcW w:w="784" w:type="pct"/>
          </w:tcPr>
          <w:p w:rsidR="00CA67C0" w:rsidRPr="00CA67C0" w:rsidRDefault="00CA67C0" w:rsidP="00CA67C0">
            <w:r w:rsidRPr="00883125">
              <w:lastRenderedPageBreak/>
              <w:t>The distribution rate (payout ratio)</w:t>
            </w:r>
          </w:p>
        </w:tc>
        <w:tc>
          <w:tcPr>
            <w:tcW w:w="2271" w:type="pct"/>
          </w:tcPr>
          <w:p w:rsidR="00CA67C0" w:rsidRPr="00CA67C0" w:rsidRDefault="00CA67C0" w:rsidP="00CA67C0">
            <w:r w:rsidRPr="00883125">
              <w:t>There is insufficient explanation for introducing the distribution rate for only listed equity.</w:t>
            </w:r>
            <w:r w:rsidRPr="00CA67C0">
              <w:rPr>
                <w:rStyle w:val="FootnoteReference"/>
              </w:rPr>
              <w:footnoteReference w:id="233"/>
            </w:r>
          </w:p>
        </w:tc>
        <w:tc>
          <w:tcPr>
            <w:tcW w:w="1945" w:type="pct"/>
          </w:tcPr>
          <w:p w:rsidR="00CA67C0" w:rsidRPr="00CA67C0" w:rsidRDefault="00CA67C0" w:rsidP="00CA67C0">
            <w:r w:rsidRPr="00B31DF2">
              <w:t>As discussed in section</w:t>
            </w:r>
            <w:r w:rsidRPr="00CA67C0">
              <w:t xml:space="preserve"> </w:t>
            </w:r>
            <w:r w:rsidRPr="00CA67C0">
              <w:fldChar w:fldCharType="begin"/>
            </w:r>
            <w:r w:rsidRPr="00CA67C0">
              <w:instrText xml:space="preserve"> REF _Ref451262944 \r \h  \* MERGEFORMAT </w:instrText>
            </w:r>
            <w:r w:rsidRPr="00CA67C0">
              <w:fldChar w:fldCharType="separate"/>
            </w:r>
            <w:r w:rsidR="007261FC">
              <w:t>4.4</w:t>
            </w:r>
            <w:r w:rsidRPr="00CA67C0">
              <w:fldChar w:fldCharType="end"/>
            </w:r>
            <w:r w:rsidRPr="00CA67C0">
              <w:t xml:space="preserve"> of attachment 4 and section </w:t>
            </w:r>
            <w:r w:rsidRPr="00CA67C0">
              <w:fldChar w:fldCharType="begin"/>
            </w:r>
            <w:r w:rsidRPr="00CA67C0">
              <w:instrText xml:space="preserve"> REF _Ref401133206 \r \h </w:instrText>
            </w:r>
            <w:r w:rsidRPr="00CA67C0">
              <w:fldChar w:fldCharType="separate"/>
            </w:r>
            <w:r w:rsidR="007261FC">
              <w:t>A.10</w:t>
            </w:r>
            <w:r w:rsidRPr="00CA67C0">
              <w:fldChar w:fldCharType="end"/>
            </w:r>
            <w:r w:rsidRPr="00CA67C0">
              <w:t xml:space="preserve"> of this appendix, we consider the use of a distribution rate for listed equity is open to us and reasonably reflective of a benchmark efficient entity given the difficulties associated with choosing a representative dataset.</w:t>
            </w:r>
            <w:r w:rsidRPr="00CA67C0">
              <w:rPr>
                <w:rStyle w:val="FootnoteReference"/>
              </w:rPr>
              <w:footnoteReference w:id="234"/>
            </w:r>
            <w:r w:rsidRPr="00CA67C0">
              <w:t xml:space="preserve"> Lally also recommends distribution rate based on listed equity for a benchmark efficient entity, although he estimates this using financial statements of the top 20 listed firms.</w:t>
            </w:r>
            <w:r w:rsidRPr="00CA67C0">
              <w:rPr>
                <w:rStyle w:val="FootnoteReference"/>
              </w:rPr>
              <w:footnoteReference w:id="235"/>
            </w:r>
          </w:p>
          <w:p w:rsidR="00CA67C0" w:rsidRPr="00CA67C0" w:rsidRDefault="00CA67C0" w:rsidP="00CA67C0">
            <w:r w:rsidRPr="00B31DF2">
              <w:t>As discussed in section</w:t>
            </w:r>
            <w:r w:rsidRPr="00CA67C0">
              <w:t xml:space="preserve"> </w:t>
            </w:r>
            <w:r w:rsidRPr="00CA67C0">
              <w:fldChar w:fldCharType="begin"/>
            </w:r>
            <w:r w:rsidRPr="00CA67C0">
              <w:instrText xml:space="preserve"> REF _Ref451262944 \r \h  \* MERGEFORMAT </w:instrText>
            </w:r>
            <w:r w:rsidRPr="00CA67C0">
              <w:fldChar w:fldCharType="separate"/>
            </w:r>
            <w:r w:rsidR="007261FC">
              <w:t>4.4</w:t>
            </w:r>
            <w:r w:rsidRPr="00CA67C0">
              <w:fldChar w:fldCharType="end"/>
            </w:r>
            <w:r w:rsidRPr="00CA67C0">
              <w:t xml:space="preserve"> of attachment 4 and section </w:t>
            </w:r>
            <w:r w:rsidRPr="00CA67C0">
              <w:fldChar w:fldCharType="begin"/>
            </w:r>
            <w:r w:rsidRPr="00CA67C0">
              <w:instrText xml:space="preserve"> REF _Ref450299300 \r \h </w:instrText>
            </w:r>
            <w:r w:rsidRPr="00CA67C0">
              <w:fldChar w:fldCharType="separate"/>
            </w:r>
            <w:r w:rsidR="007261FC">
              <w:t>A.9.2</w:t>
            </w:r>
            <w:r w:rsidRPr="00CA67C0">
              <w:fldChar w:fldCharType="end"/>
            </w:r>
            <w:r w:rsidRPr="00CA67C0">
              <w:t xml:space="preserve"> of this appendix, following Lally's latest report, we consider it is not essential to 'match' estimates of distribution rates and utilisation rates based on the dataset used; although we note the choice is open to us.</w:t>
            </w:r>
            <w:r w:rsidRPr="00CA67C0">
              <w:rPr>
                <w:rStyle w:val="FootnoteReference"/>
              </w:rPr>
              <w:footnoteReference w:id="236"/>
            </w:r>
            <w:r w:rsidRPr="00CA67C0">
              <w:t xml:space="preserve"> While we primarily rely on 'matched' estimates, we also have regard to Lally's preferred estimate based on an all equity utilisation rate from the equity ownership approach and a distribution rate for listed equity from financial reports of the top 20 listed firms.</w:t>
            </w:r>
            <w:r w:rsidRPr="00CA67C0">
              <w:rPr>
                <w:rStyle w:val="FootnoteReference"/>
              </w:rPr>
              <w:footnoteReference w:id="237"/>
            </w:r>
          </w:p>
        </w:tc>
      </w:tr>
      <w:tr w:rsidR="00CA67C0" w:rsidTr="00CA67C0">
        <w:tc>
          <w:tcPr>
            <w:tcW w:w="784" w:type="pct"/>
          </w:tcPr>
          <w:p w:rsidR="00CA67C0" w:rsidRPr="00CA67C0" w:rsidRDefault="00CA67C0" w:rsidP="00CA67C0">
            <w:r w:rsidRPr="00883125">
              <w:t>Equity ownership approach</w:t>
            </w:r>
          </w:p>
        </w:tc>
        <w:tc>
          <w:tcPr>
            <w:tcW w:w="2271" w:type="pct"/>
          </w:tcPr>
          <w:p w:rsidR="00CA67C0" w:rsidRPr="00CA67C0" w:rsidRDefault="00CA67C0" w:rsidP="00CA67C0">
            <w:r w:rsidRPr="00883125">
              <w:t xml:space="preserve">To the extent that the equity ownership approach indicates that theta is above the </w:t>
            </w:r>
            <w:r w:rsidRPr="00CA67C0">
              <w:t xml:space="preserve">amount specified through tax statistics, it is apparent that there are investors who the AER assume are eligible to redeem imputation credits but, for whatever reasons, either </w:t>
            </w:r>
            <w:r w:rsidRPr="00CA67C0">
              <w:lastRenderedPageBreak/>
              <w:t>cannot redeem them or attribute so little value to the credits that they do not utilise them.</w:t>
            </w:r>
            <w:r w:rsidRPr="00CA67C0">
              <w:rPr>
                <w:rStyle w:val="FootnoteReference"/>
              </w:rPr>
              <w:footnoteReference w:id="238"/>
            </w:r>
          </w:p>
          <w:p w:rsidR="00CA67C0" w:rsidRPr="00CA67C0" w:rsidRDefault="00CA67C0" w:rsidP="00CA67C0">
            <w:r w:rsidRPr="00883125">
              <w:t>There are investors who hold shares for less than 45 days. The issue is not whether such a class exists, but the size of that class and the extent to which the value of imputation credits is lower as a result of domestic shareholders being unable to use them.</w:t>
            </w:r>
            <w:r w:rsidRPr="00CA67C0">
              <w:rPr>
                <w:rStyle w:val="FootnoteReference"/>
              </w:rPr>
              <w:footnoteReference w:id="239"/>
            </w:r>
          </w:p>
          <w:p w:rsidR="00CA67C0" w:rsidRPr="00CA67C0" w:rsidRDefault="00CA67C0" w:rsidP="00CA67C0">
            <w:r w:rsidRPr="00883125">
              <w:t>The equity ownership approach overstates the redemption rates and would only be useful a further check on other estimates.</w:t>
            </w:r>
            <w:r w:rsidRPr="00CA67C0">
              <w:rPr>
                <w:rStyle w:val="FootnoteReference"/>
              </w:rPr>
              <w:footnoteReference w:id="240"/>
            </w:r>
          </w:p>
          <w:p w:rsidR="00CA67C0" w:rsidRPr="00CA67C0" w:rsidRDefault="00CA67C0" w:rsidP="00CA67C0">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CA67C0">
              <w:rPr>
                <w:rStyle w:val="FootnoteReference"/>
              </w:rPr>
              <w:footnoteReference w:id="241"/>
            </w:r>
          </w:p>
        </w:tc>
        <w:tc>
          <w:tcPr>
            <w:tcW w:w="1945" w:type="pct"/>
          </w:tcPr>
          <w:p w:rsidR="00CA67C0" w:rsidRPr="00CA67C0" w:rsidRDefault="00CA67C0" w:rsidP="00CA67C0">
            <w:r>
              <w:lastRenderedPageBreak/>
              <w:t>We</w:t>
            </w:r>
            <w:r w:rsidRPr="00CA67C0">
              <w:t xml:space="preserve"> consider the equity ownership approach remains the best method to estimate the utilisation rate. We do not consider the difference between the equity ownership approach and tax statistics is due to the 45 day </w:t>
            </w:r>
            <w:r w:rsidRPr="00CA67C0">
              <w:lastRenderedPageBreak/>
              <w:t>holding rule and Lally, in his recent report, agrees with this.</w:t>
            </w:r>
            <w:r w:rsidRPr="00CA67C0">
              <w:rPr>
                <w:rStyle w:val="FootnoteReference"/>
              </w:rPr>
              <w:footnoteReference w:id="242"/>
            </w:r>
            <w:r w:rsidRPr="00CA67C0">
              <w:t xml:space="preserve"> Instead, we consider the difference in the utilisation rate is likely driven by the unreliability in the taxation data underlying the tax statistics estimate. Lally, in his recent report, considers the most obvious explanation for the difference is the estimate of the redemption rate from tax statistics used by the AER is too low.</w:t>
            </w:r>
            <w:r w:rsidRPr="00CA67C0">
              <w:rPr>
                <w:rStyle w:val="FootnoteReference"/>
              </w:rPr>
              <w:footnoteReference w:id="243"/>
            </w:r>
            <w:r w:rsidRPr="00CA67C0">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CA67C0">
              <w:rPr>
                <w:rStyle w:val="FootnoteReference"/>
              </w:rPr>
              <w:footnoteReference w:id="244"/>
            </w:r>
          </w:p>
          <w:p w:rsidR="00CA67C0" w:rsidRPr="00CA67C0" w:rsidRDefault="00CA67C0" w:rsidP="00CA67C0">
            <w:r>
              <w:t>We</w:t>
            </w:r>
            <w:r w:rsidRPr="00CA67C0">
              <w:t xml:space="preserve"> remain of the view that the 45 day rule does not have a material impact on the utilisation rate. This is supported by Lally.</w:t>
            </w:r>
            <w:r w:rsidRPr="00CA67C0">
              <w:rPr>
                <w:rStyle w:val="FootnoteReference"/>
              </w:rPr>
              <w:footnoteReference w:id="245"/>
            </w:r>
            <w:r w:rsidRPr="00CA67C0">
              <w:t xml:space="preserve"> We have not been presented with any data that would suggest the 45 day rule is having any impact on the utilisation of imputation credits. </w:t>
            </w:r>
          </w:p>
          <w:p w:rsidR="00CA67C0" w:rsidRPr="00CA67C0" w:rsidRDefault="00CA67C0" w:rsidP="00CA67C0">
            <w:r>
              <w:t>We</w:t>
            </w:r>
            <w:r w:rsidRPr="00CA67C0">
              <w:t xml:space="preserve"> consider that on a </w:t>
            </w:r>
            <w:r w:rsidR="000A181E">
              <w:t xml:space="preserve">post-company </w:t>
            </w:r>
            <w:r w:rsidRPr="00CA67C0">
              <w:t xml:space="preserve">pre-personal tax basis, investors that are eligible to receive imputation credits value them at their full face value. A dollar face value of imputation credits reduces eligible investor's tax liabilities by one dollar. The face value of the imputation credit is the </w:t>
            </w:r>
            <w:r w:rsidR="000A181E">
              <w:t xml:space="preserve">post-company </w:t>
            </w:r>
            <w:r w:rsidRPr="00CA67C0">
              <w:t>pre-personal tax value of the imputation credit.</w:t>
            </w:r>
          </w:p>
        </w:tc>
      </w:tr>
      <w:tr w:rsidR="00CA67C0" w:rsidRPr="00B45BDD" w:rsidTr="00CA67C0">
        <w:trPr>
          <w:cnfStyle w:val="000000010000" w:firstRow="0" w:lastRow="0" w:firstColumn="0" w:lastColumn="0" w:oddVBand="0" w:evenVBand="0" w:oddHBand="0" w:evenHBand="1" w:firstRowFirstColumn="0" w:firstRowLastColumn="0" w:lastRowFirstColumn="0" w:lastRowLastColumn="0"/>
        </w:trPr>
        <w:tc>
          <w:tcPr>
            <w:tcW w:w="784" w:type="pct"/>
          </w:tcPr>
          <w:p w:rsidR="00CA67C0" w:rsidRPr="00CA67C0" w:rsidRDefault="00CA67C0" w:rsidP="00CA67C0">
            <w:r w:rsidRPr="00883125">
              <w:lastRenderedPageBreak/>
              <w:t>Tax statistic estimates</w:t>
            </w:r>
          </w:p>
        </w:tc>
        <w:tc>
          <w:tcPr>
            <w:tcW w:w="2271" w:type="pct"/>
          </w:tcPr>
          <w:p w:rsidR="00CA67C0" w:rsidRPr="00CA67C0" w:rsidRDefault="00CA67C0" w:rsidP="00CA67C0">
            <w:r w:rsidRPr="00883125">
              <w:t>Tax statistics can only provide an upper bound on the estimate of theta.</w:t>
            </w:r>
            <w:r w:rsidRPr="00CA67C0">
              <w:rPr>
                <w:rStyle w:val="FootnoteReference"/>
              </w:rPr>
              <w:footnoteReference w:id="246"/>
            </w:r>
          </w:p>
          <w:p w:rsidR="00CA67C0" w:rsidRPr="00CA67C0" w:rsidRDefault="00CA67C0" w:rsidP="00CA67C0">
            <w:r w:rsidRPr="00883125">
              <w:lastRenderedPageBreak/>
              <w:t xml:space="preserve">The value of theta produced by taxation statistics is evidence that Australian investors do not value </w:t>
            </w:r>
            <w:r w:rsidRPr="00CA67C0">
              <w:t>imputation credits at their face value, because they may be unable to use them.</w:t>
            </w:r>
            <w:r w:rsidRPr="00CA67C0">
              <w:rPr>
                <w:rStyle w:val="FootnoteReference"/>
              </w:rPr>
              <w:footnoteReference w:id="247"/>
            </w:r>
          </w:p>
          <w:p w:rsidR="00CA67C0" w:rsidRPr="00CA67C0" w:rsidRDefault="00CA67C0" w:rsidP="00CA67C0">
            <w:r w:rsidRPr="00883125">
              <w:t>The ATO data relied by Hathaway has since been acknowledged by Hathaway to be of some concern.</w:t>
            </w:r>
            <w:r w:rsidRPr="00CA67C0">
              <w:rPr>
                <w:rStyle w:val="FootnoteReference"/>
              </w:rPr>
              <w:footnoteReference w:id="248"/>
            </w:r>
          </w:p>
        </w:tc>
        <w:tc>
          <w:tcPr>
            <w:tcW w:w="1945" w:type="pct"/>
          </w:tcPr>
          <w:p w:rsidR="00CA67C0" w:rsidRPr="00CA67C0" w:rsidRDefault="00CA67C0" w:rsidP="00CA67C0">
            <w:r w:rsidRPr="00883125">
              <w:lastRenderedPageBreak/>
              <w:t xml:space="preserve">Handley advised that his previous comments regarding the use of tax </w:t>
            </w:r>
            <w:r w:rsidRPr="00883125">
              <w:lastRenderedPageBreak/>
              <w:t xml:space="preserve">statistics being an 'upper bound' were misinterpreted in these proceedings. Handley confirmed that tax statistics can be used to produce a point estimate of the utilisation </w:t>
            </w:r>
            <w:r w:rsidRPr="00CA67C0">
              <w:t xml:space="preserve">rate. We discussed Handley's views in section A.6.1 of the draft/preliminary decisions. We discuss the use of tax statistics more broadly in section </w:t>
            </w:r>
            <w:r w:rsidRPr="00CA67C0">
              <w:fldChar w:fldCharType="begin"/>
            </w:r>
            <w:r w:rsidRPr="00CA67C0">
              <w:instrText xml:space="preserve"> REF _Ref402179420 \r \h  \* MERGEFORMAT </w:instrText>
            </w:r>
            <w:r w:rsidRPr="00CA67C0">
              <w:fldChar w:fldCharType="separate"/>
            </w:r>
            <w:r w:rsidR="007261FC">
              <w:t>A.13</w:t>
            </w:r>
            <w:r w:rsidRPr="00CA67C0">
              <w:fldChar w:fldCharType="end"/>
            </w:r>
            <w:r w:rsidRPr="00CA67C0">
              <w:t xml:space="preserve"> of this appendix.</w:t>
            </w:r>
          </w:p>
          <w:p w:rsidR="00CA67C0" w:rsidRPr="00CA67C0" w:rsidRDefault="00CA67C0" w:rsidP="00CA67C0">
            <w:r>
              <w:t xml:space="preserve">Lally advised that the correct tax statistic </w:t>
            </w:r>
            <w:r w:rsidRPr="00CA67C0">
              <w:t>is upward biased as it is expected local investors would tilt their shareholding towards stock with 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CA67C0">
              <w:rPr>
                <w:rStyle w:val="FootnoteReference"/>
              </w:rPr>
              <w:footnoteReference w:id="249"/>
            </w:r>
            <w:r w:rsidRPr="00CA67C0">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CA67C0" w:rsidRPr="00CA67C0" w:rsidRDefault="00CA67C0" w:rsidP="00CA67C0">
            <w:r w:rsidRPr="00FF12F1">
              <w:t>Having regard to the potential data limitations and alternate estimates, the evidence from tax statistics is not inconsistent with the evidence from the equity ownership approach, but we place less reliance upon it.</w:t>
            </w:r>
            <w:r w:rsidRPr="00CA67C0">
              <w:t xml:space="preserve"> </w:t>
            </w:r>
          </w:p>
          <w:p w:rsidR="00CA67C0" w:rsidRPr="00CA67C0" w:rsidRDefault="00CA67C0" w:rsidP="00CA67C0">
            <w:r>
              <w:t>We do</w:t>
            </w:r>
            <w:r w:rsidRPr="00CA67C0">
              <w:t xml:space="preserve"> not consider the utilisation rate produced by taxation statistics is evidence that Australian investors do not value imputation credits at their face value. Rather we consider the evidence demonstrates there are potential data reliability issues with tax statistics. The Tribunal itself has acknowledged concerns with the ATO data.</w:t>
            </w:r>
            <w:r w:rsidRPr="00CA67C0">
              <w:rPr>
                <w:rStyle w:val="FootnoteReference"/>
              </w:rPr>
              <w:footnoteReference w:id="250"/>
            </w:r>
          </w:p>
        </w:tc>
      </w:tr>
      <w:tr w:rsidR="00CA67C0" w:rsidRPr="00B45BDD" w:rsidTr="00CA67C0">
        <w:tc>
          <w:tcPr>
            <w:tcW w:w="784" w:type="pct"/>
          </w:tcPr>
          <w:p w:rsidR="00CA67C0" w:rsidRPr="00CA67C0" w:rsidRDefault="00CA67C0" w:rsidP="00CA67C0">
            <w:r w:rsidRPr="00883125">
              <w:lastRenderedPageBreak/>
              <w:t>The conceptual basis for dividend drop off studies</w:t>
            </w:r>
          </w:p>
        </w:tc>
        <w:tc>
          <w:tcPr>
            <w:tcW w:w="2271" w:type="pct"/>
          </w:tcPr>
          <w:p w:rsidR="00CA67C0" w:rsidRPr="00CA67C0" w:rsidRDefault="00CA67C0" w:rsidP="00CA67C0">
            <w:r>
              <w:t>O</w:t>
            </w:r>
            <w:r w:rsidRPr="00CA67C0">
              <w:t>f the various methodologies for estimating gamma employed by the AER, market value studies are best placed to capture the considerations that investors make in determining the worth of imputation credits to them.</w:t>
            </w:r>
            <w:r w:rsidRPr="00CA67C0">
              <w:rPr>
                <w:rStyle w:val="FootnoteReference"/>
              </w:rPr>
              <w:footnoteReference w:id="251"/>
            </w:r>
          </w:p>
          <w:p w:rsidR="00CA67C0" w:rsidRPr="00CA67C0" w:rsidRDefault="00CA67C0" w:rsidP="00CA67C0">
            <w:r w:rsidRPr="00883125">
              <w:t>The AER could have excluded earlier market based studies that were not relevant, such as the studies that were conducted on pre 2000 data.</w:t>
            </w:r>
            <w:r w:rsidRPr="00CA67C0">
              <w:rPr>
                <w:rStyle w:val="FootnoteReference"/>
              </w:rPr>
              <w:footnoteReference w:id="252"/>
            </w:r>
          </w:p>
          <w:p w:rsidR="00CA67C0" w:rsidRPr="00CA67C0" w:rsidRDefault="00CA67C0" w:rsidP="00CA67C0">
            <w:r w:rsidRPr="00883125">
              <w:t xml:space="preserve">That the econometric issues identified in market based studies is at odds with the AER's </w:t>
            </w:r>
            <w:r w:rsidRPr="00CA67C0">
              <w:t>reliance on economic modelling in other aspects of its determinations.</w:t>
            </w:r>
            <w:r w:rsidRPr="00CA67C0">
              <w:rPr>
                <w:rStyle w:val="FootnoteReference"/>
              </w:rPr>
              <w:footnoteReference w:id="253"/>
            </w:r>
          </w:p>
          <w:p w:rsidR="00CA67C0" w:rsidRPr="00CA67C0" w:rsidRDefault="00CA67C0" w:rsidP="00CA67C0">
            <w:r w:rsidRPr="00883125">
              <w:t xml:space="preserve">The best estimate derived by the updated SFG study is 0.35 and it </w:t>
            </w:r>
            <w:r w:rsidRPr="00CA67C0">
              <w:t>is incorrect for the AER to adjusted the SFG study for factors, such as differential personal taxes and risk.</w:t>
            </w:r>
            <w:r w:rsidRPr="00CA67C0">
              <w:rPr>
                <w:rStyle w:val="FootnoteReference"/>
              </w:rPr>
              <w:footnoteReference w:id="254"/>
            </w:r>
          </w:p>
          <w:p w:rsidR="00CA67C0" w:rsidRPr="00CA67C0" w:rsidRDefault="00CA67C0" w:rsidP="00CA67C0">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CA67C0">
              <w:rPr>
                <w:rStyle w:val="FootnoteReference"/>
              </w:rPr>
              <w:footnoteReference w:id="255"/>
            </w:r>
          </w:p>
        </w:tc>
        <w:tc>
          <w:tcPr>
            <w:tcW w:w="1945" w:type="pct"/>
          </w:tcPr>
          <w:p w:rsidR="00CA67C0" w:rsidRPr="00CA67C0" w:rsidRDefault="00CA67C0" w:rsidP="00CA67C0">
            <w:r w:rsidRPr="00883125">
              <w:t xml:space="preserve">The limitations of dividend drop off studies have been widely identified—we provide a selection of comments from academics and regulators in section </w:t>
            </w:r>
            <w:r w:rsidRPr="00CA67C0">
              <w:fldChar w:fldCharType="begin"/>
            </w:r>
            <w:r w:rsidRPr="00CA67C0">
              <w:instrText xml:space="preserve"> REF _Ref451266265 \r \h  \* MERGEFORMAT </w:instrText>
            </w:r>
            <w:r w:rsidRPr="00CA67C0">
              <w:fldChar w:fldCharType="separate"/>
            </w:r>
            <w:r w:rsidR="007261FC">
              <w:t>A.15</w:t>
            </w:r>
            <w:r w:rsidRPr="00CA67C0">
              <w:fldChar w:fldCharType="end"/>
            </w:r>
            <w:r w:rsidRPr="00CA67C0">
              <w:t xml:space="preserve"> and </w:t>
            </w:r>
            <w:r w:rsidRPr="00CA67C0">
              <w:fldChar w:fldCharType="begin"/>
            </w:r>
            <w:r w:rsidRPr="00CA67C0">
              <w:instrText xml:space="preserve"> REF _Ref450761230 \r \h </w:instrText>
            </w:r>
            <w:r w:rsidRPr="00CA67C0">
              <w:fldChar w:fldCharType="separate"/>
            </w:r>
            <w:r w:rsidR="007261FC">
              <w:t>4.4.1</w:t>
            </w:r>
            <w:r w:rsidRPr="00CA67C0">
              <w:fldChar w:fldCharType="end"/>
            </w:r>
            <w:r w:rsidRPr="00CA67C0">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A67C0" w:rsidRPr="00CA67C0" w:rsidRDefault="00CA67C0" w:rsidP="00CA67C0">
            <w:r w:rsidRPr="00883125">
              <w:t xml:space="preserve">The issue with dividend </w:t>
            </w:r>
            <w:r w:rsidRPr="00CA67C0">
              <w:t>drop off estimates of the utilisation rate (or value) is that they do not produce a post</w:t>
            </w:r>
            <w:r w:rsidR="000A181E">
              <w:t>(</w:t>
            </w:r>
            <w:r w:rsidR="00744B81">
              <w:t>company</w:t>
            </w:r>
            <w:r w:rsidR="000A181E">
              <w:t>) tax</w:t>
            </w:r>
            <w:r w:rsidR="00744B81">
              <w:t xml:space="preserve"> </w:t>
            </w:r>
            <w:r w:rsidR="000A181E">
              <w:t>(</w:t>
            </w:r>
            <w:r w:rsidR="00744B81">
              <w:t xml:space="preserve">pre-personal </w:t>
            </w:r>
            <w:r w:rsidRPr="00CA67C0">
              <w:t>tax</w:t>
            </w:r>
            <w:r w:rsidR="000A181E">
              <w:t>)</w:t>
            </w:r>
            <w:r w:rsidRPr="00CA67C0">
              <w:t xml:space="preserve"> estimate and therefore do not produce estimates consistent with the Officer post-tax framework. The dividend drop off estimate is influenced by differential 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CA67C0">
              <w:fldChar w:fldCharType="begin"/>
            </w:r>
            <w:r w:rsidRPr="00CA67C0">
              <w:instrText xml:space="preserve"> REF _Ref435171205 \r \h  \* MERGEFORMAT </w:instrText>
            </w:r>
            <w:r w:rsidRPr="00CA67C0">
              <w:fldChar w:fldCharType="separate"/>
            </w:r>
            <w:r w:rsidR="007261FC">
              <w:t>A.15.3</w:t>
            </w:r>
            <w:r w:rsidRPr="00CA67C0">
              <w:fldChar w:fldCharType="end"/>
            </w:r>
            <w:r w:rsidRPr="00CA67C0">
              <w:t>.</w:t>
            </w:r>
          </w:p>
          <w:p w:rsidR="00CA67C0" w:rsidRPr="00CA67C0" w:rsidRDefault="00CA67C0" w:rsidP="00CA67C0">
            <w:r w:rsidRPr="00883125">
              <w:t xml:space="preserve">The </w:t>
            </w:r>
            <w:r w:rsidRPr="00CA67C0">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CA67C0" w:rsidRPr="00B45BDD" w:rsidTr="00CA67C0">
        <w:trPr>
          <w:cnfStyle w:val="000000010000" w:firstRow="0" w:lastRow="0" w:firstColumn="0" w:lastColumn="0" w:oddVBand="0" w:evenVBand="0" w:oddHBand="0" w:evenHBand="1" w:firstRowFirstColumn="0" w:firstRowLastColumn="0" w:lastRowFirstColumn="0" w:lastRowLastColumn="0"/>
        </w:trPr>
        <w:tc>
          <w:tcPr>
            <w:tcW w:w="784" w:type="pct"/>
          </w:tcPr>
          <w:p w:rsidR="00CA67C0" w:rsidRPr="00CA67C0" w:rsidRDefault="00CA67C0" w:rsidP="00CA67C0">
            <w:r w:rsidRPr="00883125">
              <w:t>Consistency of allowed rate of return parameters</w:t>
            </w:r>
          </w:p>
        </w:tc>
        <w:tc>
          <w:tcPr>
            <w:tcW w:w="2271" w:type="pct"/>
          </w:tcPr>
          <w:p w:rsidR="00CA67C0" w:rsidRPr="00CA67C0" w:rsidRDefault="00CA67C0" w:rsidP="00CA67C0">
            <w:r w:rsidRPr="00883125">
              <w:t xml:space="preserve">The AER's reasoning ignores the fact that other parameters in the WACC </w:t>
            </w:r>
            <w:r w:rsidRPr="00CA67C0">
              <w:t>calculation are market values that already incorporate the effects of the difference in investors' tax position and transaction costs'.</w:t>
            </w:r>
            <w:r w:rsidRPr="00CA67C0">
              <w:rPr>
                <w:rStyle w:val="FootnoteReference"/>
              </w:rPr>
              <w:footnoteReference w:id="256"/>
            </w:r>
            <w:r w:rsidRPr="00CA67C0">
              <w:t xml:space="preserve"> There is no inconsistency between the use of market </w:t>
            </w:r>
            <w:r w:rsidRPr="00CA67C0">
              <w:lastRenderedPageBreak/>
              <w:t>studies to estimate the value of imputation credits and the method used to calculate other parameters of the cost of debt and equity from market data.</w:t>
            </w:r>
            <w:r w:rsidRPr="00CA67C0">
              <w:rPr>
                <w:rStyle w:val="FootnoteReference"/>
              </w:rPr>
              <w:footnoteReference w:id="257"/>
            </w:r>
            <w:r w:rsidRPr="00CA67C0">
              <w:t xml:space="preserve"> The Tribunal consider that return on equity is derived from market prices of government bonds (the risk free rate) and from the market prices of shares (beta and MRP).</w:t>
            </w:r>
            <w:r w:rsidRPr="00CA67C0">
              <w:rPr>
                <w:rStyle w:val="FootnoteReference"/>
              </w:rPr>
              <w:footnoteReference w:id="258"/>
            </w:r>
            <w:r w:rsidRPr="00CA67C0">
              <w:t xml:space="preserve"> The cost of debt is calculated by reference to bond yields which are derived directly from traded market prices.</w:t>
            </w:r>
            <w:r w:rsidRPr="00CA67C0">
              <w:rPr>
                <w:rStyle w:val="FootnoteReference"/>
              </w:rPr>
              <w:footnoteReference w:id="259"/>
            </w:r>
            <w:r w:rsidRPr="00CA67C0">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CA67C0">
              <w:rPr>
                <w:rStyle w:val="FootnoteReference"/>
              </w:rPr>
              <w:footnoteReference w:id="260"/>
            </w:r>
          </w:p>
        </w:tc>
        <w:tc>
          <w:tcPr>
            <w:tcW w:w="1945" w:type="pct"/>
          </w:tcPr>
          <w:p w:rsidR="00CA67C0" w:rsidRPr="00CA67C0" w:rsidRDefault="00CA67C0" w:rsidP="00CA67C0">
            <w:r w:rsidRPr="00B27BE5">
              <w:lastRenderedPageBreak/>
              <w:t xml:space="preserve">The market value of imputation credits is inferred from dividend drop off studies which measure the dividend drop off ratio. The value of imputation credits from dividend drop off studies is influenced by differential personal </w:t>
            </w:r>
            <w:r w:rsidRPr="00B27BE5">
              <w:lastRenderedPageBreak/>
              <w:t>taxation of dividend income and capital gains. It reflects investor's preference for capital gains over dividend income given the preferential tax treatment of capital gains in Australia. As such, it does not reflect a post-</w:t>
            </w:r>
            <w:r w:rsidR="00744B81">
              <w:t xml:space="preserve">company pre-personal </w:t>
            </w:r>
            <w:r w:rsidRPr="00B27BE5">
              <w:t xml:space="preserve">tax value consistent with the </w:t>
            </w:r>
            <w:r w:rsidRPr="00CA67C0">
              <w:t>framework in the NER/NGR based on Officer's work.</w:t>
            </w:r>
          </w:p>
          <w:p w:rsidR="00CA67C0" w:rsidRPr="00CA67C0" w:rsidRDefault="00CA67C0" w:rsidP="00CA67C0">
            <w:r>
              <w:t>We</w:t>
            </w:r>
            <w:r w:rsidRPr="00CA67C0">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w:t>
            </w:r>
            <w:r w:rsidR="000A181E">
              <w:t>post (company) tax (</w:t>
            </w:r>
            <w:r w:rsidRPr="00CA67C0">
              <w:t>pre-personal tax</w:t>
            </w:r>
            <w:r w:rsidR="000A181E">
              <w:t>)</w:t>
            </w:r>
            <w:r w:rsidRPr="00CA67C0">
              <w:t xml:space="preserve"> value and is internally consistent with all other allowed rate of return parameters. We note personal tax is levied on the face value of imputation credits (levied on gross dividends). </w:t>
            </w:r>
          </w:p>
        </w:tc>
      </w:tr>
      <w:tr w:rsidR="00CA67C0" w:rsidTr="00CA67C0">
        <w:tc>
          <w:tcPr>
            <w:tcW w:w="784" w:type="pct"/>
          </w:tcPr>
          <w:p w:rsidR="00CA67C0" w:rsidRPr="00CA67C0" w:rsidRDefault="00CA67C0" w:rsidP="00CA67C0">
            <w:r w:rsidRPr="00883125">
              <w:lastRenderedPageBreak/>
              <w:t>The need to re-evaluate gamma</w:t>
            </w:r>
          </w:p>
        </w:tc>
        <w:tc>
          <w:tcPr>
            <w:tcW w:w="2271" w:type="pct"/>
          </w:tcPr>
          <w:p w:rsidR="00CA67C0" w:rsidRPr="00CA67C0" w:rsidRDefault="00CA67C0" w:rsidP="00CA67C0">
            <w:r w:rsidRPr="00883125">
              <w:t xml:space="preserve">Changes to the NER and the NEL allow </w:t>
            </w:r>
            <w:r w:rsidRPr="00CA67C0">
              <w:t>the AER greater flexibility to adopt a more sophisticated approach to the cost of capital than previously envisaged by the NER and the NEL.</w:t>
            </w:r>
            <w:r w:rsidRPr="00CA67C0">
              <w:rPr>
                <w:rStyle w:val="FootnoteReference"/>
              </w:rPr>
              <w:footnoteReference w:id="261"/>
            </w:r>
            <w:r w:rsidRPr="00CA67C0">
              <w:t xml:space="preserve"> It is appropriate that the AER should use that additional flexibility to seek advice on alternatives to the Officer Framework that better define the impact of imputation credits on the cost of capital.</w:t>
            </w:r>
            <w:r w:rsidRPr="00CA67C0">
              <w:rPr>
                <w:rStyle w:val="FootnoteReference"/>
              </w:rPr>
              <w:footnoteReference w:id="262"/>
            </w:r>
          </w:p>
          <w:p w:rsidR="00CA67C0" w:rsidRPr="00CA67C0" w:rsidRDefault="00CA67C0" w:rsidP="00CA67C0">
            <w:r w:rsidRPr="00883125">
              <w:t xml:space="preserve">Suggested that given the New Zealand High Court decision financial modelling may not yet have produced a workable version of a CAPM that incorporates a generalised treatment of imputation credits, in which case the AER would necessarily have to make </w:t>
            </w:r>
            <w:r w:rsidRPr="00883125">
              <w:lastRenderedPageBreak/>
              <w:t>judgements about whether and how to modify the methodology in the RoR Guidelines for factors subsequently raise in advice it received from experts.</w:t>
            </w:r>
            <w:r w:rsidRPr="00CA67C0">
              <w:rPr>
                <w:rStyle w:val="FootnoteReference"/>
              </w:rPr>
              <w:footnoteReference w:id="263"/>
            </w:r>
          </w:p>
          <w:p w:rsidR="00CA67C0" w:rsidRPr="00CA67C0" w:rsidRDefault="00CA67C0" w:rsidP="00CA67C0">
            <w:r w:rsidRPr="00883125">
              <w:t>Experts present no consistently coherent CAPM framework for the assessment of the components of the cost of capital. There are models with disputed applicability which may or may not be consistent with the application of a vanilla WACC.</w:t>
            </w:r>
            <w:r w:rsidRPr="00CA67C0">
              <w:rPr>
                <w:rStyle w:val="FootnoteReference"/>
              </w:rPr>
              <w:footnoteReference w:id="264"/>
            </w:r>
          </w:p>
        </w:tc>
        <w:tc>
          <w:tcPr>
            <w:tcW w:w="1945" w:type="pct"/>
          </w:tcPr>
          <w:p w:rsidR="00CA67C0" w:rsidRPr="00CA67C0" w:rsidRDefault="00CA67C0" w:rsidP="00773A2C">
            <w:r>
              <w:lastRenderedPageBreak/>
              <w:t>We</w:t>
            </w:r>
            <w:r w:rsidRPr="00CA67C0">
              <w:t xml:space="preserve"> remain of the view that Officer Framework remains appropriate for the current </w:t>
            </w:r>
            <w:r w:rsidR="00773A2C">
              <w:t>draft</w:t>
            </w:r>
            <w:r w:rsidR="00773A2C" w:rsidRPr="00CA67C0">
              <w:t xml:space="preserve"> </w:t>
            </w:r>
            <w:r w:rsidRPr="00CA67C0">
              <w:t>decision. We consider our application of the Officer Framework will lead to an overall rate of return (inclusive of the value of imputation credits) that is commensurate with the efficient financing costs of a benchmark efficient entity in the provision of regulated services. I</w:t>
            </w:r>
          </w:p>
        </w:tc>
      </w:tr>
    </w:tbl>
    <w:p w:rsidR="00CA67C0" w:rsidRPr="00883125" w:rsidRDefault="00CA67C0" w:rsidP="00CA67C0">
      <w:pPr>
        <w:pStyle w:val="AERtablesource"/>
      </w:pPr>
      <w:r w:rsidRPr="00883125">
        <w:lastRenderedPageBreak/>
        <w:t xml:space="preserve">Source: </w:t>
      </w:r>
      <w:r w:rsidRPr="00883125">
        <w:tab/>
        <w:t>As specified in table.</w:t>
      </w:r>
    </w:p>
    <w:p w:rsidR="00CA67C0" w:rsidRPr="00883125" w:rsidRDefault="00CA67C0" w:rsidP="00CA67C0"/>
    <w:p w:rsidR="00CA67C0" w:rsidRPr="00883125" w:rsidRDefault="00CA67C0" w:rsidP="00CA67C0">
      <w:pPr>
        <w:sectPr w:rsidR="00CA67C0" w:rsidRPr="00883125" w:rsidSect="00CA67C0">
          <w:pgSz w:w="16838" w:h="11906" w:orient="landscape"/>
          <w:pgMar w:top="1440" w:right="1440" w:bottom="1440" w:left="1440" w:header="709" w:footer="709" w:gutter="0"/>
          <w:pgNumType w:chapStyle="1"/>
          <w:cols w:space="708"/>
          <w:docGrid w:linePitch="360"/>
        </w:sectPr>
      </w:pPr>
    </w:p>
    <w:p w:rsidR="00CA67C0" w:rsidRPr="00883125" w:rsidRDefault="00CA67C0" w:rsidP="00CA67C0">
      <w:pPr>
        <w:pStyle w:val="Heading9"/>
      </w:pPr>
      <w:r>
        <w:lastRenderedPageBreak/>
        <w:t xml:space="preserve"> </w:t>
      </w:r>
      <w:bookmarkStart w:id="141" w:name="_Toc456614294"/>
      <w:r w:rsidRPr="00883125">
        <w:t>Energex</w:t>
      </w:r>
      <w:bookmarkEnd w:id="141"/>
    </w:p>
    <w:p w:rsidR="00CA67C0" w:rsidRPr="00883125" w:rsidRDefault="00CA67C0" w:rsidP="00764AB1">
      <w:pPr>
        <w:numPr>
          <w:ilvl w:val="0"/>
          <w:numId w:val="24"/>
        </w:numPr>
      </w:pPr>
      <w:r w:rsidRPr="00883125">
        <w:t>In our 2009 industry wide review of rate of return parameters (the 2009 WACC review), we adopted a gamma of 0.65.</w:t>
      </w:r>
      <w:r w:rsidRPr="00883125">
        <w:rPr>
          <w:rStyle w:val="FootnoteReference"/>
        </w:rPr>
        <w:footnoteReference w:id="265"/>
      </w:r>
      <w:r w:rsidRPr="00883125">
        <w:t xml:space="preserve"> In 2009, we applied this value in the Queensland and South Australian electricity distribution determinations. Energex and Ergon successfully sought review of this decision by the Australian Competition Tribunal. The Tribunal set the distribution rate to 0.7 and initiated a dividend drop off study from SFG to estimate the utilisation rate. The Tribunal adopted SFG's recommendation that the utilisation rate be set at 0.35. This resulted in a gamma of 0.25. </w:t>
      </w:r>
    </w:p>
    <w:p w:rsidR="00CA67C0" w:rsidRPr="00883125" w:rsidRDefault="00CA67C0" w:rsidP="00CA67C0">
      <w:r w:rsidRPr="00883125">
        <w:t xml:space="preserve">In reaching its position, the Tribunal expressed views on the important factors in its decisions. This included areas where the 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7261FC" w:rsidRPr="00883125">
        <w:t xml:space="preserve">table </w:t>
      </w:r>
      <w:r w:rsidR="007261FC">
        <w:t>4</w:t>
      </w:r>
      <w:r w:rsidR="007261FC">
        <w:noBreakHyphen/>
        <w:t>9</w:t>
      </w:r>
      <w:r w:rsidRPr="00883125">
        <w:fldChar w:fldCharType="end"/>
      </w:r>
      <w:r w:rsidRPr="00883125">
        <w:t xml:space="preserve"> below. We have carefully considered these views.</w:t>
      </w:r>
    </w:p>
    <w:p w:rsidR="00CA67C0" w:rsidRPr="00883125" w:rsidRDefault="00CA67C0" w:rsidP="00CA67C0"/>
    <w:p w:rsidR="00CA67C0" w:rsidRPr="00883125" w:rsidRDefault="00CA67C0" w:rsidP="00CA67C0">
      <w:pPr>
        <w:sectPr w:rsidR="00CA67C0" w:rsidRPr="00883125" w:rsidSect="00CA67C0">
          <w:pgSz w:w="11906" w:h="16838"/>
          <w:pgMar w:top="1440" w:right="1440" w:bottom="1440" w:left="1440" w:header="708" w:footer="708" w:gutter="0"/>
          <w:pgNumType w:chapStyle="1"/>
          <w:cols w:space="708"/>
          <w:docGrid w:linePitch="360"/>
        </w:sectPr>
      </w:pPr>
    </w:p>
    <w:p w:rsidR="00CA67C0" w:rsidRPr="00883125" w:rsidRDefault="00CA67C0" w:rsidP="00CA67C0"/>
    <w:p w:rsidR="00CA67C0" w:rsidRPr="00883125" w:rsidRDefault="00CA67C0" w:rsidP="00CA67C0">
      <w:pPr>
        <w:pStyle w:val="Caption"/>
      </w:pPr>
      <w:bookmarkStart w:id="142" w:name="_Ref400609646"/>
      <w:bookmarkStart w:id="143" w:name="_Ref401260171"/>
      <w:r w:rsidRPr="00883125">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9</w:t>
      </w:r>
      <w:r w:rsidRPr="001D37D5">
        <w:fldChar w:fldCharType="end"/>
      </w:r>
      <w:bookmarkEnd w:id="142"/>
      <w:r w:rsidRPr="00883125">
        <w:tab/>
        <w:t>Australian Competition Tribunal's observations on imputation credits</w:t>
      </w:r>
      <w:bookmarkEnd w:id="143"/>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CA67C0" w:rsidTr="00CA67C0">
        <w:trPr>
          <w:cnfStyle w:val="100000000000" w:firstRow="1" w:lastRow="0" w:firstColumn="0" w:lastColumn="0" w:oddVBand="0" w:evenVBand="0" w:oddHBand="0" w:evenHBand="0" w:firstRowFirstColumn="0" w:firstRowLastColumn="0" w:lastRowFirstColumn="0" w:lastRowLastColumn="0"/>
          <w:tblHeader/>
        </w:trPr>
        <w:tc>
          <w:tcPr>
            <w:tcW w:w="784" w:type="pct"/>
          </w:tcPr>
          <w:p w:rsidR="00CA67C0" w:rsidRPr="00CA67C0" w:rsidRDefault="00CA67C0" w:rsidP="00CA67C0">
            <w:r w:rsidRPr="00883125">
              <w:t>Issue</w:t>
            </w:r>
          </w:p>
        </w:tc>
        <w:tc>
          <w:tcPr>
            <w:tcW w:w="2271" w:type="pct"/>
          </w:tcPr>
          <w:p w:rsidR="00CA67C0" w:rsidRPr="00CA67C0" w:rsidRDefault="00CA67C0" w:rsidP="00CA67C0">
            <w:r w:rsidRPr="00883125">
              <w:t>Tribunal comments</w:t>
            </w:r>
          </w:p>
        </w:tc>
        <w:tc>
          <w:tcPr>
            <w:tcW w:w="1945" w:type="pct"/>
          </w:tcPr>
          <w:p w:rsidR="00CA67C0" w:rsidRPr="00CA67C0" w:rsidRDefault="00CA67C0" w:rsidP="00CA67C0">
            <w:r w:rsidRPr="00883125">
              <w:t>AER comments</w:t>
            </w:r>
          </w:p>
        </w:tc>
      </w:tr>
      <w:tr w:rsidR="00CA67C0" w:rsidTr="00CA67C0">
        <w:tc>
          <w:tcPr>
            <w:tcW w:w="784" w:type="pct"/>
          </w:tcPr>
          <w:p w:rsidR="00CA67C0" w:rsidRPr="00CA67C0" w:rsidRDefault="00CA67C0" w:rsidP="00CA67C0">
            <w:r w:rsidRPr="00883125">
              <w:t>The conceptual framework for gamma</w:t>
            </w:r>
          </w:p>
        </w:tc>
        <w:tc>
          <w:tcPr>
            <w:tcW w:w="2271" w:type="pct"/>
          </w:tcPr>
          <w:p w:rsidR="00CA67C0" w:rsidRPr="00CA67C0" w:rsidRDefault="00CA67C0" w:rsidP="00CA67C0">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CA67C0" w:rsidRPr="00CA67C0" w:rsidRDefault="00CA67C0" w:rsidP="00CA67C0">
            <w:r w:rsidRPr="00883125">
              <w:t>The Tribunal would be assisted in its consideration of the issues before it if the AER were to provide relevant extrinsic material explaining:</w:t>
            </w:r>
          </w:p>
          <w:p w:rsidR="00CA67C0" w:rsidRPr="00CA67C0" w:rsidRDefault="00CA67C0" w:rsidP="00CA67C0">
            <w:r w:rsidRPr="00883125">
              <w:t>(a) the rationale for including the gamma component in the formula for calculating the estimated cost of corporate income tax; and</w:t>
            </w:r>
          </w:p>
          <w:p w:rsidR="00CA67C0" w:rsidRPr="00CA67C0" w:rsidRDefault="00CA67C0" w:rsidP="00CA67C0">
            <w:r w:rsidRPr="00883125">
              <w:t>(b) how it relates to the rest of the building blocks, especially the rate of return (cl 6.4.3(a) and cl 6.5.2(b) of the Rules)."</w:t>
            </w:r>
            <w:r w:rsidRPr="00CA67C0">
              <w:rPr>
                <w:rStyle w:val="FootnoteReference"/>
              </w:rPr>
              <w:footnoteReference w:id="266"/>
            </w:r>
          </w:p>
        </w:tc>
        <w:tc>
          <w:tcPr>
            <w:tcW w:w="1945" w:type="pct"/>
          </w:tcPr>
          <w:p w:rsidR="00CA67C0" w:rsidRPr="00CA67C0" w:rsidRDefault="00CA67C0" w:rsidP="00CA67C0">
            <w:r w:rsidRPr="00883125">
              <w:t xml:space="preserve">In developing the Guideline, we re-evaluated the conceptual framework for the value of imputation credits. In making this </w:t>
            </w:r>
            <w:r w:rsidR="00773A2C">
              <w:t>draft</w:t>
            </w:r>
            <w:r w:rsidR="00773A2C" w:rsidRPr="00883125">
              <w:t xml:space="preserve"> </w:t>
            </w:r>
            <w:r w:rsidRPr="00883125">
              <w:t>decision, we have built on this re-evaluation</w:t>
            </w:r>
            <w:r w:rsidRPr="00CA67C0">
              <w:t xml:space="preserve">. We discuss the role of the value of imputation credits and the underlying conceptual framework in sections </w:t>
            </w:r>
            <w:r w:rsidRPr="00CA67C0">
              <w:fldChar w:fldCharType="begin"/>
            </w:r>
            <w:r w:rsidRPr="00CA67C0">
              <w:instrText xml:space="preserve"> REF _Ref415144114 \r \h  \* MERGEFORMAT </w:instrText>
            </w:r>
            <w:r w:rsidRPr="00CA67C0">
              <w:fldChar w:fldCharType="separate"/>
            </w:r>
            <w:r w:rsidR="007261FC">
              <w:t>A.5</w:t>
            </w:r>
            <w:r w:rsidRPr="00CA67C0">
              <w:fldChar w:fldCharType="end"/>
            </w:r>
            <w:r w:rsidRPr="00CA67C0">
              <w:t xml:space="preserve"> and </w:t>
            </w:r>
            <w:r w:rsidRPr="00CA67C0">
              <w:fldChar w:fldCharType="begin"/>
            </w:r>
            <w:r w:rsidRPr="00CA67C0">
              <w:instrText xml:space="preserve"> REF _Ref400965182 \r \h  \* MERGEFORMAT </w:instrText>
            </w:r>
            <w:r w:rsidRPr="00CA67C0">
              <w:fldChar w:fldCharType="separate"/>
            </w:r>
            <w:r w:rsidR="007261FC">
              <w:t>A.6</w:t>
            </w:r>
            <w:r w:rsidRPr="00CA67C0">
              <w:fldChar w:fldCharType="end"/>
            </w:r>
            <w:r w:rsidRPr="00CA67C0">
              <w:t>.</w:t>
            </w:r>
          </w:p>
          <w:p w:rsidR="00CA67C0" w:rsidRPr="00CA67C0" w:rsidRDefault="00CA67C0" w:rsidP="00CA67C0">
            <w:r>
              <w:t xml:space="preserve">Also see our response above in section </w:t>
            </w:r>
            <w:r w:rsidRPr="00CA67C0">
              <w:fldChar w:fldCharType="begin"/>
            </w:r>
            <w:r w:rsidRPr="00CA67C0">
              <w:instrText xml:space="preserve"> REF _Ref451813952 \r \h </w:instrText>
            </w:r>
            <w:r w:rsidRPr="00CA67C0">
              <w:fldChar w:fldCharType="separate"/>
            </w:r>
            <w:r w:rsidR="007261FC">
              <w:t>A.3.1</w:t>
            </w:r>
            <w:r w:rsidRPr="00CA67C0">
              <w:fldChar w:fldCharType="end"/>
            </w:r>
            <w:r w:rsidRPr="00CA67C0">
              <w:t xml:space="preserve"> under ' The conceptual framework for gamma'.</w:t>
            </w:r>
          </w:p>
        </w:tc>
      </w:tr>
      <w:tr w:rsidR="00CA67C0" w:rsidTr="00CA67C0">
        <w:trPr>
          <w:cnfStyle w:val="000000010000" w:firstRow="0" w:lastRow="0" w:firstColumn="0" w:lastColumn="0" w:oddVBand="0" w:evenVBand="0" w:oddHBand="0" w:evenHBand="1" w:firstRowFirstColumn="0" w:firstRowLastColumn="0" w:lastRowFirstColumn="0" w:lastRowLastColumn="0"/>
        </w:trPr>
        <w:tc>
          <w:tcPr>
            <w:tcW w:w="784" w:type="pct"/>
          </w:tcPr>
          <w:p w:rsidR="00CA67C0" w:rsidRPr="00CA67C0" w:rsidRDefault="00CA67C0" w:rsidP="00CA67C0">
            <w:r w:rsidRPr="00883125">
              <w:t>The distribution rate (payout ratio)</w:t>
            </w:r>
          </w:p>
        </w:tc>
        <w:tc>
          <w:tcPr>
            <w:tcW w:w="2271" w:type="pct"/>
          </w:tcPr>
          <w:p w:rsidR="00CA67C0" w:rsidRPr="00CA67C0" w:rsidRDefault="00CA67C0" w:rsidP="00CA67C0">
            <w:r w:rsidRPr="00883125">
              <w:t xml:space="preserve">"…there is [was] no empirical evidence currently available supporting </w:t>
            </w:r>
            <w:r w:rsidRPr="00CA67C0">
              <w:t>a distribution ratio higher than 0.70."</w:t>
            </w:r>
            <w:r w:rsidRPr="00CA67C0">
              <w:rPr>
                <w:rStyle w:val="FootnoteReference"/>
              </w:rPr>
              <w:footnoteReference w:id="267"/>
            </w:r>
          </w:p>
        </w:tc>
        <w:tc>
          <w:tcPr>
            <w:tcW w:w="1945" w:type="pct"/>
          </w:tcPr>
          <w:p w:rsidR="00CA67C0" w:rsidRPr="00CA67C0" w:rsidRDefault="00CA67C0" w:rsidP="00CA67C0">
            <w:r w:rsidRPr="00883125">
              <w:t xml:space="preserve">As discussed in </w:t>
            </w:r>
            <w:r w:rsidRPr="00CA67C0">
              <w:t xml:space="preserve">section </w:t>
            </w:r>
            <w:r w:rsidRPr="00CA67C0">
              <w:fldChar w:fldCharType="begin"/>
            </w:r>
            <w:r w:rsidRPr="00CA67C0">
              <w:instrText xml:space="preserve"> REF _Ref401133206 \r \h  \* MERGEFORMAT </w:instrText>
            </w:r>
            <w:r w:rsidRPr="00CA67C0">
              <w:fldChar w:fldCharType="separate"/>
            </w:r>
            <w:r w:rsidR="007261FC">
              <w:t>A.10</w:t>
            </w:r>
            <w:r w:rsidRPr="00CA67C0">
              <w:fldChar w:fldCharType="end"/>
            </w:r>
            <w:r w:rsidRPr="00CA67C0">
              <w:t xml:space="preserve"> of this appendix, we consider that a distribution rate of 0.7 across all equity  and a distribution rate of 0.77 for listed equity is appropriate for a benchmark efficient entity. Lally also finds a distribution rate of 0.83 for listed equity estimated from financial reports of the largest 20 listed companies.</w:t>
            </w:r>
          </w:p>
          <w:p w:rsidR="00CA67C0" w:rsidRPr="00CA67C0" w:rsidRDefault="00CA67C0" w:rsidP="00CA67C0">
            <w:r>
              <w:t xml:space="preserve">Also see </w:t>
            </w:r>
            <w:r w:rsidRPr="00CA67C0">
              <w:t xml:space="preserve">our response above in section </w:t>
            </w:r>
            <w:r w:rsidRPr="00CA67C0">
              <w:fldChar w:fldCharType="begin"/>
            </w:r>
            <w:r w:rsidRPr="00CA67C0">
              <w:instrText xml:space="preserve"> REF _Ref451813952 \r \h </w:instrText>
            </w:r>
            <w:r w:rsidRPr="00CA67C0">
              <w:fldChar w:fldCharType="separate"/>
            </w:r>
            <w:r w:rsidR="007261FC">
              <w:t>A.3.1</w:t>
            </w:r>
            <w:r w:rsidRPr="00CA67C0">
              <w:fldChar w:fldCharType="end"/>
            </w:r>
            <w:r w:rsidRPr="00CA67C0">
              <w:t xml:space="preserve"> under 'The distribution rate (payout ratio)'. </w:t>
            </w:r>
          </w:p>
        </w:tc>
      </w:tr>
      <w:tr w:rsidR="00CA67C0" w:rsidRPr="00B45BDD" w:rsidTr="00CA67C0">
        <w:tc>
          <w:tcPr>
            <w:tcW w:w="784" w:type="pct"/>
          </w:tcPr>
          <w:p w:rsidR="00CA67C0" w:rsidRPr="00CA67C0" w:rsidRDefault="00CA67C0" w:rsidP="00CA67C0">
            <w:r w:rsidRPr="00883125">
              <w:lastRenderedPageBreak/>
              <w:t>Tax statistic estimates</w:t>
            </w:r>
          </w:p>
        </w:tc>
        <w:tc>
          <w:tcPr>
            <w:tcW w:w="2271" w:type="pct"/>
          </w:tcPr>
          <w:p w:rsidR="00CA67C0" w:rsidRPr="00CA67C0" w:rsidRDefault="00CA67C0" w:rsidP="00CA67C0">
            <w:r w:rsidRPr="00883125">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rsidRPr="00CA67C0">
              <w:rPr>
                <w:rStyle w:val="FootnoteReference"/>
              </w:rPr>
              <w:footnoteReference w:id="268"/>
            </w:r>
          </w:p>
          <w:p w:rsidR="00CA67C0" w:rsidRPr="00CA67C0" w:rsidRDefault="00CA67C0" w:rsidP="00CA67C0">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CA67C0" w:rsidRPr="00CA67C0" w:rsidRDefault="00CA67C0" w:rsidP="00CA67C0">
            <w:r w:rsidRPr="00883125">
              <w:t xml:space="preserve">- estimates from dividend drop-off studies are very imprecise and of questionable reliability; </w:t>
            </w:r>
          </w:p>
          <w:p w:rsidR="00CA67C0" w:rsidRPr="00CA67C0" w:rsidRDefault="00CA67C0" w:rsidP="00CA67C0">
            <w:r w:rsidRPr="00883125">
              <w:t xml:space="preserve">- such studies are likely to produce downwardly-biased estimates of theta; and </w:t>
            </w:r>
          </w:p>
          <w:p w:rsidR="00CA67C0" w:rsidRPr="00CA67C0" w:rsidRDefault="00CA67C0" w:rsidP="00CA67C0">
            <w:r w:rsidRPr="00883125">
              <w:t>- taxation studies do not give an upper bound to theta.</w:t>
            </w:r>
          </w:p>
          <w:p w:rsidR="00CA67C0" w:rsidRPr="00CA67C0" w:rsidRDefault="00CA67C0" w:rsidP="00CA67C0">
            <w:r w:rsidRPr="00883125">
              <w:t>By way of background, the Tribunal in earlier reasons noted</w:t>
            </w:r>
            <w:r w:rsidRPr="00CA67C0">
              <w:t xml:space="preserve">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CA67C0" w:rsidRPr="00CA67C0" w:rsidRDefault="00CA67C0" w:rsidP="00CA67C0">
            <w:r w:rsidRPr="00883125">
              <w:t xml:space="preserve">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w:t>
            </w:r>
            <w:r w:rsidRPr="00883125">
              <w:lastRenderedPageBreak/>
              <w:t>opportunity, and perhaps cause, to investigate further. It has not sought to do so in these proceedings."</w:t>
            </w:r>
            <w:r w:rsidRPr="00CA67C0">
              <w:rPr>
                <w:rStyle w:val="FootnoteReference"/>
              </w:rPr>
              <w:footnoteReference w:id="269"/>
            </w:r>
          </w:p>
        </w:tc>
        <w:tc>
          <w:tcPr>
            <w:tcW w:w="1945" w:type="pct"/>
          </w:tcPr>
          <w:p w:rsidR="00CA67C0" w:rsidRPr="00CA67C0" w:rsidRDefault="00CA67C0" w:rsidP="00CA67C0">
            <w:r w:rsidRPr="00883125">
              <w:lastRenderedPageBreak/>
              <w:t xml:space="preserve">Handley advised that his previous comments regarding the use of tax statistics being an 'upper bound' were misinterpreted in these proceedings. Handley confirmed that tax statistics can be used to produce a point estimate of the utilisation rate. We discussed Handley's views in section A.6.1 of </w:t>
            </w:r>
            <w:r w:rsidRPr="00CA67C0">
              <w:t xml:space="preserve">our draft/preliminary decisions. We discuss the use of tax statistics more broadly in section </w:t>
            </w:r>
            <w:r w:rsidRPr="00CA67C0">
              <w:fldChar w:fldCharType="begin"/>
            </w:r>
            <w:r w:rsidRPr="00CA67C0">
              <w:instrText xml:space="preserve"> REF _Ref402179420 \r \h  \* MERGEFORMAT </w:instrText>
            </w:r>
            <w:r w:rsidRPr="00CA67C0">
              <w:fldChar w:fldCharType="separate"/>
            </w:r>
            <w:r w:rsidR="007261FC">
              <w:t>A.13</w:t>
            </w:r>
            <w:r w:rsidRPr="00CA67C0">
              <w:fldChar w:fldCharType="end"/>
            </w:r>
            <w:r w:rsidRPr="00CA67C0">
              <w:t xml:space="preserve"> of this appendix.</w:t>
            </w:r>
          </w:p>
          <w:p w:rsidR="00CA67C0" w:rsidRPr="00CA67C0" w:rsidRDefault="00CA67C0" w:rsidP="00CA67C0">
            <w:r>
              <w:t>Also</w:t>
            </w:r>
            <w:r w:rsidRPr="00CA67C0">
              <w:t xml:space="preserve"> see our response above in section </w:t>
            </w:r>
            <w:r w:rsidRPr="00CA67C0">
              <w:fldChar w:fldCharType="begin"/>
            </w:r>
            <w:r w:rsidRPr="00CA67C0">
              <w:instrText xml:space="preserve"> REF _Ref451813952 \r \h </w:instrText>
            </w:r>
            <w:r w:rsidRPr="00CA67C0">
              <w:fldChar w:fldCharType="separate"/>
            </w:r>
            <w:r w:rsidR="007261FC">
              <w:t>A.3.1</w:t>
            </w:r>
            <w:r w:rsidRPr="00CA67C0">
              <w:fldChar w:fldCharType="end"/>
            </w:r>
            <w:r w:rsidRPr="00CA67C0">
              <w:t xml:space="preserve"> under 'Tax statistic estimates'.</w:t>
            </w:r>
          </w:p>
          <w:p w:rsidR="00CA67C0" w:rsidRPr="00B27BE5" w:rsidRDefault="00CA67C0" w:rsidP="00CA67C0"/>
        </w:tc>
      </w:tr>
      <w:tr w:rsidR="00CA67C0" w:rsidRPr="00B45BDD" w:rsidTr="00CA67C0">
        <w:trPr>
          <w:cnfStyle w:val="000000010000" w:firstRow="0" w:lastRow="0" w:firstColumn="0" w:lastColumn="0" w:oddVBand="0" w:evenVBand="0" w:oddHBand="0" w:evenHBand="1" w:firstRowFirstColumn="0" w:firstRowLastColumn="0" w:lastRowFirstColumn="0" w:lastRowLastColumn="0"/>
        </w:trPr>
        <w:tc>
          <w:tcPr>
            <w:tcW w:w="784" w:type="pct"/>
          </w:tcPr>
          <w:p w:rsidR="00CA67C0" w:rsidRPr="00CA67C0" w:rsidRDefault="00CA67C0" w:rsidP="00CA67C0">
            <w:r w:rsidRPr="00883125">
              <w:lastRenderedPageBreak/>
              <w:t>The conceptual basis for dividend drop off studies</w:t>
            </w:r>
          </w:p>
        </w:tc>
        <w:tc>
          <w:tcPr>
            <w:tcW w:w="2271" w:type="pct"/>
          </w:tcPr>
          <w:p w:rsidR="00CA67C0" w:rsidRPr="00CA67C0" w:rsidRDefault="00CA67C0" w:rsidP="00CA67C0">
            <w:r w:rsidRPr="00883125">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CA67C0" w:rsidRPr="00CA67C0" w:rsidRDefault="00CA67C0" w:rsidP="00CA67C0">
            <w:r w:rsidRPr="00883125">
              <w:t xml:space="preserve">However, SIRCA's March 2011 report does not resolve these issues and </w:t>
            </w:r>
            <w:r w:rsidRPr="00CA67C0">
              <w:t>the AER has provided no conclusions of its own."</w:t>
            </w:r>
            <w:r w:rsidRPr="00CA67C0">
              <w:rPr>
                <w:rStyle w:val="FootnoteReference"/>
              </w:rPr>
              <w:footnoteReference w:id="270"/>
            </w:r>
          </w:p>
        </w:tc>
        <w:tc>
          <w:tcPr>
            <w:tcW w:w="1945" w:type="pct"/>
          </w:tcPr>
          <w:p w:rsidR="00CA67C0" w:rsidRPr="00CA67C0" w:rsidRDefault="00CA67C0" w:rsidP="00CA67C0">
            <w:r w:rsidRPr="00883125">
              <w:t xml:space="preserve">The limitations of dividend drop off studies have been widely identified since these proceedings—we provide a selection of comments from academics and regulators in section </w:t>
            </w:r>
            <w:r w:rsidRPr="00CA67C0">
              <w:fldChar w:fldCharType="begin"/>
            </w:r>
            <w:r w:rsidRPr="00CA67C0">
              <w:instrText xml:space="preserve"> REF _Ref451267181 \r \h  \* MERGEFORMAT </w:instrText>
            </w:r>
            <w:r w:rsidRPr="00CA67C0">
              <w:fldChar w:fldCharType="separate"/>
            </w:r>
            <w:r w:rsidR="007261FC">
              <w:t>A.15</w:t>
            </w:r>
            <w:r w:rsidRPr="00CA67C0">
              <w:fldChar w:fldCharType="end"/>
            </w:r>
            <w:r w:rsidRPr="00CA67C0">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A67C0" w:rsidRPr="00CA67C0" w:rsidRDefault="00CA67C0" w:rsidP="00CA67C0">
            <w:r>
              <w:t>Also</w:t>
            </w:r>
            <w:r w:rsidRPr="00CA67C0">
              <w:t xml:space="preserve"> see our response above in section </w:t>
            </w:r>
            <w:r w:rsidRPr="00CA67C0">
              <w:fldChar w:fldCharType="begin"/>
            </w:r>
            <w:r w:rsidRPr="00CA67C0">
              <w:instrText xml:space="preserve"> REF _Ref451813952 \r \h </w:instrText>
            </w:r>
            <w:r w:rsidRPr="00CA67C0">
              <w:fldChar w:fldCharType="separate"/>
            </w:r>
            <w:r w:rsidR="007261FC">
              <w:t>A.3.1</w:t>
            </w:r>
            <w:r w:rsidRPr="00CA67C0">
              <w:fldChar w:fldCharType="end"/>
            </w:r>
            <w:r w:rsidRPr="00CA67C0">
              <w:t xml:space="preserve"> under 'The conceptual basis for dividend drop off studies '.</w:t>
            </w:r>
          </w:p>
        </w:tc>
      </w:tr>
      <w:tr w:rsidR="00CA67C0" w:rsidTr="00CA67C0">
        <w:tc>
          <w:tcPr>
            <w:tcW w:w="784" w:type="pct"/>
          </w:tcPr>
          <w:p w:rsidR="00CA67C0" w:rsidRPr="00CA67C0" w:rsidRDefault="00CA67C0" w:rsidP="00CA67C0">
            <w:r w:rsidRPr="00883125">
              <w:t>The need to re-evaluate gamma</w:t>
            </w:r>
          </w:p>
        </w:tc>
        <w:tc>
          <w:tcPr>
            <w:tcW w:w="2271" w:type="pct"/>
          </w:tcPr>
          <w:p w:rsidR="00CA67C0" w:rsidRPr="00CA67C0" w:rsidRDefault="00CA67C0" w:rsidP="00CA67C0">
            <w:r w:rsidRPr="00883125">
              <w:t>"Further, the Tribunal notes that estimation of a parameter such as gamma is necessarily, and desirably, an ongoing intellectual and empirical endeavour. Its decision in these proceedings is based on the material before it.”</w:t>
            </w:r>
            <w:r w:rsidRPr="00CA67C0">
              <w:rPr>
                <w:rStyle w:val="FootnoteReference"/>
              </w:rPr>
              <w:footnoteReference w:id="271"/>
            </w:r>
          </w:p>
        </w:tc>
        <w:tc>
          <w:tcPr>
            <w:tcW w:w="1945" w:type="pct"/>
          </w:tcPr>
          <w:p w:rsidR="00CA67C0" w:rsidRPr="00CA67C0" w:rsidRDefault="00CA67C0" w:rsidP="00CA67C0">
            <w:r w:rsidRPr="00883125">
              <w:t xml:space="preserve">Consistent with this comment, we have not sought to apply the Tribunal's previous considerations in this </w:t>
            </w:r>
            <w:r w:rsidR="00773A2C">
              <w:t>draft</w:t>
            </w:r>
            <w:r w:rsidR="00773A2C" w:rsidRPr="00883125">
              <w:t xml:space="preserve"> </w:t>
            </w:r>
            <w:r w:rsidRPr="00883125">
              <w:t xml:space="preserve">decision. Instead, we adopt a value of imputation credits that is based on our assessment of the merits of the evidence before us, which includes a large amount of material that was not before the Tribunal in these proceedings. </w:t>
            </w:r>
          </w:p>
          <w:p w:rsidR="00CA67C0" w:rsidRPr="00CA67C0" w:rsidRDefault="00CA67C0" w:rsidP="00CA67C0">
            <w:r>
              <w:t>Also</w:t>
            </w:r>
            <w:r w:rsidRPr="00CA67C0">
              <w:t xml:space="preserve"> see our response above in section </w:t>
            </w:r>
            <w:r w:rsidRPr="00CA67C0">
              <w:fldChar w:fldCharType="begin"/>
            </w:r>
            <w:r w:rsidRPr="00CA67C0">
              <w:instrText xml:space="preserve"> REF _Ref451813952 \r \h </w:instrText>
            </w:r>
            <w:r w:rsidRPr="00CA67C0">
              <w:fldChar w:fldCharType="separate"/>
            </w:r>
            <w:r w:rsidR="007261FC">
              <w:t>A.3.1</w:t>
            </w:r>
            <w:r w:rsidRPr="00CA67C0">
              <w:fldChar w:fldCharType="end"/>
            </w:r>
            <w:r w:rsidRPr="00CA67C0">
              <w:t xml:space="preserve"> under 'The need to re-evaluate gamma '.</w:t>
            </w:r>
          </w:p>
        </w:tc>
      </w:tr>
    </w:tbl>
    <w:p w:rsidR="00CA67C0" w:rsidRPr="00883125" w:rsidRDefault="00CA67C0" w:rsidP="00CA67C0">
      <w:pPr>
        <w:pStyle w:val="AERtablesource"/>
      </w:pPr>
      <w:r w:rsidRPr="00883125">
        <w:t xml:space="preserve">Source: </w:t>
      </w:r>
      <w:r w:rsidRPr="00883125">
        <w:tab/>
        <w:t>As specified in table.</w:t>
      </w:r>
    </w:p>
    <w:p w:rsidR="00CA67C0" w:rsidRPr="00883125" w:rsidRDefault="00CA67C0" w:rsidP="00764AB1">
      <w:pPr>
        <w:numPr>
          <w:ilvl w:val="0"/>
          <w:numId w:val="24"/>
        </w:numPr>
        <w:sectPr w:rsidR="00CA67C0" w:rsidRPr="00883125" w:rsidSect="00CA67C0">
          <w:pgSz w:w="16838" w:h="11906" w:orient="landscape"/>
          <w:pgMar w:top="1440" w:right="1440" w:bottom="1440" w:left="1440" w:header="708" w:footer="708" w:gutter="0"/>
          <w:pgNumType w:chapStyle="1"/>
          <w:cols w:space="708"/>
          <w:docGrid w:linePitch="360"/>
        </w:sectPr>
      </w:pPr>
    </w:p>
    <w:p w:rsidR="00CA67C0" w:rsidRPr="00883125" w:rsidRDefault="00CA67C0" w:rsidP="00764AB1">
      <w:pPr>
        <w:numPr>
          <w:ilvl w:val="0"/>
          <w:numId w:val="24"/>
        </w:numPr>
      </w:pPr>
      <w:r w:rsidRPr="00883125">
        <w:lastRenderedPageBreak/>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272"/>
      </w:r>
      <w:r w:rsidRPr="00883125">
        <w:t xml:space="preserve"> However, the last quote from the Tribunal demonstrates that it did not intend for its decision to be determinative of the appropriate estimation technique for gamma, and certainly not on a permanent basis. In the Guideline, we also made this point. Service providers with current proposals no longer refer to the Tribunal's decision as if it were precedent. Rather, they propose a value of imputation credits, and reasons for that value, which are consistent with the 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273"/>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7261FC">
        <w:t>A.15</w:t>
      </w:r>
      <w:r>
        <w:fldChar w:fldCharType="end"/>
      </w:r>
      <w:r w:rsidRPr="00883125">
        <w:t>.</w:t>
      </w:r>
    </w:p>
    <w:p w:rsidR="00CA67C0" w:rsidRPr="00883125" w:rsidRDefault="00CA67C0" w:rsidP="00764AB1">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Tribunal's expectation that the value of imputation credits is 'necessarily, and desirably, an ongoing intellectual and empirical endeavour'.</w:t>
      </w:r>
    </w:p>
    <w:p w:rsidR="00CA67C0" w:rsidRPr="00883125" w:rsidRDefault="00CA67C0" w:rsidP="00CA67C0">
      <w:pPr>
        <w:pStyle w:val="Heading9"/>
      </w:pPr>
      <w:bookmarkStart w:id="144" w:name="_Toc456614295"/>
      <w:r w:rsidRPr="00883125">
        <w:t>DBNGP and WA Gas Networks</w:t>
      </w:r>
      <w:bookmarkEnd w:id="144"/>
    </w:p>
    <w:p w:rsidR="00CA67C0" w:rsidRPr="00883125" w:rsidRDefault="00CA67C0" w:rsidP="00764AB1">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274"/>
      </w:r>
    </w:p>
    <w:p w:rsidR="00CA67C0" w:rsidRPr="00883125" w:rsidRDefault="00CA67C0" w:rsidP="00CA67C0">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CA67C0" w:rsidRPr="00883125" w:rsidRDefault="00CA67C0" w:rsidP="00CA67C0">
      <w:pPr>
        <w:pStyle w:val="AERquote"/>
      </w:pPr>
      <w:r w:rsidRPr="00883125">
        <w:lastRenderedPageBreak/>
        <w:t>…</w:t>
      </w:r>
    </w:p>
    <w:p w:rsidR="00CA67C0" w:rsidRPr="00883125" w:rsidRDefault="00CA67C0" w:rsidP="00CA67C0">
      <w:pPr>
        <w:pStyle w:val="AERquote"/>
      </w:pPr>
      <w:r w:rsidRPr="00883125">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CA67C0" w:rsidRPr="00883125" w:rsidRDefault="00CA67C0" w:rsidP="00CA67C0">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CA67C0" w:rsidRPr="00883125" w:rsidRDefault="00CA67C0" w:rsidP="00CA67C0">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CA67C0" w:rsidRPr="00883125" w:rsidRDefault="00CA67C0" w:rsidP="00CA67C0">
      <w:r w:rsidRPr="00883125">
        <w:t>The Tribunal made similar comments in the earlier WA Gas Networks matter.</w:t>
      </w:r>
      <w:r w:rsidRPr="00883125">
        <w:rPr>
          <w:rStyle w:val="FootnoteReference"/>
        </w:rPr>
        <w:footnoteReference w:id="275"/>
      </w:r>
    </w:p>
    <w:p w:rsidR="00CA67C0" w:rsidRPr="00883125" w:rsidRDefault="00CA67C0" w:rsidP="00CA67C0">
      <w:pPr>
        <w:pStyle w:val="Heading8"/>
      </w:pPr>
      <w:bookmarkStart w:id="145" w:name="_Ref415070393"/>
      <w:bookmarkStart w:id="146" w:name="_Toc436049445"/>
      <w:bookmarkStart w:id="147" w:name="_Toc451842249"/>
      <w:bookmarkStart w:id="148" w:name="_Toc451938305"/>
      <w:bookmarkStart w:id="149" w:name="_Toc456614296"/>
      <w:r w:rsidRPr="00883125">
        <w:t>Key concerns of the service providers</w:t>
      </w:r>
      <w:bookmarkEnd w:id="145"/>
      <w:bookmarkEnd w:id="146"/>
      <w:bookmarkEnd w:id="147"/>
      <w:bookmarkEnd w:id="148"/>
      <w:bookmarkEnd w:id="149"/>
    </w:p>
    <w:p w:rsidR="00CA67C0" w:rsidRPr="00883125" w:rsidRDefault="00CA67C0" w:rsidP="00CA67C0">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276"/>
      </w:r>
      <w:r w:rsidRPr="00883125">
        <w:t xml:space="preserve"> A number of these concerns were also implicitly or explicitly raised in the revised or initial proposals</w:t>
      </w:r>
      <w:r>
        <w:t xml:space="preserve"> of the service providers currently under assessment, and/or</w:t>
      </w:r>
      <w:r w:rsidRPr="00883125">
        <w:t xml:space="preserve"> and </w:t>
      </w:r>
      <w:r>
        <w:t xml:space="preserve">their </w:t>
      </w:r>
      <w:r w:rsidRPr="00883125">
        <w:t xml:space="preserve">supporting expert's reports. Below we set out each of these and identify where we have responded to each of these eight key concerns in this </w:t>
      </w:r>
      <w:r w:rsidR="00773A2C">
        <w:t>draft</w:t>
      </w:r>
      <w:r w:rsidR="00773A2C" w:rsidRPr="00883125">
        <w:t xml:space="preserve"> </w:t>
      </w:r>
      <w:r w:rsidRPr="00883125">
        <w:t>decision.</w:t>
      </w:r>
    </w:p>
    <w:p w:rsidR="00CA67C0" w:rsidRPr="001D37D5" w:rsidRDefault="00CA67C0" w:rsidP="00CA67C0">
      <w:pPr>
        <w:pStyle w:val="AERbulletlistfirststyle"/>
      </w:pPr>
      <w:r w:rsidRPr="00883125">
        <w:rPr>
          <w:rStyle w:val="AERtextitalic"/>
        </w:rPr>
        <w:lastRenderedPageBreak/>
        <w:t>Our definition of the utilisation rate is conceptually incorrect and inconsistent with the requirements of the NER/NGR</w:t>
      </w:r>
      <w:r w:rsidRPr="001D37D5">
        <w:t xml:space="preserve">—our understanding of the utilisation rate (and the value of imputation credits more broadly) is discussed in sections </w:t>
      </w:r>
      <w:r w:rsidRPr="001D37D5">
        <w:fldChar w:fldCharType="begin"/>
      </w:r>
      <w:r w:rsidRPr="001D37D5">
        <w:instrText xml:space="preserve"> REF _Ref416802459 \r \h </w:instrText>
      </w:r>
      <w:r w:rsidRPr="001D37D5">
        <w:fldChar w:fldCharType="separate"/>
      </w:r>
      <w:r w:rsidR="007261FC">
        <w:t>4.3.1</w:t>
      </w:r>
      <w:r w:rsidRPr="001D37D5">
        <w:fldChar w:fldCharType="end"/>
      </w:r>
      <w:r w:rsidRPr="001D37D5">
        <w:t xml:space="preserve">, </w:t>
      </w:r>
      <w:r w:rsidRPr="001D37D5">
        <w:fldChar w:fldCharType="begin"/>
      </w:r>
      <w:r w:rsidRPr="001D37D5">
        <w:instrText xml:space="preserve"> REF _Ref415048973 \r \h </w:instrText>
      </w:r>
      <w:r w:rsidRPr="001D37D5">
        <w:fldChar w:fldCharType="separate"/>
      </w:r>
      <w:r w:rsidR="007261FC">
        <w:t>4.3.6</w:t>
      </w:r>
      <w:r w:rsidRPr="001D37D5">
        <w:fldChar w:fldCharType="end"/>
      </w:r>
      <w:r w:rsidRPr="001D37D5">
        <w:t>,</w:t>
      </w:r>
      <w:r w:rsidRPr="001D37D5">
        <w:fldChar w:fldCharType="begin"/>
      </w:r>
      <w:r w:rsidRPr="001D37D5">
        <w:instrText xml:space="preserve"> REF _Ref415144114 \r \h </w:instrText>
      </w:r>
      <w:r w:rsidRPr="001D37D5">
        <w:fldChar w:fldCharType="separate"/>
      </w:r>
      <w:r w:rsidR="007261FC">
        <w:t>A.5</w:t>
      </w:r>
      <w:r w:rsidRPr="001D37D5">
        <w:fldChar w:fldCharType="end"/>
      </w:r>
      <w:r w:rsidRPr="001D37D5">
        <w:t xml:space="preserve">, </w:t>
      </w:r>
      <w:r w:rsidRPr="001D37D5">
        <w:fldChar w:fldCharType="begin"/>
      </w:r>
      <w:r w:rsidRPr="001D37D5">
        <w:instrText xml:space="preserve"> REF _Ref400965182 \r \h </w:instrText>
      </w:r>
      <w:r w:rsidRPr="001D37D5">
        <w:fldChar w:fldCharType="separate"/>
      </w:r>
      <w:r w:rsidR="007261FC">
        <w:t>A.6</w:t>
      </w:r>
      <w:r w:rsidRPr="001D37D5">
        <w:fldChar w:fldCharType="end"/>
      </w:r>
      <w:r w:rsidRPr="001D37D5">
        <w:t xml:space="preserve">, and </w:t>
      </w:r>
      <w:r w:rsidRPr="001D37D5">
        <w:fldChar w:fldCharType="begin"/>
      </w:r>
      <w:r w:rsidRPr="001D37D5">
        <w:instrText xml:space="preserve"> REF _Ref414282622 \r \h </w:instrText>
      </w:r>
      <w:r w:rsidRPr="001D37D5">
        <w:fldChar w:fldCharType="separate"/>
      </w:r>
      <w:r w:rsidR="007261FC">
        <w:t>A.7</w:t>
      </w:r>
      <w:r w:rsidRPr="001D37D5">
        <w:fldChar w:fldCharType="end"/>
      </w:r>
      <w:r w:rsidRPr="001D37D5">
        <w:t>. As shown there, our understanding is consistent with the theoretical framework that underpins the NER/NGR and is supported by expert advice from Handley and Lally.</w:t>
      </w:r>
    </w:p>
    <w:p w:rsidR="00CA67C0" w:rsidRPr="001D37D5" w:rsidRDefault="00CA67C0" w:rsidP="00CA67C0">
      <w:pPr>
        <w:pStyle w:val="AERbulletlistfirststyle"/>
      </w:pPr>
      <w:r w:rsidRPr="00883125">
        <w:t xml:space="preserve">We incorrectly use equity ownership rates as direct evidence of the value of distributed imputation credits—given our understanding of the utilisation rate, we set out in section </w:t>
      </w:r>
      <w:r w:rsidRPr="001D37D5">
        <w:fldChar w:fldCharType="begin"/>
      </w:r>
      <w:r w:rsidRPr="001D37D5">
        <w:instrText xml:space="preserve"> REF _Ref415049811 \r \h </w:instrText>
      </w:r>
      <w:r w:rsidRPr="001D37D5">
        <w:fldChar w:fldCharType="separate"/>
      </w:r>
      <w:r w:rsidR="007261FC">
        <w:t>A.12</w:t>
      </w:r>
      <w:r w:rsidRPr="001D37D5">
        <w:fldChar w:fldCharType="end"/>
      </w:r>
      <w:r w:rsidRPr="001D37D5">
        <w:t xml:space="preserve"> why the equity ownership approach provides a reasonable estimate.</w:t>
      </w:r>
    </w:p>
    <w:p w:rsidR="00CA67C0" w:rsidRPr="001D37D5" w:rsidRDefault="00CA67C0" w:rsidP="00CA67C0">
      <w:pPr>
        <w:pStyle w:val="AERbulletlistfirststyle"/>
      </w:pPr>
      <w:r w:rsidRPr="00883125">
        <w:t xml:space="preserve">The ranges we used for the equity ownership rate were not supported by the evidence in the draft decisions—as discussed in section </w:t>
      </w:r>
      <w:r w:rsidRPr="001D37D5">
        <w:fldChar w:fldCharType="begin"/>
      </w:r>
      <w:r w:rsidRPr="001D37D5">
        <w:instrText xml:space="preserve"> REF _Ref415049811 \r \h </w:instrText>
      </w:r>
      <w:r w:rsidRPr="001D37D5">
        <w:fldChar w:fldCharType="separate"/>
      </w:r>
      <w:r w:rsidR="007261FC">
        <w:t>A.12</w:t>
      </w:r>
      <w:r w:rsidRPr="001D37D5">
        <w:fldChar w:fldCharType="end"/>
      </w:r>
      <w:r w:rsidRPr="001D37D5">
        <w:t xml:space="preserve">, the service providers who raised this did not recognise that our ranges were based on the evidence from two alternative applications of the equity ownership approach. In this </w:t>
      </w:r>
      <w:r w:rsidR="00F15ADC">
        <w:t xml:space="preserve">draft </w:t>
      </w:r>
      <w:r w:rsidRPr="001D37D5">
        <w:t>decision, our ranges are primarily based on the application that was deemed more relevant by Handley, although we also have regard to the range for all equity implied by Lally's recommended estimate for the distribution rate and particularly his preferred point estimate for gamma of at least 0.5.</w:t>
      </w:r>
    </w:p>
    <w:p w:rsidR="00CA67C0" w:rsidRPr="001D37D5" w:rsidRDefault="00CA67C0" w:rsidP="00CA67C0">
      <w:pPr>
        <w:pStyle w:val="AERbulletlistfirststyle"/>
      </w:pPr>
      <w:r w:rsidRPr="00883125">
        <w:t xml:space="preserve">We incorrectly use tax statistics as direct evidence of the value of distributed imputation credits—given our understanding of the utilisation rate, we set out in section </w:t>
      </w:r>
      <w:r w:rsidRPr="001D37D5">
        <w:fldChar w:fldCharType="begin"/>
      </w:r>
      <w:r w:rsidRPr="001D37D5">
        <w:instrText xml:space="preserve"> REF _Ref402179420 \r \h </w:instrText>
      </w:r>
      <w:r w:rsidRPr="001D37D5">
        <w:fldChar w:fldCharType="separate"/>
      </w:r>
      <w:r w:rsidR="007261FC">
        <w:t>A.13</w:t>
      </w:r>
      <w:r w:rsidRPr="001D37D5">
        <w:fldChar w:fldCharType="end"/>
      </w:r>
      <w:r w:rsidRPr="001D37D5">
        <w:t xml:space="preserve"> why tax statistics provide a valid, albeit uncertain, estimate.</w:t>
      </w:r>
    </w:p>
    <w:p w:rsidR="00CA67C0" w:rsidRPr="001D37D5" w:rsidRDefault="00CA67C0" w:rsidP="00CA67C0">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1D37D5">
        <w:fldChar w:fldCharType="begin"/>
      </w:r>
      <w:r w:rsidRPr="001D37D5">
        <w:instrText xml:space="preserve"> REF _Ref415065117 \r \h </w:instrText>
      </w:r>
      <w:r w:rsidRPr="001D37D5">
        <w:fldChar w:fldCharType="separate"/>
      </w:r>
      <w:r w:rsidR="007261FC">
        <w:t>A.15.4</w:t>
      </w:r>
      <w:r w:rsidRPr="001D37D5">
        <w:fldChar w:fldCharType="end"/>
      </w:r>
      <w:r w:rsidRPr="001D37D5">
        <w:t xml:space="preserve"> and </w:t>
      </w:r>
      <w:r w:rsidRPr="001D37D5">
        <w:fldChar w:fldCharType="begin"/>
      </w:r>
      <w:r w:rsidRPr="001D37D5">
        <w:instrText xml:space="preserve"> REF _Ref414624721 \r \h </w:instrText>
      </w:r>
      <w:r w:rsidRPr="001D37D5">
        <w:fldChar w:fldCharType="separate"/>
      </w:r>
      <w:r w:rsidR="007261FC">
        <w:t>A.15.5</w:t>
      </w:r>
      <w:r w:rsidRPr="001D37D5">
        <w:fldChar w:fldCharType="end"/>
      </w:r>
      <w:r w:rsidRPr="001D37D5">
        <w:t xml:space="preserve"> why the results of implied market value studies can reflect factors that are not relevant to the utilisation rate.</w:t>
      </w:r>
    </w:p>
    <w:p w:rsidR="00CA67C0" w:rsidRPr="001D37D5" w:rsidRDefault="00CA67C0" w:rsidP="00CA67C0">
      <w:pPr>
        <w:pStyle w:val="AERbulletlistfirststyle"/>
      </w:pPr>
      <w:r w:rsidRPr="00883125">
        <w:t>We erred by considering implied market value studies in a general manner rather than considering the merits of SFG's dividend drop off study—in section</w:t>
      </w:r>
      <w:r w:rsidRPr="001D37D5">
        <w:t xml:space="preserve">s </w:t>
      </w:r>
      <w:r w:rsidRPr="001D37D5">
        <w:fldChar w:fldCharType="begin"/>
      </w:r>
      <w:r w:rsidRPr="001D37D5">
        <w:instrText xml:space="preserve"> REF _Ref450761230 \r \h </w:instrText>
      </w:r>
      <w:r w:rsidRPr="001D37D5">
        <w:fldChar w:fldCharType="separate"/>
      </w:r>
      <w:r w:rsidR="007261FC">
        <w:t>4.4.1</w:t>
      </w:r>
      <w:r w:rsidRPr="001D37D5">
        <w:fldChar w:fldCharType="end"/>
      </w:r>
      <w:r w:rsidRPr="001D37D5">
        <w:t xml:space="preserve"> and </w:t>
      </w:r>
      <w:r w:rsidRPr="001D37D5">
        <w:fldChar w:fldCharType="begin"/>
      </w:r>
      <w:r w:rsidRPr="001D37D5">
        <w:instrText xml:space="preserve"> REF _Ref451267696 \r \h </w:instrText>
      </w:r>
      <w:r w:rsidRPr="001D37D5">
        <w:fldChar w:fldCharType="separate"/>
      </w:r>
      <w:r w:rsidR="007261FC">
        <w:t>A.15</w:t>
      </w:r>
      <w:r w:rsidRPr="001D37D5">
        <w:fldChar w:fldCharType="end"/>
      </w:r>
      <w:r w:rsidRPr="001D37D5">
        <w:t xml:space="preserve"> we set out a list of limitations that can apply to implied market value studies, and in section </w:t>
      </w:r>
      <w:r w:rsidRPr="001D37D5">
        <w:fldChar w:fldCharType="begin"/>
      </w:r>
      <w:r w:rsidRPr="001D37D5">
        <w:instrText xml:space="preserve"> REF _Ref414624721 \r \h </w:instrText>
      </w:r>
      <w:r w:rsidRPr="001D37D5">
        <w:fldChar w:fldCharType="separate"/>
      </w:r>
      <w:r w:rsidR="007261FC">
        <w:t>A.15.5</w:t>
      </w:r>
      <w:r w:rsidRPr="001D37D5">
        <w:fldChar w:fldCharType="end"/>
      </w:r>
      <w:r w:rsidRPr="001D37D5">
        <w:t xml:space="preserve"> we conclude that that there is reasonable evidence to suggest that several of these limitations apply to SFG's dividend drop off study. In sections </w:t>
      </w:r>
      <w:r w:rsidRPr="001D37D5">
        <w:fldChar w:fldCharType="begin"/>
      </w:r>
      <w:r w:rsidRPr="001D37D5">
        <w:instrText xml:space="preserve"> REF _Ref450761230 \r \h </w:instrText>
      </w:r>
      <w:r w:rsidRPr="001D37D5">
        <w:fldChar w:fldCharType="separate"/>
      </w:r>
      <w:r w:rsidR="007261FC">
        <w:t>4.4.1</w:t>
      </w:r>
      <w:r w:rsidRPr="001D37D5">
        <w:fldChar w:fldCharType="end"/>
      </w:r>
      <w:r w:rsidRPr="001D37D5">
        <w:t xml:space="preserve">and </w:t>
      </w:r>
      <w:r w:rsidRPr="001D37D5">
        <w:fldChar w:fldCharType="begin"/>
      </w:r>
      <w:r w:rsidRPr="001D37D5">
        <w:instrText xml:space="preserve"> REF _Ref451267729 \r \h </w:instrText>
      </w:r>
      <w:r w:rsidRPr="001D37D5">
        <w:fldChar w:fldCharType="separate"/>
      </w:r>
      <w:r w:rsidR="007261FC">
        <w:t>A.15</w:t>
      </w:r>
      <w:r w:rsidRPr="001D37D5">
        <w:fldChar w:fldCharType="end"/>
      </w:r>
      <w:r w:rsidRPr="001D37D5">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Pr="001D37D5">
        <w:fldChar w:fldCharType="begin"/>
      </w:r>
      <w:r w:rsidRPr="001D37D5">
        <w:instrText xml:space="preserve"> REF _Ref451267750 \r \h </w:instrText>
      </w:r>
      <w:r w:rsidRPr="001D37D5">
        <w:fldChar w:fldCharType="separate"/>
      </w:r>
      <w:r w:rsidR="007261FC">
        <w:t>A.15</w:t>
      </w:r>
      <w:r w:rsidRPr="001D37D5">
        <w:fldChar w:fldCharType="end"/>
      </w:r>
      <w:r w:rsidRPr="001D37D5">
        <w:t xml:space="preserve"> we set out statements from experts and other regulators on the limitations of dividend drop off studies. All but one of these statements occurred after the development of SFG's dividend drop off study.</w:t>
      </w:r>
    </w:p>
    <w:p w:rsidR="00CA67C0" w:rsidRPr="001D37D5" w:rsidRDefault="00CA67C0" w:rsidP="00CA67C0">
      <w:pPr>
        <w:pStyle w:val="AERbulletlistfirststyle"/>
      </w:pPr>
      <w:r w:rsidRPr="00883125">
        <w:t xml:space="preserve">It was neither necessary nor appropriate for us to identify a distribution rate for only listed equity—in sections </w:t>
      </w:r>
      <w:r w:rsidRPr="001D37D5">
        <w:fldChar w:fldCharType="begin"/>
      </w:r>
      <w:r w:rsidRPr="001D37D5">
        <w:instrText xml:space="preserve"> REF _Ref451790065 \r \h </w:instrText>
      </w:r>
      <w:r w:rsidRPr="001D37D5">
        <w:fldChar w:fldCharType="separate"/>
      </w:r>
      <w:r w:rsidR="007261FC">
        <w:t>A.9</w:t>
      </w:r>
      <w:r w:rsidRPr="001D37D5">
        <w:fldChar w:fldCharType="end"/>
      </w:r>
      <w:r w:rsidRPr="001D37D5">
        <w:t xml:space="preserve"> and </w:t>
      </w:r>
      <w:r w:rsidRPr="001D37D5">
        <w:fldChar w:fldCharType="begin"/>
      </w:r>
      <w:r w:rsidRPr="001D37D5">
        <w:instrText xml:space="preserve"> REF _Ref414289334 \r \h </w:instrText>
      </w:r>
      <w:r w:rsidRPr="001D37D5">
        <w:fldChar w:fldCharType="separate"/>
      </w:r>
      <w:r w:rsidR="007261FC">
        <w:t>A.10.1</w:t>
      </w:r>
      <w:r w:rsidRPr="001D37D5">
        <w:fldChar w:fldCharType="end"/>
      </w:r>
      <w:r w:rsidRPr="001D37D5">
        <w:t xml:space="preserve"> this is further discussed. </w:t>
      </w:r>
    </w:p>
    <w:p w:rsidR="00CA67C0" w:rsidRPr="001D37D5" w:rsidRDefault="00CA67C0" w:rsidP="00CA67C0">
      <w:pPr>
        <w:pStyle w:val="AERbulletlistfirststyle"/>
      </w:pPr>
      <w:r w:rsidRPr="00883125">
        <w:t xml:space="preserve">Our ultimate conclusion as to the value of imputation credits was inconsistent with the evidence presented in </w:t>
      </w:r>
      <w:r w:rsidRPr="001D37D5">
        <w:t xml:space="preserve">our recent decisions—as set out in section </w:t>
      </w:r>
      <w:r w:rsidRPr="001D37D5">
        <w:fldChar w:fldCharType="begin"/>
      </w:r>
      <w:r w:rsidRPr="001D37D5">
        <w:instrText xml:space="preserve"> REF _Ref451815218 \r \h </w:instrText>
      </w:r>
      <w:r w:rsidRPr="001D37D5">
        <w:fldChar w:fldCharType="separate"/>
      </w:r>
      <w:r w:rsidR="007261FC">
        <w:t>4.4</w:t>
      </w:r>
      <w:r w:rsidRPr="001D37D5">
        <w:fldChar w:fldCharType="end"/>
      </w:r>
      <w:r w:rsidRPr="001D37D5">
        <w:t>, the evidence presented in this</w:t>
      </w:r>
      <w:r w:rsidR="00F15ADC">
        <w:t xml:space="preserve"> draft</w:t>
      </w:r>
      <w:r w:rsidRPr="001D37D5">
        <w:t xml:space="preserve"> decision suggests that a reasonable estimate for the value of imputation credits is within the range 0.3 to 0.5. Our estimate of 0.4 is within this range.</w:t>
      </w:r>
    </w:p>
    <w:p w:rsidR="00CA67C0" w:rsidRPr="00883125" w:rsidRDefault="00CA67C0" w:rsidP="00CA67C0">
      <w:pPr>
        <w:rPr>
          <w:rStyle w:val="AERbody"/>
        </w:rPr>
      </w:pPr>
      <w:r w:rsidRPr="00883125">
        <w:rPr>
          <w:rStyle w:val="AERbody"/>
        </w:rPr>
        <w:lastRenderedPageBreak/>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277"/>
      </w:r>
      <w:r w:rsidRPr="00883125">
        <w:rPr>
          <w:rStyle w:val="AERbody"/>
        </w:rPr>
        <w:t xml:space="preserve"> These issues were also raised in Gray's June 2015 report (for Frontier) relied on by the majority of service providers </w:t>
      </w:r>
      <w:r>
        <w:rPr>
          <w:rStyle w:val="AERbody"/>
        </w:rPr>
        <w:t>currently under assessment. These issues are</w:t>
      </w:r>
      <w:r w:rsidRPr="00883125">
        <w:rPr>
          <w:rStyle w:val="AERbody"/>
        </w:rPr>
        <w:t>:</w:t>
      </w:r>
    </w:p>
    <w:p w:rsidR="00CA67C0" w:rsidRPr="001D37D5" w:rsidRDefault="00CA67C0" w:rsidP="00CA67C0">
      <w:pPr>
        <w:pStyle w:val="AERbulletlistfirststyle"/>
      </w:pPr>
      <w:r w:rsidRPr="005764F6">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424DF1">
        <w:rPr>
          <w:rStyle w:val="FootnoteReference"/>
        </w:rPr>
        <w:footnoteReference w:id="278"/>
      </w:r>
      <w:r w:rsidRPr="001D37D5">
        <w:t xml:space="preserve"> In sections </w:t>
      </w:r>
      <w:r w:rsidRPr="001D37D5">
        <w:fldChar w:fldCharType="begin"/>
      </w:r>
      <w:r w:rsidRPr="001D37D5">
        <w:instrText xml:space="preserve"> REF _Ref415144114 \r \h  \* MERGEFORMAT </w:instrText>
      </w:r>
      <w:r w:rsidRPr="001D37D5">
        <w:fldChar w:fldCharType="separate"/>
      </w:r>
      <w:r w:rsidR="007261FC">
        <w:t>A.5</w:t>
      </w:r>
      <w:r w:rsidRPr="001D37D5">
        <w:fldChar w:fldCharType="end"/>
      </w:r>
      <w:r w:rsidRPr="001D37D5">
        <w:t xml:space="preserve"> and </w:t>
      </w:r>
      <w:r w:rsidRPr="001D37D5">
        <w:fldChar w:fldCharType="begin"/>
      </w:r>
      <w:r w:rsidRPr="001D37D5">
        <w:instrText xml:space="preserve"> REF _Ref401748758 \r \h  \* MERGEFORMAT </w:instrText>
      </w:r>
      <w:r w:rsidRPr="001D37D5">
        <w:fldChar w:fldCharType="separate"/>
      </w:r>
      <w:r w:rsidR="007261FC">
        <w:t>A.8.1</w:t>
      </w:r>
      <w:r w:rsidRPr="001D37D5">
        <w:fldChar w:fldCharType="end"/>
      </w:r>
      <w:r w:rsidRPr="001D37D5">
        <w:t xml:space="preserve"> we explain why we consider the proportion of imputation credits distributed to shareholders eligible to utilise them is an appropriate measure of the value of imputation credits before personal taxes and transaction costs.</w:t>
      </w:r>
      <w:r w:rsidRPr="001D37D5" w:rsidDel="00E07815">
        <w:t xml:space="preserve"> </w:t>
      </w:r>
    </w:p>
    <w:p w:rsidR="00CA67C0" w:rsidRPr="001D37D5" w:rsidRDefault="00CA67C0" w:rsidP="00CA67C0">
      <w:pPr>
        <w:pStyle w:val="AERbulletlistfirststyle"/>
      </w:pPr>
      <w:r w:rsidRPr="005764F6">
        <w:t>The second key point of difference concerns the set of comparator businesses that should be used when estimating a benchmark distribution rate.</w:t>
      </w:r>
      <w:r w:rsidRPr="001D37D5">
        <w:rPr>
          <w:rStyle w:val="FootnoteReference"/>
        </w:rPr>
        <w:footnoteReference w:id="279"/>
      </w:r>
      <w:r w:rsidRPr="001D37D5">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1D37D5">
        <w:rPr>
          <w:rStyle w:val="FootnoteReference"/>
        </w:rPr>
        <w:footnoteReference w:id="280"/>
      </w:r>
      <w:r w:rsidRPr="001D37D5">
        <w:t xml:space="preserve"> given our benchmark efficient network operator is a pure play wholly domestic business that is not necessarily stock market listed. We respond to these views in sections </w:t>
      </w:r>
      <w:r w:rsidRPr="001D37D5">
        <w:fldChar w:fldCharType="begin"/>
      </w:r>
      <w:r w:rsidRPr="001D37D5">
        <w:instrText xml:space="preserve"> REF _Ref451790065 \r \h  \* MERGEFORMAT </w:instrText>
      </w:r>
      <w:r w:rsidRPr="001D37D5">
        <w:fldChar w:fldCharType="separate"/>
      </w:r>
      <w:r w:rsidR="007261FC">
        <w:t>A.9</w:t>
      </w:r>
      <w:r w:rsidRPr="001D37D5">
        <w:fldChar w:fldCharType="end"/>
      </w:r>
      <w:r w:rsidRPr="001D37D5">
        <w:t xml:space="preserve"> and </w:t>
      </w:r>
      <w:r w:rsidRPr="001D37D5">
        <w:fldChar w:fldCharType="begin"/>
      </w:r>
      <w:r w:rsidRPr="001D37D5">
        <w:instrText xml:space="preserve"> REF _Ref401133206 \r \h  \* MERGEFORMAT </w:instrText>
      </w:r>
      <w:r w:rsidRPr="001D37D5">
        <w:fldChar w:fldCharType="separate"/>
      </w:r>
      <w:r w:rsidR="007261FC">
        <w:t>A.10</w:t>
      </w:r>
      <w:r w:rsidRPr="001D37D5">
        <w:fldChar w:fldCharType="end"/>
      </w:r>
      <w:r w:rsidRPr="001D37D5">
        <w:t>.</w:t>
      </w:r>
    </w:p>
    <w:p w:rsidR="00CA67C0" w:rsidRPr="00883125" w:rsidRDefault="00CA67C0" w:rsidP="00CA67C0">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latest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281"/>
      </w:r>
      <w:r>
        <w:rPr>
          <w:rStyle w:val="AERbody"/>
        </w:rPr>
        <w:t xml:space="preserve"> </w:t>
      </w:r>
    </w:p>
    <w:p w:rsidR="001F278D" w:rsidRPr="00883125" w:rsidRDefault="001F278D" w:rsidP="001F278D">
      <w:r w:rsidRPr="00883125">
        <w:t xml:space="preserve">In </w:t>
      </w:r>
      <w:r>
        <w:t>its</w:t>
      </w:r>
      <w:r w:rsidRPr="00883125">
        <w:t xml:space="preserve"> proposal, </w:t>
      </w:r>
      <w:r>
        <w:t>AusNet Services has</w:t>
      </w:r>
      <w:r w:rsidRPr="00883125">
        <w:t xml:space="preserve"> broadly not submitted anything new. </w:t>
      </w:r>
      <w:r>
        <w:t>AusNet Services has</w:t>
      </w:r>
      <w:r w:rsidRPr="00883125">
        <w:t xml:space="preserve"> </w:t>
      </w:r>
      <w:r>
        <w:t xml:space="preserve">essentially submitted </w:t>
      </w:r>
      <w:r w:rsidRPr="00883125">
        <w:t xml:space="preserve">the same arguments that were considered in </w:t>
      </w:r>
      <w:r>
        <w:t>our</w:t>
      </w:r>
      <w:r w:rsidRPr="00883125">
        <w:t xml:space="preserve"> decisions released in October and November 2015. Overall </w:t>
      </w:r>
      <w:r>
        <w:t xml:space="preserve">AusNet </w:t>
      </w:r>
      <w:r w:rsidR="00930B57">
        <w:t xml:space="preserve">Services </w:t>
      </w:r>
      <w:r w:rsidRPr="00883125">
        <w:t>propose</w:t>
      </w:r>
      <w:r>
        <w:t>d</w:t>
      </w:r>
      <w:r w:rsidRPr="00883125">
        <w:t xml:space="preserve"> a </w:t>
      </w:r>
      <w:r>
        <w:t>gamma</w:t>
      </w:r>
      <w:r w:rsidRPr="00883125">
        <w:t xml:space="preserve"> </w:t>
      </w:r>
      <w:r w:rsidRPr="00883125">
        <w:lastRenderedPageBreak/>
        <w:t xml:space="preserve">estimate of 0.25 which is based on a 0.35 utilisation </w:t>
      </w:r>
      <w:r>
        <w:t>rate</w:t>
      </w:r>
      <w:r w:rsidRPr="00883125">
        <w:t xml:space="preserve"> from the SFG dividend drop off study and an all equity distribution rate of 0.7.</w:t>
      </w:r>
      <w:r w:rsidRPr="00883125">
        <w:rPr>
          <w:rStyle w:val="FootnoteReference"/>
        </w:rPr>
        <w:footnoteReference w:id="282"/>
      </w:r>
    </w:p>
    <w:p w:rsidR="001F278D" w:rsidRPr="00883125" w:rsidRDefault="001F278D" w:rsidP="001F278D">
      <w:r w:rsidRPr="00883125">
        <w:t xml:space="preserve">As a high level summary, </w:t>
      </w:r>
      <w:r>
        <w:t>AusNet Services</w:t>
      </w:r>
      <w:r w:rsidRPr="00883125">
        <w:t xml:space="preserve"> submitted:</w:t>
      </w:r>
    </w:p>
    <w:p w:rsidR="001F278D" w:rsidRPr="001F278D" w:rsidRDefault="001F278D" w:rsidP="001F278D">
      <w:pPr>
        <w:pStyle w:val="AERbulletlistfirststyle"/>
      </w:pPr>
      <w:r>
        <w:t>it does not agree with the 'conceptual framework' adopted by the AER</w:t>
      </w:r>
      <w:r>
        <w:rPr>
          <w:rStyle w:val="FootnoteReference"/>
        </w:rPr>
        <w:footnoteReference w:id="283"/>
      </w:r>
    </w:p>
    <w:p w:rsidR="001F278D" w:rsidRPr="001F278D" w:rsidRDefault="001F278D" w:rsidP="001F278D">
      <w:pPr>
        <w:pStyle w:val="AERbulletlistfirststyle"/>
      </w:pPr>
      <w:r>
        <w:t>market studies are the only source of evidence that is capable of producing an accurate point estimate of theta</w:t>
      </w:r>
      <w:r>
        <w:rPr>
          <w:rStyle w:val="FootnoteReference"/>
        </w:rPr>
        <w:footnoteReference w:id="284"/>
      </w:r>
    </w:p>
    <w:p w:rsidR="001F278D" w:rsidRPr="001F278D" w:rsidRDefault="001F278D" w:rsidP="001F278D">
      <w:pPr>
        <w:pStyle w:val="AERbulletlistfirststyle"/>
      </w:pPr>
      <w:r>
        <w:t>redemption rates are not direct evidence of the value of distributed credits, rather they are no more than an upper bound for theta</w:t>
      </w:r>
      <w:r>
        <w:rPr>
          <w:rStyle w:val="FootnoteReference"/>
        </w:rPr>
        <w:footnoteReference w:id="285"/>
      </w:r>
    </w:p>
    <w:p w:rsidR="001F278D" w:rsidRPr="001F278D" w:rsidRDefault="001F278D" w:rsidP="001F278D">
      <w:pPr>
        <w:pStyle w:val="AERbulletlistfirststyle"/>
      </w:pPr>
      <w:r>
        <w:t>that the AER has erred in its interpretation of the equity ownership data, as the ranges use by the AER are inconsistent with the evidence</w:t>
      </w:r>
      <w:r>
        <w:rPr>
          <w:rStyle w:val="FootnoteReference"/>
        </w:rPr>
        <w:footnoteReference w:id="286"/>
      </w:r>
    </w:p>
    <w:p w:rsidR="001F278D" w:rsidRPr="001F278D" w:rsidRDefault="001F278D" w:rsidP="001F278D">
      <w:pPr>
        <w:pStyle w:val="AERbulletlistfirststyle"/>
      </w:pPr>
      <w:r>
        <w:t>the AER has erred in concluding that market value studies can reflect factors, such as differential personal tax and risk</w:t>
      </w:r>
      <w:r>
        <w:rPr>
          <w:rStyle w:val="FootnoteReference"/>
        </w:rPr>
        <w:footnoteReference w:id="287"/>
      </w:r>
    </w:p>
    <w:p w:rsidR="001F278D" w:rsidRPr="001F278D" w:rsidRDefault="001F278D" w:rsidP="001F278D">
      <w:pPr>
        <w:pStyle w:val="AERbulletlistfirststyle"/>
      </w:pPr>
      <w:r>
        <w:t>the AER has unreasonably considered the criticism of market based s</w:t>
      </w:r>
      <w:r w:rsidR="00930B57">
        <w:t>tu</w:t>
      </w:r>
      <w:r>
        <w:t>dies and does not assess the individual merit of the SFG study.</w:t>
      </w:r>
      <w:r>
        <w:rPr>
          <w:rStyle w:val="FootnoteReference"/>
        </w:rPr>
        <w:footnoteReference w:id="288"/>
      </w:r>
    </w:p>
    <w:p w:rsidR="00CA67C0" w:rsidRPr="001D37D5" w:rsidRDefault="001F278D" w:rsidP="00CD376D">
      <w:pPr>
        <w:rPr>
          <w:rStyle w:val="AERbody"/>
        </w:rPr>
      </w:pPr>
      <w:r>
        <w:t xml:space="preserve">After AusNet Services submitted its proposal, a number of service providers submitted revised proposals (in January 2016). </w:t>
      </w:r>
      <w:r w:rsidR="00805EE0">
        <w:t>As set out above, we have also taken the material submitted by these service providers into account as they are relevant to our approach set out in this draft decision.</w:t>
      </w:r>
    </w:p>
    <w:p w:rsidR="00CA67C0" w:rsidRPr="00883125" w:rsidRDefault="00CA67C0" w:rsidP="00CA67C0">
      <w:pPr>
        <w:pStyle w:val="Heading8"/>
      </w:pPr>
      <w:bookmarkStart w:id="150" w:name="_Ref415144114"/>
      <w:bookmarkStart w:id="151" w:name="_Toc436049446"/>
      <w:bookmarkStart w:id="152" w:name="_Toc451842251"/>
      <w:bookmarkStart w:id="153" w:name="_Toc451938306"/>
      <w:bookmarkStart w:id="154" w:name="_Toc456614297"/>
      <w:r w:rsidRPr="00883125">
        <w:t>The role of the value of imputation credits in the regulatory framework</w:t>
      </w:r>
      <w:bookmarkEnd w:id="150"/>
      <w:bookmarkEnd w:id="151"/>
      <w:bookmarkEnd w:id="152"/>
      <w:bookmarkEnd w:id="153"/>
      <w:bookmarkEnd w:id="154"/>
    </w:p>
    <w:p w:rsidR="00CA67C0" w:rsidRPr="00883125" w:rsidRDefault="00CA67C0" w:rsidP="00764AB1">
      <w:pPr>
        <w:numPr>
          <w:ilvl w:val="0"/>
          <w:numId w:val="24"/>
        </w:numPr>
      </w:pPr>
      <w:r w:rsidRPr="00883125">
        <w:t>To explain the role of the value of imputation credits in the NER/NGR, we must consider:</w:t>
      </w:r>
    </w:p>
    <w:p w:rsidR="00CA67C0" w:rsidRPr="00883125" w:rsidRDefault="00CA67C0" w:rsidP="00CA67C0">
      <w:pPr>
        <w:pStyle w:val="AERbulletlistfirststyle"/>
      </w:pPr>
      <w:r w:rsidRPr="00883125">
        <w:t>the 'building block' revenue framework in the NER/NGR, and</w:t>
      </w:r>
    </w:p>
    <w:p w:rsidR="00CA67C0" w:rsidRPr="00883125" w:rsidRDefault="00CA67C0" w:rsidP="00CA67C0">
      <w:pPr>
        <w:pStyle w:val="AERbulletlistfirststyle"/>
      </w:pPr>
      <w:r w:rsidRPr="00883125">
        <w:t>the construction of the tax building block.</w:t>
      </w:r>
    </w:p>
    <w:p w:rsidR="00CA67C0" w:rsidRPr="00883125" w:rsidRDefault="00CA67C0" w:rsidP="00CA67C0">
      <w:pPr>
        <w:pStyle w:val="Heading9"/>
      </w:pPr>
      <w:bookmarkStart w:id="155" w:name="_Toc456614298"/>
      <w:r w:rsidRPr="00883125">
        <w:lastRenderedPageBreak/>
        <w:t>The building block framework</w:t>
      </w:r>
      <w:bookmarkEnd w:id="155"/>
    </w:p>
    <w:p w:rsidR="00CA67C0" w:rsidRPr="00883125" w:rsidRDefault="00CA67C0" w:rsidP="00764AB1">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289"/>
      </w:r>
      <w:r w:rsidRPr="00883125">
        <w:t xml:space="preserve"> The function of this building block revenue estimate is to determine the revenue that a service provider requires to:</w:t>
      </w:r>
    </w:p>
    <w:p w:rsidR="00CA67C0" w:rsidRPr="00883125" w:rsidRDefault="00CA67C0" w:rsidP="00CA67C0">
      <w:pPr>
        <w:pStyle w:val="AERbulletlistfirststyle"/>
      </w:pPr>
      <w:r w:rsidRPr="00883125">
        <w:t>fund its operating expenses.</w:t>
      </w:r>
    </w:p>
    <w:p w:rsidR="00CA67C0" w:rsidRPr="00883125" w:rsidRDefault="00CA67C0" w:rsidP="00CA67C0">
      <w:pPr>
        <w:pStyle w:val="AERbulletlistfirststyle"/>
      </w:pPr>
      <w:r w:rsidRPr="00883125">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CA67C0" w:rsidRPr="00883125" w:rsidRDefault="00CA67C0" w:rsidP="00CA67C0">
      <w:pPr>
        <w:pStyle w:val="AERbulletlistfirststyle"/>
      </w:pPr>
      <w:r w:rsidRPr="00883125">
        <w:t>pay its tax liability.</w:t>
      </w:r>
    </w:p>
    <w:p w:rsidR="00CA67C0" w:rsidRPr="00883125" w:rsidRDefault="00CA67C0" w:rsidP="00CA67C0">
      <w:pPr>
        <w:pStyle w:val="AERbulletlistfirststyle"/>
      </w:pPr>
      <w:r w:rsidRPr="00883125">
        <w:t>reflect any revenue increments or decrements from incentive mechanisms in the design of the regulatory regime.</w:t>
      </w:r>
    </w:p>
    <w:p w:rsidR="00CA67C0" w:rsidRPr="00883125" w:rsidRDefault="00CA67C0" w:rsidP="00764AB1">
      <w:pPr>
        <w:numPr>
          <w:ilvl w:val="0"/>
          <w:numId w:val="24"/>
        </w:numPr>
      </w:pPr>
      <w:r w:rsidRPr="00883125">
        <w:t xml:space="preserve">Importantly, the building block framework is intended to compensate the service provider (and its investors) only for costs incurred by the service provider and not by its investors; that is, the framework is on a </w:t>
      </w:r>
      <w:r w:rsidR="000A181E">
        <w:t xml:space="preserve">post-company </w:t>
      </w:r>
      <w:r w:rsidRPr="00883125">
        <w:t>before-personal-tax and before-personal-costs basis. Handley described this consideration as follows:</w:t>
      </w:r>
      <w:r w:rsidRPr="00883125">
        <w:rPr>
          <w:rStyle w:val="FootnoteReference"/>
        </w:rPr>
        <w:footnoteReference w:id="290"/>
      </w:r>
    </w:p>
    <w:p w:rsidR="00CA67C0" w:rsidRPr="00883125" w:rsidRDefault="00CA67C0" w:rsidP="00CA67C0">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A67C0" w:rsidRPr="00883125" w:rsidRDefault="00CA67C0" w:rsidP="00CA67C0">
      <w:pPr>
        <w:pStyle w:val="AERquote"/>
      </w:pPr>
      <w:r w:rsidRPr="00883125">
        <w:t>…</w:t>
      </w:r>
    </w:p>
    <w:p w:rsidR="00CA67C0" w:rsidRPr="00883125" w:rsidRDefault="00CA67C0" w:rsidP="00CA67C0">
      <w:pPr>
        <w:pStyle w:val="AERquote"/>
      </w:pPr>
      <w:r w:rsidRPr="00883125">
        <w:t xml:space="preserve">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w:t>
      </w:r>
      <w:r w:rsidRPr="00883125">
        <w:lastRenderedPageBreak/>
        <w:t>explicitly model personal taxes then an after-company-after-personal-tax WACC framework could be used instead.</w:t>
      </w:r>
    </w:p>
    <w:p w:rsidR="00CA67C0" w:rsidRPr="00883125" w:rsidRDefault="00CA67C0" w:rsidP="00CA67C0">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7261FC">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7261FC">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7261FC">
        <w:t>A.8.1</w:t>
      </w:r>
      <w:r w:rsidRPr="00883125">
        <w:fldChar w:fldCharType="end"/>
      </w:r>
      <w:r w:rsidRPr="00883125">
        <w:t>.</w:t>
      </w:r>
    </w:p>
    <w:p w:rsidR="00CA67C0" w:rsidRPr="00883125" w:rsidRDefault="00CA67C0" w:rsidP="00CA67C0">
      <w:pPr>
        <w:rPr>
          <w:rStyle w:val="AERbody"/>
        </w:rPr>
      </w:pPr>
      <w:r w:rsidRPr="00883125">
        <w:rPr>
          <w:rStyle w:val="AERbody"/>
        </w:rPr>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CA67C0" w:rsidRPr="001D37D5" w:rsidRDefault="00CA67C0" w:rsidP="00CA67C0">
      <w:pPr>
        <w:pStyle w:val="AERbulletlistfirststyle"/>
      </w:pPr>
      <w:r w:rsidRPr="005764F6">
        <w:t>There is no market for imputation credits and therefore there is no directly observable market price</w:t>
      </w:r>
      <w:r w:rsidRPr="001D37D5">
        <w:t>.</w:t>
      </w:r>
      <w:r w:rsidRPr="001D37D5">
        <w:rPr>
          <w:rStyle w:val="FootnoteReference"/>
        </w:rPr>
        <w:footnoteReference w:id="291"/>
      </w:r>
      <w:r w:rsidRPr="001D37D5">
        <w:t xml:space="preserve"> This is also discussed below in section </w:t>
      </w:r>
      <w:r w:rsidRPr="001D37D5">
        <w:fldChar w:fldCharType="begin"/>
      </w:r>
      <w:r w:rsidRPr="001D37D5">
        <w:instrText xml:space="preserve"> REF _Ref435171205 \r \h  \* MERGEFORMAT </w:instrText>
      </w:r>
      <w:r w:rsidRPr="001D37D5">
        <w:fldChar w:fldCharType="separate"/>
      </w:r>
      <w:r w:rsidR="007261FC">
        <w:t>A.15.3</w:t>
      </w:r>
      <w:r w:rsidRPr="001D37D5">
        <w:fldChar w:fldCharType="end"/>
      </w:r>
      <w:r w:rsidRPr="001D37D5">
        <w:t>.</w:t>
      </w:r>
    </w:p>
    <w:p w:rsidR="00CA67C0" w:rsidRPr="005764F6" w:rsidRDefault="00CA67C0" w:rsidP="00CA67C0">
      <w:pPr>
        <w:pStyle w:val="AERbulletlistfirststyle"/>
      </w:pPr>
      <w:r w:rsidRPr="005764F6">
        <w:t>The value of imputation credits as estimated through a dividend drop off study:</w:t>
      </w:r>
    </w:p>
    <w:p w:rsidR="00CA67C0" w:rsidRPr="005764F6" w:rsidRDefault="00CA67C0" w:rsidP="00CA67C0">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CA67C0" w:rsidRPr="005764F6" w:rsidRDefault="00CA67C0" w:rsidP="00CA67C0">
      <w:pPr>
        <w:pStyle w:val="AERbulletlistsecondstyle"/>
      </w:pPr>
      <w:r w:rsidRPr="005764F6">
        <w:t xml:space="preserve">is not necessarily consistent with the estimate of the return on equity and return on debt which are estimated required returns </w:t>
      </w:r>
      <w:r w:rsidR="000A181E">
        <w:t xml:space="preserve">after company taxes </w:t>
      </w:r>
      <w:r w:rsidRPr="005764F6">
        <w:t>before personal taxes and personal transaction costs (particularly demonstrated where the study estimates a value for cash dividends materially below their face value as the SFG study does)</w:t>
      </w:r>
    </w:p>
    <w:p w:rsidR="00CA67C0" w:rsidRPr="005764F6" w:rsidRDefault="00CA67C0" w:rsidP="00CA67C0">
      <w:pPr>
        <w:pStyle w:val="AERbulletlistsecondstyle"/>
      </w:pPr>
      <w:r w:rsidRPr="005764F6">
        <w:t>is not clearly measuring a value to long term investors supplying capital to the benchmark efficient entity (even where adjusted for adjusted for differential tax impacts)</w:t>
      </w:r>
    </w:p>
    <w:p w:rsidR="00CA67C0" w:rsidRPr="005764F6" w:rsidRDefault="00CA67C0" w:rsidP="00CA67C0">
      <w:pPr>
        <w:pStyle w:val="AERbulletlistsecondstyle"/>
      </w:pPr>
      <w:r w:rsidRPr="005764F6">
        <w:t xml:space="preserve">is subject to significant uncertainty. </w:t>
      </w:r>
    </w:p>
    <w:p w:rsidR="00CA67C0" w:rsidRPr="001D37D5" w:rsidRDefault="00CA67C0" w:rsidP="00CA67C0">
      <w:pPr>
        <w:pStyle w:val="AERbulletlistfirststyle"/>
        <w:rPr>
          <w:rStyle w:val="AERbody"/>
        </w:rPr>
      </w:pPr>
      <w:r w:rsidRPr="00883125">
        <w:rPr>
          <w:rStyle w:val="AERbody"/>
        </w:rPr>
        <w:t xml:space="preserve">A number of limitations of these studies are discussed further in sections </w:t>
      </w:r>
      <w:r w:rsidRPr="001D37D5">
        <w:rPr>
          <w:rStyle w:val="AERbody"/>
        </w:rPr>
        <w:fldChar w:fldCharType="begin"/>
      </w:r>
      <w:r w:rsidRPr="001D37D5">
        <w:rPr>
          <w:rStyle w:val="AERbody"/>
        </w:rPr>
        <w:instrText xml:space="preserve"> REF _Ref415065117 \r \h </w:instrText>
      </w:r>
      <w:r w:rsidRPr="001D37D5">
        <w:rPr>
          <w:rStyle w:val="AERbody"/>
        </w:rPr>
      </w:r>
      <w:r w:rsidRPr="001D37D5">
        <w:rPr>
          <w:rStyle w:val="AERbody"/>
        </w:rPr>
        <w:fldChar w:fldCharType="separate"/>
      </w:r>
      <w:r w:rsidR="007261FC">
        <w:rPr>
          <w:rStyle w:val="AERbody"/>
        </w:rPr>
        <w:t>A.15.4</w:t>
      </w:r>
      <w:r w:rsidRPr="001D37D5">
        <w:rPr>
          <w:rStyle w:val="AERbody"/>
        </w:rPr>
        <w:fldChar w:fldCharType="end"/>
      </w:r>
      <w:r w:rsidRPr="001D37D5">
        <w:rPr>
          <w:rStyle w:val="AERbody"/>
        </w:rPr>
        <w:t xml:space="preserve"> and </w:t>
      </w:r>
      <w:r w:rsidRPr="001D37D5">
        <w:rPr>
          <w:rStyle w:val="AERbody"/>
        </w:rPr>
        <w:fldChar w:fldCharType="begin"/>
      </w:r>
      <w:r w:rsidRPr="001D37D5">
        <w:rPr>
          <w:rStyle w:val="AERbody"/>
        </w:rPr>
        <w:instrText xml:space="preserve"> REF _Ref414624721 \r \h </w:instrText>
      </w:r>
      <w:r w:rsidRPr="001D37D5">
        <w:rPr>
          <w:rStyle w:val="AERbody"/>
        </w:rPr>
      </w:r>
      <w:r w:rsidRPr="001D37D5">
        <w:rPr>
          <w:rStyle w:val="AERbody"/>
        </w:rPr>
        <w:fldChar w:fldCharType="separate"/>
      </w:r>
      <w:r w:rsidR="007261FC">
        <w:rPr>
          <w:rStyle w:val="AERbody"/>
        </w:rPr>
        <w:t>A.15.5</w:t>
      </w:r>
      <w:r w:rsidRPr="001D37D5">
        <w:rPr>
          <w:rStyle w:val="AERbody"/>
        </w:rPr>
        <w:fldChar w:fldCharType="end"/>
      </w:r>
      <w:r w:rsidRPr="001D37D5">
        <w:rPr>
          <w:rStyle w:val="AERbody"/>
        </w:rPr>
        <w:t>.</w:t>
      </w:r>
    </w:p>
    <w:p w:rsidR="00CA67C0" w:rsidRPr="001D37D5" w:rsidRDefault="00CA67C0" w:rsidP="00CA67C0">
      <w:pPr>
        <w:pStyle w:val="AERbulletlistfirststyle"/>
        <w:rPr>
          <w:rStyle w:val="AERtexthighlight"/>
        </w:rPr>
      </w:pPr>
      <w:r>
        <w:t>Our</w:t>
      </w:r>
      <w:r w:rsidRPr="001D37D5">
        <w:t xml:space="preserve"> definition of the utilisation value is consistent with Officer Framework underpinning the rules that uses a post-tax Vanilla WACC, is consistent with the way we estimate the required return on equity, and is supported by Handley. Lally also considers our approach to imputation credits is consistent with the post-tax framework in the NER/NGR.</w:t>
      </w:r>
      <w:r w:rsidRPr="001D37D5">
        <w:rPr>
          <w:rStyle w:val="FootnoteReference"/>
        </w:rPr>
        <w:footnoteReference w:id="292"/>
      </w:r>
      <w:r w:rsidRPr="001D37D5">
        <w:rPr>
          <w:rStyle w:val="AERtexthighlight"/>
        </w:rPr>
        <w:t xml:space="preserve"> </w:t>
      </w:r>
    </w:p>
    <w:p w:rsidR="00CA67C0" w:rsidRPr="001D37D5" w:rsidRDefault="00CA67C0" w:rsidP="00CA67C0">
      <w:pPr>
        <w:pStyle w:val="AERbulletlistfirststyle"/>
        <w:rPr>
          <w:rStyle w:val="AERtexthighlight"/>
        </w:rPr>
      </w:pPr>
      <w:r w:rsidRPr="00857C5F">
        <w:t xml:space="preserve">The explicit recognition that this is a pre personal taxes and pre personal transaction costs value is simply explicit recognition of something implicit in the Officer Vanilla </w:t>
      </w:r>
      <w:r w:rsidRPr="00857C5F">
        <w:lastRenderedPageBreak/>
        <w:t>WACC framework. This framework determines the required return to the company (i.e. before personal taxes and personal transaction costs are incurred) consistent with the definition of the after-tax net cash flows set out in Officer.</w:t>
      </w:r>
      <w:r w:rsidRPr="001D37D5">
        <w:rPr>
          <w:rStyle w:val="FootnoteReference"/>
        </w:rPr>
        <w:footnoteReference w:id="293"/>
      </w:r>
    </w:p>
    <w:p w:rsidR="00CA67C0" w:rsidRPr="001D37D5" w:rsidRDefault="00CA67C0" w:rsidP="00CA67C0">
      <w:pPr>
        <w:pStyle w:val="AERbulletlistfirststyle"/>
        <w:rPr>
          <w:rStyle w:val="AERtexthighlight"/>
        </w:rPr>
      </w:pPr>
      <w:r w:rsidRPr="00857C5F">
        <w:t>Our</w:t>
      </w:r>
      <w:r w:rsidRPr="001D37D5">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1D37D5">
        <w:rPr>
          <w:rStyle w:val="FootnoteReference"/>
        </w:rPr>
        <w:footnoteReference w:id="294"/>
      </w:r>
      <w:r w:rsidRPr="001D37D5">
        <w:t xml:space="preserve"> As these after-tax net cash flows are at the company level they are before personal taxes and personal transaction costs. This is supported by the advice of Handley and Lally.</w:t>
      </w:r>
      <w:r w:rsidRPr="001D37D5">
        <w:rPr>
          <w:rStyle w:val="FootnoteReference"/>
        </w:rPr>
        <w:footnoteReference w:id="295"/>
      </w:r>
    </w:p>
    <w:p w:rsidR="00CA67C0" w:rsidRPr="00883125" w:rsidRDefault="00CA67C0" w:rsidP="00CA67C0">
      <w:pPr>
        <w:pStyle w:val="Heading9"/>
      </w:pPr>
      <w:bookmarkStart w:id="156" w:name="_Ref400962032"/>
      <w:bookmarkStart w:id="157" w:name="_Toc456614299"/>
      <w:r w:rsidRPr="00883125">
        <w:t>The tax building block</w:t>
      </w:r>
      <w:bookmarkEnd w:id="156"/>
      <w:bookmarkEnd w:id="157"/>
    </w:p>
    <w:p w:rsidR="00CA67C0" w:rsidRPr="00883125" w:rsidRDefault="00CA67C0" w:rsidP="00764AB1">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296"/>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CA67C0" w:rsidRPr="00883125" w:rsidRDefault="00CA67C0" w:rsidP="00764AB1">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CA67C0" w:rsidRPr="00883125" w:rsidRDefault="00CA67C0" w:rsidP="00764AB1">
      <w:pPr>
        <w:numPr>
          <w:ilvl w:val="0"/>
          <w:numId w:val="24"/>
        </w:numPr>
      </w:pPr>
      <w:r w:rsidRPr="00883125">
        <w:t>The cost of corporate income tax building block takes the following form:</w:t>
      </w:r>
    </w:p>
    <w:p w:rsidR="00CA67C0" w:rsidRPr="00883125" w:rsidRDefault="007261FC" w:rsidP="00764AB1">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CA67C0" w:rsidRPr="00883125" w:rsidRDefault="00CA67C0" w:rsidP="00764AB1">
      <w:pPr>
        <w:numPr>
          <w:ilvl w:val="0"/>
          <w:numId w:val="24"/>
        </w:numPr>
      </w:pPr>
      <w:r w:rsidRPr="00883125">
        <w:t>where:</w:t>
      </w:r>
    </w:p>
    <w:p w:rsidR="00CA67C0" w:rsidRPr="001D37D5" w:rsidRDefault="007261FC" w:rsidP="00CA67C0">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CA67C0" w:rsidRPr="001D37D5" w:rsidDel="00CE0EED">
        <w:t xml:space="preserve"> </w:t>
      </w:r>
      <w:r w:rsidR="00CA67C0" w:rsidRPr="001D37D5">
        <w:t>is an estimate of the benchmark efficient entity's tax liability.</w:t>
      </w:r>
    </w:p>
    <w:p w:rsidR="00CA67C0" w:rsidRPr="001D37D5" w:rsidRDefault="00CA67C0" w:rsidP="00CA67C0">
      <w:pPr>
        <w:pStyle w:val="AERbulletlistfirststyle"/>
      </w:pPr>
      <m:oMath>
        <m:r>
          <w:rPr>
            <w:rFonts w:ascii="Cambria Math" w:hAnsi="Cambria Math"/>
          </w:rPr>
          <m:t>γ</m:t>
        </m:r>
      </m:oMath>
      <w:r w:rsidRPr="001D37D5">
        <w:t xml:space="preserve"> is the value of imputation credits.</w:t>
      </w:r>
    </w:p>
    <w:p w:rsidR="00CA67C0" w:rsidRPr="00883125" w:rsidRDefault="00CA67C0" w:rsidP="00764AB1">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 xml:space="preserve">(gamma) dollars for each dollar of expected company tax payable by the benchmark efficient entity. Given it is the tax paid by the benchmark efficient entity that </w:t>
      </w:r>
      <w:r w:rsidRPr="00883125">
        <w:lastRenderedPageBreak/>
        <w:t>gives rise to the imputation credits, we consider that it is the (pre-personal tax) value of imputation credits to investors in the benchmark efficient entity that is relevant.</w:t>
      </w:r>
      <w:r w:rsidRPr="00883125">
        <w:rPr>
          <w:rStyle w:val="FootnoteReference"/>
        </w:rPr>
        <w:footnoteReference w:id="297"/>
      </w:r>
    </w:p>
    <w:p w:rsidR="00CA67C0" w:rsidRPr="00883125" w:rsidRDefault="00CA67C0" w:rsidP="00CA67C0">
      <w:pPr>
        <w:pStyle w:val="Heading8"/>
      </w:pPr>
      <w:bookmarkStart w:id="158" w:name="_Ref400965182"/>
      <w:bookmarkStart w:id="159" w:name="_Toc436049447"/>
      <w:bookmarkStart w:id="160" w:name="_Ref451826492"/>
      <w:bookmarkStart w:id="161" w:name="_Toc451842252"/>
      <w:bookmarkStart w:id="162" w:name="_Toc451938307"/>
      <w:bookmarkStart w:id="163" w:name="_Toc456614300"/>
      <w:r w:rsidRPr="00883125">
        <w:t>The conceptual framework for the value of imputation credits</w:t>
      </w:r>
      <w:bookmarkEnd w:id="158"/>
      <w:bookmarkEnd w:id="159"/>
      <w:bookmarkEnd w:id="160"/>
      <w:bookmarkEnd w:id="161"/>
      <w:bookmarkEnd w:id="162"/>
      <w:bookmarkEnd w:id="163"/>
    </w:p>
    <w:p w:rsidR="00CA67C0" w:rsidRPr="00883125" w:rsidRDefault="00CA67C0" w:rsidP="00764AB1">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7261FC">
        <w:t>A.5.2</w:t>
      </w:r>
      <w:r w:rsidRPr="00883125">
        <w:fldChar w:fldCharType="end"/>
      </w:r>
      <w:r w:rsidRPr="00883125">
        <w:t xml:space="preserve">, we consider the 'value of imputation credits' to be the value of imputation credits to investors in the benchmark efficient entity. Moreover, as noted above, it is the </w:t>
      </w:r>
      <w:r w:rsidR="000A181E">
        <w:t xml:space="preserve">post-company </w:t>
      </w:r>
      <w:r w:rsidRPr="00883125">
        <w:t>pre-personal tax value of imputation credits to those investors that we seek to estimate. The issue is then how to interpret and estimate the value of imputation credits. Our approach to interpreting and estimating the value of imputation credits is guided in the first instance by the conceptual framework developed by Officer.</w:t>
      </w:r>
      <w:r w:rsidRPr="00883125">
        <w:rPr>
          <w:rStyle w:val="FootnoteReference"/>
        </w:rPr>
        <w:footnoteReference w:id="298"/>
      </w:r>
      <w:r w:rsidRPr="00883125">
        <w:t xml:space="preserve"> This is because:</w:t>
      </w:r>
    </w:p>
    <w:p w:rsidR="00CA67C0" w:rsidRPr="001D37D5" w:rsidRDefault="00CA67C0" w:rsidP="00CA67C0">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1D37D5">
        <w:rPr>
          <w:rStyle w:val="FootnoteReference"/>
        </w:rPr>
        <w:footnoteReference w:id="299"/>
      </w:r>
    </w:p>
    <w:p w:rsidR="00CA67C0" w:rsidRPr="001D37D5" w:rsidRDefault="00CA67C0" w:rsidP="00CA67C0">
      <w:pPr>
        <w:pStyle w:val="AERbulletlistfirststyle"/>
      </w:pPr>
      <w:r w:rsidRPr="00883125">
        <w:t>Handley advised that Officer's definition of the nominal vanilla rate of return provides the basis for the rate of return framework in the NER/NGR.</w:t>
      </w:r>
      <w:r w:rsidRPr="001D37D5">
        <w:rPr>
          <w:rStyle w:val="FootnoteReference"/>
        </w:rPr>
        <w:footnoteReference w:id="300"/>
      </w:r>
    </w:p>
    <w:p w:rsidR="00CA67C0" w:rsidRPr="001D37D5" w:rsidRDefault="00CA67C0" w:rsidP="00CA67C0">
      <w:pPr>
        <w:pStyle w:val="AERbulletlistfirststyle"/>
      </w:pPr>
      <w:r w:rsidRPr="00883125">
        <w:t>The NER/NGR require that we determine the rate of return on a nominal vanilla basis that is consistent with our estimate of the value of imputation credits.</w:t>
      </w:r>
      <w:r w:rsidRPr="001D37D5">
        <w:rPr>
          <w:rStyle w:val="FootnoteReference"/>
        </w:rPr>
        <w:footnoteReference w:id="301"/>
      </w:r>
    </w:p>
    <w:p w:rsidR="00CA67C0" w:rsidRPr="00ED480E" w:rsidRDefault="00CA67C0" w:rsidP="00CA67C0">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CA67C0" w:rsidRPr="00ED480E" w:rsidRDefault="00CA67C0" w:rsidP="00CA67C0">
      <w:r w:rsidRPr="00ED480E">
        <w:t xml:space="preserve">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w:t>
      </w:r>
      <w:r w:rsidRPr="00ED480E">
        <w:lastRenderedPageBreak/>
        <w:t>proportion of investors that are eligible to utilise distributed imputation credits. So much is confirmed by Handley, who states:</w:t>
      </w:r>
      <w:r>
        <w:rPr>
          <w:rStyle w:val="FootnoteReference"/>
        </w:rPr>
        <w:footnoteReference w:id="302"/>
      </w:r>
    </w:p>
    <w:p w:rsidR="00CA67C0" w:rsidRPr="00CA67C0" w:rsidRDefault="00CA67C0" w:rsidP="00CA67C0">
      <w:pPr>
        <w:pStyle w:val="AERquote"/>
        <w:rPr>
          <w:rFonts w:eastAsia="Arial"/>
        </w:rPr>
      </w:pPr>
      <w:r w:rsidRPr="00CA67C0">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CA67C0" w:rsidRDefault="00CA67C0" w:rsidP="00CA67C0">
      <w:r w:rsidRPr="00ED480E">
        <w:t>The Officer Paper makes clear that gamma is:</w:t>
      </w:r>
    </w:p>
    <w:p w:rsidR="00CA67C0" w:rsidRDefault="00CA67C0" w:rsidP="00CA67C0">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CA67C0" w:rsidRDefault="00CA67C0" w:rsidP="00CA67C0">
      <w:pPr>
        <w:pStyle w:val="AERnumberedlistsecondstyle"/>
      </w:pPr>
      <w:r w:rsidRPr="00705187">
        <w:t xml:space="preserve">the value of a dollar of tax credit to the shareholder; </w:t>
      </w:r>
      <w:r w:rsidRPr="005764F6">
        <w:rPr>
          <w:rStyle w:val="AERtextitalic"/>
        </w:rPr>
        <w:t>with the result that</w:t>
      </w:r>
    </w:p>
    <w:p w:rsidR="00CA67C0" w:rsidRDefault="00CA67C0" w:rsidP="00CA67C0">
      <w:pPr>
        <w:pStyle w:val="AERnumberedlistsecondstyle"/>
      </w:pPr>
      <w:r w:rsidRPr="00705187">
        <w:t>if the shareholder can fully utilise the imputation tax credits then the value of gamma =1.</w:t>
      </w:r>
      <w:r>
        <w:rPr>
          <w:rStyle w:val="FootnoteReference"/>
        </w:rPr>
        <w:footnoteReference w:id="303"/>
      </w:r>
    </w:p>
    <w:p w:rsidR="00CA67C0" w:rsidRPr="001D37D5" w:rsidRDefault="00CA67C0" w:rsidP="00FC10E0">
      <w:r>
        <w:t>Our</w:t>
      </w:r>
      <w:r w:rsidRPr="001D37D5">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CA67C0" w:rsidRPr="00FD036B" w:rsidRDefault="00CA67C0" w:rsidP="00CA67C0">
      <w:r w:rsidRPr="00FD036B">
        <w:t>The Officer Paper included the following explanation of gamma at pp 2-4 (emphasis added):</w:t>
      </w:r>
    </w:p>
    <w:p w:rsidR="00CA67C0" w:rsidRPr="00FD036B" w:rsidRDefault="00CA67C0" w:rsidP="00CA67C0">
      <w:pPr>
        <w:pStyle w:val="AERquote"/>
      </w:pPr>
      <w:r w:rsidRPr="00CA67C0">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CA67C0" w:rsidRPr="00CA67C0" w:rsidRDefault="00CA67C0" w:rsidP="00CA67C0">
      <w:pPr>
        <w:pStyle w:val="AERquote"/>
        <w:rPr>
          <w:rFonts w:eastAsia="Arial"/>
        </w:rPr>
      </w:pPr>
      <w:r w:rsidRPr="00CA67C0">
        <w:rPr>
          <w:rFonts w:eastAsia="Arial"/>
        </w:rPr>
        <w:t xml:space="preserve">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w:t>
      </w:r>
      <w:r w:rsidRPr="00CA67C0">
        <w:rPr>
          <w:rFonts w:eastAsia="Arial"/>
        </w:rPr>
        <w:lastRenderedPageBreak/>
        <w:t>The tax the company pays is simply the shareholders’ personal income tax being collected at the company level.</w:t>
      </w:r>
    </w:p>
    <w:p w:rsidR="00CA67C0" w:rsidRPr="00CA67C0" w:rsidRDefault="00CA67C0" w:rsidP="00CA67C0">
      <w:pPr>
        <w:pStyle w:val="AERquote"/>
        <w:rPr>
          <w:rFonts w:eastAsia="Arial"/>
        </w:rPr>
      </w:pPr>
      <w:r w:rsidRPr="00CA67C0">
        <w:rPr>
          <w:rFonts w:eastAsia="Arial"/>
        </w:rPr>
        <w:t>The amount of tax collected from the company by the government is found by applying the effective tax rate (T) to the operating income less interest, i.e. X</w:t>
      </w:r>
      <w:r w:rsidRPr="00CA67C0">
        <w:rPr>
          <w:rStyle w:val="AERsubscript"/>
          <w:rFonts w:eastAsia="Arial"/>
        </w:rPr>
        <w:t>O</w:t>
      </w:r>
      <w:r w:rsidRPr="00CA67C0">
        <w:rPr>
          <w:rFonts w:eastAsia="Arial"/>
        </w:rPr>
        <w:t xml:space="preserve"> – X</w:t>
      </w:r>
      <w:r w:rsidRPr="00CA67C0">
        <w:rPr>
          <w:rStyle w:val="AERsubscript"/>
          <w:rFonts w:eastAsia="Arial"/>
        </w:rPr>
        <w:t>D</w:t>
      </w:r>
      <w:r w:rsidRPr="00CA67C0">
        <w:rPr>
          <w:rFonts w:eastAsia="Arial"/>
        </w:rPr>
        <w:t>.</w:t>
      </w:r>
    </w:p>
    <w:p w:rsidR="00CA67C0" w:rsidRPr="00FD036B" w:rsidRDefault="00CA67C0" w:rsidP="00CA67C0">
      <w:pPr>
        <w:pStyle w:val="AERquote"/>
      </w:pPr>
      <w:r w:rsidRPr="00CA67C0">
        <w:rPr>
          <w:rFonts w:eastAsia="Arial"/>
        </w:rPr>
        <w:t>This amount, i.e. T(X</w:t>
      </w:r>
      <w:r w:rsidRPr="00CA67C0">
        <w:rPr>
          <w:rStyle w:val="AERsubscript"/>
          <w:rFonts w:eastAsia="Arial"/>
        </w:rPr>
        <w:t>O</w:t>
      </w:r>
      <w:r w:rsidRPr="00CA67C0">
        <w:rPr>
          <w:rFonts w:eastAsia="Arial"/>
        </w:rPr>
        <w:t xml:space="preserve"> – X</w:t>
      </w:r>
      <w:r w:rsidRPr="00CA67C0">
        <w:rPr>
          <w:rStyle w:val="AERsubscript"/>
          <w:rFonts w:eastAsia="Arial"/>
        </w:rPr>
        <w:t>D</w:t>
      </w:r>
      <w:r w:rsidRPr="00CA67C0">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CA67C0" w:rsidRPr="00CA67C0" w:rsidRDefault="00CA67C0" w:rsidP="00CA67C0">
      <w:pPr>
        <w:pStyle w:val="AERquote"/>
        <w:rPr>
          <w:rFonts w:eastAsia="Arial"/>
        </w:rPr>
      </w:pPr>
      <w:r w:rsidRPr="00CA67C0">
        <w:rPr>
          <w:rFonts w:eastAsia="Arial"/>
        </w:rPr>
        <w:t>In these circumstances, the effective level of company tax paid is defined by:</w:t>
      </w:r>
    </w:p>
    <w:p w:rsidR="00CA67C0" w:rsidRPr="00CA67C0" w:rsidRDefault="00CA67C0" w:rsidP="00CA67C0">
      <w:pPr>
        <w:pStyle w:val="AERquote"/>
        <w:rPr>
          <w:rFonts w:eastAsia="Arial"/>
        </w:rPr>
      </w:pPr>
      <w:r w:rsidRPr="00CA67C0">
        <w:rPr>
          <w:rFonts w:eastAsia="Arial"/>
        </w:rPr>
        <w:t>XG = T(X</w:t>
      </w:r>
      <w:r w:rsidRPr="00CA67C0">
        <w:rPr>
          <w:rStyle w:val="AERsubscript"/>
          <w:rFonts w:eastAsia="Arial"/>
        </w:rPr>
        <w:t>O</w:t>
      </w:r>
      <w:r w:rsidRPr="00CA67C0">
        <w:rPr>
          <w:rFonts w:eastAsia="Arial"/>
        </w:rPr>
        <w:t xml:space="preserve"> – X</w:t>
      </w:r>
      <w:r w:rsidRPr="00CA67C0">
        <w:rPr>
          <w:rStyle w:val="AERsubscript"/>
          <w:rFonts w:eastAsia="Arial"/>
        </w:rPr>
        <w:t>D</w:t>
      </w:r>
      <w:r w:rsidRPr="00CA67C0">
        <w:rPr>
          <w:rFonts w:eastAsia="Arial"/>
        </w:rPr>
        <w:t>) - γ . T(X</w:t>
      </w:r>
      <w:r w:rsidRPr="00CA67C0">
        <w:rPr>
          <w:rStyle w:val="AERsubscript"/>
          <w:rFonts w:eastAsia="Arial"/>
        </w:rPr>
        <w:t>O</w:t>
      </w:r>
      <w:r w:rsidRPr="00CA67C0">
        <w:rPr>
          <w:rFonts w:eastAsia="Arial"/>
        </w:rPr>
        <w:t xml:space="preserve"> – X</w:t>
      </w:r>
      <w:r w:rsidRPr="00CA67C0">
        <w:rPr>
          <w:rStyle w:val="AERsubscript"/>
          <w:rFonts w:eastAsia="Arial"/>
        </w:rPr>
        <w:t>D</w:t>
      </w:r>
      <w:r w:rsidRPr="00CA67C0">
        <w:rPr>
          <w:rFonts w:eastAsia="Arial"/>
        </w:rPr>
        <w:t>)</w:t>
      </w:r>
    </w:p>
    <w:p w:rsidR="00CA67C0" w:rsidRPr="00CA67C0" w:rsidRDefault="00CA67C0" w:rsidP="00CA67C0">
      <w:pPr>
        <w:pStyle w:val="AERquote"/>
        <w:rPr>
          <w:rFonts w:eastAsia="Arial"/>
        </w:rPr>
      </w:pPr>
      <w:r w:rsidRPr="00CA67C0">
        <w:rPr>
          <w:rFonts w:eastAsia="Arial"/>
        </w:rPr>
        <w:t>= T (X</w:t>
      </w:r>
      <w:r w:rsidRPr="00CA67C0">
        <w:rPr>
          <w:rStyle w:val="AERsubscript"/>
          <w:rFonts w:eastAsia="Arial"/>
        </w:rPr>
        <w:t>O</w:t>
      </w:r>
      <w:r w:rsidRPr="00CA67C0">
        <w:rPr>
          <w:rFonts w:eastAsia="Arial"/>
        </w:rPr>
        <w:t xml:space="preserve"> – X</w:t>
      </w:r>
      <w:r w:rsidRPr="00CA67C0">
        <w:rPr>
          <w:rStyle w:val="AERsubscript"/>
          <w:rFonts w:eastAsia="Arial"/>
        </w:rPr>
        <w:t>D</w:t>
      </w:r>
      <w:r w:rsidRPr="00CA67C0">
        <w:rPr>
          <w:rFonts w:eastAsia="Arial"/>
        </w:rPr>
        <w:t>) (1-γ)</w:t>
      </w:r>
      <w:r w:rsidRPr="00CA67C0">
        <w:rPr>
          <w:rFonts w:eastAsia="Arial"/>
        </w:rPr>
        <w:tab/>
        <w:t>(2)</w:t>
      </w:r>
    </w:p>
    <w:p w:rsidR="00CA67C0" w:rsidRPr="00CA67C0" w:rsidRDefault="00CA67C0" w:rsidP="00CA67C0">
      <w:pPr>
        <w:pStyle w:val="AERquote"/>
        <w:rPr>
          <w:rFonts w:eastAsia="Arial"/>
        </w:rPr>
      </w:pPr>
      <w:r w:rsidRPr="00CA67C0">
        <w:rPr>
          <w:rFonts w:eastAsia="Arial"/>
        </w:rPr>
        <w:t>where</w:t>
      </w:r>
    </w:p>
    <w:p w:rsidR="00CA67C0" w:rsidRPr="00CA67C0" w:rsidRDefault="00CA67C0" w:rsidP="00CA67C0">
      <w:pPr>
        <w:pStyle w:val="AERquote"/>
        <w:rPr>
          <w:rFonts w:eastAsia="Arial"/>
        </w:rPr>
      </w:pPr>
      <w:r w:rsidRPr="00CA67C0">
        <w:rPr>
          <w:rFonts w:eastAsia="Arial"/>
        </w:rPr>
        <w:t>T is the tax rate effective for the definition of assessable income as defined in (2), it is the effective rate which is levied at the company level and it is a mixture of company tax T(1-γ) and personal tax, T. γ, i.e. T= T( 1-γ) + Tγ. Thus γ is the proportion of tax collected from the company which gives rise to the tax credit associated with a franked dividend. This franking</w:t>
      </w:r>
      <w:r>
        <w:t xml:space="preserve"> </w:t>
      </w:r>
      <w:r w:rsidRPr="00CA67C0">
        <w:rPr>
          <w:rFonts w:eastAsia="Arial"/>
        </w:rPr>
        <w:t>credit can be utilized as tax credit against the personal tax liabilities of the shareholder. γ can be interpreted as the value of a dollar of tax credit to the shareholder.</w:t>
      </w:r>
    </w:p>
    <w:p w:rsidR="00CA67C0" w:rsidRPr="00FD036B" w:rsidRDefault="00CA67C0" w:rsidP="00764AB1">
      <w:pPr>
        <w:pStyle w:val="ListParagraph"/>
        <w:numPr>
          <w:ilvl w:val="0"/>
          <w:numId w:val="24"/>
        </w:numPr>
      </w:pPr>
      <w:r w:rsidRPr="00FD036B">
        <w:t>The Officer Paper set out the following example of its interpretation of gamma:</w:t>
      </w:r>
      <w:r>
        <w:rPr>
          <w:rStyle w:val="FootnoteReference"/>
        </w:rPr>
        <w:footnoteReference w:id="304"/>
      </w:r>
    </w:p>
    <w:p w:rsidR="00CA67C0" w:rsidRPr="00CA67C0" w:rsidRDefault="00CA67C0" w:rsidP="00CA67C0">
      <w:pPr>
        <w:pStyle w:val="AERquote"/>
        <w:rPr>
          <w:rFonts w:eastAsia="Arial"/>
        </w:rPr>
      </w:pPr>
      <w:r w:rsidRPr="00CA67C0">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CA67C0" w:rsidRDefault="00CA67C0" w:rsidP="00764AB1">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CA67C0" w:rsidRPr="00883125" w:rsidRDefault="00CA67C0" w:rsidP="00764AB1">
      <w:pPr>
        <w:numPr>
          <w:ilvl w:val="0"/>
          <w:numId w:val="24"/>
        </w:numPr>
      </w:pPr>
      <w:r w:rsidRPr="00883125">
        <w:t xml:space="preserve">Officer describes gamma in different ways, and this is a potential source of ambiguity regarding what the parameter represents and therefore how one might estimate it in practice. Whilst Handley acknowledged that Officer describes gamma in seemingly different </w:t>
      </w:r>
      <w:r w:rsidRPr="00883125">
        <w:lastRenderedPageBreak/>
        <w:t>ways, he advised that, when examined closely, there is no ambiguity in the meaning of Officer. Handley advised:</w:t>
      </w:r>
      <w:r w:rsidRPr="00883125">
        <w:rPr>
          <w:rStyle w:val="FootnoteReference"/>
        </w:rPr>
        <w:footnoteReference w:id="305"/>
      </w:r>
    </w:p>
    <w:p w:rsidR="00CA67C0" w:rsidRPr="00883125" w:rsidRDefault="00CA67C0" w:rsidP="00CA67C0">
      <w:pPr>
        <w:pStyle w:val="AERquote"/>
      </w:pPr>
      <w:r w:rsidRPr="00883125">
        <w:t>Similarly, Officer has described gamma in seemingly different ways. For example he refers to:</w:t>
      </w:r>
    </w:p>
    <w:p w:rsidR="00CA67C0" w:rsidRPr="00883125" w:rsidRDefault="00CA67C0" w:rsidP="00CA67C0">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CA67C0" w:rsidRPr="00883125" w:rsidRDefault="00CA67C0" w:rsidP="00CA67C0">
      <w:pPr>
        <w:pStyle w:val="AERquote"/>
      </w:pPr>
      <w:r w:rsidRPr="00883125">
        <w:t>and shortly thereafter:</w:t>
      </w:r>
    </w:p>
    <w:p w:rsidR="00CA67C0" w:rsidRPr="00883125" w:rsidRDefault="00CA67C0" w:rsidP="00CA67C0">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CA67C0" w:rsidRPr="00883125" w:rsidRDefault="00CA67C0" w:rsidP="00CA67C0">
      <w:pPr>
        <w:pStyle w:val="AERquote"/>
      </w:pPr>
      <w:r w:rsidRPr="00883125">
        <w:t>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shareholders. It is this identification of the personal tax component of the company tax paid which is the central idea of the paper.</w:t>
      </w:r>
    </w:p>
    <w:p w:rsidR="00CA67C0" w:rsidRPr="00883125" w:rsidRDefault="00CA67C0" w:rsidP="00764AB1">
      <w:pPr>
        <w:numPr>
          <w:ilvl w:val="0"/>
          <w:numId w:val="24"/>
        </w:numPr>
      </w:pPr>
      <w:r w:rsidRPr="00883125">
        <w:t>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This interpretation is consistent with the Officer framework and is supported by advice from Handley.</w:t>
      </w:r>
    </w:p>
    <w:p w:rsidR="00CA67C0" w:rsidRPr="005764F6" w:rsidRDefault="00CA67C0" w:rsidP="00764AB1">
      <w:pPr>
        <w:numPr>
          <w:ilvl w:val="0"/>
          <w:numId w:val="24"/>
        </w:numPr>
        <w:rPr>
          <w:rStyle w:val="AERbody"/>
        </w:rPr>
      </w:pPr>
      <w:r w:rsidRPr="005764F6">
        <w:rPr>
          <w:rStyle w:val="AERbody"/>
        </w:rPr>
        <w:t xml:space="preserve">In </w:t>
      </w:r>
      <w:r>
        <w:rPr>
          <w:rStyle w:val="AERbody"/>
        </w:rPr>
        <w:t>late</w:t>
      </w:r>
      <w:r w:rsidRPr="005764F6">
        <w:rPr>
          <w:rStyle w:val="AERbody"/>
        </w:rPr>
        <w:t xml:space="preserve"> submissions, United Energy, </w:t>
      </w:r>
      <w:r>
        <w:rPr>
          <w:rStyle w:val="AERbody"/>
        </w:rPr>
        <w:t xml:space="preserve">ActewAGL, </w:t>
      </w:r>
      <w:r w:rsidRPr="005764F6">
        <w:rPr>
          <w:rStyle w:val="AERbody"/>
        </w:rPr>
        <w:t xml:space="preserve">CitiPower and Powercor submitted that the Tribunal considered </w:t>
      </w:r>
      <w:r>
        <w:rPr>
          <w:rStyle w:val="AERbody"/>
        </w:rPr>
        <w:t>we</w:t>
      </w:r>
      <w:r w:rsidRPr="005764F6">
        <w:rPr>
          <w:rStyle w:val="AERbody"/>
        </w:rPr>
        <w:t xml:space="preserve"> had erred in adopting a conceptual approach to gamma that redefines it as the value of imputation credits that are available for redemption.</w:t>
      </w:r>
      <w:r w:rsidRPr="00857C5F">
        <w:rPr>
          <w:rStyle w:val="FootnoteReference"/>
        </w:rPr>
        <w:footnoteReference w:id="306"/>
      </w:r>
      <w:r w:rsidRPr="005764F6">
        <w:rPr>
          <w:rStyle w:val="AERbody"/>
        </w:rPr>
        <w:t xml:space="preserve"> The Tribunal found this due to </w:t>
      </w:r>
      <w:r>
        <w:rPr>
          <w:rStyle w:val="AERbody"/>
        </w:rPr>
        <w:t>us</w:t>
      </w:r>
      <w:r w:rsidRPr="005764F6">
        <w:rPr>
          <w:rStyle w:val="AERbody"/>
        </w:rPr>
        <w:t xml:space="preserve"> placing most reliance on the equity ownership approach and effectively defining the utilisation value as the proportion of distributed imputation credits that are available for redemption.</w:t>
      </w:r>
      <w:r w:rsidRPr="00857C5F">
        <w:rPr>
          <w:rStyle w:val="FootnoteReference"/>
        </w:rPr>
        <w:footnoteReference w:id="307"/>
      </w:r>
      <w:r w:rsidRPr="005764F6">
        <w:rPr>
          <w:rStyle w:val="AERbody"/>
        </w:rPr>
        <w:t xml:space="preserve"> The Tribunal considered that such an approach:</w:t>
      </w:r>
      <w:r w:rsidRPr="00857C5F">
        <w:rPr>
          <w:rStyle w:val="FootnoteReference"/>
        </w:rPr>
        <w:footnoteReference w:id="308"/>
      </w:r>
    </w:p>
    <w:p w:rsidR="00CA67C0" w:rsidRPr="005764F6" w:rsidRDefault="00CA67C0" w:rsidP="00CA67C0">
      <w:pPr>
        <w:pStyle w:val="AERquote"/>
      </w:pPr>
      <w:r w:rsidRPr="005764F6">
        <w:lastRenderedPageBreak/>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Pr="005764F6">
        <w:t xml:space="preserve"> for imputation credits. </w:t>
      </w:r>
    </w:p>
    <w:p w:rsidR="00CA67C0" w:rsidRPr="005764F6" w:rsidRDefault="00CA67C0" w:rsidP="00CA67C0">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309"/>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7261FC">
        <w:t>A.15.3</w:t>
      </w:r>
      <w:r w:rsidRPr="005764F6">
        <w:fldChar w:fldCharType="end"/>
      </w:r>
      <w:r w:rsidRPr="005764F6">
        <w:t>.</w:t>
      </w:r>
    </w:p>
    <w:p w:rsidR="00CA67C0" w:rsidRPr="00883125" w:rsidRDefault="00CA67C0" w:rsidP="00764AB1">
      <w:pPr>
        <w:numPr>
          <w:ilvl w:val="0"/>
          <w:numId w:val="24"/>
        </w:numPr>
      </w:pPr>
      <w:r w:rsidRPr="00883125">
        <w:t>The Officer framework assumes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sidRPr="00883125">
        <w:rPr>
          <w:rStyle w:val="FootnoteReference"/>
        </w:rPr>
        <w:footnoteReference w:id="310"/>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full payout of cash flows and imputation credits each period. Handley advised that Monkhouse effectively shows that:</w:t>
      </w:r>
      <w:r w:rsidRPr="00883125">
        <w:rPr>
          <w:rStyle w:val="FootnoteReference"/>
        </w:rPr>
        <w:footnoteReference w:id="311"/>
      </w:r>
    </w:p>
    <w:p w:rsidR="00CA67C0" w:rsidRPr="00883125" w:rsidRDefault="00CA67C0" w:rsidP="00764AB1">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CA67C0" w:rsidRPr="00883125" w:rsidRDefault="00CA67C0" w:rsidP="00764AB1">
      <w:pPr>
        <w:numPr>
          <w:ilvl w:val="0"/>
          <w:numId w:val="24"/>
        </w:numPr>
      </w:pPr>
      <w:r w:rsidRPr="00883125">
        <w:t>where:</w:t>
      </w:r>
    </w:p>
    <w:p w:rsidR="00CA67C0" w:rsidRPr="001D37D5" w:rsidRDefault="00CA67C0" w:rsidP="00CA67C0">
      <w:pPr>
        <w:pStyle w:val="AERbulletlistfirststyle"/>
      </w:pPr>
      <m:oMath>
        <m:r>
          <w:rPr>
            <w:rFonts w:ascii="Cambria Math" w:hAnsi="Cambria Math"/>
          </w:rPr>
          <m:t>F</m:t>
        </m:r>
      </m:oMath>
      <w:r w:rsidRPr="001D37D5">
        <w:t xml:space="preserve"> is the proportion of imputation credits generated that are distributed in a period (the 'distribution rate').</w:t>
      </w:r>
    </w:p>
    <w:p w:rsidR="00CA67C0" w:rsidRPr="001D37D5" w:rsidRDefault="00CA67C0" w:rsidP="00CA67C0">
      <w:pPr>
        <w:pStyle w:val="AERbulletlistfirststyle"/>
      </w:pPr>
      <m:oMath>
        <m:r>
          <w:rPr>
            <w:rFonts w:ascii="Cambria Math" w:hAnsi="Cambria Math"/>
          </w:rPr>
          <m:t>θ</m:t>
        </m:r>
      </m:oMath>
      <w:r w:rsidRPr="001D37D5">
        <w:t xml:space="preserve"> (theta) is the utilisation value to investors in the market per dollar of imputation credits distributed (the 'utilisation rate').</w:t>
      </w:r>
    </w:p>
    <w:p w:rsidR="00CA67C0" w:rsidRPr="001D37D5" w:rsidRDefault="00CA67C0" w:rsidP="00CA67C0">
      <w:pPr>
        <w:pStyle w:val="AERbulletlistfirststyle"/>
      </w:pPr>
      <m:oMath>
        <m:r>
          <w:rPr>
            <w:rFonts w:ascii="Cambria Math" w:hAnsi="Cambria Math"/>
          </w:rPr>
          <m:t>ψ</m:t>
        </m:r>
      </m:oMath>
      <w:r w:rsidRPr="001D37D5" w:rsidDel="008647A1">
        <w:t xml:space="preserve"> </w:t>
      </w:r>
      <w:r w:rsidRPr="001D37D5">
        <w:t>(psi) is the utilisation value of a retained credit to investors in the market.</w:t>
      </w:r>
    </w:p>
    <w:p w:rsidR="00CA67C0" w:rsidRPr="00883125" w:rsidRDefault="00CA67C0" w:rsidP="00764AB1">
      <w:pPr>
        <w:numPr>
          <w:ilvl w:val="0"/>
          <w:numId w:val="24"/>
        </w:numPr>
      </w:pPr>
      <w:r w:rsidRPr="00883125">
        <w:lastRenderedPageBreak/>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312"/>
      </w:r>
    </w:p>
    <w:p w:rsidR="00CA67C0" w:rsidRPr="00883125" w:rsidRDefault="00CA67C0" w:rsidP="00CA67C0">
      <w:pPr>
        <w:pStyle w:val="AERquote"/>
      </w:pPr>
      <w:r w:rsidRPr="00883125">
        <w:t>This interpretation of theta as a complex weighted average of investor utilisation rates is consistent with that appearing in Monkhouse (1993) and Lally and van Zijl (2003)…</w:t>
      </w:r>
    </w:p>
    <w:p w:rsidR="00CA67C0" w:rsidRPr="00883125" w:rsidRDefault="00CA67C0" w:rsidP="00764AB1">
      <w:pPr>
        <w:numPr>
          <w:ilvl w:val="0"/>
          <w:numId w:val="24"/>
        </w:numPr>
      </w:pPr>
      <w:r w:rsidRPr="00883125">
        <w:t>This is also supported by Lally's remarks on the work of Lally and van Zijl:</w:t>
      </w:r>
      <w:r w:rsidRPr="00883125">
        <w:rPr>
          <w:rStyle w:val="FootnoteReference"/>
        </w:rPr>
        <w:footnoteReference w:id="313"/>
      </w:r>
    </w:p>
    <w:p w:rsidR="00CA67C0" w:rsidRPr="00883125" w:rsidRDefault="00CA67C0" w:rsidP="00CA67C0">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CA67C0" w:rsidRPr="00883125" w:rsidRDefault="00CA67C0" w:rsidP="00764AB1">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rsidR="00F15ADC">
        <w:t xml:space="preserve">draft </w:t>
      </w:r>
      <w:r w:rsidRPr="00883125">
        <w:t xml:space="preserve">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7261FC">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7261FC">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7261FC">
        <w:t>A.8.1</w:t>
      </w:r>
      <w:r w:rsidRPr="00883125">
        <w:fldChar w:fldCharType="end"/>
      </w:r>
      <w:r w:rsidRPr="00883125">
        <w:t>, to be consistent with the Officer framework (and therefore the building block framework in the 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314"/>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7261FC">
        <w:t>A.8.1</w:t>
      </w:r>
      <w:r w:rsidRPr="00883125">
        <w:fldChar w:fldCharType="end"/>
      </w:r>
      <w:r w:rsidRPr="00883125">
        <w:t>.</w:t>
      </w:r>
    </w:p>
    <w:p w:rsidR="00CA67C0" w:rsidRPr="00883125" w:rsidRDefault="00CA67C0" w:rsidP="00764AB1">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xml:space="preserve">, when determining the value of imputation credits. This is mainly because we </w:t>
      </w:r>
      <w:r w:rsidRPr="00883125">
        <w:lastRenderedPageBreak/>
        <w:t>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315"/>
      </w:r>
    </w:p>
    <w:p w:rsidR="00CA67C0" w:rsidRPr="00883125" w:rsidRDefault="00CA67C0" w:rsidP="00CA67C0">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CA67C0" w:rsidRPr="00B27BE5" w:rsidRDefault="00CA67C0" w:rsidP="00CA67C0">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316"/>
      </w:r>
      <w:r w:rsidRPr="00B27BE5">
        <w:t xml:space="preserve"> Shareholders that do not participate in off market buybacks benefit from capital appreciation of their shares as the firm's capital is brought back at a discount to the prevailing market prices. An example of a recently completed off market buy back completed a discount that likely was used to stream imputation credits to those who could utilise them most highly was by Caltex Australia.</w:t>
      </w:r>
      <w:r w:rsidRPr="00B27BE5">
        <w:rPr>
          <w:rStyle w:val="FootnoteReference"/>
        </w:rPr>
        <w:footnoteReference w:id="317"/>
      </w:r>
      <w:r w:rsidRPr="00B27BE5">
        <w:t xml:space="preserve"> </w:t>
      </w:r>
    </w:p>
    <w:p w:rsidR="00CA67C0" w:rsidRPr="00B27BE5" w:rsidRDefault="00CA67C0" w:rsidP="00CA67C0">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that a 100 per cent, the proportion of imputation credits that are not distributed are worthless. As we assume the historical cumulative payout ratios (for listed and all equity) are reasonable estimates of the future expected payout ratios, we consider our approach is appropriate</w:t>
      </w:r>
      <w:r>
        <w:t>.</w:t>
      </w:r>
    </w:p>
    <w:p w:rsidR="00CA67C0" w:rsidRPr="00883125" w:rsidRDefault="00CA67C0" w:rsidP="00CA67C0">
      <w:pPr>
        <w:pStyle w:val="Heading8"/>
      </w:pPr>
      <w:bookmarkStart w:id="164" w:name="_Ref414282622"/>
      <w:bookmarkStart w:id="165" w:name="_Toc436049448"/>
      <w:bookmarkStart w:id="166" w:name="_Ref451789926"/>
      <w:bookmarkStart w:id="167" w:name="_Toc451842253"/>
      <w:bookmarkStart w:id="168" w:name="_Ref451849752"/>
      <w:bookmarkStart w:id="169" w:name="_Toc451938308"/>
      <w:bookmarkStart w:id="170" w:name="_Toc456614301"/>
      <w:r w:rsidRPr="00883125">
        <w:t>Gray's comments on the conceptual framework</w:t>
      </w:r>
      <w:bookmarkEnd w:id="164"/>
      <w:r w:rsidRPr="00883125">
        <w:t>.</w:t>
      </w:r>
      <w:r w:rsidRPr="00883125">
        <w:rPr>
          <w:rStyle w:val="FootnoteReference"/>
        </w:rPr>
        <w:footnoteReference w:id="318"/>
      </w:r>
      <w:bookmarkEnd w:id="165"/>
      <w:bookmarkEnd w:id="166"/>
      <w:bookmarkEnd w:id="167"/>
      <w:bookmarkEnd w:id="168"/>
      <w:bookmarkEnd w:id="169"/>
      <w:bookmarkEnd w:id="170"/>
    </w:p>
    <w:p w:rsidR="00CA67C0" w:rsidRPr="00883125" w:rsidRDefault="00CA67C0" w:rsidP="00764AB1">
      <w:pPr>
        <w:numPr>
          <w:ilvl w:val="0"/>
          <w:numId w:val="24"/>
        </w:numPr>
      </w:pPr>
      <w:r w:rsidRPr="00883125">
        <w:t xml:space="preserve">In the previous section, we set out our position on the appropriate conceptual framework for the estimation of the value of imputation credits. In this section, we respond to Gray's view. </w:t>
      </w:r>
      <w:r w:rsidRPr="00883125">
        <w:lastRenderedPageBreak/>
        <w:t>Gray's view on the conceptual framework was largely adopted by the service providers in their proposals.</w:t>
      </w:r>
    </w:p>
    <w:p w:rsidR="00CA67C0" w:rsidRPr="00883125" w:rsidRDefault="00CA67C0" w:rsidP="00764AB1">
      <w:pPr>
        <w:numPr>
          <w:ilvl w:val="0"/>
          <w:numId w:val="24"/>
        </w:numPr>
      </w:pPr>
      <w:r w:rsidRPr="00883125">
        <w:t>Gray's May 2014 report (for SFG) for the service providers submitted that:</w:t>
      </w:r>
    </w:p>
    <w:p w:rsidR="00CA67C0" w:rsidRPr="00883125" w:rsidRDefault="00CA67C0" w:rsidP="00CA67C0">
      <w:pPr>
        <w:pStyle w:val="AERbulletlistfirststyle"/>
      </w:pPr>
      <w:r w:rsidRPr="00883125">
        <w:t xml:space="preserve">The advice and evidence cited in the Guideline does not support the interpretation of the utilisation rate in the Guideline. </w:t>
      </w:r>
    </w:p>
    <w:p w:rsidR="00CA67C0" w:rsidRPr="00883125" w:rsidRDefault="00CA67C0" w:rsidP="00CA67C0">
      <w:pPr>
        <w:pStyle w:val="AERbulletlistfirststyle"/>
      </w:pPr>
      <w:r w:rsidRPr="00883125">
        <w:t>Officer shows that the value of imputation credits (gamma) represents the extent to which imputation credits are capitalised into the stock price.</w:t>
      </w:r>
    </w:p>
    <w:p w:rsidR="00CA67C0" w:rsidRPr="00883125" w:rsidRDefault="00CA67C0" w:rsidP="00CA67C0">
      <w:pPr>
        <w:pStyle w:val="AERbulletlistfirststyle"/>
      </w:pPr>
      <w:r w:rsidRPr="00883125">
        <w:t>The utilisation rate in the framework provided by Monkhouse (and Lally and van Zijl) should not be used to estimate the value of imputation credits.</w:t>
      </w:r>
    </w:p>
    <w:p w:rsidR="00CA67C0" w:rsidRPr="00883125" w:rsidRDefault="00CA67C0" w:rsidP="00764AB1">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319"/>
      </w:r>
      <w:r w:rsidRPr="00883125">
        <w:t xml:space="preserve"> We set out our reasoning below.</w:t>
      </w:r>
    </w:p>
    <w:p w:rsidR="00CA67C0" w:rsidRPr="00883125" w:rsidRDefault="00CA67C0" w:rsidP="00CA67C0">
      <w:pPr>
        <w:pStyle w:val="Heading9"/>
      </w:pPr>
      <w:bookmarkStart w:id="171" w:name="_Toc456614302"/>
      <w:bookmarkStart w:id="172" w:name="_Ref402179374"/>
      <w:r w:rsidRPr="00883125">
        <w:t>Gray's comments on the AER's position</w:t>
      </w:r>
      <w:bookmarkEnd w:id="171"/>
    </w:p>
    <w:p w:rsidR="00CA67C0" w:rsidRPr="00883125" w:rsidRDefault="00CA67C0" w:rsidP="00CA67C0">
      <w:r w:rsidRPr="00883125">
        <w:t>Gray (for SFG) submitted that '…the AER's position is that theta (and consequently gamma) no longer represents the value (as in "worth" or "market value to investors")…'.</w:t>
      </w:r>
      <w:r w:rsidRPr="00883125">
        <w:rPr>
          <w:rStyle w:val="FootnoteReference"/>
        </w:rPr>
        <w:footnoteReference w:id="320"/>
      </w:r>
      <w:r w:rsidRPr="00883125">
        <w:t xml:space="preserve"> This is incorrect. Our definition of the utilisation rate in this</w:t>
      </w:r>
      <w:r w:rsidR="00F15ADC">
        <w:t xml:space="preserve"> draft</w:t>
      </w:r>
      <w:r w:rsidRPr="00883125">
        <w:t xml:space="preserve"> decision and our prior decisions released in 2014</w:t>
      </w:r>
      <w:r w:rsidR="000A181E">
        <w:t>,</w:t>
      </w:r>
      <w:r w:rsidRPr="00883125">
        <w:t xml:space="preserve"> 2015</w:t>
      </w:r>
      <w:r w:rsidR="000A181E">
        <w:t xml:space="preserve"> and 2016</w:t>
      </w:r>
      <w:r w:rsidRPr="00883125">
        <w:t xml:space="preserve"> (our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7261FC">
        <w:t>A.7.3</w:t>
      </w:r>
      <w:r w:rsidRPr="00883125">
        <w:fldChar w:fldCharType="end"/>
      </w:r>
      <w:r w:rsidRPr="00883125">
        <w:t>.</w:t>
      </w:r>
    </w:p>
    <w:p w:rsidR="00CA67C0" w:rsidRPr="00883125" w:rsidRDefault="00CA67C0" w:rsidP="00CA67C0">
      <w:r w:rsidRPr="00883125">
        <w:t>In its recent decision</w:t>
      </w:r>
      <w:r>
        <w:t>s</w:t>
      </w:r>
      <w:r w:rsidRPr="00883125">
        <w:t xml:space="preserve"> referenced in </w:t>
      </w:r>
      <w:r>
        <w:t xml:space="preserve">late </w:t>
      </w:r>
      <w:r w:rsidRPr="00883125">
        <w:t xml:space="preserve">submissions by United Energy, </w:t>
      </w:r>
      <w:r>
        <w:t xml:space="preserve">ActewAGL </w:t>
      </w:r>
      <w:r w:rsidRPr="00883125">
        <w:t xml:space="preserve">CitiPower and Powercor, the Tribunal considered </w:t>
      </w:r>
      <w:r w:rsidR="001F278D">
        <w:t xml:space="preserve">our </w:t>
      </w:r>
      <w:r w:rsidRPr="00883125">
        <w:t>reasoning ignored the fact that other parameters in the allowed rate return calculation are market values that already incorporate the effects of the difference in investors' tax position and transaction costs.</w:t>
      </w:r>
      <w:r w:rsidRPr="00883125">
        <w:rPr>
          <w:rStyle w:val="FootnoteReference"/>
        </w:rPr>
        <w:footnoteReference w:id="321"/>
      </w:r>
    </w:p>
    <w:p w:rsidR="00CA67C0" w:rsidRPr="00883125" w:rsidRDefault="00CA67C0" w:rsidP="00CA67C0">
      <w:r w:rsidRPr="00883125">
        <w:lastRenderedPageBreak/>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w:t>
      </w:r>
      <w:r w:rsidR="000A181E">
        <w:t xml:space="preserve">(company) </w:t>
      </w:r>
      <w:r w:rsidRPr="00883125">
        <w:t xml:space="preserve">tax </w:t>
      </w:r>
      <w:r w:rsidR="000A181E">
        <w:t xml:space="preserve">(pre-personal tax) </w:t>
      </w:r>
      <w:r w:rsidRPr="00883125">
        <w:t xml:space="preserve">estimates. This is discussed further below in section </w:t>
      </w:r>
      <w:r>
        <w:fldChar w:fldCharType="begin"/>
      </w:r>
      <w:r>
        <w:instrText xml:space="preserve"> REF _Ref450298425 \r \h </w:instrText>
      </w:r>
      <w:r>
        <w:fldChar w:fldCharType="separate"/>
      </w:r>
      <w:r w:rsidR="007261FC">
        <w:t>A.8.2</w:t>
      </w:r>
      <w:r>
        <w:fldChar w:fldCharType="end"/>
      </w:r>
      <w:r>
        <w:t>.</w:t>
      </w:r>
    </w:p>
    <w:p w:rsidR="00CA67C0" w:rsidRPr="00883125" w:rsidRDefault="00CA67C0" w:rsidP="00CA67C0">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322"/>
      </w:r>
      <w:r w:rsidRPr="00883125">
        <w:t xml:space="preserve"> This is also incorrect. In this </w:t>
      </w:r>
      <w:r w:rsidR="00F15ADC">
        <w:t xml:space="preserve">draft </w:t>
      </w:r>
      <w:r w:rsidRPr="00883125">
        <w:t>decision and our prior decisions we estimate the utilisation rate. Further, nowhere in this</w:t>
      </w:r>
      <w:r w:rsidR="00F15ADC">
        <w:t xml:space="preserve"> draft</w:t>
      </w:r>
      <w:r w:rsidRPr="00883125">
        <w:t xml:space="preserve"> decision or in our prior decisions do we seek to support any aspect of our position with 'specific reference to "value" in the Rules in that it is "the number that is adopted" for imputation credits'.</w:t>
      </w:r>
    </w:p>
    <w:p w:rsidR="00CA67C0" w:rsidRPr="00883125" w:rsidRDefault="00CA67C0" w:rsidP="00CA67C0">
      <w:r w:rsidRPr="00883125">
        <w:t>We also disagree with Gray's view that:</w:t>
      </w:r>
      <w:r w:rsidRPr="00883125">
        <w:rPr>
          <w:rStyle w:val="FootnoteReference"/>
        </w:rPr>
        <w:footnoteReference w:id="323"/>
      </w:r>
    </w:p>
    <w:p w:rsidR="00CA67C0" w:rsidRPr="00883125" w:rsidRDefault="00CA67C0" w:rsidP="00CA67C0">
      <w:pPr>
        <w:pStyle w:val="AERquote"/>
      </w:pPr>
      <w:r w:rsidRPr="00883125">
        <w:t>The AER is not saying that it has identified a number of approaches for estimating the value (as in "worth to investors in the market") of imputation credits. Rather, the AER considers:</w:t>
      </w:r>
    </w:p>
    <w:p w:rsidR="00CA67C0" w:rsidRPr="00883125" w:rsidRDefault="00CA67C0" w:rsidP="00CA67C0">
      <w:pPr>
        <w:pStyle w:val="AERquote"/>
      </w:pPr>
      <w:r w:rsidRPr="00883125">
        <w:t>a) Some approaches for estimating the value (as in "worth to investors in the market") of imputation credits – the market value studies; and</w:t>
      </w:r>
    </w:p>
    <w:p w:rsidR="00CA67C0" w:rsidRPr="00883125" w:rsidRDefault="00CA67C0" w:rsidP="00CA67C0">
      <w:pPr>
        <w:pStyle w:val="AERquote"/>
      </w:pPr>
      <w:r w:rsidRPr="00883125">
        <w:t>b) Some approaches for estimating the redemption rate – the equity ownership and ATO tax statistic approaches.</w:t>
      </w:r>
    </w:p>
    <w:p w:rsidR="00CA67C0" w:rsidRPr="00883125" w:rsidRDefault="00CA67C0" w:rsidP="00CA67C0">
      <w:r w:rsidRPr="00883125">
        <w:t xml:space="preserve">By contrast, the approaches on which we rely in this decision to estimate the utilisation rate are all relevant for the reasons discussed in section </w:t>
      </w:r>
      <w:r>
        <w:fldChar w:fldCharType="begin"/>
      </w:r>
      <w:r>
        <w:instrText xml:space="preserve"> REF _Ref451271627 \r \h </w:instrText>
      </w:r>
      <w:r>
        <w:fldChar w:fldCharType="separate"/>
      </w:r>
      <w:r w:rsidR="007261FC">
        <w:t>4.4</w:t>
      </w:r>
      <w:r>
        <w:fldChar w:fldCharType="end"/>
      </w:r>
      <w:r w:rsidRPr="00883125">
        <w:t xml:space="preserve"> of attachment 4.</w:t>
      </w:r>
    </w:p>
    <w:p w:rsidR="00CA67C0" w:rsidRPr="00883125" w:rsidRDefault="00CA67C0" w:rsidP="00CA67C0">
      <w:pPr>
        <w:pStyle w:val="Heading9"/>
      </w:pPr>
      <w:bookmarkStart w:id="173" w:name="_Toc456614303"/>
      <w:r w:rsidRPr="00883125">
        <w:t>Gray's comments on certain evidence and advice cited in the Guideline</w:t>
      </w:r>
      <w:bookmarkEnd w:id="172"/>
      <w:bookmarkEnd w:id="173"/>
    </w:p>
    <w:p w:rsidR="00CA67C0" w:rsidRPr="00883125" w:rsidRDefault="00CA67C0" w:rsidP="00764AB1">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324"/>
      </w:r>
      <w:r w:rsidRPr="00883125">
        <w:t xml:space="preserve"> This evidence included:</w:t>
      </w:r>
    </w:p>
    <w:p w:rsidR="00CA67C0" w:rsidRPr="00883125" w:rsidRDefault="00CA67C0" w:rsidP="00CA67C0">
      <w:pPr>
        <w:pStyle w:val="AERbulletlistfirststyle"/>
      </w:pPr>
      <w:r w:rsidRPr="00883125">
        <w:t>The AEMC's 2012 rule change</w:t>
      </w:r>
    </w:p>
    <w:p w:rsidR="00CA67C0" w:rsidRPr="00883125" w:rsidRDefault="00CA67C0" w:rsidP="00CA67C0">
      <w:pPr>
        <w:pStyle w:val="AERbulletlistfirststyle"/>
      </w:pPr>
      <w:r w:rsidRPr="00883125">
        <w:t>McKenzie and Partington (2013)</w:t>
      </w:r>
    </w:p>
    <w:p w:rsidR="00CA67C0" w:rsidRPr="00883125" w:rsidRDefault="00CA67C0" w:rsidP="00CA67C0">
      <w:pPr>
        <w:pStyle w:val="AERbulletlistfirststyle"/>
      </w:pPr>
      <w:r w:rsidRPr="00883125">
        <w:lastRenderedPageBreak/>
        <w:t>Handley (2008), and</w:t>
      </w:r>
    </w:p>
    <w:p w:rsidR="00CA67C0" w:rsidRPr="00883125" w:rsidRDefault="00CA67C0" w:rsidP="00CA67C0">
      <w:pPr>
        <w:pStyle w:val="AERbulletlistfirststyle"/>
      </w:pPr>
      <w:r w:rsidRPr="00883125">
        <w:t>Hathaway and Officer (2004).</w:t>
      </w:r>
    </w:p>
    <w:p w:rsidR="00CA67C0" w:rsidRPr="00883125" w:rsidRDefault="00CA67C0" w:rsidP="00764AB1">
      <w:pPr>
        <w:numPr>
          <w:ilvl w:val="0"/>
          <w:numId w:val="24"/>
        </w:numPr>
      </w:pPr>
      <w:r w:rsidRPr="00883125">
        <w:t>In our decisions released in 2014, we set out why we disagreed with Gray's view on each piece of evidence.</w:t>
      </w:r>
      <w:r w:rsidRPr="00883125">
        <w:rPr>
          <w:rStyle w:val="FootnoteReference"/>
        </w:rPr>
        <w:footnoteReference w:id="325"/>
      </w:r>
      <w:r w:rsidRPr="00883125">
        <w:t xml:space="preserve"> In his February 2015 report (for SFG), Gray set out why his view on this evidence has not changed.</w:t>
      </w:r>
      <w:r w:rsidRPr="00883125">
        <w:rPr>
          <w:rStyle w:val="FootnoteReference"/>
        </w:rPr>
        <w:footnoteReference w:id="326"/>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CA67C0" w:rsidRPr="00883125" w:rsidRDefault="00CA67C0" w:rsidP="00CA67C0">
      <w:pPr>
        <w:pStyle w:val="Heading9"/>
      </w:pPr>
      <w:bookmarkStart w:id="174" w:name="_Ref414028398"/>
      <w:bookmarkStart w:id="175" w:name="_Toc456614304"/>
      <w:r w:rsidRPr="00883125">
        <w:t>Gray's comments on Officer (1994)</w:t>
      </w:r>
      <w:bookmarkEnd w:id="174"/>
      <w:bookmarkEnd w:id="175"/>
      <w:r w:rsidRPr="00883125">
        <w:t xml:space="preserve"> </w:t>
      </w:r>
    </w:p>
    <w:p w:rsidR="00CA67C0" w:rsidRPr="00883125" w:rsidRDefault="00CA67C0" w:rsidP="00CA67C0">
      <w:r w:rsidRPr="00883125">
        <w:t>Gray set out his views on Officer's 1994 paper in his May 2014 and February 2015 reports for SFG, and in his June 2015</w:t>
      </w:r>
      <w:r>
        <w:t xml:space="preserve"> and January 2016</w:t>
      </w:r>
      <w:r w:rsidRPr="00883125">
        <w:t xml:space="preserve"> report for Frontier. These views do not change our own view, consistent with the advice of Handley, that the value of imputation credits should be estimated on a before-personal-tax and before-personal-costs basis. We respond to Gray's comments on Officer below.</w:t>
      </w:r>
    </w:p>
    <w:p w:rsidR="00CA67C0" w:rsidRPr="00883125" w:rsidRDefault="00CA67C0" w:rsidP="00CA67C0">
      <w:pPr>
        <w:pStyle w:val="HeadingBoldBlue"/>
      </w:pPr>
      <w:bookmarkStart w:id="176" w:name="_Toc456614305"/>
      <w:r w:rsidRPr="00883125">
        <w:t>The text in Officer (1994)</w:t>
      </w:r>
      <w:bookmarkEnd w:id="176"/>
    </w:p>
    <w:p w:rsidR="00CA67C0" w:rsidRPr="00883125" w:rsidRDefault="00CA67C0" w:rsidP="00CA67C0">
      <w:r w:rsidRPr="00883125">
        <w:t>Gray (for SFG) submitted that Officer's paper suggests that there are two possible interpretations of gamma:</w:t>
      </w:r>
      <w:r w:rsidRPr="00883125">
        <w:rPr>
          <w:rStyle w:val="FootnoteReference"/>
        </w:rPr>
        <w:footnoteReference w:id="327"/>
      </w:r>
    </w:p>
    <w:p w:rsidR="00CA67C0" w:rsidRPr="00883125" w:rsidRDefault="00CA67C0" w:rsidP="00CA67C0">
      <w:pPr>
        <w:pStyle w:val="AERquote"/>
      </w:pPr>
      <w:r w:rsidRPr="00883125">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CA67C0" w:rsidRPr="00883125" w:rsidRDefault="00CA67C0" w:rsidP="00CA67C0">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CA67C0" w:rsidRPr="00883125" w:rsidRDefault="00CA67C0" w:rsidP="00CA67C0">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CA67C0" w:rsidRPr="00883125" w:rsidRDefault="00CA67C0" w:rsidP="00CA67C0">
      <w:r w:rsidRPr="00883125">
        <w:t xml:space="preserve">We do not agree with Gray's opinion. As explained by Handley in his September 2014 report, interpretation of gamma on a before-personal-tax and before-personal-costs basis </w:t>
      </w:r>
      <w:r w:rsidRPr="00883125">
        <w:lastRenderedPageBreak/>
        <w:t>reconciles this apparent inconsistency in Officer;</w:t>
      </w:r>
      <w:r w:rsidRPr="00883125">
        <w:rPr>
          <w:rStyle w:val="FootnoteReference"/>
        </w:rPr>
        <w:footnoteReference w:id="328"/>
      </w:r>
      <w:r w:rsidRPr="00883125">
        <w:t xml:space="preserve"> that is, on this basis the 'value' and 'utilisation' interpretations are consistent. Handley reiterates this in his April 2015 report:</w:t>
      </w:r>
      <w:r w:rsidRPr="00883125">
        <w:rPr>
          <w:rStyle w:val="FootnoteReference"/>
        </w:rPr>
        <w:footnoteReference w:id="329"/>
      </w:r>
    </w:p>
    <w:p w:rsidR="00CA67C0" w:rsidRPr="00883125" w:rsidRDefault="00CA67C0" w:rsidP="00CA67C0">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CA67C0" w:rsidRPr="00883125" w:rsidRDefault="00CA67C0" w:rsidP="00CA67C0">
      <w:r w:rsidRPr="00883125">
        <w:t>There would appear to be further support for Handley's view in the first line of footnote 5 of Officer's paper, which seemingly equates the ideas of 'utilisation' and 'value':</w:t>
      </w:r>
      <w:r w:rsidRPr="00883125">
        <w:rPr>
          <w:rStyle w:val="FootnoteReference"/>
        </w:rPr>
        <w:footnoteReference w:id="330"/>
      </w:r>
    </w:p>
    <w:p w:rsidR="00CA67C0" w:rsidRPr="00883125" w:rsidRDefault="00CA67C0" w:rsidP="00CA67C0">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CA67C0" w:rsidRPr="00883125" w:rsidRDefault="00CA67C0" w:rsidP="00CA67C0">
      <w:r w:rsidRPr="00883125">
        <w:t>Handley also noted:</w:t>
      </w:r>
      <w:r w:rsidRPr="00883125">
        <w:rPr>
          <w:rStyle w:val="FootnoteReference"/>
        </w:rPr>
        <w:footnoteReference w:id="331"/>
      </w:r>
    </w:p>
    <w:p w:rsidR="00CA67C0" w:rsidRPr="00883125" w:rsidRDefault="00CA67C0" w:rsidP="00CA67C0">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CA67C0" w:rsidRPr="00883125" w:rsidRDefault="00CA67C0" w:rsidP="00CA67C0">
      <w:r w:rsidRPr="00883125">
        <w:t xml:space="preserve">On the other hand, if gamma was intended to reflect investors' personal taxes and costs, then the proportion of company tax returned to investors would never be equivalent to the value to investors per dollar of imputation credits. This is because, on an after-personal-tax 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However, this is unconvincing to us. </w:t>
      </w:r>
    </w:p>
    <w:p w:rsidR="00CA67C0" w:rsidRPr="00883125" w:rsidRDefault="00CA67C0" w:rsidP="00CA67C0">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332"/>
      </w:r>
      <w:r w:rsidRPr="00883125">
        <w:t xml:space="preserve"> Again, this is because, on an after-personal-tax and after-personal-costs basis where such taxes and costs were non-negligible, investors would likely value credits at less than their face value. </w:t>
      </w:r>
      <w:r w:rsidRPr="00883125">
        <w:lastRenderedPageBreak/>
        <w:t>Conversely, Gray has previously argued that it is difficult to understand why Officer would contemplate in the same footnote the estimation of gamma via dividend drop off studies if the correct interpretation of gamma was as the proportion of company tax returned to investors.</w:t>
      </w:r>
      <w:r w:rsidRPr="00883125">
        <w:rPr>
          <w:rStyle w:val="FootnoteReference"/>
        </w:rPr>
        <w:footnoteReference w:id="333"/>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CA67C0" w:rsidRPr="00883125" w:rsidRDefault="00CA67C0" w:rsidP="00CA67C0">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334"/>
      </w:r>
    </w:p>
    <w:p w:rsidR="00CA67C0" w:rsidRPr="00883125" w:rsidRDefault="00CA67C0" w:rsidP="00CA67C0">
      <w:pPr>
        <w:pStyle w:val="AERquote"/>
      </w:pPr>
      <w:r w:rsidRPr="00883125">
        <w:t xml:space="preserve">Assume that 50 percent of the tax collected at the company level represents personal tax, i.e. 50 percent of tax credits can be utilized against personal tax liabilities so that </w:t>
      </w:r>
      <m:oMath>
        <m:r>
          <w:rPr>
            <w:rFonts w:ascii="Cambria Math" w:hAnsi="Cambria Math"/>
          </w:rPr>
          <m:t>γ</m:t>
        </m:r>
      </m:oMath>
      <w:r w:rsidRPr="00883125">
        <w:t xml:space="preserve"> = 0.5.</w:t>
      </w:r>
    </w:p>
    <w:p w:rsidR="00CA67C0" w:rsidRPr="00883125" w:rsidRDefault="00CA67C0" w:rsidP="00CA67C0">
      <w:pPr>
        <w:pStyle w:val="HeadingBoldBlue"/>
      </w:pPr>
      <w:bookmarkStart w:id="177" w:name="_Toc456614306"/>
      <w:r w:rsidRPr="00883125">
        <w:t>The formulas in Officer (1994)</w:t>
      </w:r>
      <w:bookmarkEnd w:id="177"/>
    </w:p>
    <w:p w:rsidR="00CA67C0" w:rsidRPr="00883125" w:rsidRDefault="00CA67C0" w:rsidP="00CA67C0">
      <w:r w:rsidRPr="00883125">
        <w:t>Gray (for SFG) submitted that the formulas in Officer (1994) support his interpretation of the value of imputation credits:</w:t>
      </w:r>
      <w:r w:rsidRPr="00883125">
        <w:rPr>
          <w:rStyle w:val="FootnoteReference"/>
        </w:rPr>
        <w:footnoteReference w:id="335"/>
      </w:r>
    </w:p>
    <w:p w:rsidR="00CA67C0" w:rsidRPr="00883125" w:rsidRDefault="00CA67C0" w:rsidP="00CA67C0">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CA67C0" w:rsidRPr="00883125" w:rsidRDefault="00CA67C0" w:rsidP="00CA67C0">
      <w:pPr>
        <w:pStyle w:val="AERquote"/>
      </w:pPr>
      <w:r w:rsidRPr="00883125">
        <w:t>Another way to see this is to rearrange the formula to isolate gamma as follows:</w:t>
      </w:r>
    </w:p>
    <w:p w:rsidR="00CA67C0" w:rsidRPr="00883125" w:rsidRDefault="007261FC" w:rsidP="00CA67C0">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CA67C0" w:rsidRPr="00883125" w:rsidRDefault="00CA67C0" w:rsidP="00CA67C0">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CA67C0" w:rsidRPr="00883125" w:rsidRDefault="00CA67C0" w:rsidP="00CA67C0">
      <w:r w:rsidRPr="00883125">
        <w:t>Handley reviewed Gray's submission and considered:</w:t>
      </w:r>
      <w:r w:rsidRPr="00883125">
        <w:rPr>
          <w:rStyle w:val="FootnoteReference"/>
        </w:rPr>
        <w:footnoteReference w:id="336"/>
      </w:r>
    </w:p>
    <w:p w:rsidR="00CA67C0" w:rsidRPr="00883125" w:rsidRDefault="00CA67C0" w:rsidP="00CA67C0">
      <w:pPr>
        <w:pStyle w:val="AERquote"/>
      </w:pPr>
      <w:r w:rsidRPr="00883125">
        <w:lastRenderedPageBreak/>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There is no dispute that the (market) value of credits are capitalised into stock prices – this is clear from equation (2) [in Handley's report]. However, SFG fails to see that within Officer’s framework it is the before personal tax and before personal costs value of a credit – the redemption value – which is the item being capitalised.</w:t>
      </w:r>
    </w:p>
    <w:p w:rsidR="00CA67C0" w:rsidRPr="00883125" w:rsidRDefault="00CA67C0" w:rsidP="00CA67C0">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CA67C0" w:rsidRPr="00883125" w:rsidRDefault="00CA67C0" w:rsidP="00CA67C0">
      <w:pPr>
        <w:pStyle w:val="HeadingBoldBlue"/>
      </w:pPr>
      <w:bookmarkStart w:id="178" w:name="_Toc456614307"/>
      <w:r w:rsidRPr="00883125">
        <w:t>Interpretation of gamma in textbooks</w:t>
      </w:r>
      <w:bookmarkEnd w:id="178"/>
    </w:p>
    <w:p w:rsidR="00CA67C0" w:rsidRPr="00883125" w:rsidRDefault="00CA67C0" w:rsidP="00CA67C0">
      <w:r w:rsidRPr="00883125">
        <w:t>In his June 2015 report (for Frontier), Gray stated:</w:t>
      </w:r>
      <w:r w:rsidRPr="00883125">
        <w:rPr>
          <w:rStyle w:val="FootnoteReference"/>
        </w:rPr>
        <w:footnoteReference w:id="337"/>
      </w:r>
    </w:p>
    <w:p w:rsidR="00CA67C0" w:rsidRPr="00883125" w:rsidRDefault="00CA67C0" w:rsidP="00CA67C0">
      <w:pPr>
        <w:pStyle w:val="AERquote"/>
      </w:pPr>
      <w:r w:rsidRPr="00883125">
        <w:t>I am unaware of any published work that interprets gamma in terms of the redemption rate.</w:t>
      </w:r>
    </w:p>
    <w:p w:rsidR="00CA67C0" w:rsidRPr="00883125" w:rsidRDefault="00CA67C0" w:rsidP="00CA67C0">
      <w:r w:rsidRPr="00883125">
        <w:t>However, there are several textbooks that describe gamma in a manner consistent with our understanding. For example, Peirson et al (2009):</w:t>
      </w:r>
      <w:r w:rsidRPr="00883125">
        <w:rPr>
          <w:rStyle w:val="FootnoteReference"/>
        </w:rPr>
        <w:footnoteReference w:id="338"/>
      </w:r>
    </w:p>
    <w:p w:rsidR="00CA67C0" w:rsidRPr="00883125" w:rsidRDefault="00CA67C0" w:rsidP="00CA67C0">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CA67C0" w:rsidRPr="00883125" w:rsidRDefault="00CA67C0" w:rsidP="00CA67C0">
      <w:pPr>
        <w:pStyle w:val="AERquote"/>
      </w:pPr>
      <w:r w:rsidRPr="00883125">
        <w:t>…</w:t>
      </w:r>
    </w:p>
    <w:p w:rsidR="00CA67C0" w:rsidRPr="00883125" w:rsidRDefault="00CA67C0" w:rsidP="00CA67C0">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CA67C0" w:rsidRPr="00883125" w:rsidRDefault="00CA67C0" w:rsidP="00CA67C0">
      <w:r w:rsidRPr="00883125">
        <w:t>Berk et al (2014):</w:t>
      </w:r>
      <w:r w:rsidRPr="00883125">
        <w:rPr>
          <w:rStyle w:val="FootnoteReference"/>
        </w:rPr>
        <w:footnoteReference w:id="339"/>
      </w:r>
    </w:p>
    <w:p w:rsidR="00CA67C0" w:rsidRPr="00883125" w:rsidRDefault="00CA67C0" w:rsidP="00CA67C0">
      <w:pPr>
        <w:pStyle w:val="AERquote"/>
      </w:pPr>
      <w:r w:rsidRPr="00883125">
        <w:lastRenderedPageBreak/>
        <w:t>In a 1994 study, Officer shows that for valuation purposes the cost of equity under an imputation system should be adjusted by a factor equal to:</w:t>
      </w:r>
    </w:p>
    <w:p w:rsidR="00CA67C0" w:rsidRPr="00883125" w:rsidRDefault="007261FC" w:rsidP="00CA67C0">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CA67C0" w:rsidRPr="00883125" w:rsidRDefault="00CA67C0" w:rsidP="00CA67C0">
      <w:pPr>
        <w:pStyle w:val="AERquote"/>
      </w:pPr>
      <w:r w:rsidRPr="00883125">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CA67C0" w:rsidRPr="00883125" w:rsidRDefault="00CA67C0" w:rsidP="00CA67C0">
      <w:r w:rsidRPr="00883125">
        <w:t>Gitman et al (2011):</w:t>
      </w:r>
      <w:r w:rsidRPr="00883125">
        <w:rPr>
          <w:rStyle w:val="FootnoteReference"/>
        </w:rPr>
        <w:footnoteReference w:id="340"/>
      </w:r>
    </w:p>
    <w:p w:rsidR="00CA67C0" w:rsidRPr="00883125" w:rsidRDefault="00CA67C0" w:rsidP="00CA67C0">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CA67C0" w:rsidRPr="00883125" w:rsidRDefault="00CA67C0" w:rsidP="00CA67C0">
      <w:pPr>
        <w:pStyle w:val="AERquote"/>
      </w:pPr>
      <w:r w:rsidRPr="00883125">
        <w:t>…</w:t>
      </w:r>
    </w:p>
    <w:p w:rsidR="00CA67C0" w:rsidRPr="00883125" w:rsidRDefault="00CA67C0" w:rsidP="00CA67C0">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CA67C0" w:rsidRPr="00883125" w:rsidRDefault="00CA67C0" w:rsidP="00CA67C0">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341"/>
      </w:r>
    </w:p>
    <w:p w:rsidR="00CA67C0" w:rsidRPr="00883125" w:rsidRDefault="00CA67C0" w:rsidP="00CA67C0">
      <w:pPr>
        <w:pStyle w:val="AERquote"/>
      </w:pPr>
      <m:oMath>
        <m:r>
          <w:rPr>
            <w:rFonts w:ascii="Cambria Math" w:hAnsi="Cambria Math"/>
          </w:rPr>
          <m:t>γ</m:t>
        </m:r>
      </m:oMath>
      <w:r w:rsidRPr="00883125">
        <w:t xml:space="preserve"> = the market value of franking credits as a percentage of face value.</w:t>
      </w:r>
    </w:p>
    <w:p w:rsidR="00CA67C0" w:rsidRPr="00883125" w:rsidRDefault="00CA67C0" w:rsidP="00CA67C0">
      <w:r w:rsidRPr="00883125">
        <w:t>However, there is no dispute here. As Handley explained:</w:t>
      </w:r>
      <w:r w:rsidRPr="00883125">
        <w:rPr>
          <w:rStyle w:val="FootnoteReference"/>
        </w:rPr>
        <w:footnoteReference w:id="342"/>
      </w:r>
    </w:p>
    <w:p w:rsidR="00CA67C0" w:rsidRPr="00883125" w:rsidRDefault="00CA67C0" w:rsidP="00CA67C0">
      <w:pPr>
        <w:pStyle w:val="AERquote"/>
      </w:pPr>
      <w:r w:rsidRPr="00883125">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CA67C0" w:rsidRPr="00883125" w:rsidRDefault="00CA67C0" w:rsidP="00CA67C0">
      <w:r w:rsidRPr="00883125">
        <w:t>Moreover, there are other references to gamma in Partington's textbook that accord more closely with the characterisation in Officer's paper:</w:t>
      </w:r>
    </w:p>
    <w:p w:rsidR="00CA67C0" w:rsidRPr="00883125" w:rsidRDefault="00CA67C0" w:rsidP="00CA67C0">
      <w:pPr>
        <w:pStyle w:val="AERquote"/>
      </w:pPr>
      <m:oMath>
        <m:r>
          <w:rPr>
            <w:rFonts w:ascii="Cambria Math" w:hAnsi="Cambria Math"/>
          </w:rPr>
          <w:lastRenderedPageBreak/>
          <m:t>γ</m:t>
        </m:r>
      </m:oMath>
      <w:r w:rsidRPr="00883125">
        <w:t xml:space="preserve"> = the proportion of corporate tax recovered by investors through imputation tax credits.</w:t>
      </w:r>
      <w:r w:rsidRPr="00883125">
        <w:rPr>
          <w:rStyle w:val="FootnoteReference"/>
        </w:rPr>
        <w:footnoteReference w:id="343"/>
      </w:r>
    </w:p>
    <w:p w:rsidR="00CA67C0" w:rsidRPr="00883125" w:rsidRDefault="00CA67C0" w:rsidP="00CA67C0">
      <w:pPr>
        <w:pStyle w:val="AERquote"/>
      </w:pPr>
    </w:p>
    <w:p w:rsidR="00CA67C0" w:rsidRPr="00883125" w:rsidRDefault="00CA67C0" w:rsidP="00CA67C0">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…However, 100 per cent payout and full use of imputation credits are unrealistic assumptions. It is more realistic to assume that about 50 to 60 per cent of profits are paid out as dividends. Of the imputation credits attached to those dividends only about 50 to 60 per cent will be claimed by investors to offset their tax liabilities.</w:t>
      </w:r>
      <w:r w:rsidRPr="00883125">
        <w:rPr>
          <w:rStyle w:val="FootnoteReference"/>
        </w:rPr>
        <w:footnoteReference w:id="344"/>
      </w:r>
    </w:p>
    <w:p w:rsidR="00CA67C0" w:rsidRPr="00883125" w:rsidRDefault="00CA67C0" w:rsidP="00CA67C0">
      <w:r w:rsidRPr="00883125">
        <w:t>Gray also quoted:</w:t>
      </w:r>
      <w:r w:rsidRPr="00883125">
        <w:rPr>
          <w:rStyle w:val="FootnoteReference"/>
        </w:rPr>
        <w:footnoteReference w:id="345"/>
      </w:r>
    </w:p>
    <w:p w:rsidR="00CA67C0" w:rsidRPr="00883125" w:rsidRDefault="00CA67C0" w:rsidP="00CA67C0">
      <w:pPr>
        <w:pStyle w:val="AERquote"/>
      </w:pPr>
      <w:r w:rsidRPr="00883125">
        <w:t>The results have been mixed, but they suggest that the market value of franking credits is positive, but significantly less than the credit’s face value.</w:t>
      </w:r>
    </w:p>
    <w:p w:rsidR="00CA67C0" w:rsidRPr="00883125" w:rsidRDefault="00CA67C0" w:rsidP="00CA67C0">
      <w:pPr>
        <w:pStyle w:val="AERquote"/>
      </w:pPr>
      <w:r w:rsidRPr="00883125">
        <w:t>…</w:t>
      </w:r>
    </w:p>
    <w:p w:rsidR="00CA67C0" w:rsidRPr="00883125" w:rsidRDefault="00CA67C0" w:rsidP="00CA67C0">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CA67C0" w:rsidRPr="00883125" w:rsidRDefault="00CA67C0" w:rsidP="00CA67C0">
      <w:r w:rsidRPr="00883125">
        <w:t>Again, there is no dispute. The estimates of the utilisation rate on which we rely are all significantly less than one, and our estimate of gamma is significantly less than one.</w:t>
      </w:r>
    </w:p>
    <w:p w:rsidR="00CA67C0" w:rsidRPr="00883125" w:rsidRDefault="00CA67C0" w:rsidP="00CA67C0">
      <w:r w:rsidRPr="00883125">
        <w:t>Finally, Gray quoted an explanation, with which he agreed, as to why imputation may have had an immaterial effect on the corporate cost of equity capital:</w:t>
      </w:r>
      <w:r w:rsidRPr="00883125">
        <w:rPr>
          <w:rStyle w:val="FootnoteReference"/>
        </w:rPr>
        <w:footnoteReference w:id="346"/>
      </w:r>
    </w:p>
    <w:p w:rsidR="00CA67C0" w:rsidRPr="00883125" w:rsidRDefault="00CA67C0" w:rsidP="00CA67C0">
      <w:pPr>
        <w:pStyle w:val="AERquote"/>
      </w:pPr>
      <w:r w:rsidRPr="00883125">
        <w:t>The impact of imputation may not have been that big. There are several reasons for this. As suggested by Bob Officer, in a small open economy like Australia, equilibrium rates of return are likely to be determined by capital flows from international investors. If so, domestic tax changes are likely to have a reduced effect, or no effect at all, on equilibrium rates of return.</w:t>
      </w:r>
    </w:p>
    <w:p w:rsidR="00CA67C0" w:rsidRPr="00883125" w:rsidRDefault="00CA67C0" w:rsidP="00CA67C0">
      <w:r w:rsidRPr="00883125">
        <w:t>The implications of this quote for understanding or determining gamma are unclear to us. For instance:</w:t>
      </w:r>
    </w:p>
    <w:p w:rsidR="00CA67C0" w:rsidRPr="001D37D5" w:rsidRDefault="00CA67C0" w:rsidP="00CA67C0">
      <w:pPr>
        <w:pStyle w:val="AERbulletlistfirststyle"/>
      </w:pPr>
      <w:r w:rsidRPr="00883125">
        <w:t xml:space="preserve">Gray appeared elsewhere to be of the view that imputation </w:t>
      </w:r>
      <w:r w:rsidRPr="001D37D5">
        <w:rPr>
          <w:rStyle w:val="AERtextitalic"/>
        </w:rPr>
        <w:t>is</w:t>
      </w:r>
      <w:r w:rsidRPr="001D37D5">
        <w:t xml:space="preserve"> having a material effect on the cost of capital. This is because he submitted that, in his view, the best estimate of the extent to which imputation credits are capitalised into stock prices per dollar of credit distributed is 0.35, and this is not immaterial.</w:t>
      </w:r>
      <w:r w:rsidRPr="001D37D5">
        <w:rPr>
          <w:rStyle w:val="FootnoteReference"/>
        </w:rPr>
        <w:footnoteReference w:id="347"/>
      </w:r>
    </w:p>
    <w:p w:rsidR="00CA67C0" w:rsidRPr="001D37D5" w:rsidRDefault="00CA67C0" w:rsidP="00CA67C0">
      <w:pPr>
        <w:pStyle w:val="AERbulletlistfirststyle"/>
      </w:pPr>
      <w:r w:rsidRPr="00883125">
        <w:lastRenderedPageBreak/>
        <w:t>The view in a recent paper co-authored by Partington did not appear to align with that in the quote:</w:t>
      </w:r>
      <w:r w:rsidRPr="001D37D5">
        <w:rPr>
          <w:rStyle w:val="FootnoteReference"/>
        </w:rPr>
        <w:footnoteReference w:id="348"/>
      </w:r>
    </w:p>
    <w:p w:rsidR="00CA67C0" w:rsidRPr="00883125" w:rsidRDefault="00CA67C0" w:rsidP="00CA67C0">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CA67C0" w:rsidRPr="00CA67C0" w:rsidRDefault="00CA67C0" w:rsidP="00CA67C0">
      <w:pPr>
        <w:pStyle w:val="HeadingBoldBlue"/>
      </w:pPr>
      <w:bookmarkStart w:id="179" w:name="_Toc456614308"/>
      <w:r w:rsidRPr="00883125">
        <w:t>Recent academic work</w:t>
      </w:r>
      <w:bookmarkEnd w:id="179"/>
    </w:p>
    <w:p w:rsidR="00CA67C0" w:rsidRPr="00CA67C0" w:rsidRDefault="00CA67C0" w:rsidP="00CA67C0">
      <w:r w:rsidRPr="00883125">
        <w:t>The recent paper co-authored by Partington has been raised in direct support of the position that the equity ownership approach is not an appropriate way to estimate the value of distributed imputation credits.</w:t>
      </w:r>
      <w:r w:rsidRPr="00CA67C0">
        <w:rPr>
          <w:rStyle w:val="FootnoteReference"/>
        </w:rPr>
        <w:footnoteReference w:id="349"/>
      </w:r>
      <w:r w:rsidRPr="00CA67C0">
        <w:t xml:space="preserve"> This paper largely draws on the existing literature and available evidence with the intention of contributing to the policy debate around the efficacy of dividend imputation.</w:t>
      </w:r>
      <w:r w:rsidRPr="00CA67C0">
        <w:rPr>
          <w:rStyle w:val="FootnoteReference"/>
        </w:rPr>
        <w:footnoteReference w:id="350"/>
      </w:r>
      <w:r w:rsidRPr="00CA67C0">
        <w:t xml:space="preserve"> While the paper does consider relevant matters, we consider that the paper raises a number of issues without making strong recommendations. Consistent with the above quote it notes:</w:t>
      </w:r>
      <w:r w:rsidRPr="00CA67C0">
        <w:rPr>
          <w:rStyle w:val="FootnoteReference"/>
        </w:rPr>
        <w:footnoteReference w:id="351"/>
      </w:r>
    </w:p>
    <w:p w:rsidR="00CA67C0" w:rsidRPr="00883125" w:rsidRDefault="00CA67C0" w:rsidP="00CA67C0">
      <w:pPr>
        <w:pStyle w:val="AERquote"/>
      </w:pPr>
      <w:r w:rsidRPr="00883125">
        <w:t>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CA67C0" w:rsidRPr="00883125" w:rsidRDefault="00CA67C0" w:rsidP="00CA67C0">
      <w:r w:rsidRPr="00883125">
        <w:t xml:space="preserve">As such, while the paper raises a number of points highlighted by Gray (for Frontier), we do not consider the paper provides evidence that the equity ownership approach that uses the aggregation approach to estimate the value of theta is not reasonable. Frontier has taken a </w:t>
      </w:r>
      <w:r w:rsidRPr="00883125">
        <w:lastRenderedPageBreak/>
        <w:t>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352"/>
      </w:r>
      <w:r w:rsidRPr="00883125">
        <w:t xml:space="preserve"> the paper makes clear this evidence needs to be treated with caution stating:</w:t>
      </w:r>
      <w:r w:rsidRPr="00883125">
        <w:rPr>
          <w:rStyle w:val="FootnoteReference"/>
        </w:rPr>
        <w:footnoteReference w:id="353"/>
      </w:r>
    </w:p>
    <w:p w:rsidR="00CA67C0" w:rsidRPr="00883125" w:rsidRDefault="00CA67C0" w:rsidP="00CA67C0">
      <w:pPr>
        <w:pStyle w:val="AERquote"/>
      </w:pPr>
      <w:r w:rsidRPr="00883125">
        <w:t>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measures.10 The fact that the earnings yield results have the wrong sign suggests that caution needs to be applied in interpreting these findings (similar to Lajbcygier and Wheatley, 2012).</w:t>
      </w:r>
    </w:p>
    <w:p w:rsidR="00CA67C0" w:rsidRPr="00883125" w:rsidRDefault="00CA67C0" w:rsidP="00CA67C0">
      <w:r w:rsidRPr="00883125">
        <w:t>On the same page the paper also states in relation to some empirical evidence more generally:</w:t>
      </w:r>
      <w:r w:rsidRPr="00883125">
        <w:rPr>
          <w:rStyle w:val="FootnoteReference"/>
        </w:rPr>
        <w:footnoteReference w:id="354"/>
      </w:r>
    </w:p>
    <w:p w:rsidR="00CA67C0" w:rsidRPr="00883125" w:rsidRDefault="00CA67C0" w:rsidP="00CA67C0">
      <w:pPr>
        <w:pStyle w:val="AERquote"/>
      </w:pPr>
      <w:r w:rsidRPr="00883125">
        <w:t>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average 0.38, which would suggest that imputation credits are priced at about $0.38 in the dollar.</w:t>
      </w:r>
    </w:p>
    <w:p w:rsidR="00CA67C0" w:rsidRPr="00883125" w:rsidRDefault="00CA67C0" w:rsidP="00CA67C0">
      <w:pPr>
        <w:pStyle w:val="Heading9"/>
      </w:pPr>
      <w:bookmarkStart w:id="180" w:name="_Toc456614309"/>
      <w:r w:rsidRPr="00883125">
        <w:t>Gray's comments on the Monkhouse framework</w:t>
      </w:r>
      <w:bookmarkEnd w:id="180"/>
    </w:p>
    <w:p w:rsidR="00CA67C0" w:rsidRPr="00883125" w:rsidRDefault="00CA67C0" w:rsidP="00764AB1">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7261FC">
        <w:t>A.6</w:t>
      </w:r>
      <w:r w:rsidRPr="00883125">
        <w:fldChar w:fldCharType="end"/>
      </w:r>
      <w:r w:rsidRPr="00883125">
        <w:t>, we consider that:</w:t>
      </w:r>
    </w:p>
    <w:p w:rsidR="00CA67C0" w:rsidRPr="00883125" w:rsidRDefault="00CA67C0" w:rsidP="00CA67C0">
      <w:pPr>
        <w:pStyle w:val="AERbulletlistfirststyle"/>
      </w:pPr>
      <w:r w:rsidRPr="00883125">
        <w:t>The Officer framework provides the basis for the value of imputation credits adjustment in the NER/NGR.</w:t>
      </w:r>
    </w:p>
    <w:p w:rsidR="00CA67C0" w:rsidRPr="00883125" w:rsidRDefault="00CA67C0" w:rsidP="00CA67C0">
      <w:pPr>
        <w:pStyle w:val="AERbulletlistfirststyle"/>
      </w:pPr>
      <w:r w:rsidRPr="00883125">
        <w:lastRenderedPageBreak/>
        <w:t>Monkhouse extends the Officer framework to a non-perpetuity setting, and shows that—assuming retained credits have no value—gamma from the Officer framework effectively equals the product of:</w:t>
      </w:r>
    </w:p>
    <w:p w:rsidR="00CA67C0" w:rsidRPr="00883125" w:rsidRDefault="00CA67C0" w:rsidP="00CA67C0">
      <w:pPr>
        <w:pStyle w:val="AERbulletlistsecondstyle"/>
      </w:pPr>
      <w:r w:rsidRPr="00883125">
        <w:t>the distribution rate, and</w:t>
      </w:r>
    </w:p>
    <w:p w:rsidR="00CA67C0" w:rsidRPr="00883125" w:rsidRDefault="00CA67C0" w:rsidP="00CA67C0">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CA67C0" w:rsidRPr="00883125" w:rsidRDefault="00CA67C0" w:rsidP="00CA67C0">
      <w:r w:rsidRPr="00883125">
        <w:t>In his May 2014 and February 2015 reports, Gray (for SFG) provided a discussion of the class of CAPM employed by Monkhouse (and related literature).</w:t>
      </w:r>
      <w:r w:rsidRPr="00883125">
        <w:rPr>
          <w:rStyle w:val="FootnoteReference"/>
        </w:rPr>
        <w:footnoteReference w:id="355"/>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which a number of service providers rely, holds the same view and notes the inconsistency between Lally and Handley's advice on this point</w:t>
      </w:r>
      <w:r w:rsidRPr="00883125">
        <w:rPr>
          <w:rStyle w:val="FootnoteReference"/>
        </w:rPr>
        <w:footnoteReference w:id="356"/>
      </w:r>
    </w:p>
    <w:p w:rsidR="00CA67C0" w:rsidRPr="00883125" w:rsidRDefault="00CA67C0" w:rsidP="00CA67C0">
      <w:r w:rsidRPr="00883125">
        <w:t>Handley responded to Gray's view in his September 2014 and April 2015 reports and his response is equally applicable to the June 2015 report by Gray (for Frontier). He disagrees with Gray's view, and considers reasonable our use of:</w:t>
      </w:r>
      <w:r w:rsidRPr="00883125">
        <w:rPr>
          <w:rStyle w:val="FootnoteReference"/>
        </w:rPr>
        <w:footnoteReference w:id="357"/>
      </w:r>
    </w:p>
    <w:p w:rsidR="00CA67C0" w:rsidRPr="00883125" w:rsidRDefault="00CA67C0" w:rsidP="00CA67C0">
      <w:pPr>
        <w:pStyle w:val="AERbulletlistfirststyle"/>
      </w:pPr>
      <w:r w:rsidRPr="00883125">
        <w:t>the definition of theta from the Monkhouse framework, and</w:t>
      </w:r>
    </w:p>
    <w:p w:rsidR="00CA67C0" w:rsidRPr="00883125" w:rsidRDefault="00CA67C0" w:rsidP="00CA67C0">
      <w:pPr>
        <w:pStyle w:val="AERbulletlistfirststyle"/>
      </w:pPr>
      <w:r w:rsidRPr="00883125">
        <w:t>the equity ownership approach to estimate theta.</w:t>
      </w:r>
    </w:p>
    <w:p w:rsidR="00CA67C0" w:rsidRPr="00883125" w:rsidRDefault="00CA67C0" w:rsidP="00CA67C0">
      <w:r w:rsidRPr="00883125">
        <w:t>In the remainder of this section we identify what we consider to be the key points of this debate, and their implications for our estimation of the value of imputation credits.</w:t>
      </w:r>
    </w:p>
    <w:p w:rsidR="00CA67C0" w:rsidRPr="00883125" w:rsidRDefault="00CA67C0" w:rsidP="00CA67C0">
      <w:r w:rsidRPr="00883125">
        <w:t>Gray's key point appears to be that:</w:t>
      </w:r>
      <w:r w:rsidRPr="00883125">
        <w:rPr>
          <w:rStyle w:val="FootnoteReference"/>
        </w:rPr>
        <w:footnoteReference w:id="358"/>
      </w:r>
    </w:p>
    <w:p w:rsidR="00CA67C0" w:rsidRPr="00883125" w:rsidRDefault="00CA67C0" w:rsidP="00CA67C0">
      <w:pPr>
        <w:pStyle w:val="AERquote"/>
      </w:pPr>
      <w:r w:rsidRPr="00883125">
        <w:t>[The relevant class of CAPM models] derive an equilibrium by solving a market clearing condition. This involves noting that:</w:t>
      </w:r>
    </w:p>
    <w:p w:rsidR="00CA67C0" w:rsidRPr="00883125" w:rsidRDefault="00CA67C0" w:rsidP="00CA67C0">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CA67C0" w:rsidRPr="00883125" w:rsidRDefault="00CA67C0" w:rsidP="00CA67C0">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CA67C0" w:rsidRPr="00883125" w:rsidRDefault="00CA67C0" w:rsidP="00CA67C0">
      <w:r w:rsidRPr="00883125">
        <w:lastRenderedPageBreak/>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359"/>
      </w:r>
    </w:p>
    <w:p w:rsidR="00CA67C0" w:rsidRPr="00883125" w:rsidRDefault="00CA67C0" w:rsidP="00CA67C0">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CA67C0" w:rsidRPr="00883125" w:rsidRDefault="00CA67C0" w:rsidP="00CA67C0">
      <w:pPr>
        <w:pStyle w:val="AERquote"/>
      </w:pPr>
      <w:r w:rsidRPr="00883125">
        <w:t>But the CAPM makes no such assumption – it is SFG who does.</w:t>
      </w:r>
    </w:p>
    <w:p w:rsidR="00CA67C0" w:rsidRPr="00883125" w:rsidRDefault="00CA67C0" w:rsidP="00CA67C0">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CA67C0" w:rsidRPr="00883125" w:rsidRDefault="00CA67C0" w:rsidP="00CA67C0">
      <w:pPr>
        <w:pStyle w:val="AERquote"/>
      </w:pPr>
      <w:r w:rsidRPr="00883125">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CA67C0" w:rsidRPr="00883125" w:rsidRDefault="00CA67C0" w:rsidP="00CA67C0">
      <w:r w:rsidRPr="00883125">
        <w:t>Therefore, it would seem that the criticisms of our use of the definition of theta from the Monkhouse framework, and our responses to those criticisms, might be summarised as follows:</w:t>
      </w:r>
    </w:p>
    <w:p w:rsidR="00CA67C0" w:rsidRPr="00883125" w:rsidRDefault="00CA67C0" w:rsidP="00CA67C0">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CA67C0" w:rsidRPr="001D37D5" w:rsidRDefault="00CA67C0" w:rsidP="00CA67C0">
      <w:pPr>
        <w:pStyle w:val="AERbulletlistfirststyle"/>
        <w:rPr>
          <w:rStyle w:val="AERtexthighlight"/>
        </w:rPr>
      </w:pPr>
      <w:r w:rsidRPr="00883125">
        <w:t xml:space="preserve">The following implicit assumption in our approach is unreasonable: that the foreign asset holdings of (both Australian and foreign) investors in Australian assets are not relevant to those investors' valuation of Australian assets. Gray's view is that the assumption is </w:t>
      </w:r>
      <w:r w:rsidRPr="00883125">
        <w:lastRenderedPageBreak/>
        <w:t>unreasonable.</w:t>
      </w:r>
      <w:r w:rsidRPr="001D37D5">
        <w:rPr>
          <w:rStyle w:val="FootnoteReference"/>
        </w:rPr>
        <w:footnoteReference w:id="360"/>
      </w:r>
      <w:r w:rsidRPr="001D37D5">
        <w:t xml:space="preserve"> Handley's view is, if the assumption is considered unreasonable, 'then one should bring the outside assets and outside investors into the model, for example, by using an international CAPM'.</w:t>
      </w:r>
      <w:r w:rsidRPr="001D37D5">
        <w:rPr>
          <w:rStyle w:val="FootnoteReference"/>
        </w:rPr>
        <w:footnoteReference w:id="361"/>
      </w:r>
      <w:r w:rsidRPr="001D37D5">
        <w:t xml:space="preserve"> However, neither Gray nor Handley suggested that we employ an international CAPM. Moreover, Handley clearly set out his view that our use of the definition of theta from the Monkhouse framework is reasonable.</w:t>
      </w:r>
      <w:r w:rsidRPr="001D37D5">
        <w:rPr>
          <w:rStyle w:val="FootnoteReference"/>
        </w:rPr>
        <w:footnoteReference w:id="362"/>
      </w:r>
      <w:r w:rsidRPr="001D37D5">
        <w:t xml:space="preserve"> </w:t>
      </w:r>
    </w:p>
    <w:p w:rsidR="00CA67C0" w:rsidRPr="00883125" w:rsidRDefault="00CA67C0" w:rsidP="00CA67C0">
      <w:r w:rsidRPr="00883125">
        <w:t xml:space="preserve">In conclusion, we are not convinced that we should disregard the definition of theta from the Monkhouse framework when estimating the value of imputation credits. </w:t>
      </w:r>
    </w:p>
    <w:p w:rsidR="00CA67C0" w:rsidRPr="00883125" w:rsidRDefault="00CA67C0" w:rsidP="00CA67C0">
      <w:pPr>
        <w:pStyle w:val="Heading8"/>
      </w:pPr>
      <w:bookmarkStart w:id="181" w:name="_Ref414623120"/>
      <w:bookmarkStart w:id="182" w:name="_Toc436049449"/>
      <w:bookmarkStart w:id="183" w:name="_Toc451842254"/>
      <w:bookmarkStart w:id="184" w:name="_Toc451938309"/>
      <w:bookmarkStart w:id="185" w:name="_Toc456614310"/>
      <w:r w:rsidRPr="00883125">
        <w:t>Further issues relating to the utilisation rate</w:t>
      </w:r>
      <w:bookmarkEnd w:id="181"/>
      <w:bookmarkEnd w:id="182"/>
      <w:bookmarkEnd w:id="183"/>
      <w:bookmarkEnd w:id="184"/>
      <w:bookmarkEnd w:id="185"/>
    </w:p>
    <w:p w:rsidR="00CA67C0" w:rsidRPr="00883125" w:rsidRDefault="00CA67C0" w:rsidP="00764AB1">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7261FC">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7261FC">
        <w:t>A.6</w:t>
      </w:r>
      <w:r w:rsidRPr="00883125">
        <w:fldChar w:fldCharType="end"/>
      </w:r>
      <w:r w:rsidRPr="00883125">
        <w:t>,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rate reflects the extent to which investors can utilise the imputation credits they receive to reduce their tax or get a refund.</w:t>
      </w:r>
    </w:p>
    <w:p w:rsidR="00CA67C0" w:rsidRDefault="00CA67C0" w:rsidP="00764AB1">
      <w:pPr>
        <w:numPr>
          <w:ilvl w:val="0"/>
          <w:numId w:val="24"/>
        </w:numPr>
      </w:pPr>
      <w:r>
        <w:t>This is supported by Lally who considers that within the Officer Framework model, the utilisation rate is a weighted average over the utilisation rate for imputation credits by individual investors and these utilisation rates are 1 if investors can use the credits and zero otherwise.</w:t>
      </w:r>
      <w:r>
        <w:rPr>
          <w:rStyle w:val="FootnoteReference"/>
        </w:rPr>
        <w:footnoteReference w:id="363"/>
      </w:r>
    </w:p>
    <w:p w:rsidR="00CA67C0" w:rsidRPr="00883125" w:rsidRDefault="00CA67C0" w:rsidP="00764AB1">
      <w:pPr>
        <w:numPr>
          <w:ilvl w:val="0"/>
          <w:numId w:val="24"/>
        </w:numPr>
      </w:pPr>
      <w:r w:rsidRPr="00883125">
        <w:t>In this section we provide further support for our position on the utilisation rate. In particular, we:</w:t>
      </w:r>
    </w:p>
    <w:p w:rsidR="00CA67C0" w:rsidRPr="00883125" w:rsidRDefault="00CA67C0" w:rsidP="00CA67C0">
      <w:pPr>
        <w:pStyle w:val="AERbulletlistfirststyle"/>
      </w:pPr>
      <w:r w:rsidRPr="00883125">
        <w:t xml:space="preserve">explain how our position is consistent with the basis of the building block framework </w:t>
      </w:r>
    </w:p>
    <w:p w:rsidR="00CA67C0" w:rsidRPr="00883125" w:rsidRDefault="00CA67C0" w:rsidP="00CA67C0">
      <w:pPr>
        <w:pStyle w:val="AERbulletlistfirststyle"/>
      </w:pPr>
      <w:r w:rsidRPr="00883125">
        <w:t>contrast our position with that of the service providers, including with reference to factors they considered should be reflected in the utilisation rate, and</w:t>
      </w:r>
    </w:p>
    <w:p w:rsidR="00CA67C0" w:rsidRPr="00883125" w:rsidRDefault="00CA67C0" w:rsidP="00CA67C0">
      <w:pPr>
        <w:pStyle w:val="AERbulletlistfirststyle"/>
      </w:pPr>
      <w:r w:rsidRPr="00883125">
        <w:t>respond to NERA's view.</w:t>
      </w:r>
    </w:p>
    <w:p w:rsidR="00CA67C0" w:rsidRPr="00883125" w:rsidRDefault="00CA67C0" w:rsidP="00CA67C0">
      <w:pPr>
        <w:pStyle w:val="Heading9"/>
      </w:pPr>
      <w:bookmarkStart w:id="186" w:name="_Ref401748758"/>
      <w:bookmarkStart w:id="187" w:name="_Toc456614311"/>
      <w:r w:rsidRPr="00883125">
        <w:lastRenderedPageBreak/>
        <w:t>Consistency with the building block framework</w:t>
      </w:r>
      <w:bookmarkEnd w:id="186"/>
      <w:bookmarkEnd w:id="187"/>
    </w:p>
    <w:p w:rsidR="00CA67C0" w:rsidRPr="00883125" w:rsidRDefault="00CA67C0" w:rsidP="00764AB1">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CA67C0" w:rsidRPr="00883125" w:rsidRDefault="00CA67C0" w:rsidP="00764AB1">
      <w:pPr>
        <w:numPr>
          <w:ilvl w:val="0"/>
          <w:numId w:val="24"/>
        </w:numPr>
      </w:pPr>
      <w:r w:rsidRPr="00883125">
        <w:t>This consideration is supported by Handley's advice on the basis of the regulatory (building block) framework:</w:t>
      </w:r>
      <w:r w:rsidRPr="00883125">
        <w:rPr>
          <w:rStyle w:val="FootnoteReference"/>
        </w:rPr>
        <w:footnoteReference w:id="364"/>
      </w:r>
      <w:r w:rsidRPr="00883125">
        <w:t xml:space="preserve"> </w:t>
      </w:r>
    </w:p>
    <w:p w:rsidR="00CA67C0" w:rsidRPr="00883125" w:rsidRDefault="00CA67C0" w:rsidP="00CA67C0">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A67C0" w:rsidRPr="00883125" w:rsidRDefault="00CA67C0" w:rsidP="00764AB1">
      <w:pPr>
        <w:numPr>
          <w:ilvl w:val="0"/>
          <w:numId w:val="24"/>
        </w:numPr>
      </w:pPr>
      <w:r w:rsidRPr="00883125">
        <w:t>Handley also referred specifically to the basis on which the utilisation rate should be estimated:</w:t>
      </w:r>
      <w:r w:rsidRPr="00883125">
        <w:rPr>
          <w:rStyle w:val="FootnoteReference"/>
        </w:rPr>
        <w:footnoteReference w:id="365"/>
      </w:r>
    </w:p>
    <w:p w:rsidR="00CA67C0" w:rsidRPr="00883125" w:rsidRDefault="00CA67C0" w:rsidP="00CA67C0">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CA67C0" w:rsidRPr="00883125" w:rsidRDefault="00CA67C0" w:rsidP="00CA67C0">
      <w:r w:rsidRPr="00883125">
        <w:t>The service providers consider our interpretation of the utilisation rate conceptually incorrect and inconsistent with the requirements of the NER/NGR</w:t>
      </w:r>
      <w:r w:rsidR="00775316">
        <w:t xml:space="preserve"> and the NEO/NGO</w:t>
      </w:r>
      <w:r w:rsidRPr="00883125">
        <w:t>.</w:t>
      </w:r>
      <w:r w:rsidRPr="00883125">
        <w:rPr>
          <w:rStyle w:val="FootnoteReference"/>
        </w:rPr>
        <w:footnoteReference w:id="366"/>
      </w:r>
      <w:r w:rsidRPr="00883125">
        <w:t xml:space="preserve"> They submit</w:t>
      </w:r>
      <w:r>
        <w:t>ted that we are</w:t>
      </w:r>
      <w:r w:rsidRPr="00883125">
        <w:t xml:space="preserve"> required to estimate the value of imputation credits, not the expected </w:t>
      </w:r>
      <w:r w:rsidRPr="00883125">
        <w:lastRenderedPageBreak/>
        <w:t>utilisation value of distributed credits, or a measure of investor's eligibility to utilise those credits.</w:t>
      </w:r>
      <w:r w:rsidRPr="00883125">
        <w:rPr>
          <w:rStyle w:val="FootnoteReference"/>
        </w:rPr>
        <w:footnoteReference w:id="367"/>
      </w:r>
      <w:r w:rsidRPr="00883125">
        <w:t xml:space="preserve"> </w:t>
      </w:r>
      <w:r w:rsidR="00775316">
        <w:t>Further</w:t>
      </w:r>
      <w:r w:rsidRPr="00883125">
        <w:t>, a number of service providers submitted:</w:t>
      </w:r>
      <w:r w:rsidRPr="00883125">
        <w:rPr>
          <w:rStyle w:val="FootnoteReference"/>
        </w:rPr>
        <w:footnoteReference w:id="368"/>
      </w:r>
    </w:p>
    <w:p w:rsidR="00CA67C0" w:rsidRPr="00883125" w:rsidRDefault="00CA67C0" w:rsidP="00CA67C0">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1F278D" w:rsidRDefault="001F278D" w:rsidP="001F278D">
      <w:r>
        <w:t>AusNet Services submitted that the estimate of theta most simply reflect</w:t>
      </w:r>
      <w:r w:rsidR="00805EE0">
        <w:t>s</w:t>
      </w:r>
      <w:r>
        <w:t xml:space="preserve"> the value of imputation credits to investors and it would be an error to seek to estimate theta as a hypothetical before-personal-tax and before-personal-cost value.</w:t>
      </w:r>
      <w:r>
        <w:rPr>
          <w:rStyle w:val="FootnoteReference"/>
        </w:rPr>
        <w:footnoteReference w:id="369"/>
      </w:r>
      <w:r>
        <w:t xml:space="preserve"> AusNet Services considers that of the three approaches we identified to estimate theta, an approach based on market studies is the only approach that is entirely compatible with a definit</w:t>
      </w:r>
      <w:r w:rsidR="00173D04">
        <w:t>i</w:t>
      </w:r>
      <w:r>
        <w:t>on of theta consistent with the NER.</w:t>
      </w:r>
      <w:r>
        <w:rPr>
          <w:rStyle w:val="FootnoteReference"/>
        </w:rPr>
        <w:footnoteReference w:id="370"/>
      </w:r>
    </w:p>
    <w:p w:rsidR="00CA67C0" w:rsidRPr="00883125" w:rsidRDefault="00CA67C0" w:rsidP="00CA67C0">
      <w:r w:rsidRPr="00883125">
        <w:t xml:space="preserve">We disagree. We consider our approach is consistent with the NER/NGR. We have previously noted in the Guideline and in our prior decisions, and maintain in this </w:t>
      </w:r>
      <w:r w:rsidR="00F15ADC">
        <w:t xml:space="preserve">draft </w:t>
      </w:r>
      <w:r w:rsidRPr="00883125">
        <w:t>decision, that the Officer framework provides the basis for the rate of return framework in the NER/NGR.</w:t>
      </w:r>
      <w:r w:rsidRPr="00883125">
        <w:rPr>
          <w:rStyle w:val="FootnoteReference"/>
        </w:rPr>
        <w:footnoteReference w:id="371"/>
      </w:r>
      <w:r w:rsidRPr="00883125">
        <w:t xml:space="preserve"> This point has not been contested by the service providers or their 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supports our 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7261FC">
        <w:t>A.7.3</w:t>
      </w:r>
      <w:r w:rsidRPr="00883125">
        <w:fldChar w:fldCharType="end"/>
      </w:r>
      <w:r w:rsidRPr="00883125">
        <w:t>, Gray's interpretation is unconvincing to us.</w:t>
      </w:r>
    </w:p>
    <w:p w:rsidR="00CA67C0" w:rsidRPr="00883125" w:rsidRDefault="00CA67C0" w:rsidP="00CA67C0">
      <w:r w:rsidRPr="00883125">
        <w:lastRenderedPageBreak/>
        <w:t>Put another way, our approach to estimating the value of imputation credits recognises that this parameter does not exist in isolation. That is, the NER/NGR employ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CA67C0" w:rsidRPr="00883125" w:rsidRDefault="00CA67C0" w:rsidP="00CA67C0">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372"/>
      </w:r>
    </w:p>
    <w:p w:rsidR="00CA67C0" w:rsidRPr="00CA67C0" w:rsidRDefault="00CA67C0" w:rsidP="00CA67C0">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CA67C0" w:rsidRPr="005764F6" w:rsidRDefault="00CA67C0" w:rsidP="00CA67C0">
      <w:pPr>
        <w:pStyle w:val="AERquote"/>
      </w:pPr>
      <w:r w:rsidRPr="005764F6">
        <w:t>This is why it is very important to be absolutely precise about how the key inputs of a WACC analysis – cash flow and discount rate – are defined and to ensure that they are defined on the same basis.</w:t>
      </w:r>
    </w:p>
    <w:p w:rsidR="00CA67C0" w:rsidRPr="005764F6" w:rsidRDefault="00CA67C0" w:rsidP="00CA67C0">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CA67C0" w:rsidRPr="00883125" w:rsidRDefault="00CA67C0" w:rsidP="00CA67C0">
      <w:pPr>
        <w:rPr>
          <w:rStyle w:val="AERbody"/>
        </w:rPr>
      </w:pPr>
      <w:r w:rsidRPr="00883125">
        <w:rPr>
          <w:rStyle w:val="AERbody"/>
        </w:rPr>
        <w:t>Finally, given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also states with respect to the alleged difference between the value of imputation credits and the redemption value:</w:t>
      </w:r>
      <w:r w:rsidRPr="00883125">
        <w:rPr>
          <w:rStyle w:val="FootnoteReference"/>
        </w:rPr>
        <w:footnoteReference w:id="373"/>
      </w:r>
    </w:p>
    <w:p w:rsidR="00CA67C0" w:rsidRPr="00CA67C0" w:rsidRDefault="00CA67C0" w:rsidP="00CA67C0">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w:t>
      </w:r>
      <w:r w:rsidRPr="005764F6">
        <w:lastRenderedPageBreak/>
        <w:t xml:space="preserve">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CA67C0" w:rsidRPr="00883125" w:rsidRDefault="00CA67C0" w:rsidP="00CA67C0">
      <w:pPr>
        <w:rPr>
          <w:rStyle w:val="AERbody"/>
        </w:rPr>
      </w:pPr>
      <w:r w:rsidRPr="00883125">
        <w:rPr>
          <w:rStyle w:val="AERbody"/>
        </w:rPr>
        <w:t>Handley also states:</w:t>
      </w:r>
      <w:r w:rsidRPr="00883125">
        <w:rPr>
          <w:rStyle w:val="FootnoteReference"/>
        </w:rPr>
        <w:footnoteReference w:id="374"/>
      </w:r>
    </w:p>
    <w:p w:rsidR="00CA67C0" w:rsidRPr="005764F6" w:rsidRDefault="00CA67C0" w:rsidP="00CA67C0">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CA67C0" w:rsidRPr="00883125" w:rsidRDefault="00CA67C0" w:rsidP="00CA67C0">
      <w:pPr>
        <w:pStyle w:val="Heading9"/>
      </w:pPr>
      <w:bookmarkStart w:id="188" w:name="_Ref450298425"/>
      <w:bookmarkStart w:id="189" w:name="_Ref450300692"/>
      <w:bookmarkStart w:id="190" w:name="_Ref450840388"/>
      <w:bookmarkStart w:id="191" w:name="_Toc456614312"/>
      <w:r w:rsidRPr="00883125">
        <w:t>Consistency with other allowed rate of return parameters</w:t>
      </w:r>
      <w:bookmarkEnd w:id="188"/>
      <w:bookmarkEnd w:id="189"/>
      <w:bookmarkEnd w:id="190"/>
      <w:bookmarkEnd w:id="191"/>
    </w:p>
    <w:p w:rsidR="00CA67C0" w:rsidRPr="00883125" w:rsidRDefault="00CA67C0" w:rsidP="00CA67C0">
      <w:r w:rsidRPr="00883125">
        <w:t xml:space="preserve">We consider we are estimating the value of imputation credits consistently with the other allowed rate of return parameters on a post company tax basis before personal taxes and personal costs. </w:t>
      </w:r>
    </w:p>
    <w:p w:rsidR="00CA67C0" w:rsidRPr="005764F6" w:rsidRDefault="00CA67C0" w:rsidP="00CA67C0">
      <w:r w:rsidRPr="005764F6">
        <w:t>For instance, when estimating the MRP</w:t>
      </w:r>
      <w:r>
        <w:t>,</w:t>
      </w:r>
      <w:r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375"/>
      </w:r>
      <w:r w:rsidRPr="005764F6">
        <w:t xml:space="preserve"> This highlights that dividend drop off studies are not estimating a post-</w:t>
      </w:r>
      <w:r w:rsidR="006F6621">
        <w:t xml:space="preserve">company pre-personal </w:t>
      </w:r>
      <w:r w:rsidRPr="005764F6">
        <w: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w:t>
      </w:r>
      <w:r w:rsidR="006F6621">
        <w:t xml:space="preserve">company pre-personal </w:t>
      </w:r>
      <w:r w:rsidRPr="005764F6">
        <w:t>tax return. Absent such an adjustment they are not appropriate to use as estimates of the post-</w:t>
      </w:r>
      <w:r w:rsidR="006F6621">
        <w:t xml:space="preserve">company pre-personal </w:t>
      </w:r>
      <w:r w:rsidRPr="005764F6">
        <w:t>tax value of distributed imputation credits for use in the Officer Framework underpinning the rules.</w:t>
      </w:r>
    </w:p>
    <w:p w:rsidR="00CA67C0" w:rsidRPr="005764F6" w:rsidRDefault="00CA67C0" w:rsidP="00CA67C0">
      <w:r w:rsidRPr="005764F6">
        <w:t xml:space="preserve">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w:t>
      </w:r>
      <w:r w:rsidRPr="005764F6">
        <w:lastRenderedPageBreak/>
        <w:t>As noted above, the correct post</w:t>
      </w:r>
      <w:r w:rsidR="007F26CE">
        <w:t xml:space="preserve"> (company)</w:t>
      </w:r>
      <w:r w:rsidRPr="005764F6">
        <w:t xml:space="preserve">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capital gains are generally taxed at a concessional personal tax rate.</w:t>
      </w:r>
      <w:r w:rsidRPr="00A51232">
        <w:rPr>
          <w:rStyle w:val="FootnoteReference"/>
        </w:rPr>
        <w:footnoteReference w:id="376"/>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377"/>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7261FC">
        <w:t>A.15.3</w:t>
      </w:r>
      <w:r w:rsidRPr="005764F6">
        <w:fldChar w:fldCharType="end"/>
      </w:r>
      <w:r w:rsidRPr="005764F6">
        <w:t xml:space="preserve">, where it is shown that the pre-personal tax value of an imputation credit is equal to the face value of the imputation credit. </w:t>
      </w:r>
    </w:p>
    <w:p w:rsidR="00CA67C0" w:rsidRPr="00883125" w:rsidRDefault="00CA67C0" w:rsidP="00CA67C0">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7261FC">
        <w:t>A.15.3</w:t>
      </w:r>
      <w:r w:rsidRPr="00883125">
        <w:fldChar w:fldCharType="end"/>
      </w:r>
      <w:r w:rsidRPr="00883125">
        <w:t>.</w:t>
      </w:r>
    </w:p>
    <w:p w:rsidR="00CA67C0" w:rsidRPr="005764F6" w:rsidRDefault="00CA67C0" w:rsidP="00CA67C0">
      <w:r w:rsidRPr="005764F6">
        <w:t xml:space="preserve">The Tribunal decision considered </w:t>
      </w:r>
      <w:r>
        <w:t>our</w:t>
      </w:r>
      <w:r w:rsidRPr="005764F6">
        <w:t xml:space="preserve"> reasoning ignores the fact that other parameters in the WACC calculation are market values that already incorporate the effects of the difference in investors' tax positon and transaction costs.</w:t>
      </w:r>
      <w:r w:rsidRPr="00B31DF2">
        <w:rPr>
          <w:rStyle w:val="FootnoteReference"/>
        </w:rPr>
        <w:footnoteReference w:id="378"/>
      </w:r>
      <w:r w:rsidRPr="005764F6">
        <w:t xml:space="preserve"> In response we note that we consider our estimates across the rate of return inputs and gamma inputs are consistent and we have not ignored how the rate of return parameters are estimated. For example, as outlined above, when estimating the value of the MRP using historical returns, the value of cash dividends are not assessed on market values which are influenced by pre-personal costs and pre-personal tax factors. For instance:</w:t>
      </w:r>
    </w:p>
    <w:p w:rsidR="00CA67C0" w:rsidRPr="005764F6" w:rsidRDefault="00CA67C0" w:rsidP="00CA67C0">
      <w:pPr>
        <w:pStyle w:val="AERbulletlistfirststyle"/>
      </w:pPr>
      <w:r w:rsidRPr="005764F6">
        <w:t xml:space="preserve">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capital gains income (that are generally taxed at a lower rate and are therefore more </w:t>
      </w:r>
      <w:r w:rsidRPr="005764F6">
        <w:lastRenderedPageBreak/>
        <w:t xml:space="preserve">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  </w:t>
      </w:r>
    </w:p>
    <w:p w:rsidR="00CA67C0" w:rsidRPr="005764F6" w:rsidRDefault="00CA67C0" w:rsidP="00CA67C0">
      <w:pPr>
        <w:pStyle w:val="AERbulletlistfirststyle"/>
      </w:pPr>
      <w:r w:rsidRPr="005764F6">
        <w:t xml:space="preserve">Historical capital gains used in estimating the market risk premium are directly observable post (company) tax returns to investors in the market before personal taxes and personal transaction costs are incurred. </w:t>
      </w:r>
    </w:p>
    <w:p w:rsidR="00CA67C0" w:rsidRPr="005764F6" w:rsidRDefault="00CA67C0" w:rsidP="00CA67C0">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7261FC" w:rsidRPr="00883125">
        <w:t xml:space="preserve">table </w:t>
      </w:r>
      <w:r w:rsidR="007261FC">
        <w:t>4</w:t>
      </w:r>
      <w:r w:rsidR="007261FC" w:rsidRPr="00B27BE5">
        <w:noBreakHyphen/>
      </w:r>
      <w:r w:rsidR="007261FC">
        <w:t>10</w:t>
      </w:r>
      <w:r>
        <w:fldChar w:fldCharType="end"/>
      </w:r>
      <w:r w:rsidRPr="005764F6">
        <w:t xml:space="preserve"> below, we highlight all the parameters that are used in order to calculate the return on equity using the CAPM.</w:t>
      </w:r>
    </w:p>
    <w:p w:rsidR="00CA67C0" w:rsidRPr="00B27BE5" w:rsidRDefault="00CA67C0" w:rsidP="00CA67C0">
      <w:pPr>
        <w:pStyle w:val="Caption"/>
      </w:pPr>
      <w:bookmarkStart w:id="192" w:name="_Ref450297354"/>
      <w:bookmarkStart w:id="193" w:name="_Ref450322149"/>
      <w:r w:rsidRPr="00883125">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7261FC">
        <w:rPr>
          <w:noProof/>
        </w:rPr>
        <w:t>10</w:t>
      </w:r>
      <w:r w:rsidRPr="001D37D5">
        <w:fldChar w:fldCharType="end"/>
      </w:r>
      <w:bookmarkEnd w:id="192"/>
      <w:r w:rsidRPr="00B27BE5">
        <w:tab/>
        <w:t>Parameters used to determine the return on equity</w:t>
      </w:r>
      <w:bookmarkEnd w:id="193"/>
    </w:p>
    <w:tbl>
      <w:tblPr>
        <w:tblStyle w:val="AERtable-numbers"/>
        <w:tblW w:w="0" w:type="auto"/>
        <w:tblLook w:val="04A0" w:firstRow="1" w:lastRow="0" w:firstColumn="1" w:lastColumn="0" w:noHBand="0" w:noVBand="1"/>
      </w:tblPr>
      <w:tblGrid>
        <w:gridCol w:w="3817"/>
        <w:gridCol w:w="2712"/>
        <w:gridCol w:w="2713"/>
      </w:tblGrid>
      <w:tr w:rsidR="00CA67C0" w:rsidTr="00CA67C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p>
        </w:tc>
        <w:tc>
          <w:tcPr>
            <w:tcW w:w="2712"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r w:rsidRPr="00883125">
              <w:t>Risk Free Rate</w:t>
            </w:r>
          </w:p>
        </w:tc>
        <w:tc>
          <w:tcPr>
            <w:tcW w:w="2712"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r w:rsidRPr="00883125">
              <w:t>Market Risk Premium</w:t>
            </w:r>
          </w:p>
        </w:tc>
        <w:tc>
          <w:tcPr>
            <w:tcW w:w="2712"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r w:rsidRPr="00883125">
              <w:t>Beta</w:t>
            </w:r>
          </w:p>
        </w:tc>
        <w:tc>
          <w:tcPr>
            <w:tcW w:w="2712"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CA67C0" w:rsidRPr="005764F6" w:rsidRDefault="00CA67C0" w:rsidP="00CA67C0">
      <w:r w:rsidRPr="005764F6">
        <w:t xml:space="preserve">As is evident in </w:t>
      </w:r>
      <w:r>
        <w:fldChar w:fldCharType="begin"/>
      </w:r>
      <w:r>
        <w:instrText xml:space="preserve"> REF  _Ref450297354 \* Lower \h  \* MERGEFORMAT </w:instrText>
      </w:r>
      <w:r>
        <w:fldChar w:fldCharType="separate"/>
      </w:r>
      <w:r w:rsidR="007261FC" w:rsidRPr="00883125">
        <w:t xml:space="preserve">table </w:t>
      </w:r>
      <w:r w:rsidR="007261FC">
        <w:t>4</w:t>
      </w:r>
      <w:r w:rsidR="007261FC" w:rsidRPr="00B27BE5">
        <w:noBreakHyphen/>
      </w:r>
      <w:r w:rsidR="007261FC">
        <w:t>10</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7261FC" w:rsidRPr="00883125">
        <w:t xml:space="preserve">table </w:t>
      </w:r>
      <w:r w:rsidR="007261FC">
        <w:t>4</w:t>
      </w:r>
      <w:r w:rsidR="007261FC" w:rsidRPr="00B27BE5">
        <w:noBreakHyphen/>
      </w:r>
      <w:r w:rsidR="007261FC">
        <w:t>10</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CA67C0" w:rsidRPr="005764F6" w:rsidRDefault="00CA67C0" w:rsidP="00CA67C0">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7261FC" w:rsidRPr="005764F6">
        <w:t xml:space="preserve">table </w:t>
      </w:r>
      <w:r w:rsidR="007261FC">
        <w:t>4</w:t>
      </w:r>
      <w:r w:rsidR="007261FC" w:rsidRPr="005764F6">
        <w:noBreakHyphen/>
      </w:r>
      <w:r w:rsidR="007261FC">
        <w:t>11</w:t>
      </w:r>
      <w:r>
        <w:fldChar w:fldCharType="end"/>
      </w:r>
      <w:r w:rsidRPr="005764F6">
        <w:t>.</w:t>
      </w:r>
    </w:p>
    <w:p w:rsidR="00CA67C0" w:rsidRPr="005764F6" w:rsidRDefault="00CA67C0" w:rsidP="00CA67C0">
      <w:pPr>
        <w:pStyle w:val="Tabletitle"/>
      </w:pPr>
      <w:bookmarkStart w:id="194" w:name="_Ref450297391"/>
      <w:r w:rsidRPr="005764F6">
        <w:t xml:space="preserve">Table </w:t>
      </w:r>
      <w:r w:rsidRPr="00CA67C0">
        <w:fldChar w:fldCharType="begin"/>
      </w:r>
      <w:r>
        <w:instrText xml:space="preserve"> STYLEREF 1 \s </w:instrText>
      </w:r>
      <w:r w:rsidRPr="00CA67C0">
        <w:fldChar w:fldCharType="separate"/>
      </w:r>
      <w:r w:rsidR="007261FC">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7261FC">
        <w:rPr>
          <w:noProof/>
        </w:rPr>
        <w:t>11</w:t>
      </w:r>
      <w:r w:rsidRPr="00CA67C0">
        <w:fldChar w:fldCharType="end"/>
      </w:r>
      <w:bookmarkEnd w:id="194"/>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CA67C0" w:rsidRPr="00663AD0" w:rsidTr="00CA67C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5764F6" w:rsidRDefault="00CA67C0" w:rsidP="00CA67C0"/>
        </w:tc>
        <w:tc>
          <w:tcPr>
            <w:tcW w:w="2712" w:type="dxa"/>
          </w:tcPr>
          <w:p w:rsidR="00CA67C0" w:rsidRPr="00CA67C0" w:rsidRDefault="00CA67C0" w:rsidP="00CA67C0">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CA67C0" w:rsidRPr="00CA67C0" w:rsidRDefault="00CA67C0" w:rsidP="00CA67C0">
            <w:pPr>
              <w:cnfStyle w:val="100000000000" w:firstRow="1" w:lastRow="0" w:firstColumn="0" w:lastColumn="0" w:oddVBand="0" w:evenVBand="0" w:oddHBand="0" w:evenHBand="0" w:firstRowFirstColumn="0" w:firstRowLastColumn="0" w:lastRowFirstColumn="0" w:lastRowLastColumn="0"/>
            </w:pPr>
            <w:r w:rsidRPr="005764F6">
              <w:t>Face Value</w:t>
            </w:r>
          </w:p>
        </w:tc>
      </w:tr>
      <w:tr w:rsidR="00CA67C0" w:rsidRPr="00663AD0" w:rsidTr="00CA67C0">
        <w:trPr>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CA67C0" w:rsidRDefault="00CA67C0" w:rsidP="00CA67C0">
            <w:r w:rsidRPr="005764F6">
              <w:t>Return on debt</w:t>
            </w:r>
          </w:p>
        </w:tc>
        <w:tc>
          <w:tcPr>
            <w:tcW w:w="2712" w:type="dxa"/>
          </w:tcPr>
          <w:p w:rsidR="00CA67C0" w:rsidRPr="00CA67C0" w:rsidRDefault="00CA67C0" w:rsidP="00CA67C0">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CA67C0" w:rsidRPr="00CA67C0" w:rsidRDefault="00CA67C0" w:rsidP="00CA67C0">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CA67C0" w:rsidRPr="00663AD0" w:rsidTr="00CA67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CA67C0" w:rsidRDefault="00CA67C0" w:rsidP="00CA67C0">
            <w:r w:rsidRPr="005764F6">
              <w:t>Risk Free Rate</w:t>
            </w:r>
          </w:p>
        </w:tc>
        <w:tc>
          <w:tcPr>
            <w:tcW w:w="2712" w:type="dxa"/>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CA67C0" w:rsidRPr="00CA67C0" w:rsidRDefault="00CA67C0" w:rsidP="00CA67C0">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CA67C0" w:rsidRPr="005764F6" w:rsidRDefault="00CA67C0" w:rsidP="00CA67C0">
      <w:r w:rsidRPr="005764F6">
        <w:t xml:space="preserve">As is evident in </w:t>
      </w:r>
      <w:r>
        <w:fldChar w:fldCharType="begin"/>
      </w:r>
      <w:r>
        <w:instrText xml:space="preserve"> REF  _Ref450297391 \* Lower \h  \* MERGEFORMAT </w:instrText>
      </w:r>
      <w:r>
        <w:fldChar w:fldCharType="separate"/>
      </w:r>
      <w:r w:rsidR="007261FC" w:rsidRPr="005764F6">
        <w:t xml:space="preserve">table </w:t>
      </w:r>
      <w:r w:rsidR="007261FC">
        <w:t>4</w:t>
      </w:r>
      <w:r w:rsidR="007261FC" w:rsidRPr="005764F6">
        <w:noBreakHyphen/>
      </w:r>
      <w:r w:rsidR="007261FC">
        <w:t>11</w:t>
      </w:r>
      <w:r>
        <w:fldChar w:fldCharType="end"/>
      </w:r>
      <w:r w:rsidRPr="005764F6">
        <w:t xml:space="preserve">, the return on debt estimated via the yield to maturity is determined from using a combination of market values and face values. All input parameters are to measure the cost of debt on a post-company tax but pre-personal tax basis. For </w:t>
      </w:r>
      <w:r w:rsidRPr="005764F6">
        <w:lastRenderedPageBreak/>
        <w:t>example, the debt holder has to pay personal tax on the face value of the coupon payments and if a bond holder sells their bond they have to pay personal on the return measured from 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CA67C0" w:rsidRPr="005053A1" w:rsidRDefault="00CA67C0" w:rsidP="00CA67C0">
      <w:r w:rsidRPr="005053A1">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379"/>
      </w:r>
    </w:p>
    <w:p w:rsidR="00CA67C0" w:rsidRPr="00663AD0" w:rsidRDefault="00CA67C0" w:rsidP="00CA67C0">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CA67C0" w:rsidRPr="005764F6" w:rsidRDefault="00CA67C0" w:rsidP="00CA67C0">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CA67C0" w:rsidRDefault="00CA67C0" w:rsidP="00CA67C0">
      <w:r w:rsidRPr="005764F6">
        <w:t>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from observed post company tax returns before these personal costs and taxes are incurred (</w:t>
      </w:r>
      <w:r>
        <w:t>for example</w:t>
      </w:r>
      <w:r w:rsidR="00B51819">
        <w:t>,</w:t>
      </w:r>
      <w:r w:rsidRPr="005764F6">
        <w:t xml:space="preserve"> historical estimates of the MRP are before personal costs have been incurred).</w:t>
      </w:r>
    </w:p>
    <w:p w:rsidR="00B51819" w:rsidRPr="005764F6" w:rsidRDefault="00B51819" w:rsidP="00CA67C0">
      <w:r>
        <w:t>As a result, we do not agree with AusNet Services that using market value studies to estimate theta is consistent with how other rate of return parameters are estimated.</w:t>
      </w:r>
      <w:r>
        <w:rPr>
          <w:rStyle w:val="FootnoteReference"/>
        </w:rPr>
        <w:footnoteReference w:id="380"/>
      </w:r>
    </w:p>
    <w:p w:rsidR="00CA67C0" w:rsidRPr="00883125" w:rsidRDefault="00CA67C0" w:rsidP="00CA67C0">
      <w:pPr>
        <w:pStyle w:val="Heading9"/>
      </w:pPr>
      <w:bookmarkStart w:id="195" w:name="_Toc450119269"/>
      <w:bookmarkStart w:id="196" w:name="_Toc450119429"/>
      <w:bookmarkStart w:id="197" w:name="_Ref414099389"/>
      <w:bookmarkStart w:id="198" w:name="_Toc456614313"/>
      <w:bookmarkEnd w:id="195"/>
      <w:bookmarkEnd w:id="196"/>
      <w:r w:rsidRPr="00883125">
        <w:t>Factors affecting investors' valuation of imputation credits</w:t>
      </w:r>
      <w:bookmarkEnd w:id="197"/>
      <w:bookmarkEnd w:id="198"/>
    </w:p>
    <w:p w:rsidR="00B51819" w:rsidRDefault="00CA67C0" w:rsidP="00CA67C0">
      <w:r w:rsidRPr="00883125">
        <w:lastRenderedPageBreak/>
        <w:t>A 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381"/>
      </w:r>
      <w:r w:rsidRPr="00883125">
        <w:t xml:space="preserve">  </w:t>
      </w:r>
      <w:r>
        <w:t>They</w:t>
      </w:r>
      <w:r w:rsidRPr="00883125">
        <w:t xml:space="preserve"> submitted the equity ownership approach 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382"/>
      </w:r>
      <w:r w:rsidRPr="00883125">
        <w:t xml:space="preserve"> </w:t>
      </w:r>
    </w:p>
    <w:p w:rsidR="00B51819" w:rsidRDefault="00B51819" w:rsidP="00CA67C0">
      <w:r w:rsidRPr="00B51819">
        <w:t xml:space="preserve">AusNet </w:t>
      </w:r>
      <w:r w:rsidR="00173D04">
        <w:t xml:space="preserve">Services </w:t>
      </w:r>
      <w:r w:rsidRPr="00B51819">
        <w:t>considers that theta cannot be higher than the domestic ownership rate, since foreign investors cannot place any value on imputation credits.</w:t>
      </w:r>
      <w:r w:rsidRPr="00B51819">
        <w:rPr>
          <w:rStyle w:val="FootnoteReference"/>
        </w:rPr>
        <w:footnoteReference w:id="383"/>
      </w:r>
      <w:r w:rsidRPr="00B51819">
        <w:t xml:space="preserve"> Further, AusNet Services considers it is unusual for theta to be defined in a way that excludes the effects of certain factors that may impact on value, such as personal costs.</w:t>
      </w:r>
      <w:r w:rsidRPr="00B51819">
        <w:rPr>
          <w:rStyle w:val="FootnoteReference"/>
        </w:rPr>
        <w:footnoteReference w:id="384"/>
      </w:r>
    </w:p>
    <w:p w:rsidR="00CA67C0" w:rsidRPr="00883125" w:rsidRDefault="00CA67C0" w:rsidP="00CA67C0">
      <w:r w:rsidRPr="00883125">
        <w:t>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385"/>
      </w:r>
      <w:r w:rsidRPr="00883125">
        <w:t xml:space="preserve"> Gray (for Frontier) supports this by submitting that </w:t>
      </w:r>
      <w:r>
        <w:t xml:space="preserve">the </w:t>
      </w:r>
      <w:r w:rsidRPr="00883125">
        <w:t>redemption rate should be used as an upper bound (0.45-0.46) for utilisation value and that it should not be used as a point estimate for the utilisation rate.</w:t>
      </w:r>
      <w:r w:rsidRPr="00883125">
        <w:rPr>
          <w:rStyle w:val="FootnoteReference"/>
        </w:rPr>
        <w:footnoteReference w:id="386"/>
      </w:r>
      <w:r w:rsidRPr="00883125">
        <w:t xml:space="preserve"> Gray (for Frontier) considers that the tax statistics estimate should be preferred to the equity ownership estimate.</w:t>
      </w:r>
      <w:r w:rsidRPr="00883125">
        <w:rPr>
          <w:rStyle w:val="FootnoteReference"/>
        </w:rPr>
        <w:footnoteReference w:id="387"/>
      </w:r>
      <w:r>
        <w:t>We</w:t>
      </w:r>
      <w:r w:rsidRPr="00883125">
        <w:t xml:space="preserve"> addressed each of these factors in our prior decisions, and concluded that they are either immaterial or should not be accounted for when estimating the properly defined utilisation value. Nothing in the service providers' </w:t>
      </w:r>
      <w:r>
        <w:t>proposals</w:t>
      </w:r>
      <w:r w:rsidRPr="00883125">
        <w:t xml:space="preserve">, </w:t>
      </w:r>
      <w:r>
        <w:t>n</w:t>
      </w:r>
      <w:r w:rsidRPr="00883125">
        <w:t xml:space="preserve">or in the </w:t>
      </w:r>
      <w:r>
        <w:t xml:space="preserve">recent </w:t>
      </w:r>
      <w:r w:rsidRPr="00883125">
        <w:t>Tribunal decision</w:t>
      </w:r>
      <w:r>
        <w:t xml:space="preserve">s referenced in service </w:t>
      </w:r>
      <w:r>
        <w:lastRenderedPageBreak/>
        <w:t>providers' late submissions,</w:t>
      </w:r>
      <w:r w:rsidRPr="00883125">
        <w:t xml:space="preserve"> give us cause to change this conclusion. To the extent time has permitted we have expanded on the following points in other sections of this decision:</w:t>
      </w:r>
    </w:p>
    <w:p w:rsidR="00CA67C0" w:rsidRPr="001D37D5" w:rsidRDefault="00CA67C0" w:rsidP="00CA67C0">
      <w:pPr>
        <w:pStyle w:val="AERbulletlistfirststyle"/>
      </w:pPr>
      <w:r w:rsidRPr="00883125">
        <w:t xml:space="preserve">Why estimates from tax </w:t>
      </w:r>
      <w:r w:rsidRPr="001D37D5">
        <w:t xml:space="preserve">statistics and the equity ownership approach are not upper bounds and can be used as valid point estimates for the utilisation rate (or theta). See sections </w:t>
      </w:r>
      <w:r w:rsidRPr="001D37D5">
        <w:fldChar w:fldCharType="begin"/>
      </w:r>
      <w:r w:rsidRPr="001D37D5">
        <w:instrText xml:space="preserve"> REF _Ref415049811 \r \h </w:instrText>
      </w:r>
      <w:r w:rsidRPr="001D37D5">
        <w:fldChar w:fldCharType="separate"/>
      </w:r>
      <w:r w:rsidR="007261FC">
        <w:t>A.12</w:t>
      </w:r>
      <w:r w:rsidRPr="001D37D5">
        <w:fldChar w:fldCharType="end"/>
      </w:r>
      <w:r w:rsidRPr="001D37D5">
        <w:t xml:space="preserve">, </w:t>
      </w:r>
      <w:r w:rsidRPr="001D37D5">
        <w:fldChar w:fldCharType="begin"/>
      </w:r>
      <w:r w:rsidRPr="001D37D5">
        <w:instrText xml:space="preserve"> REF _Ref402179420 \r \h </w:instrText>
      </w:r>
      <w:r w:rsidRPr="001D37D5">
        <w:fldChar w:fldCharType="separate"/>
      </w:r>
      <w:r w:rsidR="007261FC">
        <w:t>A.13</w:t>
      </w:r>
      <w:r w:rsidRPr="001D37D5">
        <w:fldChar w:fldCharType="end"/>
      </w:r>
    </w:p>
    <w:p w:rsidR="00CA67C0" w:rsidRPr="001D37D5" w:rsidRDefault="00CA67C0" w:rsidP="00CA67C0">
      <w:pPr>
        <w:pStyle w:val="AERbulletlistfirststyle"/>
      </w:pPr>
      <w:r w:rsidRPr="00883125">
        <w:t xml:space="preserve">Why the 45 day rule </w:t>
      </w:r>
      <w:r w:rsidRPr="001D37D5">
        <w:t>and other factors preventing utilisation by eligible investors are not expected to be responsible for the difference between the estimated utilisation rate from tax statistics and the equity ownership approach. See the following sub section.</w:t>
      </w:r>
    </w:p>
    <w:p w:rsidR="00CA67C0" w:rsidRPr="00883125" w:rsidRDefault="00CA67C0" w:rsidP="00764AB1">
      <w:pPr>
        <w:pStyle w:val="HeadingBoldBlue"/>
        <w:numPr>
          <w:ilvl w:val="0"/>
          <w:numId w:val="24"/>
        </w:numPr>
      </w:pPr>
      <w:bookmarkStart w:id="199" w:name="_Toc456614314"/>
      <w:r w:rsidRPr="00883125">
        <w:t>The 45-day holding rule</w:t>
      </w:r>
      <w:bookmarkEnd w:id="199"/>
    </w:p>
    <w:p w:rsidR="00CA67C0" w:rsidRPr="00883125" w:rsidRDefault="00CA67C0" w:rsidP="00764AB1">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388"/>
      </w:r>
      <w:r w:rsidRPr="00883125">
        <w:t xml:space="preserve"> However, this rule does not apply if the investor's total credit entitlement is below $5,000.</w:t>
      </w:r>
    </w:p>
    <w:p w:rsidR="00CA67C0" w:rsidRPr="00883125" w:rsidRDefault="00CA67C0" w:rsidP="00764AB1">
      <w:pPr>
        <w:numPr>
          <w:ilvl w:val="0"/>
          <w:numId w:val="24"/>
        </w:numPr>
      </w:pPr>
      <w:r w:rsidRPr="00883125">
        <w:t>A number of service providers stated:</w:t>
      </w:r>
      <w:r w:rsidRPr="00883125">
        <w:rPr>
          <w:rStyle w:val="FootnoteReference"/>
        </w:rPr>
        <w:footnoteReference w:id="389"/>
      </w:r>
    </w:p>
    <w:p w:rsidR="00CA67C0" w:rsidRPr="00CA67C0" w:rsidRDefault="00CA67C0" w:rsidP="00CA67C0">
      <w:pPr>
        <w:pStyle w:val="AERquote"/>
      </w:pPr>
      <w:r w:rsidRPr="00883125">
        <w:t>It has been estimated that the 45-day rule has about a 5-10% impact on the redemption rate.</w:t>
      </w:r>
    </w:p>
    <w:p w:rsidR="00CA67C0" w:rsidRPr="00883125" w:rsidRDefault="00CA67C0" w:rsidP="00764AB1">
      <w:pPr>
        <w:numPr>
          <w:ilvl w:val="0"/>
          <w:numId w:val="24"/>
        </w:numPr>
      </w:pPr>
      <w:r w:rsidRPr="00883125">
        <w:t>The source of this estimate is a 2010 paper by Handley. The relevant passage from this paper is:</w:t>
      </w:r>
      <w:r w:rsidRPr="00883125">
        <w:rPr>
          <w:rStyle w:val="FootnoteReference"/>
        </w:rPr>
        <w:footnoteReference w:id="390"/>
      </w:r>
    </w:p>
    <w:p w:rsidR="00CA67C0" w:rsidRPr="00883125" w:rsidRDefault="00CA67C0" w:rsidP="00CA67C0">
      <w:pPr>
        <w:pStyle w:val="AERquote"/>
      </w:pPr>
      <w:r w:rsidRPr="00883125">
        <w:t xml:space="preserve">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w:t>
      </w:r>
      <w:r w:rsidRPr="00883125">
        <w:lastRenderedPageBreak/>
        <w:t>case since credits were not refundable at that time), then the rule would have had about a 5-10% impact on the utilisation rate.)</w:t>
      </w:r>
    </w:p>
    <w:p w:rsidR="00CA67C0" w:rsidRPr="00883125" w:rsidRDefault="00CA67C0" w:rsidP="00764AB1">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391"/>
      </w:r>
      <w:r w:rsidRPr="00883125">
        <w:t xml:space="preserve"> Handley maintained this view in his April 2015 report.</w:t>
      </w:r>
      <w:r w:rsidRPr="00883125">
        <w:rPr>
          <w:rStyle w:val="FootnoteReference"/>
        </w:rPr>
        <w:footnoteReference w:id="392"/>
      </w:r>
    </w:p>
    <w:p w:rsidR="00CA67C0" w:rsidRPr="00883125" w:rsidRDefault="00CA67C0" w:rsidP="00764AB1">
      <w:pPr>
        <w:numPr>
          <w:ilvl w:val="0"/>
          <w:numId w:val="24"/>
        </w:numPr>
      </w:pPr>
      <w:r w:rsidRPr="00883125">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CA67C0" w:rsidRPr="00883125" w:rsidRDefault="00CA67C0" w:rsidP="00764AB1">
      <w:pPr>
        <w:numPr>
          <w:ilvl w:val="0"/>
          <w:numId w:val="24"/>
        </w:numPr>
      </w:pPr>
      <w:r>
        <w:t xml:space="preserve">In their late submissions, </w:t>
      </w:r>
      <w:r w:rsidRPr="00883125">
        <w:t xml:space="preserve">United Energy, </w:t>
      </w:r>
      <w:r>
        <w:t xml:space="preserve">ActewAGL, </w:t>
      </w:r>
      <w:r w:rsidRPr="00883125">
        <w:t>CitiPower and Powercor</w:t>
      </w:r>
      <w:r>
        <w:t xml:space="preserve"> submitted</w:t>
      </w:r>
      <w:r w:rsidRPr="00883125">
        <w:t xml:space="preserve"> the Tribunal did not agree with ou</w:t>
      </w:r>
      <w:r>
        <w:t>r</w:t>
      </w:r>
      <w:r w:rsidRPr="00883125">
        <w:t xml:space="preserve"> position.</w:t>
      </w:r>
      <w:r w:rsidRPr="00883125">
        <w:rPr>
          <w:rStyle w:val="FootnoteReference"/>
        </w:rPr>
        <w:footnoteReference w:id="393"/>
      </w:r>
      <w:r w:rsidRPr="00883125">
        <w:t xml:space="preserve"> The Tribunal considered that the issue is not whether such a class exists (domestic investors that hold for less than 45 days), but the size of that class to which the value of imputation credits is lower as a result of domestic shareholders being unable to use them.</w:t>
      </w:r>
      <w:r w:rsidRPr="00883125">
        <w:rPr>
          <w:rStyle w:val="FootnoteReference"/>
        </w:rPr>
        <w:footnoteReference w:id="394"/>
      </w:r>
      <w:r w:rsidRPr="00883125">
        <w:t xml:space="preserve"> However, as outlined below, </w:t>
      </w:r>
      <w:r>
        <w:t>we</w:t>
      </w:r>
      <w:r w:rsidRPr="00883125">
        <w:t xml:space="preserve"> remain of the view that the 45 day rule </w:t>
      </w:r>
      <w:r>
        <w:t xml:space="preserve">and other facts preventing utilisation by eligible investors </w:t>
      </w:r>
      <w:r w:rsidRPr="00883125">
        <w:t xml:space="preserve">is likely to be having an immaterial impact on the utilisation </w:t>
      </w:r>
      <w:r>
        <w:t>value</w:t>
      </w:r>
      <w:r w:rsidRPr="00883125">
        <w:t xml:space="preserve"> by domestic investors. For clarity, the </w:t>
      </w:r>
      <w:r>
        <w:t>we do</w:t>
      </w:r>
      <w:r w:rsidRPr="00883125">
        <w:t xml:space="preserve"> not claim there are no domestic investors that hold shares for less than 45 days over the ex-dividend date. However, </w:t>
      </w:r>
      <w:r>
        <w:t>we</w:t>
      </w:r>
      <w:r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CA67C0" w:rsidRPr="00883125" w:rsidRDefault="00CA67C0" w:rsidP="00764AB1">
      <w:pPr>
        <w:numPr>
          <w:ilvl w:val="0"/>
          <w:numId w:val="24"/>
        </w:numPr>
      </w:pPr>
      <w:r w:rsidRPr="00883125">
        <w:lastRenderedPageBreak/>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395"/>
      </w:r>
      <w:r w:rsidRPr="00883125">
        <w:t xml:space="preserve"> We know that the amount of imputation credits attached to a dollar of fully franked dividends is $0.43 ($1 x 0.3/(1–0.3)).</w:t>
      </w:r>
      <w:r w:rsidRPr="00883125">
        <w:rPr>
          <w:rStyle w:val="FootnoteReference"/>
        </w:rPr>
        <w:footnoteReference w:id="396"/>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7261FC" w:rsidRPr="00883125">
        <w:t xml:space="preserve">Table </w:t>
      </w:r>
      <w:r w:rsidR="007261FC">
        <w:rPr>
          <w:noProof/>
        </w:rPr>
        <w:t>4</w:t>
      </w:r>
      <w:r w:rsidR="007261FC">
        <w:noBreakHyphen/>
      </w:r>
      <w:r w:rsidR="007261FC">
        <w:rPr>
          <w:noProof/>
        </w:rPr>
        <w:t>12</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397"/>
      </w:r>
      <w:r w:rsidRPr="00883125">
        <w:t xml:space="preserve"> This suggests that the 45-day holding rule is not having a material effect.</w:t>
      </w:r>
    </w:p>
    <w:p w:rsidR="00CA67C0" w:rsidRPr="00883125" w:rsidRDefault="00CA67C0" w:rsidP="00CA67C0">
      <w:pPr>
        <w:pStyle w:val="Caption"/>
      </w:pPr>
      <w:bookmarkStart w:id="200" w:name="_Ref401848641"/>
      <w:r w:rsidRPr="00883125">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12</w:t>
      </w:r>
      <w:r w:rsidRPr="001D37D5">
        <w:fldChar w:fldCharType="end"/>
      </w:r>
      <w:bookmarkEnd w:id="200"/>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CA67C0" w:rsidTr="00CA67C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p>
        </w:tc>
        <w:tc>
          <w:tcPr>
            <w:tcW w:w="2712"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r w:rsidRPr="00883125">
              <w:t>Fully franked dividends received</w:t>
            </w:r>
          </w:p>
        </w:tc>
        <w:tc>
          <w:tcPr>
            <w:tcW w:w="2712"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rPr>
                <w:rStyle w:val="AERtextitalic"/>
              </w:rPr>
            </w:pPr>
            <w:r w:rsidRPr="00883125">
              <w:rPr>
                <w:rStyle w:val="AERtextitalic"/>
              </w:rPr>
              <w:t>Implied imputation credits received</w:t>
            </w:r>
          </w:p>
        </w:tc>
        <w:tc>
          <w:tcPr>
            <w:tcW w:w="2712"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r w:rsidRPr="00883125">
              <w:t>Imputation credits utilised</w:t>
            </w:r>
          </w:p>
        </w:tc>
        <w:tc>
          <w:tcPr>
            <w:tcW w:w="2712"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CA67C0" w:rsidRPr="00883125" w:rsidRDefault="00CA67C0" w:rsidP="00CA67C0">
      <w:pPr>
        <w:pStyle w:val="AERtablesource"/>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CA67C0" w:rsidRPr="00883125" w:rsidRDefault="00CA67C0" w:rsidP="00CA67C0">
      <w:r w:rsidRPr="00883125">
        <w:t>However, service providers submit</w:t>
      </w:r>
      <w:r>
        <w:t>ted</w:t>
      </w:r>
      <w:r w:rsidRPr="00883125">
        <w:t xml:space="preserve"> the analysis that underpins this analysis is based on data that is unreliable.</w:t>
      </w:r>
      <w:r w:rsidRPr="00883125">
        <w:rPr>
          <w:rStyle w:val="FootnoteReference"/>
        </w:rPr>
        <w:footnoteReference w:id="398"/>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7261FC">
        <w:t>A.10.4</w:t>
      </w:r>
      <w:r w:rsidRPr="00883125">
        <w:fldChar w:fldCharType="end"/>
      </w:r>
      <w:r w:rsidRPr="00883125">
        <w:t xml:space="preserve">, </w:t>
      </w:r>
      <w:r>
        <w:lastRenderedPageBreak/>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CA67C0" w:rsidRPr="00883125" w:rsidRDefault="00CA67C0" w:rsidP="00CA67C0">
      <w:r w:rsidRPr="00883125">
        <w:t>Based on these considerations, the 45-day holding rule does not appear to have a material effect on the utilisation rate. The analysis above was presented in our draft decisions released in 2014, but the service providers subject of those proposals did not comment on it in their revised proposals. Instead, they submitted:</w:t>
      </w:r>
      <w:r w:rsidRPr="00883125">
        <w:rPr>
          <w:rStyle w:val="FootnoteReference"/>
        </w:rPr>
        <w:footnoteReference w:id="399"/>
      </w:r>
    </w:p>
    <w:p w:rsidR="00CA67C0" w:rsidRPr="00883125" w:rsidRDefault="00CA67C0" w:rsidP="00CA67C0">
      <w:pPr>
        <w:pStyle w:val="AERquote"/>
      </w:pPr>
      <w:r w:rsidRPr="00883125">
        <w:t>The AER seeks to dismiss the impact of tax rules affecting eligibility of domestic investors to redeem imputation credits by saying that:</w:t>
      </w:r>
    </w:p>
    <w:p w:rsidR="00CA67C0" w:rsidRPr="00883125" w:rsidRDefault="00CA67C0" w:rsidP="00CA67C0">
      <w:pPr>
        <w:pStyle w:val="AERquoteindent2"/>
      </w:pPr>
      <w:r w:rsidRPr="00883125">
        <w:t>“…we do not consider that there is clear evidence as to effect that these rules have or should be expected to have.”</w:t>
      </w:r>
    </w:p>
    <w:p w:rsidR="00CA67C0" w:rsidRPr="00883125" w:rsidRDefault="00CA67C0" w:rsidP="00CA67C0">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CA67C0" w:rsidRPr="00883125" w:rsidRDefault="00CA67C0" w:rsidP="00CA67C0">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CA67C0" w:rsidRPr="00883125" w:rsidRDefault="00CA67C0" w:rsidP="00CA67C0">
      <w:r w:rsidRPr="00883125">
        <w:t xml:space="preserve">We do not consider that this represents clear evidence as to the effect of the 45-day rule and other tax rules. Firstly, the service providers' approach does not contemplate error or inaccuracy in the tax statistics. In section </w:t>
      </w:r>
      <w:r>
        <w:fldChar w:fldCharType="begin"/>
      </w:r>
      <w:r>
        <w:instrText xml:space="preserve"> REF _Ref451286698 \r \h </w:instrText>
      </w:r>
      <w:r>
        <w:fldChar w:fldCharType="separate"/>
      </w:r>
      <w:r w:rsidR="007261FC">
        <w:t>4.4</w:t>
      </w:r>
      <w:r>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tax statistics because of significant unresolved problems with the data.</w:t>
      </w:r>
      <w:r w:rsidRPr="00883125">
        <w:rPr>
          <w:rStyle w:val="FootnoteReference"/>
        </w:rPr>
        <w:footnoteReference w:id="400"/>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401"/>
      </w:r>
      <w:r w:rsidRPr="00883125">
        <w:t xml:space="preserve"> we </w:t>
      </w:r>
      <w:r w:rsidRPr="00883125">
        <w:lastRenderedPageBreak/>
        <w:t>do not consider the above analysis provides compelling evidence that the 45 day rule is having a material impact given residual concerns with the data.</w:t>
      </w:r>
    </w:p>
    <w:p w:rsidR="00CA67C0" w:rsidRPr="00883125" w:rsidRDefault="00CA67C0" w:rsidP="00CA67C0">
      <w:pPr>
        <w:rPr>
          <w:rStyle w:val="AERbody"/>
        </w:rPr>
      </w:pPr>
      <w:r w:rsidRPr="00883125">
        <w:t>Secondly, the service providers' conclusion is contradicted by the analysis of tax statistics we presented in our prior decisions and which we repeat above</w:t>
      </w:r>
      <w:r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CA67C0" w:rsidRPr="00883125" w:rsidRDefault="00CA67C0" w:rsidP="00CA67C0">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402"/>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403"/>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CA67C0" w:rsidRDefault="00CA67C0" w:rsidP="00CA67C0">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404"/>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CA67C0" w:rsidRPr="00B27BE5" w:rsidRDefault="00CA67C0" w:rsidP="00CA67C0">
      <w:pPr>
        <w:rPr>
          <w:rStyle w:val="AERbody"/>
        </w:rPr>
      </w:pPr>
      <w:r>
        <w:rPr>
          <w:rStyle w:val="AERbody"/>
        </w:rPr>
        <w:t>We consider Lally's recent report supports our positon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405"/>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406"/>
      </w:r>
    </w:p>
    <w:p w:rsidR="00CA67C0" w:rsidRPr="00883125" w:rsidRDefault="00CA67C0" w:rsidP="00764AB1">
      <w:pPr>
        <w:pStyle w:val="HeadingBoldBlue"/>
        <w:numPr>
          <w:ilvl w:val="0"/>
          <w:numId w:val="24"/>
        </w:numPr>
      </w:pPr>
      <w:bookmarkStart w:id="201" w:name="_Ref400540858"/>
      <w:bookmarkStart w:id="202" w:name="_Toc456614315"/>
      <w:r w:rsidRPr="00883125">
        <w:lastRenderedPageBreak/>
        <w:t>Transactions costs</w:t>
      </w:r>
      <w:bookmarkEnd w:id="201"/>
      <w:bookmarkEnd w:id="202"/>
    </w:p>
    <w:p w:rsidR="00CA67C0" w:rsidRPr="00883125" w:rsidRDefault="00CA67C0" w:rsidP="00764AB1">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407"/>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408"/>
      </w:r>
      <w:r w:rsidR="00DD218F">
        <w:t xml:space="preserve"> AusNet Services considers that if such costs are assumed away, then the resulting gamma estimate will overstate the true value of imputation credits to investors.</w:t>
      </w:r>
    </w:p>
    <w:p w:rsidR="00CA67C0" w:rsidRPr="00883125" w:rsidRDefault="00CA67C0" w:rsidP="00764AB1">
      <w:pPr>
        <w:numPr>
          <w:ilvl w:val="0"/>
          <w:numId w:val="24"/>
        </w:numPr>
      </w:pPr>
      <w:r w:rsidRPr="00883125">
        <w:t xml:space="preserve">Firstly, we note that Handley advised that we specifically </w:t>
      </w:r>
      <w:r w:rsidR="00187BB8">
        <w:t xml:space="preserve">do </w:t>
      </w:r>
      <w:r w:rsidRPr="00883125">
        <w:t>not take account of these costs:</w:t>
      </w:r>
      <w:r w:rsidRPr="00883125">
        <w:rPr>
          <w:rStyle w:val="FootnoteReference"/>
        </w:rPr>
        <w:footnoteReference w:id="409"/>
      </w:r>
    </w:p>
    <w:p w:rsidR="00CA67C0" w:rsidRPr="00883125" w:rsidRDefault="00CA67C0" w:rsidP="00CA67C0">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CA67C0" w:rsidRPr="00883125" w:rsidRDefault="00CA67C0" w:rsidP="00764AB1">
      <w:pPr>
        <w:numPr>
          <w:ilvl w:val="0"/>
          <w:numId w:val="24"/>
        </w:numPr>
      </w:pPr>
      <w:r w:rsidRPr="00883125">
        <w:t>Secondly, we are not convinced that transactions costs are likely to dissuade a material number of investors from redeeming imputation credits. Our considerations on this are as follows:</w:t>
      </w:r>
    </w:p>
    <w:p w:rsidR="00CA67C0" w:rsidRPr="001D37D5" w:rsidRDefault="00CA67C0" w:rsidP="00CA67C0">
      <w:pPr>
        <w:pStyle w:val="AERbulletlistfirststyle"/>
      </w:pPr>
      <w:r w:rsidRPr="00883125">
        <w:t xml:space="preserve">When filling out a tax return, one is </w:t>
      </w:r>
      <w:r w:rsidRPr="001D37D5">
        <w:rPr>
          <w:rStyle w:val="AERtextitalic"/>
        </w:rPr>
        <w:t>required</w:t>
      </w:r>
      <w:r w:rsidRPr="001D37D5">
        <w:t xml:space="preserve"> to report the franked dividends received and the imputation credits that are eligible to be utilised.</w:t>
      </w:r>
      <w:r w:rsidRPr="001D37D5">
        <w:rPr>
          <w:rStyle w:val="FootnoteReference"/>
        </w:rPr>
        <w:footnoteReference w:id="410"/>
      </w:r>
    </w:p>
    <w:p w:rsidR="00CA67C0" w:rsidRPr="001D37D5" w:rsidRDefault="00CA67C0" w:rsidP="00CA67C0">
      <w:pPr>
        <w:pStyle w:val="AERbulletlistfirststyle"/>
      </w:pPr>
      <w:r w:rsidRPr="00883125">
        <w:t xml:space="preserve">Investors are already incurring the transactions costs associated with shareholding, and most would also be already incurring the transactions costs associated with completing a tax return. This applies particularly to professional organisations, such as charities and </w:t>
      </w:r>
      <w:r w:rsidRPr="00883125">
        <w:lastRenderedPageBreak/>
        <w:t>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1D37D5">
        <w:rPr>
          <w:rStyle w:val="FootnoteReference"/>
        </w:rPr>
        <w:footnoteReference w:id="411"/>
      </w:r>
    </w:p>
    <w:p w:rsidR="00CA67C0" w:rsidRPr="00883125" w:rsidRDefault="00CA67C0" w:rsidP="00CA67C0">
      <w:r w:rsidRPr="00883125">
        <w:t xml:space="preserve">As outlined in </w:t>
      </w:r>
      <w:r w:rsidRPr="00883125">
        <w:fldChar w:fldCharType="begin"/>
      </w:r>
      <w:r w:rsidRPr="00883125">
        <w:instrText xml:space="preserve"> REF _Ref450298425 \r \h </w:instrText>
      </w:r>
      <w:r w:rsidRPr="00883125">
        <w:fldChar w:fldCharType="separate"/>
      </w:r>
      <w:r w:rsidR="007261FC">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w:t>
      </w:r>
      <w:r w:rsidR="00605D8A">
        <w:t xml:space="preserve">company pre-personal </w:t>
      </w:r>
      <w:r w:rsidRPr="00883125">
        <w:t>tax returns before investor level transaction costs are incurred. We also consider any incremental costs associated with claiming imputation credits would be immaterial for the reasons outlined above.</w:t>
      </w:r>
    </w:p>
    <w:p w:rsidR="00CA67C0" w:rsidRDefault="00CA67C0" w:rsidP="00CA67C0">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Pr="00883125">
        <w:t xml:space="preserve"> were to compensate regulated businesses 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CA67C0" w:rsidRPr="00883125" w:rsidRDefault="00CA67C0" w:rsidP="00CA67C0">
      <w:pPr>
        <w:rPr>
          <w:rStyle w:val="AERbody"/>
        </w:rPr>
      </w:pPr>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412"/>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413"/>
      </w:r>
      <w:r>
        <w:t xml:space="preserve"> </w:t>
      </w: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CA67C0" w:rsidRPr="00CD376D" w:rsidRDefault="00CA67C0" w:rsidP="00187BB8">
      <w:pPr>
        <w:pStyle w:val="HeadingBoldBlue"/>
        <w:rPr>
          <w:rStyle w:val="AERbody"/>
          <w:color w:val="70635A" w:themeColor="text2"/>
          <w:sz w:val="28"/>
        </w:rPr>
      </w:pPr>
      <w:bookmarkStart w:id="203" w:name="_Toc456614316"/>
      <w:r w:rsidRPr="0062572C">
        <w:rPr>
          <w:rStyle w:val="AERbody"/>
          <w:color w:val="70635A" w:themeColor="text2"/>
          <w:sz w:val="28"/>
        </w:rPr>
        <w:lastRenderedPageBreak/>
        <w:t>Time value of money</w:t>
      </w:r>
      <w:bookmarkEnd w:id="203"/>
    </w:p>
    <w:p w:rsidR="00CA67C0" w:rsidRPr="00883125" w:rsidRDefault="00CA67C0" w:rsidP="00764AB1">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414"/>
      </w:r>
      <w:r w:rsidRPr="00883125">
        <w:t xml:space="preserve"> In response, we note that:</w:t>
      </w:r>
    </w:p>
    <w:p w:rsidR="00CA67C0" w:rsidRPr="00883125" w:rsidRDefault="00CA67C0" w:rsidP="00CA67C0">
      <w:pPr>
        <w:pStyle w:val="AERbulletlistfirststyle"/>
      </w:pPr>
      <w:r w:rsidRPr="00883125">
        <w:t>We are unaware of any evidence that indicates the average size of this time delay across all investors.</w:t>
      </w:r>
    </w:p>
    <w:p w:rsidR="00CA67C0" w:rsidRPr="001D37D5" w:rsidRDefault="00CA67C0" w:rsidP="00CA67C0">
      <w:pPr>
        <w:pStyle w:val="AERbulletlistfirststyle"/>
      </w:pPr>
      <w:r w:rsidRPr="00883125">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per cent. Therefore, the magnitude of the adjustment would be quite small. Handley agreed with the immateriality of any required adjustment for time delay.</w:t>
      </w:r>
      <w:r w:rsidRPr="001D37D5">
        <w:rPr>
          <w:rStyle w:val="FootnoteReference"/>
        </w:rPr>
        <w:footnoteReference w:id="415"/>
      </w:r>
    </w:p>
    <w:p w:rsidR="00CA67C0" w:rsidRPr="00883125" w:rsidRDefault="00CA67C0" w:rsidP="00764AB1">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CA67C0" w:rsidRPr="00883125" w:rsidRDefault="00CA67C0" w:rsidP="00764AB1">
      <w:pPr>
        <w:pStyle w:val="HeadingBoldBlue"/>
        <w:numPr>
          <w:ilvl w:val="0"/>
          <w:numId w:val="24"/>
        </w:numPr>
      </w:pPr>
      <w:bookmarkStart w:id="204" w:name="_Toc456614317"/>
      <w:r w:rsidRPr="00883125">
        <w:t>Portfolio effects</w:t>
      </w:r>
      <w:bookmarkEnd w:id="204"/>
    </w:p>
    <w:p w:rsidR="00CA67C0" w:rsidRPr="00883125" w:rsidRDefault="00CA67C0" w:rsidP="00CA67C0">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416"/>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w:t>
      </w:r>
      <w:r w:rsidRPr="00883125">
        <w:lastRenderedPageBreak/>
        <w:t>this topic referred to the 'cost of losing diversification'.</w:t>
      </w:r>
      <w:r w:rsidRPr="00883125">
        <w:rPr>
          <w:rStyle w:val="FootnoteReference"/>
        </w:rPr>
        <w:footnoteReference w:id="417"/>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7261FC">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w:t>
      </w:r>
      <w:r w:rsidR="007F26CE">
        <w:t xml:space="preserve">post-company </w:t>
      </w:r>
      <w:r w:rsidRPr="00883125">
        <w:t>pre-personal-tax and pre-personal-costs basis. We made this point in our prior decisions and the service providers and their consultants have not commented on it. We consider that it is reasonable to not adjust any of our estimates of the utilisation rate for portfolio effects.</w:t>
      </w:r>
    </w:p>
    <w:p w:rsidR="00CA67C0" w:rsidRPr="00883125" w:rsidRDefault="00CA67C0" w:rsidP="00CA67C0">
      <w:pPr>
        <w:pStyle w:val="HeadingBoldBlue"/>
      </w:pPr>
      <w:bookmarkStart w:id="205" w:name="_Toc456614318"/>
      <w:r w:rsidRPr="00883125">
        <w:t>The 'illustrative impact' of these factors</w:t>
      </w:r>
      <w:bookmarkEnd w:id="205"/>
    </w:p>
    <w:p w:rsidR="00CA67C0" w:rsidRPr="00883125" w:rsidRDefault="00CA67C0" w:rsidP="00CA67C0">
      <w:r w:rsidRPr="00883125">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418"/>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7261FC" w:rsidRPr="00883125">
        <w:t xml:space="preserve">figure </w:t>
      </w:r>
      <w:r w:rsidR="007261FC">
        <w:rPr>
          <w:noProof/>
        </w:rPr>
        <w:t>4</w:t>
      </w:r>
      <w:r w:rsidR="007261FC" w:rsidRPr="00883125">
        <w:t>.</w:t>
      </w:r>
      <w:r w:rsidR="007261FC">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261FC" w:rsidRPr="00883125">
        <w:t xml:space="preserve">figure </w:t>
      </w:r>
      <w:r w:rsidR="007261FC">
        <w:rPr>
          <w:noProof/>
        </w:rPr>
        <w:t>4</w:t>
      </w:r>
      <w:r w:rsidR="007261FC" w:rsidRPr="00883125">
        <w:t>.</w:t>
      </w:r>
      <w:r w:rsidR="007261FC">
        <w:rPr>
          <w:noProof/>
        </w:rPr>
        <w:t>2</w:t>
      </w:r>
      <w:r w:rsidRPr="00883125">
        <w:fldChar w:fldCharType="end"/>
      </w:r>
      <w:r w:rsidRPr="00883125">
        <w:t xml:space="preserve">. </w:t>
      </w:r>
    </w:p>
    <w:p w:rsidR="00CA67C0" w:rsidRPr="00883125" w:rsidRDefault="00CA67C0" w:rsidP="00CA67C0">
      <w:pPr>
        <w:pStyle w:val="Caption"/>
      </w:pPr>
      <w:bookmarkStart w:id="206" w:name="_Ref415078600"/>
      <w:r w:rsidRPr="00883125">
        <w:t xml:space="preserve">Figure </w:t>
      </w:r>
      <w:r w:rsidRPr="00B27BE5">
        <w:fldChar w:fldCharType="begin"/>
      </w:r>
      <w:r>
        <w:instrText xml:space="preserve"> STYLEREF 1 \s </w:instrText>
      </w:r>
      <w:r w:rsidRPr="00B27BE5">
        <w:fldChar w:fldCharType="separate"/>
      </w:r>
      <w:r w:rsidR="007261FC">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7261FC">
        <w:rPr>
          <w:noProof/>
        </w:rPr>
        <w:t>1</w:t>
      </w:r>
      <w:r w:rsidRPr="00B27BE5">
        <w:fldChar w:fldCharType="end"/>
      </w:r>
      <w:bookmarkEnd w:id="206"/>
      <w:r w:rsidRPr="00883125">
        <w:tab/>
        <w:t>Illustrative impact on value of imputation credits – listed equity</w:t>
      </w:r>
    </w:p>
    <w:p w:rsidR="00CA67C0" w:rsidRPr="00883125" w:rsidRDefault="00CA67C0" w:rsidP="00CA67C0">
      <w:r w:rsidRPr="00CA67C0">
        <w:rPr>
          <w:noProof/>
          <w:lang w:eastAsia="en-AU"/>
        </w:rPr>
        <w:drawing>
          <wp:inline distT="0" distB="0" distL="0" distR="0" wp14:anchorId="67580352" wp14:editId="36844904">
            <wp:extent cx="5328000" cy="347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CA67C0" w:rsidRPr="00883125" w:rsidRDefault="00CA67C0" w:rsidP="00CA67C0">
      <w:pPr>
        <w:pStyle w:val="AERtablesource"/>
      </w:pPr>
      <w:r w:rsidRPr="00883125">
        <w:lastRenderedPageBreak/>
        <w:t>Source:</w:t>
      </w:r>
      <w:r w:rsidRPr="00883125">
        <w:tab/>
      </w:r>
      <w:r w:rsidRPr="00B9466C">
        <w:t xml:space="preserve">Ausgrid, </w:t>
      </w:r>
      <w:r w:rsidRPr="00CD376D">
        <w:rPr>
          <w:rStyle w:val="AERtextitalic"/>
        </w:rPr>
        <w:t>Attachment 7.07 Ausgrid's revised proposal on gamma</w:t>
      </w:r>
      <w:r w:rsidRPr="00B9466C">
        <w:t>, January 2015, p. 16</w:t>
      </w:r>
      <w:r>
        <w:t>.</w:t>
      </w:r>
    </w:p>
    <w:p w:rsidR="00CA67C0" w:rsidRPr="00883125" w:rsidRDefault="00CA67C0" w:rsidP="00CA67C0">
      <w:pPr>
        <w:pStyle w:val="Caption"/>
      </w:pPr>
      <w:bookmarkStart w:id="207" w:name="_Ref415078618"/>
      <w:r w:rsidRPr="00883125">
        <w:t xml:space="preserve">Figure </w:t>
      </w:r>
      <w:r w:rsidRPr="00B27BE5">
        <w:fldChar w:fldCharType="begin"/>
      </w:r>
      <w:r>
        <w:instrText xml:space="preserve"> STYLEREF 1 \s </w:instrText>
      </w:r>
      <w:r w:rsidRPr="00B27BE5">
        <w:fldChar w:fldCharType="separate"/>
      </w:r>
      <w:r w:rsidR="007261FC">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7261FC">
        <w:rPr>
          <w:noProof/>
        </w:rPr>
        <w:t>2</w:t>
      </w:r>
      <w:r w:rsidRPr="00B27BE5">
        <w:fldChar w:fldCharType="end"/>
      </w:r>
      <w:bookmarkEnd w:id="207"/>
      <w:r w:rsidRPr="00883125">
        <w:tab/>
        <w:t>Illustrative impact on value of imputation credits – all equity</w:t>
      </w:r>
    </w:p>
    <w:p w:rsidR="00CA67C0" w:rsidRPr="00883125" w:rsidRDefault="00CA67C0" w:rsidP="00CA67C0">
      <w:r w:rsidRPr="00CA67C0">
        <w:rPr>
          <w:noProof/>
          <w:lang w:eastAsia="en-AU"/>
        </w:rPr>
        <w:drawing>
          <wp:inline distT="0" distB="0" distL="0" distR="0" wp14:anchorId="0BF1EB55" wp14:editId="5ADDDD4A">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CA67C0" w:rsidRPr="00883125" w:rsidRDefault="00CA67C0" w:rsidP="00CA67C0">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w:t>
      </w:r>
      <w:r>
        <w:t>7</w:t>
      </w:r>
      <w:r w:rsidRPr="00B9466C">
        <w:t>.</w:t>
      </w:r>
    </w:p>
    <w:p w:rsidR="00CA67C0" w:rsidRPr="00883125" w:rsidRDefault="00CA67C0" w:rsidP="00CA67C0">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CA67C0" w:rsidRPr="00883125" w:rsidRDefault="00CA67C0" w:rsidP="00CA67C0">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7261FC" w:rsidRPr="00883125">
        <w:t xml:space="preserve">figure </w:t>
      </w:r>
      <w:r w:rsidR="007261FC">
        <w:rPr>
          <w:noProof/>
        </w:rPr>
        <w:t>4</w:t>
      </w:r>
      <w:r w:rsidR="007261FC" w:rsidRPr="00883125">
        <w:t>.</w:t>
      </w:r>
      <w:r w:rsidR="007261FC">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261FC" w:rsidRPr="00883125">
        <w:t xml:space="preserve">figure </w:t>
      </w:r>
      <w:r w:rsidR="007261FC">
        <w:rPr>
          <w:noProof/>
        </w:rPr>
        <w:t>4</w:t>
      </w:r>
      <w:r w:rsidR="007261FC" w:rsidRPr="00883125">
        <w:t>.</w:t>
      </w:r>
      <w:r w:rsidR="007261FC">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CA67C0" w:rsidRPr="00883125" w:rsidRDefault="00CA67C0" w:rsidP="00CA67C0">
      <w:pPr>
        <w:pStyle w:val="HeadingBoldItalic"/>
      </w:pPr>
      <w:bookmarkStart w:id="208" w:name="_Toc456614319"/>
      <w:r w:rsidRPr="00883125">
        <w:t>The relevant equity ownership share</w:t>
      </w:r>
      <w:bookmarkEnd w:id="208"/>
    </w:p>
    <w:p w:rsidR="00CA67C0" w:rsidRPr="00883125" w:rsidRDefault="00CA67C0" w:rsidP="00CA67C0">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7261FC" w:rsidRPr="00883125">
        <w:t xml:space="preserve">figure </w:t>
      </w:r>
      <w:r w:rsidR="007261FC">
        <w:rPr>
          <w:noProof/>
        </w:rPr>
        <w:t>4</w:t>
      </w:r>
      <w:r w:rsidR="007261FC" w:rsidRPr="00883125">
        <w:t>.</w:t>
      </w:r>
      <w:r w:rsidR="007261FC">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7261FC" w:rsidRPr="00883125">
        <w:t xml:space="preserve">figure </w:t>
      </w:r>
      <w:r w:rsidR="007261FC">
        <w:rPr>
          <w:noProof/>
        </w:rPr>
        <w:t>4</w:t>
      </w:r>
      <w:r w:rsidR="007261FC" w:rsidRPr="00883125">
        <w:t>.</w:t>
      </w:r>
      <w:r w:rsidR="007261FC">
        <w:rPr>
          <w:noProof/>
        </w:rPr>
        <w:t>2</w:t>
      </w:r>
      <w:r w:rsidRPr="00883125">
        <w:fldChar w:fldCharType="end"/>
      </w:r>
      <w:r w:rsidRPr="00883125">
        <w:t xml:space="preserve"> the comparison is made with the refined share of foreign ownership in all equity. However, Gray (for SFG) indicated that if the value of distributed credits is </w:t>
      </w:r>
      <w:r w:rsidRPr="00883125">
        <w:lastRenderedPageBreak/>
        <w:t>estimated via a 'market value approach' (such as SFG's dividend drop off study), then the estimate will represent 'an average across all listed firms'.</w:t>
      </w:r>
      <w:r w:rsidRPr="00883125">
        <w:rPr>
          <w:rStyle w:val="FootnoteReference"/>
        </w:rPr>
        <w:footnoteReference w:id="419"/>
      </w:r>
      <w:r w:rsidRPr="00883125">
        <w:t xml:space="preserve"> Accordingly, the relevant 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7261FC" w:rsidRPr="00883125">
        <w:t xml:space="preserve">figure </w:t>
      </w:r>
      <w:r w:rsidR="007261FC">
        <w:rPr>
          <w:noProof/>
        </w:rPr>
        <w:t>4</w:t>
      </w:r>
      <w:r w:rsidR="007261FC" w:rsidRPr="00883125">
        <w:t>.</w:t>
      </w:r>
      <w:r w:rsidR="007261FC">
        <w:rPr>
          <w:noProof/>
        </w:rPr>
        <w:t>2</w:t>
      </w:r>
      <w:r w:rsidRPr="00883125">
        <w:fldChar w:fldCharType="end"/>
      </w:r>
      <w:r w:rsidRPr="00883125">
        <w:t>).</w:t>
      </w:r>
    </w:p>
    <w:p w:rsidR="00CA67C0" w:rsidRPr="00883125" w:rsidRDefault="00CA67C0" w:rsidP="00CA67C0">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CA67C0" w:rsidRPr="00883125" w:rsidRDefault="00CA67C0" w:rsidP="00CA67C0">
      <w:pPr>
        <w:pStyle w:val="HeadingBoldItalic"/>
      </w:pPr>
      <w:bookmarkStart w:id="209" w:name="_Toc456614320"/>
      <w:r w:rsidRPr="00883125">
        <w:t>Implications for the value of distributed credits across investors in all equity</w:t>
      </w:r>
      <w:bookmarkEnd w:id="209"/>
    </w:p>
    <w:p w:rsidR="00CA67C0" w:rsidRPr="00883125" w:rsidRDefault="00CA67C0" w:rsidP="00CA67C0">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7261FC" w:rsidRPr="00883125">
        <w:t xml:space="preserve">figure </w:t>
      </w:r>
      <w:r w:rsidR="007261FC">
        <w:rPr>
          <w:noProof/>
        </w:rPr>
        <w:t>4</w:t>
      </w:r>
      <w:r w:rsidR="007261FC" w:rsidRPr="00883125">
        <w:t>.</w:t>
      </w:r>
      <w:r w:rsidR="007261FC">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261FC" w:rsidRPr="00883125">
        <w:t xml:space="preserve">figure </w:t>
      </w:r>
      <w:r w:rsidR="007261FC">
        <w:rPr>
          <w:noProof/>
        </w:rPr>
        <w:t>4</w:t>
      </w:r>
      <w:r w:rsidR="007261FC" w:rsidRPr="00883125">
        <w:t>.</w:t>
      </w:r>
      <w:r w:rsidR="007261FC">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CA67C0" w:rsidRPr="00883125" w:rsidRDefault="00CA67C0" w:rsidP="00CA67C0">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7261FC" w:rsidRPr="00883125">
        <w:t xml:space="preserve">figure </w:t>
      </w:r>
      <w:r w:rsidR="007261FC">
        <w:rPr>
          <w:noProof/>
        </w:rPr>
        <w:t>4</w:t>
      </w:r>
      <w:r w:rsidR="007261FC" w:rsidRPr="00883125">
        <w:t>.</w:t>
      </w:r>
      <w:r w:rsidR="007261FC">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261FC" w:rsidRPr="00883125">
        <w:t xml:space="preserve">figure </w:t>
      </w:r>
      <w:r w:rsidR="007261FC">
        <w:rPr>
          <w:noProof/>
        </w:rPr>
        <w:t>4</w:t>
      </w:r>
      <w:r w:rsidR="007261FC" w:rsidRPr="00883125">
        <w:t>.</w:t>
      </w:r>
      <w:r w:rsidR="007261FC">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420"/>
      </w:r>
    </w:p>
    <w:p w:rsidR="00CA67C0" w:rsidRPr="00883125" w:rsidRDefault="00CA67C0" w:rsidP="00CA67C0">
      <w:pPr>
        <w:pStyle w:val="HeadingBoldItalic"/>
      </w:pPr>
      <w:bookmarkStart w:id="210" w:name="_Toc456614321"/>
      <w:r w:rsidRPr="00883125">
        <w:t>Comparison to the redemption rate from tax statistics</w:t>
      </w:r>
      <w:bookmarkEnd w:id="210"/>
    </w:p>
    <w:p w:rsidR="00CA67C0" w:rsidRPr="00883125" w:rsidRDefault="00CA67C0" w:rsidP="00CA67C0">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CA67C0" w:rsidRPr="00883125" w:rsidRDefault="00CA67C0" w:rsidP="00CA67C0">
      <w:r w:rsidRPr="00883125">
        <w:t>Firstly, the redemption rate from tax statistics reflects all equity, and therefore it is inconsistent to compare it to the foreign ownership share of listed equity.</w:t>
      </w:r>
    </w:p>
    <w:p w:rsidR="00CA67C0" w:rsidRPr="00883125" w:rsidRDefault="00CA67C0" w:rsidP="00CA67C0">
      <w:pPr>
        <w:rPr>
          <w:rStyle w:val="AERbody"/>
        </w:rPr>
      </w:pPr>
      <w:r w:rsidRPr="00883125">
        <w:lastRenderedPageBreak/>
        <w:t xml:space="preserve">Secondly, this estimate does not contemplate error or inaccuracy in the tax statistics. In section </w:t>
      </w:r>
      <w:r>
        <w:fldChar w:fldCharType="begin"/>
      </w:r>
      <w:r>
        <w:instrText xml:space="preserve"> REF _Ref451291076 \r \h </w:instrText>
      </w:r>
      <w:r>
        <w:fldChar w:fldCharType="separate"/>
      </w:r>
      <w:r w:rsidR="007261FC">
        <w:t>4.4</w:t>
      </w:r>
      <w:r>
        <w:fldChar w:fldCharType="end"/>
      </w:r>
      <w:r w:rsidRPr="00883125">
        <w:t>, we set out the data concerns that exist regarding the tax statistics. The service providers that we released draft decisions for in 2014 submitted in their initial proposals that no weight be placed on estimates of the utilisation rate from tax statistics because of significant unresolved problems with the data.</w:t>
      </w:r>
      <w:r w:rsidRPr="00883125">
        <w:rPr>
          <w:rStyle w:val="FootnoteReference"/>
        </w:rPr>
        <w:footnoteReference w:id="421"/>
      </w:r>
      <w:r w:rsidRPr="00883125">
        <w:t xml:space="preserve"> </w:t>
      </w:r>
      <w:r w:rsidRPr="00883125">
        <w:rPr>
          <w:rStyle w:val="AERbody"/>
        </w:rPr>
        <w:t>NERA has subsequently submitted that tax statistics can be used to estimate a value for theta consistent with a 70% distribution rate, and can also be used to estimate an upper bound value for gamma.</w:t>
      </w:r>
      <w:r w:rsidRPr="00883125">
        <w:rPr>
          <w:rStyle w:val="FootnoteReference"/>
        </w:rPr>
        <w:footnoteReference w:id="422"/>
      </w:r>
      <w:r w:rsidRPr="00883125">
        <w:rPr>
          <w:rStyle w:val="AERbody"/>
        </w:rPr>
        <w:t xml:space="preserve"> Gray (for Frontier) appears to support this.</w:t>
      </w:r>
      <w:r w:rsidRPr="00883125">
        <w:rPr>
          <w:rStyle w:val="FootnoteReference"/>
        </w:rPr>
        <w:footnoteReference w:id="423"/>
      </w:r>
      <w:r w:rsidRPr="00883125">
        <w:rPr>
          <w:rStyle w:val="AERbody"/>
        </w:rPr>
        <w:t xml:space="preserve"> 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Pr="00883125">
        <w:rPr>
          <w:rStyle w:val="FootnoteReference"/>
        </w:rPr>
        <w:footnoteReference w:id="424"/>
      </w:r>
      <w:r w:rsidRPr="00883125">
        <w:rPr>
          <w:rStyle w:val="AERbody"/>
        </w:rPr>
        <w:t>, we remain of the view we should treat estimates of theta based on tax data with caution. Hathaway's draft 2014 report gives us no cause to change our view.</w:t>
      </w:r>
      <w:r w:rsidRPr="00883125">
        <w:rPr>
          <w:rStyle w:val="FootnoteReference"/>
        </w:rPr>
        <w:footnoteReference w:id="425"/>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426"/>
      </w:r>
    </w:p>
    <w:p w:rsidR="00CA67C0" w:rsidRPr="00883125" w:rsidRDefault="00CA67C0" w:rsidP="00CA67C0">
      <w:r w:rsidRPr="00883125">
        <w:t>Thirdly, we are not convinced that the 45-day holding rule and transaction costs are contributing to a material amount of credits not being redeemed. As discussed above, this is because:</w:t>
      </w:r>
    </w:p>
    <w:p w:rsidR="00CA67C0" w:rsidRPr="00883125" w:rsidRDefault="00CA67C0" w:rsidP="00CA67C0">
      <w:pPr>
        <w:pStyle w:val="AERbulletlistfirststyle"/>
      </w:pPr>
      <w:r w:rsidRPr="00883125">
        <w:t>Our analysis of the 45-day rule suggests that it is not having a material effect. Although we acknowledge this analysis is subject to any data quality issues with the tax statistics.</w:t>
      </w:r>
    </w:p>
    <w:p w:rsidR="00CA67C0" w:rsidRPr="00883125" w:rsidRDefault="00CA67C0" w:rsidP="00CA67C0">
      <w:pPr>
        <w:pStyle w:val="AERbulletlistfirststyle"/>
      </w:pPr>
      <w:r w:rsidRPr="00883125">
        <w:t xml:space="preserve">We do not consider that transactions costs are likely to dissuade a material number of investors from redeeming imputation credits. </w:t>
      </w:r>
    </w:p>
    <w:p w:rsidR="00CA67C0" w:rsidRPr="00883125" w:rsidRDefault="00CA67C0" w:rsidP="00CA67C0">
      <w:pPr>
        <w:rPr>
          <w:rStyle w:val="AERbody"/>
        </w:rPr>
      </w:pPr>
      <w:r w:rsidRPr="00883125">
        <w:rPr>
          <w:rStyle w:val="AERbody"/>
        </w:rPr>
        <w:t>In response to the service providers</w:t>
      </w:r>
      <w:r>
        <w:rPr>
          <w:rStyle w:val="AERbody"/>
        </w:rPr>
        <w:t>' submissions</w:t>
      </w:r>
      <w:r w:rsidRPr="00883125">
        <w:rPr>
          <w:rStyle w:val="AERbody"/>
        </w:rPr>
        <w:t>,</w:t>
      </w:r>
      <w:r w:rsidRPr="00883125">
        <w:rPr>
          <w:rStyle w:val="FootnoteReference"/>
        </w:rPr>
        <w:footnoteReference w:id="427"/>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428"/>
      </w:r>
      <w:r w:rsidRPr="00883125">
        <w:rPr>
          <w:rStyle w:val="AERbody"/>
        </w:rPr>
        <w:t xml:space="preserve"> While we </w:t>
      </w:r>
      <w:r w:rsidRPr="00883125">
        <w:rPr>
          <w:rStyle w:val="AERbody"/>
        </w:rPr>
        <w:lastRenderedPageBreak/>
        <w:t>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CA67C0" w:rsidRPr="00883125" w:rsidRDefault="00432228" w:rsidP="00CA67C0">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7261FC">
        <w:rPr>
          <w:rStyle w:val="AERbody"/>
        </w:rPr>
        <w:t>A.14</w:t>
      </w:r>
      <w:r w:rsidRPr="00883125">
        <w:rPr>
          <w:rStyle w:val="AERbody"/>
        </w:rPr>
        <w:fldChar w:fldCharType="end"/>
      </w:r>
      <w:r w:rsidRPr="00883125">
        <w:rPr>
          <w:rStyle w:val="AERbody"/>
        </w:rPr>
        <w:t xml:space="preserve">, </w:t>
      </w:r>
      <w:r>
        <w:rPr>
          <w:rStyle w:val="AERbody"/>
        </w:rPr>
        <w:t>we analyse</w:t>
      </w:r>
      <w:r w:rsidRPr="00883125">
        <w:rPr>
          <w:rStyle w:val="AERbody"/>
        </w:rPr>
        <w:t xml:space="preserve"> </w:t>
      </w:r>
      <w:r w:rsidR="00805EE0">
        <w:rPr>
          <w:rStyle w:val="AERbody"/>
        </w:rPr>
        <w:t xml:space="preserve">the </w:t>
      </w:r>
      <w:r w:rsidRPr="00883125">
        <w:rPr>
          <w:rStyle w:val="AERbody"/>
        </w:rPr>
        <w:t xml:space="preserve">difference between the utilisation </w:t>
      </w:r>
      <w:r w:rsidRPr="00883125">
        <w:t>value</w:t>
      </w:r>
      <w:r w:rsidRPr="00883125">
        <w:rPr>
          <w:rStyle w:val="AERbody"/>
        </w:rPr>
        <w:t xml:space="preserve"> from the equity ownership approach and taxation statistics</w:t>
      </w:r>
      <w:r>
        <w:rPr>
          <w:rStyle w:val="AERbody"/>
        </w:rPr>
        <w:t>.</w:t>
      </w:r>
    </w:p>
    <w:p w:rsidR="00CA67C0" w:rsidRPr="00883125" w:rsidRDefault="00CA67C0" w:rsidP="00CA67C0">
      <w:pPr>
        <w:pStyle w:val="Heading9"/>
      </w:pPr>
      <w:bookmarkStart w:id="211" w:name="_Toc456614322"/>
      <w:bookmarkStart w:id="212" w:name="_Ref415068711"/>
      <w:bookmarkStart w:id="213" w:name="_Toc436049450"/>
      <w:r w:rsidRPr="00883125">
        <w:t>NERA's comments on the utilisation rate</w:t>
      </w:r>
      <w:bookmarkEnd w:id="211"/>
    </w:p>
    <w:p w:rsidR="00CA67C0" w:rsidRPr="00883125" w:rsidRDefault="00CA67C0" w:rsidP="00CA67C0">
      <w:r w:rsidRPr="00883125">
        <w:t>NERA submitted that theta is the value that a representative investor places on a dollar of distributed imputation credits.</w:t>
      </w:r>
      <w:r w:rsidRPr="00883125">
        <w:rPr>
          <w:rStyle w:val="FootnoteReference"/>
        </w:rPr>
        <w:footnoteReference w:id="429"/>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CA67C0" w:rsidRPr="00883125" w:rsidRDefault="00CA67C0" w:rsidP="00CA67C0">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CA67C0" w:rsidRPr="00883125" w:rsidRDefault="00CA67C0" w:rsidP="00CA67C0">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430"/>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431"/>
      </w:r>
    </w:p>
    <w:p w:rsidR="00CA67C0" w:rsidRPr="00883125" w:rsidRDefault="00CA67C0" w:rsidP="00CA67C0">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CA67C0" w:rsidRPr="00883125" w:rsidRDefault="00CA67C0" w:rsidP="00CA67C0">
      <w:r w:rsidRPr="00883125">
        <w:t>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CA67C0" w:rsidRPr="00883125" w:rsidRDefault="00CA67C0" w:rsidP="00CA67C0">
      <w:r w:rsidRPr="00883125">
        <w:lastRenderedPageBreak/>
        <w:t>Our view is supported by Handley's review of NERA's submission. Handley concluded:</w:t>
      </w:r>
      <w:r w:rsidRPr="00883125">
        <w:rPr>
          <w:rStyle w:val="FootnoteReference"/>
        </w:rPr>
        <w:footnoteReference w:id="432"/>
      </w:r>
    </w:p>
    <w:p w:rsidR="00CA67C0" w:rsidRPr="00883125" w:rsidRDefault="00CA67C0" w:rsidP="00CA67C0">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CA67C0" w:rsidRPr="00883125" w:rsidRDefault="00CA67C0" w:rsidP="00CA67C0">
      <w:pPr>
        <w:pStyle w:val="AERquote"/>
      </w:pPr>
      <w:r w:rsidRPr="00883125">
        <w:t>…</w:t>
      </w:r>
    </w:p>
    <w:p w:rsidR="00CA67C0" w:rsidRPr="00883125" w:rsidRDefault="00CA67C0" w:rsidP="00CA67C0">
      <w:pPr>
        <w:pStyle w:val="AERquote"/>
      </w:pPr>
      <w:r w:rsidRPr="00883125">
        <w:t xml:space="preserve">In my opinion, NERA’s analysis does not establish the presence of a wedge between theta and the redemption rate and so does not invalidate the use of tax statistics to estimate theta. </w:t>
      </w:r>
    </w:p>
    <w:p w:rsidR="00CA67C0" w:rsidRPr="00883125" w:rsidRDefault="00CA67C0" w:rsidP="00CA67C0">
      <w:pPr>
        <w:rPr>
          <w:rStyle w:val="AERbody"/>
        </w:rPr>
      </w:pPr>
      <w:r w:rsidRPr="00883125">
        <w:rPr>
          <w:rStyle w:val="AERbody"/>
        </w:rPr>
        <w:t xml:space="preserve">NERA responded to </w:t>
      </w:r>
      <w:r w:rsidR="00432228">
        <w:rPr>
          <w:rStyle w:val="AERbody"/>
        </w:rPr>
        <w:t>our</w:t>
      </w:r>
      <w:r w:rsidRPr="00883125">
        <w:rPr>
          <w:rStyle w:val="AERbody"/>
        </w:rPr>
        <w:t xml:space="preserve"> position in the JGN decision in its June 2015 report.</w:t>
      </w:r>
      <w:r w:rsidRPr="00883125">
        <w:rPr>
          <w:rStyle w:val="FootnoteReference"/>
        </w:rPr>
        <w:footnoteReference w:id="433"/>
      </w:r>
      <w:r w:rsidRPr="00883125">
        <w:rPr>
          <w:rStyle w:val="AERbody"/>
        </w:rPr>
        <w:t xml:space="preserve"> In this report NERA put forward several propositions:</w:t>
      </w:r>
    </w:p>
    <w:p w:rsidR="00CA67C0" w:rsidRPr="005764F6" w:rsidRDefault="00CA67C0" w:rsidP="00CA67C0">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CA67C0" w:rsidRPr="005764F6" w:rsidRDefault="00432228" w:rsidP="00CA67C0">
      <w:pPr>
        <w:pStyle w:val="AERbulletlistfirststyle"/>
      </w:pPr>
      <w:r>
        <w:t>Our</w:t>
      </w:r>
      <w:r w:rsidR="00CA67C0" w:rsidRPr="005764F6">
        <w:t xml:space="preserve"> use of a domestic Australian CAPM does not justify any presumption that theta take a non-negligible value.</w:t>
      </w:r>
    </w:p>
    <w:p w:rsidR="00CA67C0" w:rsidRPr="005764F6" w:rsidRDefault="00CA67C0" w:rsidP="00CA67C0">
      <w:pPr>
        <w:pStyle w:val="AERbulletlistfirststyle"/>
      </w:pPr>
      <w:r w:rsidRPr="005764F6">
        <w:t xml:space="preserve">The estimated cost of capital from a domestic CAPM will equal the cost of capital from an international CAPM under certain assumptions. </w:t>
      </w:r>
    </w:p>
    <w:p w:rsidR="00CA67C0" w:rsidRPr="00883125" w:rsidRDefault="00CA67C0" w:rsidP="00CA67C0">
      <w:pPr>
        <w:rPr>
          <w:rStyle w:val="AERbody"/>
        </w:rPr>
      </w:pPr>
      <w:r w:rsidRPr="00883125">
        <w:rPr>
          <w:rStyle w:val="AERbody"/>
        </w:rPr>
        <w:t>In response, we note that we consider our approach is consistent with our definition of the Australian domestic market in the presence of foreign investors.</w:t>
      </w:r>
    </w:p>
    <w:p w:rsidR="00CA67C0" w:rsidRPr="00883125" w:rsidRDefault="00CA67C0" w:rsidP="00CA67C0">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434"/>
      </w:r>
      <w:r w:rsidRPr="00883125">
        <w:rPr>
          <w:rStyle w:val="AERbody"/>
        </w:rPr>
        <w:t xml:space="preserve"> We also note that NERA's model is an international asset pricing model.</w:t>
      </w:r>
      <w:r w:rsidRPr="00883125">
        <w:rPr>
          <w:rStyle w:val="FootnoteReference"/>
        </w:rPr>
        <w:footnoteReference w:id="435"/>
      </w:r>
      <w:r w:rsidRPr="00883125">
        <w:rPr>
          <w:rStyle w:val="AERbody"/>
        </w:rPr>
        <w:t xml:space="preserve"> This model is inconsistent with our definition of the domestic market. We also consider the use of the international CAPM, with a high proportion of wealth held by foreign investors (NERA using 98</w:t>
      </w:r>
      <w:r w:rsidR="00432228">
        <w:rPr>
          <w:rStyle w:val="AERbody"/>
        </w:rPr>
        <w:t xml:space="preserve"> per cent</w:t>
      </w:r>
      <w:r w:rsidRPr="00883125">
        <w:rPr>
          <w:rStyle w:val="AERbody"/>
        </w:rPr>
        <w:t xml:space="preserve"> in its primary example) is prima facie inconsistent with the way in which the service providers estimate the return on equity using an Australian </w:t>
      </w:r>
      <w:r w:rsidRPr="00883125">
        <w:rPr>
          <w:rStyle w:val="AERbody"/>
        </w:rPr>
        <w:lastRenderedPageBreak/>
        <w:t>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436"/>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437"/>
      </w:r>
    </w:p>
    <w:p w:rsidR="00CA67C0" w:rsidRPr="00DA0E8B" w:rsidRDefault="00CA67C0" w:rsidP="00CA67C0">
      <w:pPr>
        <w:pStyle w:val="AERquote"/>
      </w:pPr>
      <w:r w:rsidRPr="00DA0E8B">
        <w:t xml:space="preserve">"The assumption that Australian aggregated wealth makes up 60 percent of the world wealth is also very clearly at odds with the evidence and so we conclude that Handley's second example is similarly of no practical relevance." </w:t>
      </w:r>
    </w:p>
    <w:p w:rsidR="00CA67C0" w:rsidRPr="00883125" w:rsidRDefault="00CA67C0" w:rsidP="00CA67C0">
      <w:pPr>
        <w:rPr>
          <w:rStyle w:val="AERbody"/>
        </w:rPr>
      </w:pPr>
      <w:r w:rsidRPr="00883125">
        <w:rPr>
          <w:rStyle w:val="AERbody"/>
        </w:rPr>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CA67C0" w:rsidRPr="00883125" w:rsidRDefault="00CA67C0" w:rsidP="00CA67C0">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438"/>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439"/>
      </w:r>
    </w:p>
    <w:p w:rsidR="00CA67C0" w:rsidRPr="00883125" w:rsidRDefault="00CA67C0" w:rsidP="00CA67C0">
      <w:pPr>
        <w:rPr>
          <w:rStyle w:val="AERbody"/>
        </w:rPr>
      </w:pPr>
      <w:r w:rsidRPr="00883125">
        <w:rPr>
          <w:rStyle w:val="AERbody"/>
        </w:rPr>
        <w:t>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global systematic risk.</w:t>
      </w:r>
      <w:r w:rsidRPr="00883125">
        <w:rPr>
          <w:rStyle w:val="FootnoteReference"/>
        </w:rPr>
        <w:footnoteReference w:id="440"/>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441"/>
      </w:r>
      <w:r w:rsidRPr="00883125">
        <w:rPr>
          <w:rStyle w:val="AERbody"/>
        </w:rPr>
        <w:t xml:space="preserve">, these are assumptions that can only be tested empirically. An </w:t>
      </w:r>
      <w:r w:rsidRPr="00883125">
        <w:rPr>
          <w:rStyle w:val="AERbody"/>
        </w:rPr>
        <w:lastRenderedPageBreak/>
        <w:t>academic article by Koedijk, Mathiijs and van Dijk explains the underlying premise of such a test stating:</w:t>
      </w:r>
      <w:r w:rsidRPr="00883125">
        <w:rPr>
          <w:rStyle w:val="FootnoteReference"/>
        </w:rPr>
        <w:footnoteReference w:id="442"/>
      </w:r>
    </w:p>
    <w:p w:rsidR="00CA67C0" w:rsidRPr="00CA67C0" w:rsidRDefault="00CA67C0" w:rsidP="00CA67C0">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CA67C0" w:rsidRPr="00883125" w:rsidRDefault="00CA67C0" w:rsidP="00CA67C0">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443"/>
      </w:r>
      <w:r w:rsidRPr="00883125">
        <w:rPr>
          <w:rStyle w:val="AERbody"/>
        </w:rPr>
        <w:t xml:space="preserve">  </w:t>
      </w:r>
    </w:p>
    <w:p w:rsidR="00CA67C0" w:rsidRPr="00883125" w:rsidRDefault="00CA67C0" w:rsidP="00CA67C0">
      <w:pPr>
        <w:rPr>
          <w:rStyle w:val="AERbody"/>
        </w:rPr>
      </w:pPr>
      <w:r w:rsidRPr="00883125">
        <w:rPr>
          <w:rStyle w:val="AERbody"/>
        </w:rPr>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444"/>
      </w:r>
    </w:p>
    <w:p w:rsidR="00CA67C0" w:rsidRPr="00883125" w:rsidRDefault="00CA67C0" w:rsidP="00CA67C0">
      <w:pPr>
        <w:pStyle w:val="Heading8"/>
      </w:pPr>
      <w:bookmarkStart w:id="214" w:name="_Ref451790065"/>
      <w:bookmarkStart w:id="215" w:name="_Toc451842255"/>
      <w:bookmarkStart w:id="216" w:name="_Toc451938310"/>
      <w:bookmarkStart w:id="217" w:name="_Toc456614323"/>
      <w:r w:rsidRPr="00883125">
        <w:t>Estimation approach considerations</w:t>
      </w:r>
      <w:bookmarkEnd w:id="212"/>
      <w:bookmarkEnd w:id="213"/>
      <w:bookmarkEnd w:id="214"/>
      <w:bookmarkEnd w:id="215"/>
      <w:bookmarkEnd w:id="216"/>
      <w:bookmarkEnd w:id="217"/>
    </w:p>
    <w:p w:rsidR="00CA67C0" w:rsidRPr="00883125" w:rsidRDefault="00CA67C0" w:rsidP="00764AB1">
      <w:pPr>
        <w:numPr>
          <w:ilvl w:val="0"/>
          <w:numId w:val="24"/>
        </w:numPr>
      </w:pPr>
      <w:r w:rsidRPr="00883125">
        <w:t>Two considerations that were not proposed in the Guideline in determining the value of imputation credits are discussed below.</w:t>
      </w:r>
    </w:p>
    <w:p w:rsidR="00CA67C0" w:rsidRPr="00883125" w:rsidRDefault="00CA67C0" w:rsidP="00CA67C0">
      <w:pPr>
        <w:pStyle w:val="Heading9"/>
      </w:pPr>
      <w:bookmarkStart w:id="218" w:name="_Ref401048631"/>
      <w:bookmarkStart w:id="219" w:name="_Toc456614324"/>
      <w:r w:rsidRPr="00883125">
        <w:t>Evidence from all equity or only listed equity</w:t>
      </w:r>
      <w:bookmarkEnd w:id="218"/>
      <w:bookmarkEnd w:id="219"/>
    </w:p>
    <w:p w:rsidR="00CA67C0" w:rsidRPr="00883125" w:rsidRDefault="00CA67C0" w:rsidP="00764AB1">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CA67C0" w:rsidRPr="005764F6" w:rsidRDefault="00CA67C0" w:rsidP="00CA67C0">
      <w:r w:rsidRPr="005764F6">
        <w:t>United Energy submitted that the Tribunal recently considered that the AER had erred in using a listed equity only measure.</w:t>
      </w:r>
      <w:r w:rsidRPr="002110D5">
        <w:rPr>
          <w:rStyle w:val="FootnoteReference"/>
        </w:rPr>
        <w:footnoteReference w:id="445"/>
      </w:r>
      <w:r w:rsidRPr="005764F6">
        <w:t xml:space="preserve"> In this decision the Tribunal considered that the AER had not provide sufficient explanation for introducing the distribution rate for only listed equity and that the considered it appropriate to continue to follow past practice.</w:t>
      </w:r>
      <w:r w:rsidRPr="002110D5">
        <w:rPr>
          <w:rStyle w:val="FootnoteReference"/>
        </w:rPr>
        <w:footnoteReference w:id="446"/>
      </w:r>
    </w:p>
    <w:p w:rsidR="00CA67C0" w:rsidRPr="00883125" w:rsidRDefault="00CA67C0" w:rsidP="00764AB1">
      <w:pPr>
        <w:numPr>
          <w:ilvl w:val="0"/>
          <w:numId w:val="24"/>
        </w:numPr>
      </w:pPr>
      <w:r w:rsidRPr="00883125">
        <w:lastRenderedPageBreak/>
        <w:t>We have had regard to experts' comments on the issue. Lally made some comments in support of considering all equity:</w:t>
      </w:r>
      <w:r w:rsidRPr="00883125">
        <w:rPr>
          <w:rStyle w:val="FootnoteReference"/>
        </w:rPr>
        <w:footnoteReference w:id="447"/>
      </w:r>
    </w:p>
    <w:p w:rsidR="00CA67C0" w:rsidRPr="00883125" w:rsidRDefault="00CA67C0" w:rsidP="00CA67C0">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CA67C0" w:rsidRDefault="00CA67C0" w:rsidP="00764AB1">
      <w:pPr>
        <w:numPr>
          <w:ilvl w:val="0"/>
          <w:numId w:val="24"/>
        </w:numPr>
      </w:pPr>
      <w:r>
        <w:t>In his latest report, Lally reaffirmed this view that all equity rather than listed equity should be used to estimate the utilisation value. Lally considers that using all equity data suggest the utilisation value is at least 0.60.</w:t>
      </w:r>
      <w:r>
        <w:rPr>
          <w:rStyle w:val="FootnoteReference"/>
        </w:rPr>
        <w:footnoteReference w:id="448"/>
      </w:r>
    </w:p>
    <w:p w:rsidR="00CA67C0" w:rsidRPr="00883125" w:rsidRDefault="00CA67C0" w:rsidP="00764AB1">
      <w:pPr>
        <w:numPr>
          <w:ilvl w:val="0"/>
          <w:numId w:val="24"/>
        </w:numPr>
      </w:pPr>
      <w:r w:rsidRPr="00883125">
        <w:t>However, Handley suggested that evidence from listed equity is more relevant:</w:t>
      </w:r>
      <w:r w:rsidRPr="00883125">
        <w:rPr>
          <w:rStyle w:val="FootnoteReference"/>
        </w:rPr>
        <w:footnoteReference w:id="449"/>
      </w:r>
    </w:p>
    <w:p w:rsidR="00CA67C0" w:rsidRPr="00883125" w:rsidRDefault="00CA67C0" w:rsidP="00CA67C0">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CA67C0" w:rsidRPr="00883125" w:rsidRDefault="00CA67C0" w:rsidP="00CA67C0">
      <w:r w:rsidRPr="00883125">
        <w:t>Gray's view (for SFG) is not clear to us. In his May 2014 report, Gray stated:</w:t>
      </w:r>
      <w:r w:rsidRPr="00883125">
        <w:rPr>
          <w:rStyle w:val="FootnoteReference"/>
        </w:rPr>
        <w:footnoteReference w:id="450"/>
      </w:r>
    </w:p>
    <w:p w:rsidR="00CA67C0" w:rsidRPr="00883125" w:rsidRDefault="00CA67C0" w:rsidP="00CA67C0">
      <w:pPr>
        <w:pStyle w:val="AERquote"/>
      </w:pPr>
      <w:r w:rsidRPr="00883125">
        <w:t>The 45% foreign ownership figure in Figure 9 above is based on listed equity. In our view, this is the appropriate calculation given that all other WACC parameters are estimated with reference to exchange-listed businesses because they are more reflective of the efficient benchmark entity.</w:t>
      </w:r>
    </w:p>
    <w:p w:rsidR="00CA67C0" w:rsidRPr="00883125" w:rsidRDefault="00CA67C0" w:rsidP="00CA67C0">
      <w:r w:rsidRPr="00883125">
        <w:t>And in his February 2015 report (for SFG) Gray stated:</w:t>
      </w:r>
      <w:r w:rsidRPr="00883125">
        <w:rPr>
          <w:rStyle w:val="FootnoteReference"/>
        </w:rPr>
        <w:footnoteReference w:id="451"/>
      </w:r>
    </w:p>
    <w:p w:rsidR="00CA67C0" w:rsidRPr="00883125" w:rsidRDefault="00CA67C0" w:rsidP="00CA67C0">
      <w:pPr>
        <w:pStyle w:val="AERquote"/>
      </w:pPr>
      <w:r w:rsidRPr="00883125">
        <w:lastRenderedPageBreak/>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CA67C0" w:rsidRPr="00883125" w:rsidRDefault="00CA67C0" w:rsidP="00CA67C0">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452"/>
      </w:r>
    </w:p>
    <w:p w:rsidR="00CA67C0" w:rsidRPr="00883125" w:rsidRDefault="00CA67C0" w:rsidP="00CA67C0">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A67C0" w:rsidRPr="00883125" w:rsidRDefault="00CA67C0" w:rsidP="00CA67C0">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453"/>
      </w:r>
      <w:r w:rsidRPr="00883125">
        <w:t xml:space="preserve"> The service providers do not recognise that the evidence they have presented on 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7261FC">
        <w:t>A.8.3</w:t>
      </w:r>
      <w:r w:rsidRPr="00883125">
        <w:fldChar w:fldCharType="end"/>
      </w:r>
      <w:r w:rsidRPr="00883125">
        <w:t>).</w:t>
      </w:r>
    </w:p>
    <w:p w:rsidR="00CA67C0" w:rsidRDefault="00CA67C0" w:rsidP="00CA67C0">
      <w:r>
        <w:t xml:space="preserve">We have considered all the material before us. We agree that the utilisation rate is a market wide parameter. However, as set out above, there is no consensus on whether it should be estimated using all equity or listed equity. Therefore, we consider both. </w:t>
      </w:r>
    </w:p>
    <w:p w:rsidR="00CA67C0" w:rsidRDefault="00CA67C0" w:rsidP="00CA67C0">
      <w:pPr>
        <w:rPr>
          <w:rStyle w:val="AERbody"/>
        </w:rPr>
      </w:pPr>
      <w:r>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454"/>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w:t>
      </w:r>
      <w:r>
        <w:rPr>
          <w:rStyle w:val="AERbody"/>
        </w:rPr>
        <w:lastRenderedPageBreak/>
        <w:t>firms (that is, 0.83).</w:t>
      </w:r>
      <w:r>
        <w:rPr>
          <w:rStyle w:val="FootnoteReference"/>
        </w:rPr>
        <w:footnoteReference w:id="455"/>
      </w:r>
      <w:r>
        <w:rPr>
          <w:rStyle w:val="AERbody"/>
        </w:rPr>
        <w:t xml:space="preserve"> Lally considers this estimate is reflective of the distribution rate for a benchmark efficient entity. </w:t>
      </w:r>
    </w:p>
    <w:p w:rsidR="00CA67C0" w:rsidRPr="005764F6" w:rsidRDefault="00CA67C0" w:rsidP="00CA67C0">
      <w:pPr>
        <w:rPr>
          <w:rStyle w:val="AERbody"/>
        </w:rPr>
      </w:pPr>
      <w:r w:rsidRPr="00E64E9B">
        <w:t xml:space="preserve">With respect to United Energy's </w:t>
      </w:r>
      <w:r>
        <w:t xml:space="preserve">late </w:t>
      </w:r>
      <w:r w:rsidRPr="00E64E9B">
        <w:t xml:space="preserve">submission on the recent Tribunal decision, we note the Tribunal did not find a clear error in our approach prior to using its preferred approach. We remain of the view that our approach is </w:t>
      </w:r>
      <w:r>
        <w:t xml:space="preserve">open to us, and results in a </w:t>
      </w:r>
      <w:r w:rsidRPr="00E64E9B">
        <w:t>conservative</w:t>
      </w:r>
      <w:r>
        <w:t xml:space="preserve"> estimate (see section </w:t>
      </w:r>
      <w:r>
        <w:fldChar w:fldCharType="begin"/>
      </w:r>
      <w:r>
        <w:instrText xml:space="preserve"> REF _Ref401133206 \r \h </w:instrText>
      </w:r>
      <w:r>
        <w:fldChar w:fldCharType="separate"/>
      </w:r>
      <w:r w:rsidR="007261FC">
        <w:t>A.10</w:t>
      </w:r>
      <w:r>
        <w:fldChar w:fldCharType="end"/>
      </w:r>
      <w:r>
        <w:t>)</w:t>
      </w:r>
      <w:r w:rsidRPr="00E64E9B">
        <w:t xml:space="preserve">. </w:t>
      </w:r>
    </w:p>
    <w:p w:rsidR="00CA67C0" w:rsidRPr="00883125" w:rsidRDefault="00CA67C0" w:rsidP="00CA67C0">
      <w:pPr>
        <w:pStyle w:val="Heading9"/>
      </w:pPr>
      <w:bookmarkStart w:id="220" w:name="_Ref403481194"/>
      <w:bookmarkStart w:id="221" w:name="_Ref450299300"/>
      <w:bookmarkStart w:id="222" w:name="_Ref450765039"/>
      <w:bookmarkStart w:id="223" w:name="_Toc456614325"/>
      <w:r w:rsidRPr="00883125">
        <w:t xml:space="preserve">Relationship between the distribution rate and the utilisation </w:t>
      </w:r>
      <w:bookmarkEnd w:id="220"/>
      <w:r w:rsidRPr="00883125">
        <w:t>value</w:t>
      </w:r>
      <w:bookmarkEnd w:id="221"/>
      <w:bookmarkEnd w:id="222"/>
      <w:bookmarkEnd w:id="223"/>
    </w:p>
    <w:p w:rsidR="00CA67C0" w:rsidRPr="00883125" w:rsidRDefault="00CA67C0" w:rsidP="00764AB1">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CA67C0" w:rsidRPr="00883125" w:rsidRDefault="00CA67C0" w:rsidP="00CA67C0">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CA67C0" w:rsidRPr="00883125" w:rsidRDefault="00CA67C0" w:rsidP="00764AB1">
      <w:pPr>
        <w:numPr>
          <w:ilvl w:val="0"/>
          <w:numId w:val="24"/>
        </w:numPr>
        <w:rPr>
          <w:rStyle w:val="AERbody"/>
        </w:rPr>
      </w:pPr>
      <w:r w:rsidRPr="00883125">
        <w:rPr>
          <w:rStyle w:val="AERbody"/>
        </w:rPr>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456"/>
      </w:r>
      <w:r w:rsidRPr="00883125">
        <w:rPr>
          <w:rStyle w:val="AERbody"/>
        </w:rPr>
        <w:t xml:space="preserve"> They 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457"/>
      </w:r>
      <w:r w:rsidRPr="00883125">
        <w:rPr>
          <w:rStyle w:val="AERbody"/>
        </w:rPr>
        <w:t xml:space="preserve"> Service providers consider that </w:t>
      </w:r>
      <w:r w:rsidRPr="00883125">
        <w:rPr>
          <w:rStyle w:val="AERbody"/>
        </w:rPr>
        <w:lastRenderedPageBreak/>
        <w:t>the distribution rate should be set with reference to all equity to avoid the influence of imputation credits being attached to foreign income.</w:t>
      </w:r>
      <w:r w:rsidR="00DD218F">
        <w:rPr>
          <w:rStyle w:val="FootnoteReference"/>
        </w:rPr>
        <w:footnoteReference w:id="458"/>
      </w:r>
      <w:r w:rsidRPr="00883125">
        <w:rPr>
          <w:rStyle w:val="AERbody"/>
        </w:rPr>
        <w:t xml:space="preserv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459"/>
      </w:r>
      <w:r w:rsidRPr="00883125">
        <w:rPr>
          <w:rStyle w:val="AERbody"/>
        </w:rPr>
        <w:t xml:space="preserve"> 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460"/>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461"/>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462"/>
      </w:r>
    </w:p>
    <w:p w:rsidR="00CA67C0" w:rsidRDefault="00CA67C0" w:rsidP="00764AB1">
      <w:pPr>
        <w:numPr>
          <w:ilvl w:val="0"/>
          <w:numId w:val="24"/>
        </w:numPr>
        <w:rPr>
          <w:rStyle w:val="AERbody"/>
        </w:rPr>
      </w:pPr>
      <w:r w:rsidRPr="00883125">
        <w:rPr>
          <w:rStyle w:val="AERbody"/>
        </w:rPr>
        <w:t>Gray (for Frontier) considers that the distribution rate is firm specific, while theta is a market wider parameter.</w:t>
      </w:r>
      <w:r w:rsidRPr="00883125">
        <w:rPr>
          <w:rStyle w:val="FootnoteReference"/>
        </w:rPr>
        <w:footnoteReference w:id="463"/>
      </w:r>
      <w:r w:rsidRPr="00883125">
        <w:rPr>
          <w:rStyle w:val="AERbody"/>
        </w:rPr>
        <w:t xml:space="preserve"> Gr</w:t>
      </w:r>
      <w:r w:rsidR="00432228">
        <w:rPr>
          <w:rStyle w:val="AERbody"/>
        </w:rPr>
        <w:t>a</w:t>
      </w:r>
      <w:r w:rsidRPr="00883125">
        <w:rPr>
          <w:rStyle w:val="AERbody"/>
        </w:rPr>
        <w:t xml:space="preserve">y (for Frontier) draws an analogy between gamma and the CAPM, where the distribution rate is similar to beta and theta is similar to the MRP. Handley </w:t>
      </w:r>
      <w:r>
        <w:rPr>
          <w:rStyle w:val="AERbody"/>
        </w:rPr>
        <w:t xml:space="preserve">previously </w:t>
      </w:r>
      <w:r w:rsidRPr="00883125">
        <w:rPr>
          <w:rStyle w:val="AERbody"/>
        </w:rPr>
        <w:t>considered this 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464"/>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7261FC">
        <w:rPr>
          <w:rStyle w:val="AERbody"/>
        </w:rPr>
        <w:t>A.10.1</w:t>
      </w:r>
      <w:r>
        <w:rPr>
          <w:rStyle w:val="AERbody"/>
        </w:rPr>
        <w:fldChar w:fldCharType="end"/>
      </w:r>
      <w:r>
        <w:rPr>
          <w:rStyle w:val="AERbody"/>
        </w:rPr>
        <w:t xml:space="preserve">, Lally has demonstrated there is a negative relationship </w:t>
      </w:r>
      <w:r>
        <w:rPr>
          <w:rStyle w:val="AERbody"/>
        </w:rPr>
        <w:lastRenderedPageBreak/>
        <w:t>between foreign operations and the distribution rate.</w:t>
      </w:r>
      <w:r>
        <w:rPr>
          <w:rStyle w:val="FootnoteReference"/>
        </w:rPr>
        <w:footnoteReference w:id="465"/>
      </w:r>
      <w:r>
        <w:rPr>
          <w:rStyle w:val="AERbody"/>
        </w:rPr>
        <w:t xml:space="preserve"> This demonstrates that foreign income actually decreases the distribution rate and not increases it as suggested by Frontier.</w:t>
      </w:r>
    </w:p>
    <w:p w:rsidR="00CA67C0" w:rsidRDefault="00CA67C0" w:rsidP="00764AB1">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466"/>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CA67C0" w:rsidRPr="005764F6" w:rsidRDefault="00CA67C0" w:rsidP="00CA67C0">
      <w:r>
        <w:t>I</w:t>
      </w:r>
      <w:r w:rsidRPr="00033F58">
        <w:t xml:space="preserve">n his latest report, Lally considered it is 'not essential but nor is it precluded' </w:t>
      </w:r>
      <w:r>
        <w:t>estimate the distribution rate and utilisation rate on a consistent basis</w:t>
      </w:r>
      <w:r w:rsidRPr="00033F58">
        <w:t>.</w:t>
      </w:r>
      <w:r w:rsidRPr="00033F58">
        <w:rPr>
          <w:rStyle w:val="FootnoteReference"/>
        </w:rPr>
        <w:footnoteReference w:id="467"/>
      </w:r>
      <w:r w:rsidRPr="00033F58">
        <w:t xml:space="preserve"> 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468"/>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rate of </w:t>
      </w:r>
      <w:r w:rsidRPr="005764F6">
        <w:t>0.60.</w:t>
      </w:r>
      <w:r w:rsidRPr="005764F6">
        <w:rPr>
          <w:rStyle w:val="FootnoteReference"/>
        </w:rPr>
        <w:footnoteReference w:id="469"/>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470"/>
      </w:r>
    </w:p>
    <w:p w:rsidR="00CA67C0" w:rsidRPr="00883125" w:rsidRDefault="00CA67C0" w:rsidP="00CA67C0">
      <w:pPr>
        <w:pStyle w:val="Heading8"/>
      </w:pPr>
      <w:bookmarkStart w:id="224" w:name="_Toc451842256"/>
      <w:bookmarkStart w:id="225" w:name="_Ref401133206"/>
      <w:bookmarkStart w:id="226" w:name="_Toc436049451"/>
      <w:bookmarkStart w:id="227" w:name="_Toc451842257"/>
      <w:bookmarkStart w:id="228" w:name="_Toc451938311"/>
      <w:bookmarkStart w:id="229" w:name="_Toc456614326"/>
      <w:bookmarkEnd w:id="224"/>
      <w:r w:rsidRPr="00883125">
        <w:t>Estimating the distribution rate</w:t>
      </w:r>
      <w:bookmarkEnd w:id="225"/>
      <w:bookmarkEnd w:id="226"/>
      <w:bookmarkEnd w:id="227"/>
      <w:bookmarkEnd w:id="228"/>
      <w:bookmarkEnd w:id="229"/>
    </w:p>
    <w:p w:rsidR="00CA67C0" w:rsidRPr="00883125" w:rsidRDefault="00CA67C0" w:rsidP="00764AB1">
      <w:pPr>
        <w:numPr>
          <w:ilvl w:val="0"/>
          <w:numId w:val="24"/>
        </w:numPr>
      </w:pPr>
      <w:r w:rsidRPr="00883125">
        <w:t xml:space="preserve">We consider that the distribution rate is the proportion of imputation credits generated by the benchmark efficient entity that is distributed to investors. We set out our position on the distribution rate in section </w:t>
      </w:r>
      <w:r>
        <w:fldChar w:fldCharType="begin"/>
      </w:r>
      <w:r>
        <w:instrText xml:space="preserve"> REF _Ref450761230 \r \h </w:instrText>
      </w:r>
      <w:r>
        <w:fldChar w:fldCharType="separate"/>
      </w:r>
      <w:r w:rsidR="007261FC">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471"/>
      </w:r>
      <w:r w:rsidRPr="00883125">
        <w:t xml:space="preserve"> Hathaway found a similar estimate for the period 2004 to </w:t>
      </w:r>
      <w:r w:rsidRPr="00883125">
        <w:lastRenderedPageBreak/>
        <w:t>2011.</w:t>
      </w:r>
      <w:r w:rsidRPr="00883125">
        <w:rPr>
          <w:rStyle w:val="FootnoteReference"/>
        </w:rPr>
        <w:footnoteReference w:id="472"/>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473"/>
      </w:r>
      <w:r w:rsidRPr="00883125">
        <w:t xml:space="preserve"> Also using this approach, Handley estimated a distribution rate across only listed equity of 0.8 for the period 1987 to 2011.</w:t>
      </w:r>
      <w:r w:rsidRPr="00883125">
        <w:rPr>
          <w:rStyle w:val="FootnoteReference"/>
        </w:rPr>
        <w:footnoteReference w:id="474"/>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CA67C0" w:rsidRPr="00883125" w:rsidRDefault="00CA67C0" w:rsidP="00764AB1">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475"/>
      </w:r>
      <w:r w:rsidRPr="00883125">
        <w:t xml:space="preserve"> Handley also reviewed NERA's analysis, and provided his own report.</w:t>
      </w:r>
      <w:r w:rsidRPr="00883125">
        <w:rPr>
          <w:rStyle w:val="FootnoteReference"/>
        </w:rPr>
        <w:footnoteReference w:id="476"/>
      </w:r>
      <w:r w:rsidRPr="00883125">
        <w:t xml:space="preserve"> Both NERA and Handley found an estimate of 0.7 for the period 2004 to 2012.</w:t>
      </w:r>
      <w:r w:rsidRPr="00883125">
        <w:rPr>
          <w:rStyle w:val="FootnoteReference"/>
        </w:rPr>
        <w:footnoteReference w:id="477"/>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CA67C0" w:rsidRPr="00883125" w:rsidRDefault="00CA67C0" w:rsidP="00764AB1">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478"/>
      </w:r>
      <w:r w:rsidRPr="00883125">
        <w:t xml:space="preserve"> However, Gray's (for frontier) replication of Handley (2014) and Handley (2015) cumulative payout ratio is slightly different due to what Gray believes to be a different rounding method.</w:t>
      </w:r>
      <w:r w:rsidRPr="00883125">
        <w:rPr>
          <w:rStyle w:val="FootnoteReference"/>
        </w:rPr>
        <w:footnoteReference w:id="479"/>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7261FC" w:rsidRPr="00883125">
        <w:t xml:space="preserve">Table </w:t>
      </w:r>
      <w:r w:rsidR="007261FC">
        <w:rPr>
          <w:noProof/>
        </w:rPr>
        <w:t>4</w:t>
      </w:r>
      <w:r w:rsidR="007261FC">
        <w:noBreakHyphen/>
      </w:r>
      <w:r w:rsidR="007261FC">
        <w:rPr>
          <w:noProof/>
        </w:rPr>
        <w:t>13</w:t>
      </w:r>
      <w:r w:rsidRPr="00883125">
        <w:fldChar w:fldCharType="end"/>
      </w:r>
      <w:r w:rsidRPr="00883125">
        <w:t>.</w:t>
      </w:r>
    </w:p>
    <w:p w:rsidR="00CA67C0" w:rsidRPr="00883125" w:rsidRDefault="00CA67C0" w:rsidP="00CA67C0">
      <w:pPr>
        <w:pStyle w:val="Caption"/>
      </w:pPr>
      <w:bookmarkStart w:id="230" w:name="_Ref450332920"/>
      <w:r w:rsidRPr="00883125">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13</w:t>
      </w:r>
      <w:r w:rsidRPr="001D37D5">
        <w:fldChar w:fldCharType="end"/>
      </w:r>
      <w:bookmarkEnd w:id="230"/>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CA67C0" w:rsidTr="00CA67C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p>
        </w:tc>
        <w:tc>
          <w:tcPr>
            <w:tcW w:w="2712"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CA67C0" w:rsidRPr="00883125" w:rsidRDefault="00CA67C0" w:rsidP="00764AB1">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r w:rsidRPr="00883125">
              <w:t>Handley (public companies)</w:t>
            </w:r>
          </w:p>
        </w:tc>
        <w:tc>
          <w:tcPr>
            <w:tcW w:w="2712"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r w:rsidRPr="00883125">
              <w:t>Handley (Private companies)</w:t>
            </w:r>
          </w:p>
        </w:tc>
        <w:tc>
          <w:tcPr>
            <w:tcW w:w="2712"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CA67C0" w:rsidTr="00CA67C0">
        <w:trPr>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r w:rsidRPr="00883125">
              <w:lastRenderedPageBreak/>
              <w:t>NERA (public companies)</w:t>
            </w:r>
          </w:p>
        </w:tc>
        <w:tc>
          <w:tcPr>
            <w:tcW w:w="2712"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CA67C0" w:rsidRPr="00883125" w:rsidRDefault="00CA67C0" w:rsidP="00764AB1">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A67C0" w:rsidRPr="00883125" w:rsidRDefault="00CA67C0" w:rsidP="00764AB1">
            <w:pPr>
              <w:numPr>
                <w:ilvl w:val="0"/>
                <w:numId w:val="24"/>
              </w:numPr>
            </w:pPr>
            <w:r w:rsidRPr="00883125">
              <w:t>NERA (Private companies)</w:t>
            </w:r>
          </w:p>
        </w:tc>
        <w:tc>
          <w:tcPr>
            <w:tcW w:w="2712"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CA67C0" w:rsidRPr="00883125" w:rsidRDefault="00CA67C0" w:rsidP="00764AB1">
            <w:pPr>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CA67C0" w:rsidRPr="00CA67C0" w:rsidRDefault="00CA67C0" w:rsidP="00CA67C0">
      <w:pPr>
        <w:pStyle w:val="AERtablesource"/>
      </w:pPr>
      <w:r w:rsidRPr="00883125">
        <w:t xml:space="preserve">Source: </w:t>
      </w:r>
      <w:r w:rsidRPr="00883125">
        <w:tab/>
        <w:t>Frontier, The appropriate use of tax statistics when estimating gamma, January 2016, p. 22.</w:t>
      </w:r>
    </w:p>
    <w:p w:rsidR="00432228" w:rsidRDefault="00432228" w:rsidP="00432228">
      <w:pPr>
        <w:numPr>
          <w:ilvl w:val="0"/>
          <w:numId w:val="24"/>
        </w:numPr>
        <w:rPr>
          <w:rStyle w:val="AERbody"/>
        </w:rPr>
      </w:pPr>
      <w:r w:rsidRPr="00883125">
        <w:rPr>
          <w:rStyle w:val="AERbody"/>
        </w:rPr>
        <w:t xml:space="preserve">For this </w:t>
      </w:r>
      <w:r w:rsidR="00805EE0">
        <w:rPr>
          <w:rStyle w:val="AERbody"/>
        </w:rPr>
        <w:t xml:space="preserve">draft </w:t>
      </w:r>
      <w:r w:rsidRPr="00883125">
        <w:rPr>
          <w:rStyle w:val="AERbody"/>
        </w:rPr>
        <w:t xml:space="preserve">decision the AER has updated the cumulative distribution rate to 2014. Through this process we have estimated that the distribution rate for listed equity has fallen to 0.75 and this value is adopted in this </w:t>
      </w:r>
      <w:r w:rsidR="00805EE0">
        <w:rPr>
          <w:rStyle w:val="AERbody"/>
        </w:rPr>
        <w:t xml:space="preserve">draft </w:t>
      </w:r>
      <w:r w:rsidRPr="00883125">
        <w:rPr>
          <w:rStyle w:val="AERbody"/>
        </w:rPr>
        <w:t xml:space="preserve">decision. Consistent </w:t>
      </w:r>
      <w:r>
        <w:rPr>
          <w:rStyle w:val="AERbody"/>
        </w:rPr>
        <w:t xml:space="preserve">with </w:t>
      </w:r>
      <w:r w:rsidRPr="00883125">
        <w:rPr>
          <w:rStyle w:val="AERbody"/>
        </w:rPr>
        <w:t xml:space="preserve">the regulated businesses proposals, the AER adopts a 0.7 distribution rate for all equity in this </w:t>
      </w:r>
      <w:r w:rsidR="00805EE0">
        <w:rPr>
          <w:rStyle w:val="AERbody"/>
        </w:rPr>
        <w:t xml:space="preserve">draft </w:t>
      </w:r>
      <w:r w:rsidRPr="00883125">
        <w:rPr>
          <w:rStyle w:val="AERbody"/>
        </w:rPr>
        <w:t xml:space="preserve">decision. </w:t>
      </w:r>
    </w:p>
    <w:p w:rsidR="00CA67C0" w:rsidRDefault="00CA67C0" w:rsidP="00CA67C0">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480"/>
      </w:r>
      <w:r w:rsidRPr="005764F6">
        <w:t xml:space="preserve"> </w:t>
      </w:r>
    </w:p>
    <w:p w:rsidR="00CA67C0" w:rsidRDefault="00CA67C0" w:rsidP="00CA67C0">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CA67C0" w:rsidRPr="005764F6" w:rsidRDefault="00CA67C0" w:rsidP="00CA67C0">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481"/>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recent Tribunal decision. </w:t>
      </w:r>
    </w:p>
    <w:p w:rsidR="00CA67C0" w:rsidRPr="00883125" w:rsidRDefault="00CA67C0" w:rsidP="00764AB1">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CA67C0" w:rsidRPr="00883125" w:rsidRDefault="00CA67C0" w:rsidP="00CA67C0">
      <w:pPr>
        <w:pStyle w:val="Heading9"/>
      </w:pPr>
      <w:bookmarkStart w:id="231" w:name="_Ref414289334"/>
      <w:bookmarkStart w:id="232" w:name="_Toc456614327"/>
      <w:r w:rsidRPr="00883125">
        <w:t>Service providers', Gray's and NERA's comments on the distribution rate</w:t>
      </w:r>
      <w:bookmarkEnd w:id="231"/>
      <w:bookmarkEnd w:id="232"/>
    </w:p>
    <w:p w:rsidR="00CA67C0" w:rsidRPr="00883125" w:rsidRDefault="00CA67C0" w:rsidP="00CA67C0">
      <w:r w:rsidRPr="00883125">
        <w:t>The service providers and Gray (for SFG) submitted that it would be inappropriate to apply a distribution rate based on evidence from only listed equity and that the distribution rate for all equity is likely to be a reasonable proxy for that of the benchmark entity.</w:t>
      </w:r>
      <w:r w:rsidRPr="00883125">
        <w:rPr>
          <w:rStyle w:val="FootnoteReference"/>
        </w:rPr>
        <w:footnoteReference w:id="482"/>
      </w:r>
      <w:r w:rsidRPr="00883125">
        <w:t xml:space="preserve"> </w:t>
      </w:r>
      <w:r w:rsidR="00432228">
        <w:t xml:space="preserve">In its late </w:t>
      </w:r>
      <w:r w:rsidR="00432228">
        <w:lastRenderedPageBreak/>
        <w:t xml:space="preserve">submission, </w:t>
      </w:r>
      <w:r w:rsidR="00432228" w:rsidRPr="00883125">
        <w:t>United Energy cite</w:t>
      </w:r>
      <w:r w:rsidR="00432228">
        <w:t>s</w:t>
      </w:r>
      <w:r w:rsidR="00432228" w:rsidRPr="00883125">
        <w:t xml:space="preserve"> the recent Tribunal decision in support of this position.</w:t>
      </w:r>
      <w:r w:rsidR="00432228" w:rsidRPr="00883125">
        <w:rPr>
          <w:rStyle w:val="FootnoteReference"/>
        </w:rPr>
        <w:footnoteReference w:id="483"/>
      </w:r>
      <w:r w:rsidR="00432228" w:rsidRPr="00883125">
        <w:t xml:space="preserve"> We disagree and set out our reasons below</w:t>
      </w:r>
    </w:p>
    <w:p w:rsidR="00CA67C0" w:rsidRPr="00883125" w:rsidRDefault="00CA67C0" w:rsidP="00CA67C0">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484"/>
      </w:r>
    </w:p>
    <w:p w:rsidR="00CA67C0" w:rsidRPr="00883125" w:rsidRDefault="00CA67C0" w:rsidP="00CA67C0">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A67C0" w:rsidRPr="00883125" w:rsidRDefault="00CA67C0" w:rsidP="00CA67C0">
      <w:r>
        <w:t>I</w:t>
      </w:r>
      <w:r w:rsidRPr="00883125">
        <w:t>n the decisions previously released in 2014</w:t>
      </w:r>
      <w:r w:rsidR="007F26CE">
        <w:t>, 2015</w:t>
      </w:r>
      <w:r w:rsidRPr="00883125">
        <w:t xml:space="preserve"> and 201</w:t>
      </w:r>
      <w:r w:rsidR="007F26CE">
        <w:t>6</w:t>
      </w:r>
      <w:r w:rsidRPr="00883125">
        <w:t xml:space="preserve">, and in section </w:t>
      </w:r>
      <w:r>
        <w:fldChar w:fldCharType="begin"/>
      </w:r>
      <w:r>
        <w:instrText xml:space="preserve"> REF _Ref451790065 \r \h </w:instrText>
      </w:r>
      <w:r>
        <w:fldChar w:fldCharType="separate"/>
      </w:r>
      <w:r w:rsidR="007261FC">
        <w:t>A.9</w:t>
      </w:r>
      <w:r>
        <w:fldChar w:fldCharType="end"/>
      </w:r>
      <w:r>
        <w:t xml:space="preserve"> and </w:t>
      </w:r>
      <w:r>
        <w:fldChar w:fldCharType="begin"/>
      </w:r>
      <w:r>
        <w:instrText xml:space="preserve"> REF _Ref401133206 \r \h </w:instrText>
      </w:r>
      <w:r>
        <w:fldChar w:fldCharType="separate"/>
      </w:r>
      <w:r w:rsidR="007261FC">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only listed equity.</w:t>
      </w:r>
      <w:r>
        <w:t xml:space="preserve"> </w:t>
      </w:r>
    </w:p>
    <w:p w:rsidR="00CA67C0" w:rsidRPr="00883125" w:rsidRDefault="00CA67C0" w:rsidP="00CA67C0">
      <w:r w:rsidRPr="00883125">
        <w:t>Gray's report (for SFG) appears to support an estimate of the distribution rate that is not affected by the distribution behaviour of very large public firms or very small private firms. That is, Gray (for SFG) stated:</w:t>
      </w:r>
    </w:p>
    <w:p w:rsidR="00CA67C0" w:rsidRPr="00883125" w:rsidRDefault="00CA67C0" w:rsidP="00CA67C0">
      <w:pPr>
        <w:pStyle w:val="AERquote"/>
      </w:pPr>
      <w:r w:rsidRPr="00883125">
        <w:t>Conceptually, the task is…to estimate the distribution rate for the benchmark efficient firm.</w:t>
      </w:r>
      <w:r w:rsidRPr="00883125">
        <w:rPr>
          <w:rStyle w:val="FootnoteReference"/>
        </w:rPr>
        <w:footnoteReference w:id="485"/>
      </w:r>
    </w:p>
    <w:p w:rsidR="00CA67C0" w:rsidRPr="00883125" w:rsidRDefault="00CA67C0" w:rsidP="00CA67C0">
      <w:pPr>
        <w:pStyle w:val="AERquote"/>
      </w:pPr>
      <w:r w:rsidRPr="00883125">
        <w:t>…</w:t>
      </w:r>
    </w:p>
    <w:p w:rsidR="00CA67C0" w:rsidRPr="00883125" w:rsidRDefault="00CA67C0" w:rsidP="00CA67C0">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486"/>
      </w:r>
    </w:p>
    <w:p w:rsidR="00CA67C0" w:rsidRPr="00883125" w:rsidRDefault="00CA67C0" w:rsidP="00CA67C0">
      <w:r w:rsidRPr="00883125">
        <w:lastRenderedPageBreak/>
        <w:t>In particular, Gray submitted that the distribution behaviour of large multinational firms seemed unrepresentative of the benchmark efficient entity on account of their foreign-sourced income.</w:t>
      </w:r>
      <w:r w:rsidRPr="00883125">
        <w:rPr>
          <w:rStyle w:val="FootnoteReference"/>
        </w:rPr>
        <w:footnoteReference w:id="487"/>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488"/>
      </w:r>
      <w:r w:rsidRPr="00883125">
        <w:t xml:space="preserve"> Handley considered Gray's analysis to be ' incomplete and oversimplified to support such a strong conclusion'.</w:t>
      </w:r>
      <w:r w:rsidRPr="00883125">
        <w:rPr>
          <w:rStyle w:val="FootnoteReference"/>
        </w:rPr>
        <w:footnoteReference w:id="489"/>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490"/>
      </w:r>
    </w:p>
    <w:p w:rsidR="00CA67C0" w:rsidRDefault="00CA67C0" w:rsidP="00CA67C0">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491"/>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CA67C0" w:rsidRPr="005764F6" w:rsidRDefault="00CA67C0" w:rsidP="00CA67C0">
      <w:r w:rsidRPr="005764F6">
        <w:t xml:space="preserve">Lally examined this issue for us and concluded that firms with higher foreign earnings </w:t>
      </w:r>
      <w:r>
        <w:t xml:space="preserve">actually </w:t>
      </w:r>
      <w:r w:rsidRPr="005764F6">
        <w:t xml:space="preserve">appear to be distributing less imputation credits. </w:t>
      </w:r>
      <w:r w:rsidRPr="005053A1">
        <w:rPr>
          <w:rStyle w:val="FootnoteReference"/>
        </w:rPr>
        <w:footnoteReference w:id="492"/>
      </w:r>
      <w:r w:rsidRPr="005764F6">
        <w:t xml:space="preserve"> Lally empirically assessed the seven largest tax paying entities on the ASX and found that the proportion of profit from foreign operation is monotonically decreasing in the distribution rate (correlation of -0.95), which is in the opposite direction to that claimed by Frontier.</w:t>
      </w:r>
      <w:r w:rsidRPr="005053A1">
        <w:rPr>
          <w:rStyle w:val="FootnoteReference"/>
        </w:rPr>
        <w:footnoteReference w:id="493"/>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494"/>
      </w:r>
      <w:r w:rsidRPr="005764F6">
        <w:t xml:space="preserve"> </w:t>
      </w:r>
    </w:p>
    <w:p w:rsidR="00CA67C0" w:rsidRPr="00883125" w:rsidRDefault="00CA67C0" w:rsidP="00CA67C0">
      <w:r>
        <w:lastRenderedPageBreak/>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the listed regulated businesses (APA, Envestra (pre-sale) and JGN's parent company) have a franking account balance of zero.</w:t>
      </w:r>
      <w:r w:rsidRPr="00883125">
        <w:rPr>
          <w:rStyle w:val="FootnoteReference"/>
        </w:rPr>
        <w:footnoteReference w:id="495"/>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favour of the regulated businesses). </w:t>
      </w:r>
    </w:p>
    <w:p w:rsidR="00CA67C0" w:rsidRPr="00883125" w:rsidRDefault="00CA67C0" w:rsidP="00CA67C0">
      <w:r w:rsidRPr="00883125">
        <w:t>Regarding internal consistency when combining estimates of the distribution and utilisation rates, Gray (for SFG) submitted:</w:t>
      </w:r>
      <w:r w:rsidRPr="00883125">
        <w:rPr>
          <w:rStyle w:val="FootnoteReference"/>
        </w:rPr>
        <w:footnoteReference w:id="496"/>
      </w:r>
    </w:p>
    <w:p w:rsidR="00CA67C0" w:rsidRPr="00883125" w:rsidRDefault="00CA67C0" w:rsidP="00CA67C0">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CA67C0" w:rsidRPr="00883125" w:rsidRDefault="00CA67C0" w:rsidP="00CA67C0">
      <w:r w:rsidRPr="00883125">
        <w:t>That is, if the only value of theta is the market-wide value, then it is internally consistent to combine it with any estimate of the distribution rate. NERA agreed:</w:t>
      </w:r>
      <w:r w:rsidRPr="00883125">
        <w:rPr>
          <w:rStyle w:val="FootnoteReference"/>
        </w:rPr>
        <w:footnoteReference w:id="497"/>
      </w:r>
    </w:p>
    <w:p w:rsidR="00CA67C0" w:rsidRPr="00883125" w:rsidRDefault="00CA67C0" w:rsidP="00CA67C0">
      <w:pPr>
        <w:pStyle w:val="AERquote"/>
      </w:pPr>
      <w:r w:rsidRPr="00883125">
        <w:t>As theta should not vary from firm to firm, however, there should be no link between how one estimates theta and how one estimates the distribution rate.</w:t>
      </w:r>
    </w:p>
    <w:p w:rsidR="00CA67C0" w:rsidRPr="00883125" w:rsidRDefault="00CA67C0" w:rsidP="00CA67C0">
      <w:pPr>
        <w:rPr>
          <w:rStyle w:val="AERbody"/>
        </w:rPr>
      </w:pPr>
      <w:r w:rsidRPr="00883125">
        <w:rPr>
          <w:rStyle w:val="AERbody"/>
        </w:rPr>
        <w:t>Gray (for Frontier) considered this matter again in his June 2015 report (for Frontier) and stated:</w:t>
      </w:r>
      <w:r w:rsidRPr="00883125">
        <w:rPr>
          <w:rStyle w:val="FootnoteReference"/>
        </w:rPr>
        <w:footnoteReference w:id="498"/>
      </w:r>
    </w:p>
    <w:p w:rsidR="00CA67C0" w:rsidRPr="00CA67C0" w:rsidRDefault="00CA67C0" w:rsidP="00CA67C0">
      <w:pPr>
        <w:pStyle w:val="AERquote"/>
        <w:rPr>
          <w:rFonts w:eastAsiaTheme="minorHAnsi"/>
        </w:rPr>
      </w:pPr>
      <w:r w:rsidRPr="005764F6">
        <w:t>In my view, when estimating the distribution rate there are two reasons to be concerned about the weight that is afforded to the top 20 listed firms:</w:t>
      </w:r>
    </w:p>
    <w:p w:rsidR="00CA67C0" w:rsidRPr="00CA67C0" w:rsidRDefault="00CA67C0" w:rsidP="00CA67C0">
      <w:pPr>
        <w:pStyle w:val="AERquoteindent1"/>
        <w:rPr>
          <w:rFonts w:eastAsiaTheme="minorHAnsi"/>
        </w:rPr>
      </w:pPr>
      <w:r w:rsidRPr="005764F6">
        <w:t>a. The AER has specifically stated that the benchmark efficient entity should not be assumed to be a large listed company, as set out above; and</w:t>
      </w:r>
    </w:p>
    <w:p w:rsidR="00CA67C0" w:rsidRPr="005764F6" w:rsidRDefault="00CA67C0" w:rsidP="00CA67C0">
      <w:pPr>
        <w:pStyle w:val="AERquote"/>
      </w:pPr>
      <w:r w:rsidRPr="005764F6">
        <w:t>b. The top 20 listed firms differ from the benchmark entity in that their foreign sourced profits enable a higher distribution rate.</w:t>
      </w:r>
    </w:p>
    <w:p w:rsidR="00CA67C0" w:rsidRPr="00883125" w:rsidRDefault="00CA67C0" w:rsidP="00CA67C0">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499"/>
      </w:r>
    </w:p>
    <w:p w:rsidR="00CA67C0" w:rsidRPr="00883125" w:rsidRDefault="00CA67C0" w:rsidP="00CA67C0">
      <w:r w:rsidRPr="005764F6">
        <w:lastRenderedPageBreak/>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500"/>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CA67C0" w:rsidRPr="00883125" w:rsidRDefault="00CA67C0" w:rsidP="00CA67C0">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501"/>
      </w:r>
    </w:p>
    <w:p w:rsidR="00CA67C0" w:rsidRDefault="00CA67C0" w:rsidP="00CA67C0">
      <w:pPr>
        <w:rPr>
          <w:rStyle w:val="AERbody"/>
        </w:rPr>
      </w:pPr>
      <w:r w:rsidRPr="00883125">
        <w:rPr>
          <w:rStyle w:val="AERbody"/>
        </w:rPr>
        <w:t>In the proposals lodged in 2015 and 2016 the service providers have submitted that the appropriate distribution rate for both listed and all equity is 70</w:t>
      </w:r>
      <w:r w:rsidR="00432228">
        <w:rPr>
          <w:rStyle w:val="AERbody"/>
        </w:rPr>
        <w:t xml:space="preserve"> per cent</w:t>
      </w:r>
      <w:r w:rsidR="00432228" w:rsidRPr="00883125">
        <w:rPr>
          <w:rStyle w:val="AERbody"/>
        </w:rPr>
        <w:t xml:space="preserve"> </w:t>
      </w:r>
      <w:r w:rsidRPr="00883125">
        <w:rPr>
          <w:rStyle w:val="AERbody"/>
        </w:rPr>
        <w:t>consistent with the advice from Gray and NERA.</w:t>
      </w:r>
      <w:r w:rsidRPr="00883125">
        <w:rPr>
          <w:rStyle w:val="FootnoteReference"/>
        </w:rPr>
        <w:footnoteReference w:id="502"/>
      </w:r>
      <w:r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w:t>
      </w:r>
      <w:r w:rsidR="00432228">
        <w:rPr>
          <w:rStyle w:val="AERbody"/>
        </w:rPr>
        <w:t>service providers</w:t>
      </w:r>
      <w:r w:rsidRPr="00883125">
        <w:rPr>
          <w:rStyle w:val="AERbody"/>
        </w:rPr>
        <w:t xml:space="preserve"> want to ignore firms with foreign income when estimating the distribution rate which reduces gamma and want to include firms with foreign ownership for the purposes of </w:t>
      </w:r>
      <w:r w:rsidRPr="00883125">
        <w:rPr>
          <w:rStyle w:val="AERbody"/>
        </w:rPr>
        <w:lastRenderedPageBreak/>
        <w:t>estimating the utilisation value which also reduces gamma.</w:t>
      </w:r>
      <w:r>
        <w:rPr>
          <w:rStyle w:val="FootnoteReference"/>
        </w:rPr>
        <w:footnoteReference w:id="503"/>
      </w:r>
      <w:r w:rsidRPr="00883125">
        <w:rPr>
          <w:rStyle w:val="AERbody"/>
        </w:rPr>
        <w:t xml:space="preserve"> </w:t>
      </w:r>
      <w:r>
        <w:rPr>
          <w:rStyle w:val="AERbody"/>
        </w:rPr>
        <w:t>We</w:t>
      </w:r>
      <w:r w:rsidRPr="00883125">
        <w:rPr>
          <w:rStyle w:val="AERbody"/>
        </w:rPr>
        <w:t xml:space="preserve"> do not agree with this approach</w:t>
      </w:r>
      <w:r>
        <w:rPr>
          <w:rStyle w:val="AERbody"/>
        </w:rPr>
        <w:t xml:space="preserve"> and considers it will not give a reasonable estimate of gamma for the benchmark efficient entity</w:t>
      </w:r>
      <w:r w:rsidRPr="00883125">
        <w:rPr>
          <w:rStyle w:val="AERbody"/>
        </w:rPr>
        <w:t xml:space="preserve"> </w:t>
      </w:r>
      <w:r>
        <w:rPr>
          <w:rStyle w:val="AERbody"/>
        </w:rPr>
        <w:t>for the reasons outline above.</w:t>
      </w:r>
      <w:r w:rsidRPr="00883125">
        <w:rPr>
          <w:rStyle w:val="AERbody"/>
        </w:rPr>
        <w:t xml:space="preserve"> </w:t>
      </w:r>
    </w:p>
    <w:p w:rsidR="00CA67C0" w:rsidRPr="00883125" w:rsidRDefault="00CA67C0" w:rsidP="00CA67C0">
      <w:r w:rsidRPr="00883125">
        <w:t>NERA's views and Gray's views (for SFG and Frontier) must be reconciled with the fact that different investors can value imputation credits differently. For instance, foreign investors do not value credits and eligible domestic investors do. Therefore, a given estimate of theta will reflect the set of investors over which it is calculated. Gray (for SFG) appears to recognise this elsewhere in his report:</w:t>
      </w:r>
      <w:r w:rsidRPr="00883125">
        <w:rPr>
          <w:rStyle w:val="FootnoteReference"/>
        </w:rPr>
        <w:footnoteReference w:id="504"/>
      </w:r>
    </w:p>
    <w:p w:rsidR="00CA67C0" w:rsidRPr="00883125" w:rsidRDefault="00CA67C0" w:rsidP="00CA67C0">
      <w:pPr>
        <w:pStyle w:val="AERquote"/>
      </w:pPr>
      <w:r w:rsidRPr="00883125">
        <w:t>If theta is estimated using a market value approach, the estimate will represent an average across all listed firms.</w:t>
      </w:r>
    </w:p>
    <w:p w:rsidR="00CA67C0" w:rsidRPr="00883125" w:rsidRDefault="00CA67C0" w:rsidP="00CA67C0">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7261FC" w:rsidRPr="00883125">
        <w:t xml:space="preserve">figure </w:t>
      </w:r>
      <w:r w:rsidR="007261FC">
        <w:rPr>
          <w:noProof/>
        </w:rPr>
        <w:t>4</w:t>
      </w:r>
      <w:r w:rsidR="007261FC" w:rsidRPr="00883125">
        <w:t>.</w:t>
      </w:r>
      <w:r w:rsidR="007261FC">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261FC" w:rsidRPr="00883125">
        <w:t xml:space="preserve">figure </w:t>
      </w:r>
      <w:r w:rsidR="007261FC">
        <w:rPr>
          <w:noProof/>
        </w:rPr>
        <w:t>4</w:t>
      </w:r>
      <w:r w:rsidR="007261FC" w:rsidRPr="00883125">
        <w:t>.</w:t>
      </w:r>
      <w:r w:rsidR="007261FC">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CA67C0" w:rsidRPr="00883125" w:rsidRDefault="00CA67C0" w:rsidP="00CA67C0">
      <w:r w:rsidRPr="00883125">
        <w:t>To clarify, in theory there may be a single economy-wide theta. However, the practical reality is that a given estimate of theta will reflect the set of investors in the evidence used. 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505"/>
      </w:r>
    </w:p>
    <w:p w:rsidR="00CA67C0" w:rsidRPr="00883125" w:rsidRDefault="00CA67C0" w:rsidP="00CA67C0">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CA67C0" w:rsidRPr="00883125" w:rsidRDefault="00CA67C0" w:rsidP="00CA67C0">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CA67C0" w:rsidRDefault="00CA67C0" w:rsidP="00CA67C0">
      <w:pPr>
        <w:rPr>
          <w:rStyle w:val="AERbody"/>
        </w:rPr>
      </w:pPr>
      <w:r>
        <w:rPr>
          <w:rStyle w:val="AERbody"/>
        </w:rPr>
        <w:lastRenderedPageBreak/>
        <w:t>We note that Lally considers that consistency between the distribution rate and utilisation value is not essential nor is it precluded.</w:t>
      </w:r>
      <w:r w:rsidRPr="0016735E">
        <w:rPr>
          <w:rStyle w:val="FootnoteReference"/>
        </w:rPr>
        <w:footnoteReference w:id="506"/>
      </w:r>
      <w:r>
        <w:rPr>
          <w:rStyle w:val="AERbody"/>
        </w:rPr>
        <w:t xml:space="preserve"> At the same time, Lally considers that the distribution rate (for listed equity) should be estimated with reference to </w:t>
      </w:r>
      <w:r w:rsidRPr="0016735E">
        <w:rPr>
          <w:rStyle w:val="AERbody"/>
        </w:rPr>
        <w:t xml:space="preserve">the top 20 listed firms </w:t>
      </w:r>
      <w:r>
        <w:rPr>
          <w:rStyle w:val="AERbody"/>
        </w:rPr>
        <w:t>and the utilisation value should be estimated with reference to all equity.</w:t>
      </w:r>
      <w:r w:rsidRPr="0016735E">
        <w:rPr>
          <w:rStyle w:val="FootnoteReference"/>
        </w:rPr>
        <w:footnoteReference w:id="507"/>
      </w:r>
      <w:r>
        <w:rPr>
          <w:rStyle w:val="AERbody"/>
        </w:rPr>
        <w:t xml:space="preserve"> This implies that gamma is at least 0.5, which indicates our value of gamma may be too low. </w:t>
      </w:r>
    </w:p>
    <w:p w:rsidR="00CA67C0" w:rsidRPr="00883125" w:rsidRDefault="00CA67C0" w:rsidP="00CA67C0">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Further, advice that we have received for Lally suggest that the filtering is unnecessary and if anything the best estimate of the distribution rate is based on the financial data of the top 20 firms.</w:t>
      </w:r>
      <w:r>
        <w:rPr>
          <w:rStyle w:val="FootnoteReference"/>
        </w:rPr>
        <w:footnoteReference w:id="508"/>
      </w:r>
      <w:r>
        <w:rPr>
          <w:rStyle w:val="AERbody"/>
        </w:rPr>
        <w:t xml:space="preserve"> We note Lally's choice of the top 20 firms as a proxy for the estimate of the distribution rate for listed equity is not based on filtering listed equity based on the characteristics of the benchmark efficient entity, although he does consider listed firms more relevant to the estimation of the distribution rate for the benchmark efficient entity.</w:t>
      </w:r>
    </w:p>
    <w:p w:rsidR="00CA67C0" w:rsidRPr="00883125" w:rsidRDefault="00CA67C0" w:rsidP="00CA67C0">
      <w:pPr>
        <w:rPr>
          <w:rStyle w:val="AERbody"/>
        </w:rPr>
      </w:pPr>
      <w:r w:rsidRPr="00883125">
        <w:rPr>
          <w:rStyle w:val="AERbody"/>
        </w:rPr>
        <w:t xml:space="preserve">Handley indicated that Gray's analysis was 'incomplete and oversimplified' to support the restriction proposed, and we consider that Gray's June 2015 report (for Frontier) and NERA's June 2015 report add nothing material to the discussion. </w:t>
      </w:r>
    </w:p>
    <w:p w:rsidR="00CA67C0" w:rsidRPr="00883125" w:rsidRDefault="00CA67C0" w:rsidP="00CA67C0">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509"/>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510"/>
      </w:r>
    </w:p>
    <w:p w:rsidR="00CA67C0" w:rsidRPr="00883125" w:rsidRDefault="00CA67C0" w:rsidP="00CA67C0">
      <w:pPr>
        <w:pStyle w:val="Heading9"/>
      </w:pPr>
      <w:bookmarkStart w:id="233" w:name="_Toc450119282"/>
      <w:bookmarkStart w:id="234" w:name="_Toc450119442"/>
      <w:bookmarkStart w:id="235" w:name="_Ref415126827"/>
      <w:bookmarkStart w:id="236" w:name="_Toc456614328"/>
      <w:bookmarkEnd w:id="233"/>
      <w:bookmarkEnd w:id="234"/>
      <w:r w:rsidRPr="00883125">
        <w:t>The cumulative payout ratio approach</w:t>
      </w:r>
      <w:bookmarkEnd w:id="235"/>
      <w:bookmarkEnd w:id="236"/>
    </w:p>
    <w:p w:rsidR="00CA67C0" w:rsidRPr="00883125" w:rsidRDefault="00CA67C0" w:rsidP="00764AB1">
      <w:pPr>
        <w:numPr>
          <w:ilvl w:val="0"/>
          <w:numId w:val="24"/>
        </w:numPr>
      </w:pPr>
      <w:r w:rsidRPr="00883125">
        <w:t xml:space="preserve">The cumulative payout ratio approach is applied as follows. It starts with the change in the total value of imputation credits in firms’ franking account balances over a particular period of </w:t>
      </w:r>
      <w:r w:rsidRPr="00883125">
        <w:lastRenderedPageBreak/>
        <w:t>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CA67C0" w:rsidRPr="00883125" w:rsidRDefault="00CA67C0" w:rsidP="00764AB1">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511"/>
      </w:r>
      <w:r w:rsidRPr="00883125">
        <w:t xml:space="preserve"> However, we are unaware of the materiality of these factors. Moreover, as discussed in the next section:</w:t>
      </w:r>
    </w:p>
    <w:p w:rsidR="00CA67C0" w:rsidRPr="00883125" w:rsidRDefault="00CA67C0" w:rsidP="00CA67C0">
      <w:pPr>
        <w:pStyle w:val="AERbulletlistfirststyle"/>
      </w:pPr>
      <w:r w:rsidRPr="00883125">
        <w:t>Hathaway and NERA each preferred this approach to an approach involving data on franked dividends, and</w:t>
      </w:r>
    </w:p>
    <w:p w:rsidR="00CA67C0" w:rsidRPr="00883125" w:rsidRDefault="00CA67C0" w:rsidP="00CA67C0">
      <w:pPr>
        <w:pStyle w:val="AERbulletlistfirststyle"/>
      </w:pPr>
      <w:r w:rsidRPr="00883125">
        <w:t>an estimate of the distribution rate across only listed equity using this approach is broadly reinforced by evidence from the financial statements of the largest listed companies.</w:t>
      </w:r>
    </w:p>
    <w:p w:rsidR="00CA67C0" w:rsidRPr="00883125" w:rsidRDefault="00CA67C0" w:rsidP="00CA67C0">
      <w:pPr>
        <w:pStyle w:val="Heading9"/>
      </w:pPr>
      <w:bookmarkStart w:id="237" w:name="_Toc456614329"/>
      <w:r w:rsidRPr="00883125">
        <w:t>Alternative approaches</w:t>
      </w:r>
      <w:bookmarkEnd w:id="237"/>
    </w:p>
    <w:p w:rsidR="00CA67C0" w:rsidRPr="00883125" w:rsidRDefault="00CA67C0" w:rsidP="00764AB1">
      <w:pPr>
        <w:numPr>
          <w:ilvl w:val="0"/>
          <w:numId w:val="24"/>
        </w:numPr>
      </w:pPr>
      <w:r w:rsidRPr="00883125">
        <w:t>There are at least two alternative approaches to estimating the distribution rate:</w:t>
      </w:r>
    </w:p>
    <w:p w:rsidR="00CA67C0" w:rsidRPr="001D37D5" w:rsidRDefault="00CA67C0" w:rsidP="00CA67C0">
      <w:pPr>
        <w:pStyle w:val="AERbulletlistfirststyle"/>
      </w:pPr>
      <w:r w:rsidRPr="00883125">
        <w:t>Hathaway and NERA each estimated a distribution rate of around 0.5 using ATO statistics on the franked dividends distributed by companies as reported in their tax returns.</w:t>
      </w:r>
      <w:r w:rsidRPr="001D37D5">
        <w:rPr>
          <w:rStyle w:val="FootnoteReference"/>
        </w:rPr>
        <w:footnoteReference w:id="512"/>
      </w:r>
      <w:r w:rsidRPr="001D37D5">
        <w:t xml:space="preserve"> However, neither advocated the use of this estimate. NERA considered:</w:t>
      </w:r>
      <w:r w:rsidRPr="001D37D5">
        <w:rPr>
          <w:rStyle w:val="FootnoteReference"/>
        </w:rPr>
        <w:footnoteReference w:id="513"/>
      </w:r>
    </w:p>
    <w:p w:rsidR="00CA67C0" w:rsidRPr="00883125" w:rsidRDefault="00CA67C0" w:rsidP="00CA67C0">
      <w:pPr>
        <w:pStyle w:val="AERquote"/>
      </w:pPr>
      <w:r w:rsidRPr="00883125">
        <w:t xml:space="preserve">In our opinion, the cumulative payout ratio is the most reliable estimate that is least likely to be affected by potential distortions in the underlying data set. </w:t>
      </w:r>
    </w:p>
    <w:p w:rsidR="00CA67C0" w:rsidRPr="001D37D5" w:rsidRDefault="00CA67C0" w:rsidP="00CA67C0">
      <w:pPr>
        <w:pStyle w:val="AERbulletlistfirststyle"/>
      </w:pPr>
      <w:r w:rsidRPr="00883125">
        <w:t>And Hathaway considered:</w:t>
      </w:r>
      <w:r w:rsidRPr="001D37D5">
        <w:rPr>
          <w:rStyle w:val="FootnoteReference"/>
        </w:rPr>
        <w:footnoteReference w:id="514"/>
      </w:r>
    </w:p>
    <w:p w:rsidR="00CA67C0" w:rsidRPr="00883125" w:rsidRDefault="00CA67C0" w:rsidP="00CA67C0">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CA67C0" w:rsidRPr="00883125" w:rsidRDefault="00CA67C0" w:rsidP="00CA67C0">
      <w:r w:rsidRPr="00883125">
        <w:lastRenderedPageBreak/>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515"/>
      </w:r>
      <w:r w:rsidRPr="00883125">
        <w:t xml:space="preserve"> We consider that this broadly reinforces the higher cumulative payout ratio estimate across only listed equity.</w:t>
      </w:r>
    </w:p>
    <w:p w:rsidR="00CA67C0" w:rsidRPr="00883125" w:rsidRDefault="00CA67C0" w:rsidP="00CA67C0">
      <w:pPr>
        <w:pStyle w:val="Heading9"/>
      </w:pPr>
      <w:bookmarkStart w:id="238" w:name="_Ref450297745"/>
      <w:bookmarkStart w:id="239" w:name="_Toc456614330"/>
      <w:r w:rsidRPr="00883125">
        <w:t>Hathaway (2014)</w:t>
      </w:r>
      <w:bookmarkEnd w:id="238"/>
      <w:bookmarkEnd w:id="239"/>
    </w:p>
    <w:p w:rsidR="00CA67C0" w:rsidRPr="00883125" w:rsidRDefault="00CA67C0" w:rsidP="00CA67C0">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516"/>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517"/>
      </w:r>
    </w:p>
    <w:p w:rsidR="00CA67C0" w:rsidRPr="00883125" w:rsidRDefault="00CA67C0" w:rsidP="00CA67C0">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CA67C0" w:rsidRPr="00883125" w:rsidRDefault="00CA67C0" w:rsidP="00CA67C0">
      <w:pPr>
        <w:pStyle w:val="AERquote"/>
      </w:pPr>
      <w:r w:rsidRPr="00883125">
        <w:t>This gross distribution seems highly improbable and is quite inconsistent with the recorded franking credit income. It represents a gross payout ratio of 88% of all company tax as franking credits for the period 2004-12. This is in stark contrast to the gross 66% distribution recorded by the payment of franked dividends. We conclude that the FAB data are a concern.</w:t>
      </w:r>
    </w:p>
    <w:p w:rsidR="00CA67C0" w:rsidRPr="00883125" w:rsidRDefault="00CA67C0" w:rsidP="00CA67C0">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CA67C0" w:rsidRPr="00883125" w:rsidRDefault="00CA67C0" w:rsidP="00CA67C0">
      <w:r w:rsidRPr="00883125">
        <w:t>While we are aware of it, we do not place reliance on the conclusion in Hathaway (2014) regarding the FAB data in this</w:t>
      </w:r>
      <w:r w:rsidR="00F15ADC">
        <w:t xml:space="preserve"> draft</w:t>
      </w:r>
      <w:r w:rsidRPr="00883125">
        <w:t xml:space="preserve"> decision. This is because:</w:t>
      </w:r>
    </w:p>
    <w:p w:rsidR="00CA67C0" w:rsidRPr="001D37D5" w:rsidRDefault="00CA67C0" w:rsidP="00CA67C0">
      <w:pPr>
        <w:pStyle w:val="AERbulletlistfirststyle"/>
      </w:pPr>
      <w:r w:rsidRPr="00883125">
        <w:t>We do not find Hathaway's reasoning for his conclusion</w:t>
      </w:r>
      <w:r w:rsidRPr="001D37D5">
        <w:t xml:space="preserve"> convincing.</w:t>
      </w:r>
    </w:p>
    <w:p w:rsidR="00CA67C0" w:rsidRPr="00883125" w:rsidRDefault="00CA67C0" w:rsidP="00CA67C0">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CA67C0" w:rsidRPr="00883125" w:rsidRDefault="00CA67C0" w:rsidP="00CA67C0">
      <w:r w:rsidRPr="00883125">
        <w:lastRenderedPageBreak/>
        <w:t>We also note the report is still marked draft nearly one year after initially being completed.</w:t>
      </w:r>
    </w:p>
    <w:p w:rsidR="00CA67C0" w:rsidRPr="00883125" w:rsidRDefault="00CA67C0" w:rsidP="00CA67C0">
      <w:pPr>
        <w:pStyle w:val="Heading8"/>
      </w:pPr>
      <w:bookmarkStart w:id="240" w:name="_Ref403481535"/>
      <w:bookmarkStart w:id="241" w:name="_Toc436049452"/>
      <w:bookmarkStart w:id="242" w:name="_Toc451842258"/>
      <w:bookmarkStart w:id="243" w:name="_Toc451938312"/>
      <w:bookmarkStart w:id="244" w:name="_Toc456614331"/>
      <w:r w:rsidRPr="00883125">
        <w:t>Application of rate of return criteria to evidence on the utilisation rate</w:t>
      </w:r>
      <w:bookmarkEnd w:id="240"/>
      <w:bookmarkEnd w:id="241"/>
      <w:bookmarkEnd w:id="242"/>
      <w:bookmarkEnd w:id="243"/>
      <w:bookmarkEnd w:id="244"/>
    </w:p>
    <w:p w:rsidR="00CA67C0" w:rsidRPr="00883125" w:rsidRDefault="00CA67C0" w:rsidP="00764AB1">
      <w:pPr>
        <w:numPr>
          <w:ilvl w:val="0"/>
          <w:numId w:val="24"/>
        </w:numPr>
      </w:pPr>
      <w:r w:rsidRPr="00883125">
        <w:t xml:space="preserve">Our main assessment of the various approaches to estimating the utilisation rate is set out in section </w:t>
      </w:r>
      <w:r>
        <w:fldChar w:fldCharType="begin"/>
      </w:r>
      <w:r>
        <w:instrText xml:space="preserve"> REF _Ref451342609 \r \h </w:instrText>
      </w:r>
      <w:r>
        <w:fldChar w:fldCharType="separate"/>
      </w:r>
      <w:r w:rsidR="007261FC">
        <w:t>4.4</w:t>
      </w:r>
      <w:r>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7261FC" w:rsidRPr="00883125">
        <w:t xml:space="preserve">table </w:t>
      </w:r>
      <w:r w:rsidR="007261FC">
        <w:rPr>
          <w:noProof/>
        </w:rPr>
        <w:t>4</w:t>
      </w:r>
      <w:r w:rsidR="007261FC">
        <w:noBreakHyphen/>
      </w:r>
      <w:r w:rsidR="007261FC">
        <w:rPr>
          <w:noProof/>
        </w:rPr>
        <w:t>14</w:t>
      </w:r>
      <w:r w:rsidRPr="00883125">
        <w:fldChar w:fldCharType="end"/>
      </w:r>
      <w:r w:rsidRPr="00883125">
        <w:t>). Assessment against these criteria broadly supports our main assessment of the approaches.</w:t>
      </w:r>
    </w:p>
    <w:p w:rsidR="00CA67C0" w:rsidRPr="00883125" w:rsidRDefault="00CA67C0" w:rsidP="00764AB1">
      <w:pPr>
        <w:numPr>
          <w:ilvl w:val="0"/>
          <w:numId w:val="24"/>
        </w:numPr>
      </w:pPr>
    </w:p>
    <w:p w:rsidR="00CA67C0" w:rsidRPr="00883125" w:rsidRDefault="00CA67C0" w:rsidP="00CA67C0">
      <w:pPr>
        <w:sectPr w:rsidR="00CA67C0" w:rsidRPr="00883125" w:rsidSect="00CA67C0">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CA67C0" w:rsidRPr="00FE391A" w:rsidTr="00CA67C0">
        <w:trPr>
          <w:cnfStyle w:val="100000000000" w:firstRow="1" w:lastRow="0" w:firstColumn="0" w:lastColumn="0" w:oddVBand="0" w:evenVBand="0" w:oddHBand="0" w:evenHBand="0" w:firstRowFirstColumn="0" w:firstRowLastColumn="0" w:lastRowFirstColumn="0" w:lastRowLastColumn="0"/>
          <w:cantSplit/>
        </w:trPr>
        <w:tc>
          <w:tcPr>
            <w:tcW w:w="3936" w:type="dxa"/>
          </w:tcPr>
          <w:p w:rsidR="00CA67C0" w:rsidRPr="00883125" w:rsidRDefault="00CA67C0" w:rsidP="00764AB1">
            <w:pPr>
              <w:pStyle w:val="ListParagraph"/>
              <w:numPr>
                <w:ilvl w:val="0"/>
                <w:numId w:val="24"/>
              </w:numPr>
            </w:pPr>
            <w:r>
              <w:lastRenderedPageBreak/>
              <w:t>Criteria</w:t>
            </w:r>
            <w:r w:rsidRPr="00E30AF3">
              <w:rPr>
                <w:rStyle w:val="AERsuperscript"/>
              </w:rPr>
              <w:t>(a)</w:t>
            </w:r>
          </w:p>
        </w:tc>
        <w:tc>
          <w:tcPr>
            <w:tcW w:w="3140" w:type="dxa"/>
          </w:tcPr>
          <w:p w:rsidR="00CA67C0" w:rsidRPr="00CA67C0" w:rsidRDefault="00CA67C0" w:rsidP="00CA67C0">
            <w:r>
              <w:t>Equity ownership approach</w:t>
            </w:r>
          </w:p>
        </w:tc>
        <w:tc>
          <w:tcPr>
            <w:tcW w:w="3238" w:type="dxa"/>
          </w:tcPr>
          <w:p w:rsidR="00CA67C0" w:rsidRPr="00CA67C0" w:rsidRDefault="00CA67C0" w:rsidP="00CA67C0">
            <w:r>
              <w:t>Tax statistics</w:t>
            </w:r>
          </w:p>
        </w:tc>
        <w:tc>
          <w:tcPr>
            <w:tcW w:w="3838" w:type="dxa"/>
          </w:tcPr>
          <w:p w:rsidR="00CA67C0" w:rsidRPr="00CA67C0" w:rsidRDefault="00CA67C0" w:rsidP="00CA67C0">
            <w:r>
              <w:t>Implied market value studies</w:t>
            </w:r>
          </w:p>
        </w:tc>
      </w:tr>
      <w:tr w:rsidR="00CA67C0" w:rsidRPr="00FE391A" w:rsidTr="00CA67C0">
        <w:trPr>
          <w:cantSplit/>
        </w:trPr>
        <w:tc>
          <w:tcPr>
            <w:tcW w:w="3936" w:type="dxa"/>
          </w:tcPr>
          <w:p w:rsidR="00CA67C0" w:rsidRPr="00883125" w:rsidRDefault="00CA67C0" w:rsidP="00764AB1">
            <w:pPr>
              <w:pStyle w:val="ListParagraph"/>
              <w:numPr>
                <w:ilvl w:val="0"/>
                <w:numId w:val="24"/>
              </w:numPr>
            </w:pPr>
            <w:r w:rsidRPr="00883125">
              <w:t xml:space="preserve">Where applicable, reflective of economic and finance principles and market information. </w:t>
            </w:r>
          </w:p>
          <w:p w:rsidR="00CA67C0" w:rsidRPr="00883125" w:rsidRDefault="00CA67C0" w:rsidP="00764AB1">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CA67C0" w:rsidRPr="00CA67C0" w:rsidRDefault="00CA67C0" w:rsidP="00CA67C0">
            <w:r w:rsidRPr="00883125">
              <w:t>Accords with Monkhouse framework and principle of investor rationality (e.g. eligible investors expected to utilise</w:t>
            </w:r>
            <w:r w:rsidRPr="00CA67C0">
              <w:t xml:space="preserve"> credits to which they are entitled).</w:t>
            </w:r>
          </w:p>
          <w:p w:rsidR="00CA67C0" w:rsidRPr="00CA67C0" w:rsidRDefault="00CA67C0" w:rsidP="00CA67C0">
            <w:r w:rsidRPr="00883125">
              <w:t>Analysis is straightforward and sound. Data is from credible source (ABS).</w:t>
            </w:r>
          </w:p>
        </w:tc>
        <w:tc>
          <w:tcPr>
            <w:tcW w:w="3238" w:type="dxa"/>
          </w:tcPr>
          <w:p w:rsidR="00CA67C0" w:rsidRPr="00CA67C0" w:rsidRDefault="00CA67C0" w:rsidP="00CA67C0">
            <w:r w:rsidRPr="00883125">
              <w:t>Market information on the amount of imputation credits utilised.</w:t>
            </w:r>
          </w:p>
          <w:p w:rsidR="00CA67C0" w:rsidRPr="00CA67C0" w:rsidRDefault="00CA67C0" w:rsidP="00CA67C0">
            <w:r w:rsidRPr="00883125">
              <w:t>Analysis is straightforward and sound. Data is from credible source (ATO), but some data concerns have been identified.</w:t>
            </w:r>
          </w:p>
        </w:tc>
        <w:tc>
          <w:tcPr>
            <w:tcW w:w="3838" w:type="dxa"/>
          </w:tcPr>
          <w:p w:rsidR="00CA67C0" w:rsidRPr="00CA67C0" w:rsidRDefault="00CA67C0" w:rsidP="00CA67C0">
            <w:r w:rsidRPr="00883125">
              <w:t>Mainly based on the principle that share prices reflect the present value of future dividends (and imputation credits) and 'no arbitrage'.</w:t>
            </w:r>
          </w:p>
          <w:p w:rsidR="00CA67C0" w:rsidRPr="00CA67C0" w:rsidRDefault="00CA67C0" w:rsidP="00CA67C0">
            <w:r w:rsidRPr="00883125">
              <w:t>Varying opinions on the soundness of analysis across studies. Underlying data is typically from credible sources (e.g. Bloomberg, ASX).</w:t>
            </w:r>
          </w:p>
        </w:tc>
      </w:tr>
      <w:tr w:rsidR="00CA67C0" w:rsidRPr="00FE391A" w:rsidTr="00CA67C0">
        <w:trPr>
          <w:cnfStyle w:val="000000010000" w:firstRow="0" w:lastRow="0" w:firstColumn="0" w:lastColumn="0" w:oddVBand="0" w:evenVBand="0" w:oddHBand="0" w:evenHBand="1" w:firstRowFirstColumn="0" w:firstRowLastColumn="0" w:lastRowFirstColumn="0" w:lastRowLastColumn="0"/>
          <w:cantSplit/>
        </w:trPr>
        <w:tc>
          <w:tcPr>
            <w:tcW w:w="3936" w:type="dxa"/>
          </w:tcPr>
          <w:p w:rsidR="00CA67C0" w:rsidRPr="00CA67C0" w:rsidRDefault="00CA67C0" w:rsidP="00CA67C0">
            <w:r w:rsidRPr="00883125">
              <w:t xml:space="preserve">Fit for purpose. </w:t>
            </w:r>
          </w:p>
          <w:p w:rsidR="00CA67C0" w:rsidRPr="00CA67C0" w:rsidRDefault="00CA67C0" w:rsidP="00CA67C0">
            <w:r w:rsidRPr="00883125">
              <w:t xml:space="preserve">- The use of estimation methods, financial models, market data and other evidence should be consistent with the original purpose for which it was compiled and have regard to the limitations of that purpose. </w:t>
            </w:r>
          </w:p>
          <w:p w:rsidR="00CA67C0" w:rsidRPr="00CA67C0" w:rsidRDefault="00CA67C0" w:rsidP="00CA67C0">
            <w:r w:rsidRPr="00883125">
              <w:t>- Promote simple over complex approaches where appropriate.</w:t>
            </w:r>
          </w:p>
        </w:tc>
        <w:tc>
          <w:tcPr>
            <w:tcW w:w="3140" w:type="dxa"/>
          </w:tcPr>
          <w:p w:rsidR="00CA67C0" w:rsidRPr="00CA67C0" w:rsidRDefault="00CA67C0" w:rsidP="00CA67C0">
            <w:r w:rsidRPr="00883125">
              <w:t>ABS data used to estimate the domestic ownership share of Australian equity, which is consistent with its purpose. Approach is simple.</w:t>
            </w:r>
          </w:p>
        </w:tc>
        <w:tc>
          <w:tcPr>
            <w:tcW w:w="3238" w:type="dxa"/>
          </w:tcPr>
          <w:p w:rsidR="00CA67C0" w:rsidRPr="00CA67C0" w:rsidRDefault="00CA67C0" w:rsidP="00CA67C0">
            <w:r w:rsidRPr="00883125">
              <w:t>ATO statistics used to observe the reported amount of imputation credits utilised by investors, which is consistent with their purpose. Approach is simple.</w:t>
            </w:r>
          </w:p>
        </w:tc>
        <w:tc>
          <w:tcPr>
            <w:tcW w:w="3838" w:type="dxa"/>
          </w:tcPr>
          <w:p w:rsidR="00CA67C0" w:rsidRPr="00CA67C0" w:rsidRDefault="00CA67C0" w:rsidP="00CA67C0">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CA67C0" w:rsidRPr="00FE391A" w:rsidTr="00CA67C0">
        <w:trPr>
          <w:cantSplit/>
        </w:trPr>
        <w:tc>
          <w:tcPr>
            <w:tcW w:w="3936" w:type="dxa"/>
          </w:tcPr>
          <w:p w:rsidR="00CA67C0" w:rsidRPr="00CA67C0" w:rsidRDefault="00CA67C0" w:rsidP="00CA67C0">
            <w:r w:rsidRPr="00883125">
              <w:t xml:space="preserve">Implemented in accordance with good practice. </w:t>
            </w:r>
          </w:p>
          <w:p w:rsidR="00CA67C0" w:rsidRPr="00CA67C0" w:rsidRDefault="00CA67C0" w:rsidP="00CA67C0">
            <w:r w:rsidRPr="00883125">
              <w:t xml:space="preserve">- Supported by robust, transparent and </w:t>
            </w:r>
            <w:r w:rsidRPr="00CA67C0">
              <w:t>replicable analysis that is derived from available credible datasets.</w:t>
            </w:r>
          </w:p>
        </w:tc>
        <w:tc>
          <w:tcPr>
            <w:tcW w:w="3140" w:type="dxa"/>
          </w:tcPr>
          <w:p w:rsidR="00CA67C0" w:rsidRPr="00CA67C0" w:rsidRDefault="00CA67C0" w:rsidP="00CA67C0">
            <w:r w:rsidRPr="00883125">
              <w:t>Transparent and replicable using published data. Some knowledge of ABS classifications required.</w:t>
            </w:r>
          </w:p>
        </w:tc>
        <w:tc>
          <w:tcPr>
            <w:tcW w:w="3238" w:type="dxa"/>
          </w:tcPr>
          <w:p w:rsidR="00CA67C0" w:rsidRPr="00CA67C0" w:rsidRDefault="00CA67C0" w:rsidP="00CA67C0">
            <w:r w:rsidRPr="00883125">
              <w:t>Transparent and replicable using published data, although detailed knowledge of tax return labels required. Some data concerns have been identified.</w:t>
            </w:r>
          </w:p>
        </w:tc>
        <w:tc>
          <w:tcPr>
            <w:tcW w:w="3838" w:type="dxa"/>
          </w:tcPr>
          <w:p w:rsidR="00CA67C0" w:rsidRPr="00CA67C0" w:rsidRDefault="00CA67C0" w:rsidP="00CA67C0">
            <w:r w:rsidRPr="00883125">
              <w:t>Less transparent and replicable, as econometrics knowledge required and data not always publicly or freely available.</w:t>
            </w:r>
          </w:p>
        </w:tc>
      </w:tr>
      <w:tr w:rsidR="00CA67C0" w:rsidRPr="00FE391A" w:rsidTr="00CA67C0">
        <w:trPr>
          <w:cnfStyle w:val="000000010000" w:firstRow="0" w:lastRow="0" w:firstColumn="0" w:lastColumn="0" w:oddVBand="0" w:evenVBand="0" w:oddHBand="0" w:evenHBand="1" w:firstRowFirstColumn="0" w:firstRowLastColumn="0" w:lastRowFirstColumn="0" w:lastRowLastColumn="0"/>
          <w:cantSplit/>
        </w:trPr>
        <w:tc>
          <w:tcPr>
            <w:tcW w:w="3936" w:type="dxa"/>
          </w:tcPr>
          <w:p w:rsidR="00CA67C0" w:rsidRPr="00CA67C0" w:rsidRDefault="00CA67C0" w:rsidP="00CA67C0">
            <w:r w:rsidRPr="00883125">
              <w:t>Where market data and other information is used, this information is: credible and verifiable; comparable and timely; and clearly sourced.</w:t>
            </w:r>
          </w:p>
        </w:tc>
        <w:tc>
          <w:tcPr>
            <w:tcW w:w="3140" w:type="dxa"/>
          </w:tcPr>
          <w:p w:rsidR="00CA67C0" w:rsidRPr="00CA67C0" w:rsidRDefault="00CA67C0" w:rsidP="00CA67C0">
            <w:r w:rsidRPr="00883125">
              <w:t xml:space="preserve">ABS is a credible source. Relevant statistics are published online on a quarterly basis. </w:t>
            </w:r>
          </w:p>
        </w:tc>
        <w:tc>
          <w:tcPr>
            <w:tcW w:w="3238" w:type="dxa"/>
          </w:tcPr>
          <w:p w:rsidR="00CA67C0" w:rsidRPr="00CA67C0" w:rsidRDefault="00CA67C0" w:rsidP="00CA67C0">
            <w:r w:rsidRPr="00883125">
              <w:t>ATO is a credible source. Relevant statistics are published online on an annual basis, with a two-year lag (e.g. 2011–12 statistics published in 2014). Some data concerns have been identified.</w:t>
            </w:r>
          </w:p>
        </w:tc>
        <w:tc>
          <w:tcPr>
            <w:tcW w:w="3838" w:type="dxa"/>
          </w:tcPr>
          <w:p w:rsidR="00CA67C0" w:rsidRPr="00CA67C0" w:rsidRDefault="00CA67C0" w:rsidP="00CA67C0">
            <w:r w:rsidRPr="00883125">
              <w:t>Underlying data typically from credible sources (e.g. Bloomberg, ASX) and is produced on a timely basis. Data not always publicly or freely available.</w:t>
            </w:r>
          </w:p>
          <w:p w:rsidR="00CA67C0" w:rsidRPr="00CA67C0" w:rsidRDefault="00CA67C0" w:rsidP="00CA67C0">
            <w:r w:rsidRPr="00883125">
              <w:t>Use of econometrics makes the results difficult and complex to verify.</w:t>
            </w:r>
          </w:p>
        </w:tc>
      </w:tr>
      <w:tr w:rsidR="00CA67C0" w:rsidRPr="00FE391A" w:rsidTr="00CA67C0">
        <w:trPr>
          <w:cantSplit/>
        </w:trPr>
        <w:tc>
          <w:tcPr>
            <w:tcW w:w="3936" w:type="dxa"/>
          </w:tcPr>
          <w:p w:rsidR="00CA67C0" w:rsidRPr="00CA67C0" w:rsidRDefault="00CA67C0" w:rsidP="00CA67C0">
            <w:r w:rsidRPr="00883125">
              <w:t xml:space="preserve">Sufficiently flexible as to </w:t>
            </w:r>
            <w:r w:rsidRPr="00CA67C0">
              <w:t>allow changing market conditions and new information to be reflected in regulatory outcomes, as appropriate.</w:t>
            </w:r>
          </w:p>
        </w:tc>
        <w:tc>
          <w:tcPr>
            <w:tcW w:w="3140" w:type="dxa"/>
          </w:tcPr>
          <w:p w:rsidR="00CA67C0" w:rsidRPr="00CA67C0" w:rsidRDefault="00CA67C0" w:rsidP="00CA67C0">
            <w:r w:rsidRPr="00883125">
              <w:t xml:space="preserve">Reflects current ownership of Australian equities. However, might not reflect any tax law changes that reduce eligible investors’ utilisation rates below 1.  </w:t>
            </w:r>
          </w:p>
        </w:tc>
        <w:tc>
          <w:tcPr>
            <w:tcW w:w="3238" w:type="dxa"/>
          </w:tcPr>
          <w:p w:rsidR="00CA67C0" w:rsidRPr="00CA67C0" w:rsidRDefault="00CA67C0" w:rsidP="00CA67C0">
            <w:r w:rsidRPr="00883125">
              <w:t>Reflects conditions up to two years ago.</w:t>
            </w:r>
          </w:p>
        </w:tc>
        <w:tc>
          <w:tcPr>
            <w:tcW w:w="3838" w:type="dxa"/>
          </w:tcPr>
          <w:p w:rsidR="00CA67C0" w:rsidRPr="00CA67C0" w:rsidRDefault="00CA67C0" w:rsidP="00CA67C0">
            <w:r w:rsidRPr="00883125">
              <w:t>Reflects current conditions to the extent that recent data is used. Different studies span various time periods.</w:t>
            </w:r>
          </w:p>
        </w:tc>
      </w:tr>
    </w:tbl>
    <w:p w:rsidR="00CA67C0" w:rsidRPr="00883125" w:rsidRDefault="00CA67C0" w:rsidP="00CA67C0">
      <w:pPr>
        <w:pStyle w:val="Caption"/>
      </w:pPr>
      <w:bookmarkStart w:id="245" w:name="_Ref415046112"/>
      <w:r w:rsidRPr="00883125">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14</w:t>
      </w:r>
      <w:r w:rsidRPr="001D37D5">
        <w:fldChar w:fldCharType="end"/>
      </w:r>
      <w:bookmarkEnd w:id="245"/>
      <w:r w:rsidRPr="00883125">
        <w:tab/>
        <w:t>Application of rate of return criteria to evidence on the utilisation rate</w:t>
      </w:r>
    </w:p>
    <w:p w:rsidR="00CA67C0" w:rsidRPr="00883125" w:rsidRDefault="00CA67C0" w:rsidP="00CA67C0">
      <w:pPr>
        <w:pStyle w:val="AERtablesource"/>
      </w:pPr>
      <w:r w:rsidRPr="00883125">
        <w:lastRenderedPageBreak/>
        <w:t xml:space="preserve">Source: </w:t>
      </w:r>
      <w:r w:rsidRPr="00883125">
        <w:tab/>
        <w:t>AER analysis.</w:t>
      </w:r>
    </w:p>
    <w:p w:rsidR="00CA67C0" w:rsidRPr="00883125" w:rsidRDefault="00CA67C0" w:rsidP="00CA67C0">
      <w:pPr>
        <w:pStyle w:val="AERtablesource"/>
      </w:pPr>
      <w:r w:rsidRPr="00883125">
        <w:t>(a):</w:t>
      </w:r>
      <w:r w:rsidRPr="00883125">
        <w:tab/>
        <w:t>The criteria relating specifically to return on equity and return on debt quantitative models are excluded because they are not applicable.</w:t>
      </w:r>
    </w:p>
    <w:p w:rsidR="00CA67C0" w:rsidRPr="00883125" w:rsidRDefault="00CA67C0" w:rsidP="00CA67C0">
      <w:pPr>
        <w:sectPr w:rsidR="00CA67C0" w:rsidRPr="00883125" w:rsidSect="00CA67C0">
          <w:pgSz w:w="16838" w:h="11906" w:orient="landscape"/>
          <w:pgMar w:top="1440" w:right="1440" w:bottom="1440" w:left="1440" w:header="709" w:footer="709" w:gutter="0"/>
          <w:pgNumType w:chapStyle="1"/>
          <w:cols w:space="720"/>
          <w:docGrid w:linePitch="326"/>
        </w:sectPr>
      </w:pPr>
    </w:p>
    <w:p w:rsidR="00CA67C0" w:rsidRPr="00883125" w:rsidRDefault="00CA67C0" w:rsidP="00CA67C0">
      <w:pPr>
        <w:pStyle w:val="Heading8"/>
      </w:pPr>
      <w:bookmarkStart w:id="246" w:name="_Ref415049811"/>
      <w:bookmarkStart w:id="247" w:name="_Toc436049453"/>
      <w:bookmarkStart w:id="248" w:name="_Toc451842259"/>
      <w:bookmarkStart w:id="249" w:name="_Toc451938313"/>
      <w:bookmarkStart w:id="250" w:name="_Toc456614332"/>
      <w:r w:rsidRPr="00883125">
        <w:lastRenderedPageBreak/>
        <w:t>The equity ownership approach</w:t>
      </w:r>
      <w:bookmarkEnd w:id="246"/>
      <w:bookmarkEnd w:id="247"/>
      <w:bookmarkEnd w:id="248"/>
      <w:bookmarkEnd w:id="249"/>
      <w:bookmarkEnd w:id="250"/>
    </w:p>
    <w:p w:rsidR="00CA67C0" w:rsidRPr="00883125" w:rsidRDefault="00CA67C0" w:rsidP="00764AB1">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518"/>
      </w:r>
    </w:p>
    <w:p w:rsidR="00CA67C0" w:rsidRPr="00883125" w:rsidRDefault="00CA67C0" w:rsidP="00764AB1">
      <w:pPr>
        <w:numPr>
          <w:ilvl w:val="0"/>
          <w:numId w:val="24"/>
        </w:numPr>
      </w:pPr>
      <w:r w:rsidRPr="00883125">
        <w:t xml:space="preserve">Our views on the equity ownership approach to estimating the utilisation rate are set out in section </w:t>
      </w:r>
      <w:r>
        <w:fldChar w:fldCharType="begin"/>
      </w:r>
      <w:r>
        <w:instrText xml:space="preserve"> REF _Ref451342743 \r \h </w:instrText>
      </w:r>
      <w:r>
        <w:fldChar w:fldCharType="separate"/>
      </w:r>
      <w:r w:rsidR="007261FC">
        <w:t>4.4</w:t>
      </w:r>
      <w:r>
        <w:fldChar w:fldCharType="end"/>
      </w:r>
      <w:r w:rsidRPr="00883125">
        <w:t xml:space="preserve"> of attachment 4. In this section, we provide further detail on our application of the approach. We also compare our assessment of the approach in this </w:t>
      </w:r>
      <w:r w:rsidR="00F15ADC">
        <w:t xml:space="preserve">draft </w:t>
      </w:r>
      <w:r w:rsidRPr="00883125">
        <w:t>decision with our assessment in the Guideline.</w:t>
      </w:r>
    </w:p>
    <w:p w:rsidR="00CA67C0" w:rsidRPr="00883125" w:rsidRDefault="00CA67C0" w:rsidP="00764AB1">
      <w:pPr>
        <w:numPr>
          <w:ilvl w:val="0"/>
          <w:numId w:val="24"/>
        </w:numPr>
      </w:pPr>
      <w:r w:rsidRPr="00883125">
        <w:t xml:space="preserve">We place significant reliance on the equity ownership approach for the reasons set out in section </w:t>
      </w:r>
      <w:r>
        <w:fldChar w:fldCharType="begin"/>
      </w:r>
      <w:r>
        <w:instrText xml:space="preserve"> REF _Ref451342752 \r \h </w:instrText>
      </w:r>
      <w:r>
        <w:fldChar w:fldCharType="separate"/>
      </w:r>
      <w:r w:rsidR="007261FC">
        <w:t>4.4</w:t>
      </w:r>
      <w:r>
        <w:fldChar w:fldCharType="end"/>
      </w:r>
      <w:r w:rsidRPr="00883125">
        <w:t xml:space="preserve"> of attachment 4. We have regard also to the limitations of this approach, but we do not consider them significant:</w:t>
      </w:r>
    </w:p>
    <w:p w:rsidR="00CA67C0" w:rsidRPr="001D37D5" w:rsidRDefault="00CA67C0" w:rsidP="00CA67C0">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1D37D5">
        <w:fldChar w:fldCharType="begin"/>
      </w:r>
      <w:r w:rsidRPr="001D37D5">
        <w:instrText xml:space="preserve"> REF _Ref414099389 \r \h </w:instrText>
      </w:r>
      <w:r w:rsidRPr="001D37D5">
        <w:fldChar w:fldCharType="separate"/>
      </w:r>
      <w:r w:rsidR="007261FC">
        <w:t>A.8.3</w:t>
      </w:r>
      <w:r w:rsidRPr="001D37D5">
        <w:fldChar w:fldCharType="end"/>
      </w:r>
      <w:r w:rsidRPr="001D37D5">
        <w:t>, we do not consider that there is clear evidence as to effect that these rules have or should be expected to have. Moreover, we consider that the most relevant evidence on the effect of these rules suggest that they have a negligible effect.</w:t>
      </w:r>
    </w:p>
    <w:p w:rsidR="00CA67C0" w:rsidRPr="001D37D5" w:rsidRDefault="00CA67C0" w:rsidP="00CA67C0">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D37D5">
        <w:rPr>
          <w:rStyle w:val="FootnoteReference"/>
        </w:rPr>
        <w:footnoteReference w:id="519"/>
      </w:r>
    </w:p>
    <w:p w:rsidR="00CA67C0" w:rsidRDefault="00CA67C0" w:rsidP="00764AB1">
      <w:pPr>
        <w:numPr>
          <w:ilvl w:val="0"/>
          <w:numId w:val="24"/>
        </w:numPr>
      </w:pPr>
      <w:r>
        <w:t>In his latest report, Lally considers the utilisation value is a weighted average over the utilisation rates for investors, equal to 1 for those who are eligible to use the credits and zero otherwise.</w:t>
      </w:r>
      <w:r>
        <w:rPr>
          <w:rStyle w:val="FootnoteReference"/>
        </w:rPr>
        <w:footnoteReference w:id="520"/>
      </w:r>
      <w:r>
        <w:t xml:space="preserve"> This is consistent with our equity ownership approach.</w:t>
      </w:r>
      <w:r>
        <w:rPr>
          <w:rStyle w:val="FootnoteReference"/>
        </w:rPr>
        <w:footnoteReference w:id="521"/>
      </w:r>
    </w:p>
    <w:p w:rsidR="00CA67C0" w:rsidRPr="00883125" w:rsidRDefault="00CA67C0" w:rsidP="00764AB1">
      <w:pPr>
        <w:numPr>
          <w:ilvl w:val="0"/>
          <w:numId w:val="24"/>
        </w:numPr>
      </w:pPr>
      <w:r w:rsidRPr="00883125">
        <w:t>We consider that a reasonable estimate for the utilisation rate from the equity ownership approach is between:</w:t>
      </w:r>
    </w:p>
    <w:p w:rsidR="00CA67C0" w:rsidRPr="00883125" w:rsidRDefault="00CA67C0" w:rsidP="00CA67C0">
      <w:pPr>
        <w:pStyle w:val="AERbulletlistfirststyle"/>
      </w:pPr>
      <w:r w:rsidRPr="00883125">
        <w:t>0.56 and 0.68, if all equity is considered, and</w:t>
      </w:r>
    </w:p>
    <w:p w:rsidR="00CA67C0" w:rsidRPr="00883125" w:rsidRDefault="00CA67C0" w:rsidP="00CA67C0">
      <w:pPr>
        <w:pStyle w:val="AERbulletlistfirststyle"/>
      </w:pPr>
      <w:r w:rsidRPr="00883125">
        <w:lastRenderedPageBreak/>
        <w:t>0.38 and 0.55, if only listed equity is considered.</w:t>
      </w:r>
    </w:p>
    <w:p w:rsidR="00CA67C0" w:rsidRPr="00883125" w:rsidRDefault="00CA67C0" w:rsidP="00764AB1">
      <w:pPr>
        <w:numPr>
          <w:ilvl w:val="0"/>
          <w:numId w:val="24"/>
        </w:numPr>
      </w:pPr>
      <w:r w:rsidRPr="00883125">
        <w:t>In the Guideline, we considered that the equity ownership approach supported a utilisation rate between 0.7 and 0.8. This range was based on:</w:t>
      </w:r>
    </w:p>
    <w:p w:rsidR="00CA67C0" w:rsidRPr="001D37D5" w:rsidRDefault="00CA67C0" w:rsidP="00CA67C0">
      <w:pPr>
        <w:pStyle w:val="AERbulletlistfirststyle"/>
      </w:pPr>
      <w:r w:rsidRPr="00883125">
        <w:t>A 2007 feature article by the ABS, in which it was estimated using data from the National Accounts that domestic investors held 71 per cent of Australian equity.</w:t>
      </w:r>
      <w:r w:rsidRPr="001D37D5">
        <w:rPr>
          <w:rStyle w:val="FootnoteReference"/>
        </w:rPr>
        <w:footnoteReference w:id="522"/>
      </w:r>
    </w:p>
    <w:p w:rsidR="00CA67C0" w:rsidRPr="001D37D5" w:rsidRDefault="00CA67C0" w:rsidP="00CA67C0">
      <w:pPr>
        <w:pStyle w:val="AERbulletlistfirststyle"/>
      </w:pPr>
      <w:r w:rsidRPr="00883125">
        <w:t>A graph in a September 2013 report by Hathaway, which suggested that the domestic ownership share of Australian equity had fluctuated between 75 and 81 per cent over the period 1988 to 2012.</w:t>
      </w:r>
      <w:r w:rsidRPr="001D37D5">
        <w:rPr>
          <w:rStyle w:val="FootnoteReference"/>
        </w:rPr>
        <w:footnoteReference w:id="523"/>
      </w:r>
      <w:r w:rsidRPr="001D37D5">
        <w:t xml:space="preserve"> The data underlying this graph also came from the National Accounts.</w:t>
      </w:r>
    </w:p>
    <w:p w:rsidR="00CA67C0" w:rsidRPr="00883125" w:rsidRDefault="00CA67C0" w:rsidP="00CA67C0">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7261FC">
        <w:t>A.9</w:t>
      </w:r>
      <w:r>
        <w:fldChar w:fldCharType="end"/>
      </w:r>
      <w:r>
        <w:t xml:space="preserve"> and </w:t>
      </w:r>
      <w:r>
        <w:fldChar w:fldCharType="begin"/>
      </w:r>
      <w:r>
        <w:instrText xml:space="preserve"> REF _Ref401133206 \r \h </w:instrText>
      </w:r>
      <w:r>
        <w:fldChar w:fldCharType="separate"/>
      </w:r>
      <w:r w:rsidR="007261FC">
        <w:t>A.10</w:t>
      </w:r>
      <w:r>
        <w:fldChar w:fldCharType="end"/>
      </w:r>
      <w:r w:rsidRPr="00883125">
        <w:t>.</w:t>
      </w:r>
    </w:p>
    <w:p w:rsidR="00CA67C0" w:rsidRPr="00883125" w:rsidRDefault="00CA67C0" w:rsidP="00764AB1">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CA67C0" w:rsidRPr="00883125" w:rsidRDefault="00CA67C0" w:rsidP="00CA67C0">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CA67C0" w:rsidRPr="001D37D5" w:rsidRDefault="00CA67C0" w:rsidP="00CA67C0">
      <w:pPr>
        <w:pStyle w:val="AERbulletlistfirststyle"/>
      </w:pPr>
      <w:r w:rsidRPr="00AC2168">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w:t>
      </w:r>
      <w:r w:rsidR="00F15ADC">
        <w:t xml:space="preserve">draft </w:t>
      </w:r>
      <w:r w:rsidRPr="00AC2168">
        <w:t xml:space="preserve">decision, consistent with the approach we took for the decisions we released in </w:t>
      </w:r>
      <w:r w:rsidR="00E56997">
        <w:t>2015 (</w:t>
      </w:r>
      <w:r w:rsidRPr="00AC2168">
        <w:t>October</w:t>
      </w:r>
      <w:r w:rsidR="00E56997">
        <w:t xml:space="preserve"> and </w:t>
      </w:r>
      <w:r w:rsidRPr="00AC2168">
        <w:t>November</w:t>
      </w:r>
      <w:r w:rsidR="00E56997">
        <w:t>)</w:t>
      </w:r>
      <w:r w:rsidR="00690CAC">
        <w:t xml:space="preserve"> and </w:t>
      </w:r>
      <w:r w:rsidR="00E56997">
        <w:t>2016 (</w:t>
      </w:r>
      <w:r w:rsidR="00690CAC">
        <w:t>May</w:t>
      </w:r>
      <w:r w:rsidR="00E56997">
        <w:t>)</w:t>
      </w:r>
      <w:r w:rsidRPr="00AC2168">
        <w:t xml:space="preserve">, we exclude government-held equity from the calculation of the refined domestic ownership share. This is because the value of imputation credits forms part of our determination of the rate of return required by private investors in the benchmark </w:t>
      </w:r>
      <w:r w:rsidRPr="00AC2168">
        <w:lastRenderedPageBreak/>
        <w:t>efficient entity.</w:t>
      </w:r>
      <w:r w:rsidRPr="001D37D5">
        <w:rPr>
          <w:rStyle w:val="FootnoteReference"/>
        </w:rPr>
        <w:footnoteReference w:id="524"/>
      </w:r>
      <w:r w:rsidRPr="001D37D5">
        <w:t xml:space="preserve"> In doing this we are 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investment in regulated assets.  </w:t>
      </w:r>
    </w:p>
    <w:p w:rsidR="00CA67C0" w:rsidRPr="00883125" w:rsidRDefault="00CA67C0" w:rsidP="00764AB1">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525"/>
      </w:r>
      <w:r w:rsidRPr="00883125">
        <w:t xml:space="preserve"> However,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It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CA67C0" w:rsidRPr="00883125" w:rsidRDefault="00CA67C0" w:rsidP="00764AB1">
      <w:pPr>
        <w:numPr>
          <w:ilvl w:val="0"/>
          <w:numId w:val="24"/>
        </w:numPr>
      </w:pPr>
      <w:r w:rsidRPr="00883125">
        <w:t xml:space="preserve">Further, in response to Frontier,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7261FC">
        <w:t>A.14</w:t>
      </w:r>
      <w:r w:rsidRPr="00883125">
        <w:fldChar w:fldCharType="end"/>
      </w:r>
      <w:r w:rsidRPr="00883125">
        <w:t>.</w:t>
      </w:r>
    </w:p>
    <w:p w:rsidR="00CA67C0" w:rsidRPr="00883125" w:rsidRDefault="00CA67C0" w:rsidP="00764AB1">
      <w:pPr>
        <w:numPr>
          <w:ilvl w:val="0"/>
          <w:numId w:val="24"/>
        </w:numPr>
      </w:pPr>
      <w:r w:rsidRPr="00883125">
        <w:t xml:space="preserve">Our estimate ranges in this </w:t>
      </w:r>
      <w:r w:rsidR="00F15ADC">
        <w:t xml:space="preserve">draft </w:t>
      </w:r>
      <w:r w:rsidRPr="00883125">
        <w:t>decision differ from the corresponding ranges in the draft decisions released in 2014. These changes in part reflect the views of service providers, Gray (for SFG) and Handley. We discuss our consideration of these views below.</w:t>
      </w:r>
    </w:p>
    <w:p w:rsidR="00CA67C0" w:rsidRPr="00883125" w:rsidRDefault="00CA67C0" w:rsidP="00CA67C0">
      <w:r w:rsidRPr="00883125">
        <w:t>A number of service providers have submitted that we erred in our earlier decisions because:</w:t>
      </w:r>
      <w:r w:rsidRPr="00883125">
        <w:rPr>
          <w:rStyle w:val="FootnoteReference"/>
        </w:rPr>
        <w:footnoteReference w:id="526"/>
      </w:r>
    </w:p>
    <w:p w:rsidR="00CA67C0" w:rsidRPr="00883125" w:rsidRDefault="00CA67C0" w:rsidP="00CA67C0">
      <w:pPr>
        <w:pStyle w:val="AERquote"/>
      </w:pPr>
      <w:r w:rsidRPr="00883125">
        <w:t>…the ranges used by the AER for the equity ownership rate are inconsistent with the evidence in the Draft Decision.</w:t>
      </w:r>
    </w:p>
    <w:p w:rsidR="00CA67C0" w:rsidRPr="00883125" w:rsidRDefault="00CA67C0" w:rsidP="00CA67C0">
      <w:r w:rsidRPr="00883125">
        <w:t xml:space="preserve">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w:t>
      </w:r>
      <w:r w:rsidRPr="00883125">
        <w:lastRenderedPageBreak/>
        <w:t>4.5 of the draft decisions) and simple domestic ownership share (figures 4.2 and 4.3 of the draft decisions).</w:t>
      </w:r>
    </w:p>
    <w:p w:rsidR="00CA67C0" w:rsidRPr="00883125" w:rsidRDefault="00CA67C0" w:rsidP="00CA67C0">
      <w:r w:rsidRPr="00883125">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527"/>
      </w:r>
      <w:r w:rsidRPr="00883125">
        <w:t xml:space="preserve"> Accordingly, as we did in the decisions released in 2015</w:t>
      </w:r>
      <w:r w:rsidR="00690CAC">
        <w:t xml:space="preserve"> (</w:t>
      </w:r>
      <w:r w:rsidR="00690CAC" w:rsidRPr="00883125">
        <w:t>April, June, October and November</w:t>
      </w:r>
      <w:r w:rsidR="00690CAC">
        <w:t>) and 2016 (May)</w:t>
      </w:r>
      <w:r w:rsidRPr="00883125">
        <w:t xml:space="preserve">, in this </w:t>
      </w:r>
      <w:r w:rsidR="00690CAC">
        <w:t>draft</w:t>
      </w:r>
      <w:r w:rsidR="00690CAC" w:rsidRPr="00883125">
        <w:t xml:space="preserve"> </w:t>
      </w:r>
      <w:r w:rsidRPr="00883125">
        <w:t>decision we rely only on the refined domestic ownership share.</w:t>
      </w:r>
    </w:p>
    <w:p w:rsidR="00CA67C0" w:rsidRPr="00883125" w:rsidRDefault="00CA67C0" w:rsidP="00CA67C0">
      <w:r w:rsidRPr="00883125">
        <w:t>Service providers have also submitted that only the most recent point estimates of the equity ownership share are relevant.</w:t>
      </w:r>
      <w:r w:rsidRPr="00883125">
        <w:rPr>
          <w:rStyle w:val="FootnoteReference"/>
        </w:rPr>
        <w:footnoteReference w:id="528"/>
      </w:r>
      <w:r w:rsidRPr="00883125">
        <w:t xml:space="preserve"> We disagree. Given that the series exhibits considerable volatility, we think it is reasonable to not rely solely on the most recent point estimate. Handley supported this view:</w:t>
      </w:r>
      <w:r w:rsidRPr="00883125">
        <w:rPr>
          <w:rStyle w:val="FootnoteReference"/>
        </w:rPr>
        <w:footnoteReference w:id="529"/>
      </w:r>
    </w:p>
    <w:p w:rsidR="00CA67C0" w:rsidRPr="00883125" w:rsidRDefault="00CA67C0" w:rsidP="00CA67C0">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432228" w:rsidRDefault="00432228" w:rsidP="00432228">
      <w:r>
        <w:t>AusNet Services considered there is insufficient support for the upper bound of the range for listed equity (0.6) and for all equity (0.7) for the equity ownership approach ranges we adopted.</w:t>
      </w:r>
      <w:r>
        <w:rPr>
          <w:rStyle w:val="FootnoteReference"/>
        </w:rPr>
        <w:footnoteReference w:id="530"/>
      </w:r>
      <w:r>
        <w:t xml:space="preserve"> </w:t>
      </w:r>
    </w:p>
    <w:p w:rsidR="00CA67C0" w:rsidRDefault="00CA67C0" w:rsidP="00CA67C0">
      <w:r>
        <w:t>In determining whether to use the current value of equity ownership or a historical average, Lally considers that it depends on whether the series is following a random walk or mean reversion.</w:t>
      </w:r>
      <w:r>
        <w:rPr>
          <w:rStyle w:val="FootnoteReference"/>
        </w:rPr>
        <w:footnoteReference w:id="531"/>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532"/>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w:t>
      </w:r>
      <w:r>
        <w:lastRenderedPageBreak/>
        <w:t>equity our approach of using a value towards the bottom end of the range is conservative relative to Lally's use of a value of around the current estimate.</w:t>
      </w:r>
    </w:p>
    <w:p w:rsidR="00CA67C0" w:rsidRPr="00883125" w:rsidRDefault="00CA67C0" w:rsidP="00CA67C0">
      <w:r w:rsidRPr="00883125">
        <w:t>On Handley's point regarding the length of period to considered, we agree with Gray's view (for SFG) that:</w:t>
      </w:r>
      <w:r w:rsidRPr="00883125">
        <w:rPr>
          <w:rStyle w:val="FootnoteReference"/>
        </w:rPr>
        <w:footnoteReference w:id="533"/>
      </w:r>
    </w:p>
    <w:p w:rsidR="00CA67C0" w:rsidRPr="00883125" w:rsidRDefault="00CA67C0" w:rsidP="00CA67C0">
      <w:pPr>
        <w:pStyle w:val="AERquote"/>
      </w:pPr>
      <w:r w:rsidRPr="00883125">
        <w:t>It is not clear why estimates of what the domestic equity ownership proportion was in the 1980s are relevant to the current determination for the forthcoming regulatory period.</w:t>
      </w:r>
    </w:p>
    <w:p w:rsidR="00CA67C0" w:rsidRPr="00883125" w:rsidRDefault="00CA67C0" w:rsidP="00CA67C0">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534"/>
      </w:r>
      <w:r w:rsidRPr="00883125">
        <w:t xml:space="preserve"> It is also consistent with the service providers' proposed estimation of the value of distributed credits via SFG's dividend drop off study. This study employs data from July 2001 to October 2012.</w:t>
      </w:r>
    </w:p>
    <w:p w:rsidR="00CA67C0" w:rsidRPr="00883125" w:rsidRDefault="00CA67C0" w:rsidP="00CA67C0">
      <w:r w:rsidRPr="00883125">
        <w:t>The service providers submit that the July 2000 start date is arbitrary and that more recent events such as the GFC could provide a more appropriate start date.</w:t>
      </w:r>
      <w:r w:rsidRPr="00883125">
        <w:rPr>
          <w:rStyle w:val="FootnoteReference"/>
        </w:rPr>
        <w:footnoteReference w:id="535"/>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CA67C0" w:rsidRPr="00883125" w:rsidRDefault="00CA67C0" w:rsidP="00CA67C0">
      <w:pPr>
        <w:rPr>
          <w:rStyle w:val="AERbody"/>
        </w:rPr>
      </w:pPr>
      <w:r w:rsidRPr="00883125">
        <w:rPr>
          <w:rStyle w:val="AERbody"/>
        </w:rPr>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536"/>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redeem credits is not appropriate. </w:t>
      </w:r>
    </w:p>
    <w:p w:rsidR="00E268EE" w:rsidRDefault="00E268EE" w:rsidP="00E268EE">
      <w:r>
        <w:rPr>
          <w:rStyle w:val="AERbody"/>
        </w:rPr>
        <w:t xml:space="preserve">In its late submission, </w:t>
      </w:r>
      <w:r w:rsidRPr="00883125">
        <w:rPr>
          <w:rStyle w:val="AERbody"/>
        </w:rPr>
        <w:t xml:space="preserve">United Energy submitted that the Tribunal </w:t>
      </w:r>
      <w:r w:rsidR="00C73A21">
        <w:rPr>
          <w:rStyle w:val="AERbody"/>
        </w:rPr>
        <w:t xml:space="preserve">in its decision handed down on 26 February 2016 </w:t>
      </w:r>
      <w:r w:rsidRPr="00883125">
        <w:rPr>
          <w:rStyle w:val="AERbody"/>
        </w:rPr>
        <w:t xml:space="preserve">found that the </w:t>
      </w:r>
      <w:r w:rsidRPr="00883125">
        <w:t xml:space="preserve">equity ownership approach overstates the </w:t>
      </w:r>
      <w:r w:rsidRPr="00883125">
        <w:lastRenderedPageBreak/>
        <w:t>redemption rates and would only be useful as a further check on other estimates.</w:t>
      </w:r>
      <w:r w:rsidRPr="00883125">
        <w:rPr>
          <w:rStyle w:val="FootnoteReference"/>
        </w:rPr>
        <w:footnoteReference w:id="537"/>
      </w:r>
      <w:r w:rsidRPr="00883125">
        <w:t xml:space="preserve"> In this decision the Tribunal also indicated that since the equity ownership approach utilisation value is higher than the </w:t>
      </w:r>
      <w:r w:rsidR="00C73A21">
        <w:t xml:space="preserve">estimation of the redemption rate from </w:t>
      </w:r>
      <w:r w:rsidRPr="00883125">
        <w:t xml:space="preserve">tax statistics this implies that there are investors who </w:t>
      </w:r>
      <w:r>
        <w:t>we</w:t>
      </w:r>
      <w:r w:rsidRPr="00883125">
        <w:t xml:space="preserve"> assume are eligible to redeem imputation credits but, for whatever reasons, either cannot redeem them or attribute so little value to the credits that they do not </w:t>
      </w:r>
      <w:r w:rsidR="00C73A21">
        <w:t>redeem</w:t>
      </w:r>
      <w:r w:rsidRPr="00883125">
        <w:t xml:space="preserve"> them.</w:t>
      </w:r>
      <w:r w:rsidRPr="00883125">
        <w:rPr>
          <w:rStyle w:val="FootnoteReference"/>
        </w:rPr>
        <w:footnoteReference w:id="538"/>
      </w:r>
      <w:r w:rsidRPr="00883125">
        <w:t xml:space="preserve"> </w:t>
      </w:r>
      <w:r>
        <w:t>We have</w:t>
      </w:r>
      <w:r w:rsidRPr="00883125">
        <w:t xml:space="preserve"> carefully considered the Tribunal reasoning and remain of the view that the equity ownership approach </w:t>
      </w:r>
      <w:r w:rsidR="00C73A21">
        <w:t xml:space="preserve">based estimate </w:t>
      </w:r>
      <w:r w:rsidRPr="00883125">
        <w:t>can be used as a point estimate for the utilisation value.</w:t>
      </w:r>
      <w:r>
        <w:t xml:space="preserve"> Lally supports this view by noting the equity ownership approach is not an upper bound on the utilisation value but an unbiased estimate.</w:t>
      </w:r>
      <w:r w:rsidRPr="00EA25C2">
        <w:rPr>
          <w:rStyle w:val="FootnoteReference"/>
        </w:rPr>
        <w:t xml:space="preserve"> </w:t>
      </w:r>
      <w:r>
        <w:rPr>
          <w:rStyle w:val="FootnoteReference"/>
        </w:rPr>
        <w:footnoteReference w:id="539"/>
      </w:r>
    </w:p>
    <w:p w:rsidR="00E268EE" w:rsidRPr="00883125" w:rsidRDefault="00E268EE" w:rsidP="00E268EE">
      <w:pPr>
        <w:rPr>
          <w:rStyle w:val="AERbody"/>
        </w:rPr>
      </w:pPr>
      <w:r w:rsidRPr="00883125">
        <w:t xml:space="preserve">United Energy also submitted the Tribunal found that </w:t>
      </w:r>
      <w:r>
        <w:t>we are</w:t>
      </w:r>
      <w:r w:rsidRPr="00883125">
        <w:t xml:space="preserve"> effectively redefining the utilisation value as the proportion of distributed imputation credits available for redemption, and this is inconsistent with the concept of gamma in the Office</w:t>
      </w:r>
      <w:r w:rsidR="00805EE0">
        <w:t>r</w:t>
      </w:r>
      <w:r w:rsidRPr="00883125">
        <w:t xml:space="preserve"> Framework for the WACC.</w:t>
      </w:r>
      <w:r w:rsidRPr="00883125">
        <w:rPr>
          <w:rStyle w:val="FootnoteReference"/>
        </w:rPr>
        <w:footnoteReference w:id="540"/>
      </w:r>
      <w:r w:rsidRPr="00883125">
        <w:t xml:space="preserve"> </w:t>
      </w:r>
      <w:r>
        <w:t xml:space="preserve">As set out in sections </w:t>
      </w:r>
      <w:r>
        <w:fldChar w:fldCharType="begin"/>
      </w:r>
      <w:r>
        <w:instrText xml:space="preserve"> REF _Ref415144114 \r \h </w:instrText>
      </w:r>
      <w:r>
        <w:fldChar w:fldCharType="separate"/>
      </w:r>
      <w:r w:rsidR="007261FC">
        <w:t>A.5</w:t>
      </w:r>
      <w:r>
        <w:fldChar w:fldCharType="end"/>
      </w:r>
      <w:r>
        <w:t xml:space="preserve">, </w:t>
      </w:r>
      <w:r>
        <w:fldChar w:fldCharType="begin"/>
      </w:r>
      <w:r>
        <w:instrText xml:space="preserve"> REF _Ref451826492 \r \h </w:instrText>
      </w:r>
      <w:r>
        <w:fldChar w:fldCharType="separate"/>
      </w:r>
      <w:r w:rsidR="007261FC">
        <w:t>A.6</w:t>
      </w:r>
      <w:r>
        <w:fldChar w:fldCharType="end"/>
      </w:r>
      <w:r>
        <w:t xml:space="preserve"> and </w:t>
      </w:r>
      <w:r>
        <w:fldChar w:fldCharType="begin"/>
      </w:r>
      <w:r>
        <w:instrText xml:space="preserve"> REF _Ref451849752 \r \h </w:instrText>
      </w:r>
      <w:r>
        <w:fldChar w:fldCharType="separate"/>
      </w:r>
      <w:r w:rsidR="007261FC">
        <w:t>A.7</w:t>
      </w:r>
      <w:r>
        <w:fldChar w:fldCharType="end"/>
      </w:r>
      <w:r>
        <w:t>, we</w:t>
      </w:r>
      <w:r w:rsidRPr="00883125">
        <w:t xml:space="preserve"> consider </w:t>
      </w:r>
      <w:r>
        <w:t>our</w:t>
      </w:r>
      <w:r w:rsidRPr="00883125">
        <w:t xml:space="preserve"> approach is consistent with the post-tax Officer Framework for the WACC. </w:t>
      </w:r>
      <w:r>
        <w:t>We</w:t>
      </w:r>
      <w:r w:rsidRPr="00883125">
        <w:t xml:space="preserve"> consider the face value of imputation credits is the post</w:t>
      </w:r>
      <w:r>
        <w:t>-</w:t>
      </w:r>
      <w:r w:rsidR="00605D8A">
        <w:t>company pre-personal</w:t>
      </w:r>
      <w:r w:rsidRPr="00883125">
        <w:t xml:space="preserve"> </w:t>
      </w:r>
      <w:r w:rsidR="007F26CE">
        <w:t xml:space="preserve">tax </w:t>
      </w:r>
      <w:r w:rsidRPr="00883125">
        <w:t xml:space="preserve">value of imputation credits </w:t>
      </w:r>
      <w:r w:rsidR="00CB19B5">
        <w:t xml:space="preserve">distributed to eligible investors </w:t>
      </w:r>
      <w:r w:rsidRPr="00883125">
        <w:t xml:space="preserve">and reflects the cost of </w:t>
      </w:r>
      <w:r w:rsidR="00CB19B5">
        <w:t xml:space="preserve">these </w:t>
      </w:r>
      <w:r w:rsidRPr="00883125">
        <w:t>imputation credits to the regulated businesses</w:t>
      </w:r>
      <w:r>
        <w:t xml:space="preserve">. The face value of imputation credits </w:t>
      </w:r>
      <w:r w:rsidR="00CB19B5">
        <w:t xml:space="preserve">distributed to eligible investors </w:t>
      </w:r>
      <w:r>
        <w:t xml:space="preserve">also reflects </w:t>
      </w:r>
      <w:r w:rsidRPr="00883125">
        <w:t>the post</w:t>
      </w:r>
      <w:r>
        <w:t>-</w:t>
      </w:r>
      <w:r w:rsidR="00605D8A">
        <w:t xml:space="preserve">company pre-personal </w:t>
      </w:r>
      <w:r w:rsidRPr="00883125">
        <w:t xml:space="preserve">tax value of </w:t>
      </w:r>
      <w:r>
        <w:t xml:space="preserve">distributed </w:t>
      </w:r>
      <w:r w:rsidRPr="00883125">
        <w:t xml:space="preserve">imputation credits to </w:t>
      </w:r>
      <w:r w:rsidR="00CB19B5">
        <w:t xml:space="preserve">these </w:t>
      </w:r>
      <w:r w:rsidRPr="00883125">
        <w:t xml:space="preserve">equity investors. </w:t>
      </w:r>
    </w:p>
    <w:p w:rsidR="00CA67C0" w:rsidRDefault="00CA67C0" w:rsidP="00CA67C0">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7261FC" w:rsidRPr="00883125">
        <w:t xml:space="preserve">figure </w:t>
      </w:r>
      <w:r w:rsidR="007261FC">
        <w:rPr>
          <w:noProof/>
        </w:rPr>
        <w:t>4</w:t>
      </w:r>
      <w:r w:rsidR="007261FC" w:rsidRPr="00883125">
        <w:t>.</w:t>
      </w:r>
      <w:r w:rsidR="007261FC">
        <w:rPr>
          <w:noProof/>
        </w:rPr>
        <w:t>3</w:t>
      </w:r>
      <w:r w:rsidRPr="00883125">
        <w:fldChar w:fldCharType="end"/>
      </w:r>
      <w:r w:rsidRPr="00883125">
        <w:t>.</w:t>
      </w:r>
    </w:p>
    <w:p w:rsidR="00CA67C0" w:rsidRPr="00883125" w:rsidRDefault="00CA67C0" w:rsidP="00CA67C0"/>
    <w:p w:rsidR="00CA67C0" w:rsidRPr="00883125" w:rsidRDefault="00CA67C0" w:rsidP="00CA67C0">
      <w:pPr>
        <w:pStyle w:val="Caption"/>
      </w:pPr>
      <w:bookmarkStart w:id="251" w:name="_Ref414273399"/>
      <w:r w:rsidRPr="00883125">
        <w:lastRenderedPageBreak/>
        <w:t xml:space="preserve">Figure </w:t>
      </w:r>
      <w:r w:rsidRPr="00B27BE5">
        <w:fldChar w:fldCharType="begin"/>
      </w:r>
      <w:r>
        <w:instrText xml:space="preserve"> STYLEREF 1 \s </w:instrText>
      </w:r>
      <w:r w:rsidRPr="00B27BE5">
        <w:fldChar w:fldCharType="separate"/>
      </w:r>
      <w:r w:rsidR="007261FC">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7261FC">
        <w:rPr>
          <w:noProof/>
        </w:rPr>
        <w:t>3</w:t>
      </w:r>
      <w:r w:rsidRPr="00B27BE5">
        <w:fldChar w:fldCharType="end"/>
      </w:r>
      <w:bookmarkEnd w:id="251"/>
      <w:r w:rsidRPr="00883125">
        <w:tab/>
        <w:t>Refined domestic ownership share of Australian equity</w:t>
      </w:r>
    </w:p>
    <w:p w:rsidR="00CA67C0" w:rsidRPr="00883125" w:rsidRDefault="00CA67C0" w:rsidP="00CA67C0">
      <w:r w:rsidRPr="00CA67C0">
        <w:rPr>
          <w:noProof/>
          <w:lang w:eastAsia="en-AU"/>
        </w:rPr>
        <w:drawing>
          <wp:inline distT="0" distB="0" distL="0" distR="0" wp14:anchorId="0C7F4FAE" wp14:editId="0B2079FD">
            <wp:extent cx="5382895" cy="3505200"/>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A67C0" w:rsidRPr="00883125" w:rsidRDefault="00CA67C0" w:rsidP="00CA67C0">
      <w:pPr>
        <w:pStyle w:val="AERtablesource"/>
      </w:pPr>
      <w:r w:rsidRPr="00883125">
        <w:t xml:space="preserve">Source: </w:t>
      </w:r>
      <w:r w:rsidRPr="00883125">
        <w:tab/>
        <w:t>Australian National Accounts: Finance and Wealth (ABS cat. 5232.0), tables 47 and 48.</w:t>
      </w:r>
    </w:p>
    <w:p w:rsidR="00CA67C0" w:rsidRPr="00883125" w:rsidRDefault="00CA67C0" w:rsidP="00CA67C0">
      <w:r w:rsidRPr="00883125">
        <w:fldChar w:fldCharType="begin"/>
      </w:r>
      <w:r w:rsidRPr="00883125">
        <w:instrText xml:space="preserve"> REF _Ref414273399 \h </w:instrText>
      </w:r>
      <w:r w:rsidRPr="00883125">
        <w:fldChar w:fldCharType="separate"/>
      </w:r>
      <w:r w:rsidR="007261FC" w:rsidRPr="00883125">
        <w:t xml:space="preserve">Figure </w:t>
      </w:r>
      <w:r w:rsidR="007261FC">
        <w:rPr>
          <w:noProof/>
        </w:rPr>
        <w:t>4</w:t>
      </w:r>
      <w:r w:rsidR="007261FC" w:rsidRPr="00883125">
        <w:t>.</w:t>
      </w:r>
      <w:r w:rsidR="007261FC">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CA67C0" w:rsidRPr="00883125" w:rsidRDefault="00CA67C0" w:rsidP="00CA67C0">
      <w:pPr>
        <w:pStyle w:val="Heading8"/>
      </w:pPr>
      <w:bookmarkStart w:id="252" w:name="_Ref402179420"/>
      <w:bookmarkStart w:id="253" w:name="_Toc436049454"/>
      <w:bookmarkStart w:id="254" w:name="_Toc451842260"/>
      <w:bookmarkStart w:id="255" w:name="_Toc451938314"/>
      <w:bookmarkStart w:id="256" w:name="_Toc456614333"/>
      <w:r w:rsidRPr="00883125">
        <w:t>Tax statistics</w:t>
      </w:r>
      <w:bookmarkEnd w:id="252"/>
      <w:bookmarkEnd w:id="253"/>
      <w:bookmarkEnd w:id="254"/>
      <w:bookmarkEnd w:id="255"/>
      <w:bookmarkEnd w:id="256"/>
    </w:p>
    <w:p w:rsidR="00CA67C0" w:rsidRPr="00883125" w:rsidRDefault="00CA67C0" w:rsidP="00764AB1">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541"/>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CA67C0" w:rsidRPr="00883125" w:rsidRDefault="00CA67C0" w:rsidP="00764AB1">
      <w:pPr>
        <w:numPr>
          <w:ilvl w:val="0"/>
          <w:numId w:val="24"/>
        </w:numPr>
      </w:pPr>
      <w:r w:rsidRPr="00883125">
        <w:t xml:space="preserve">Our position on the use of tax statistics to estimate the utilisation rate is set out in section </w:t>
      </w:r>
      <w:r>
        <w:fldChar w:fldCharType="begin"/>
      </w:r>
      <w:r>
        <w:instrText xml:space="preserve"> REF _Ref451347585 \r \h </w:instrText>
      </w:r>
      <w:r>
        <w:fldChar w:fldCharType="separate"/>
      </w:r>
      <w:r w:rsidR="007261FC">
        <w:t>4.4</w:t>
      </w:r>
      <w:r>
        <w:fldChar w:fldCharType="end"/>
      </w:r>
      <w:r w:rsidRPr="00883125">
        <w:t xml:space="preserve"> of attachment 4. In this section, we explain how our position has changed compared to that in the Guideline.</w:t>
      </w:r>
    </w:p>
    <w:p w:rsidR="00CA67C0" w:rsidRPr="00883125" w:rsidRDefault="00CA67C0" w:rsidP="00764AB1">
      <w:pPr>
        <w:numPr>
          <w:ilvl w:val="0"/>
          <w:numId w:val="24"/>
        </w:numPr>
      </w:pPr>
      <w:r w:rsidRPr="00883125">
        <w:lastRenderedPageBreak/>
        <w:t>In the Guideline, we considered that tax statistics supported a utilisation rate between 0.4 and 0.8. This was based on:</w:t>
      </w:r>
    </w:p>
    <w:p w:rsidR="00CA67C0" w:rsidRPr="001D37D5" w:rsidRDefault="00CA67C0" w:rsidP="00CA67C0">
      <w:pPr>
        <w:pStyle w:val="AERbulletlistfirststyle"/>
      </w:pPr>
      <w:r w:rsidRPr="00883125">
        <w:t>A 2013 report by Hathaway, which sought to estimate the proportion of distributed credits that have been utilised. This report produced two estimates for the period 2004 to 2011: 0.43 and 0.61.</w:t>
      </w:r>
      <w:r w:rsidRPr="001D37D5" w:rsidDel="005F06A5">
        <w:t xml:space="preserve"> </w:t>
      </w:r>
      <w:r w:rsidRPr="001D37D5">
        <w:t xml:space="preserve"> The two estimates reflect two alternative measures of the value of credits distributed, which in turn imply two alternative estimates of the distribution rate (as discussed in section </w:t>
      </w:r>
      <w:r w:rsidRPr="001D37D5">
        <w:fldChar w:fldCharType="begin"/>
      </w:r>
      <w:r w:rsidRPr="001D37D5">
        <w:instrText xml:space="preserve"> REF _Ref401133206 \r \h </w:instrText>
      </w:r>
      <w:r w:rsidRPr="001D37D5">
        <w:fldChar w:fldCharType="separate"/>
      </w:r>
      <w:r w:rsidR="007261FC">
        <w:t>A.10</w:t>
      </w:r>
      <w:r w:rsidRPr="001D37D5">
        <w:fldChar w:fldCharType="end"/>
      </w:r>
      <w:r w:rsidRPr="001D37D5">
        <w:t>). The 0.43 and 0.61 estimates of the utilisation rate correspond to estimates of the distribution rate of around 0.7 and 0.5 respectively.</w:t>
      </w:r>
      <w:r w:rsidRPr="001D37D5">
        <w:rPr>
          <w:rStyle w:val="FootnoteReference"/>
        </w:rPr>
        <w:footnoteReference w:id="542"/>
      </w:r>
      <w:r w:rsidRPr="001D37D5">
        <w:t xml:space="preserve"> </w:t>
      </w:r>
    </w:p>
    <w:p w:rsidR="00CA67C0" w:rsidRPr="00883125" w:rsidRDefault="00CA67C0" w:rsidP="00CA67C0">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CA67C0" w:rsidRPr="00883125" w:rsidRDefault="00CA67C0" w:rsidP="00764AB1">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CA67C0" w:rsidRPr="001D37D5" w:rsidRDefault="00CA67C0" w:rsidP="00CA67C0">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543"/>
      </w:r>
      <w:r w:rsidRPr="001D37D5">
        <w:t xml:space="preserve"> and</w:t>
      </w:r>
    </w:p>
    <w:p w:rsidR="00CA67C0" w:rsidRPr="001D37D5" w:rsidRDefault="00CA67C0" w:rsidP="00CA67C0">
      <w:pPr>
        <w:pStyle w:val="AERbulletlistfirststyle"/>
      </w:pPr>
      <w:r w:rsidRPr="00883125">
        <w:t>consistent with our preferred estimates of the distribution rate</w:t>
      </w:r>
      <w:r w:rsidRPr="001D37D5">
        <w:t xml:space="preserve"> estimated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CA67C0" w:rsidRPr="00883125" w:rsidRDefault="00CA67C0" w:rsidP="00764AB1">
      <w:pPr>
        <w:numPr>
          <w:ilvl w:val="0"/>
          <w:numId w:val="24"/>
        </w:numPr>
      </w:pPr>
      <w:r w:rsidRPr="00883125">
        <w:t>Applying these considerations, in our prior decisions</w:t>
      </w:r>
      <w:r>
        <w:t>,</w:t>
      </w:r>
      <w:r w:rsidRPr="00883125">
        <w:t xml:space="preserve"> we did not rely on:</w:t>
      </w:r>
    </w:p>
    <w:p w:rsidR="00CA67C0" w:rsidRPr="00883125" w:rsidRDefault="00CA67C0" w:rsidP="00CA67C0">
      <w:pPr>
        <w:pStyle w:val="AERbulletlistfirststyle"/>
      </w:pPr>
      <w:r w:rsidRPr="00883125">
        <w:t>Handley and Maheswaran's estimate of 0.81, because this is (predominantly) derived from pre-2004 data.</w:t>
      </w:r>
    </w:p>
    <w:p w:rsidR="00CA67C0" w:rsidRPr="001D37D5" w:rsidRDefault="00CA67C0" w:rsidP="00CA67C0">
      <w:pPr>
        <w:pStyle w:val="AERbulletlistfirststyle"/>
      </w:pPr>
      <w:r w:rsidRPr="00883125">
        <w:t>Hathaway's estimate of 0.61, because this corresponds to an estimate of the distribution rate of around 0.5 whereas we adopt an estimate of the distribution rate over all equity of 0.7.</w:t>
      </w:r>
      <w:r w:rsidRPr="001D37D5">
        <w:t xml:space="preserve"> We note this does not apply to Lally's latest analysis, as he determines the distribution rate from annual reports and not tax statistics. Lally considers that the difference between the two Hathaway's utilisation rate estimates demonstrates the unreliability of tax statistics data.</w:t>
      </w:r>
      <w:r w:rsidRPr="001D37D5">
        <w:rPr>
          <w:rStyle w:val="FootnoteReference"/>
        </w:rPr>
        <w:footnoteReference w:id="544"/>
      </w:r>
      <w:r w:rsidRPr="001D37D5">
        <w:t xml:space="preserve"> </w:t>
      </w:r>
    </w:p>
    <w:p w:rsidR="00CA67C0" w:rsidRDefault="00CA67C0" w:rsidP="00CA67C0">
      <w:r w:rsidRPr="00883125">
        <w:lastRenderedPageBreak/>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545"/>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546"/>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Pr="00883125">
        <w:t xml:space="preserve"> a utilisation value of 0.48. </w:t>
      </w:r>
    </w:p>
    <w:p w:rsidR="00CA67C0" w:rsidRPr="00883125" w:rsidRDefault="00CA67C0" w:rsidP="00CA67C0">
      <w:r w:rsidRPr="00883125">
        <w:t xml:space="preserve">As discussed in section </w:t>
      </w:r>
      <w:r w:rsidRPr="00883125">
        <w:fldChar w:fldCharType="begin"/>
      </w:r>
      <w:r w:rsidRPr="00883125">
        <w:instrText xml:space="preserve"> REF _Ref401133206 \r \h </w:instrText>
      </w:r>
      <w:r w:rsidRPr="00883125">
        <w:fldChar w:fldCharType="separate"/>
      </w:r>
      <w:r w:rsidR="007261FC">
        <w:t>A.10</w:t>
      </w:r>
      <w:r w:rsidRPr="00883125">
        <w:fldChar w:fldCharType="end"/>
      </w:r>
      <w:r w:rsidRPr="00883125">
        <w:t>, for this decision we place no reliance on Hathaway's new report and therefore it does not change our conclusions regarding the utilisation rate indicated by tax statistics.</w:t>
      </w:r>
    </w:p>
    <w:p w:rsidR="00E268EE" w:rsidRDefault="00E268EE" w:rsidP="00E268EE">
      <w:r w:rsidRPr="00883125">
        <w:t xml:space="preserve">As noted above, </w:t>
      </w:r>
      <w:r>
        <w:t xml:space="preserve">in its late submission </w:t>
      </w:r>
      <w:r w:rsidRPr="00883125">
        <w:t>United Energy submitted that the Tribunal considers that tax statistics can only provide an upper bound on the estimate of theta.</w:t>
      </w:r>
      <w:r w:rsidRPr="00883125">
        <w:rPr>
          <w:rStyle w:val="FootnoteReference"/>
        </w:rPr>
        <w:footnoteReference w:id="547"/>
      </w:r>
      <w:r w:rsidRPr="00883125">
        <w:t xml:space="preserve"> </w:t>
      </w:r>
      <w:r>
        <w:t>We</w:t>
      </w:r>
      <w:r w:rsidRPr="00883125">
        <w:t xml:space="preserve"> remain of the view that tax statistics can be used as </w:t>
      </w:r>
      <w:r w:rsidR="00805EE0">
        <w:t xml:space="preserve">a </w:t>
      </w:r>
      <w:r w:rsidRPr="00883125">
        <w:t>point estimate for the utilisation value</w:t>
      </w:r>
      <w:r>
        <w:t xml:space="preserve"> (see section </w:t>
      </w:r>
      <w:r>
        <w:fldChar w:fldCharType="begin"/>
      </w:r>
      <w:r>
        <w:instrText xml:space="preserve"> REF _Ref450761230 \r \h </w:instrText>
      </w:r>
      <w:r>
        <w:fldChar w:fldCharType="separate"/>
      </w:r>
      <w:r w:rsidR="007261FC">
        <w:t>4.4.1</w:t>
      </w:r>
      <w:r>
        <w:fldChar w:fldCharType="end"/>
      </w:r>
      <w:r>
        <w:t xml:space="preserve"> and our reasoning below)</w:t>
      </w:r>
      <w:r w:rsidRPr="00883125">
        <w:t xml:space="preserve">. </w:t>
      </w:r>
    </w:p>
    <w:p w:rsidR="00CA67C0" w:rsidRDefault="00CA67C0" w:rsidP="00CA67C0">
      <w:r>
        <w:t xml:space="preserve">We consider tax statistics produce estimates of the utilisation rate. These estimates are uncertain and dependent on the quality of the underlying data (which is an issue for tax statistics, as shown in section </w:t>
      </w:r>
      <w:r>
        <w:fldChar w:fldCharType="begin"/>
      </w:r>
      <w:r>
        <w:instrText xml:space="preserve"> REF _Ref450761230 \r \h </w:instrText>
      </w:r>
      <w:r>
        <w:fldChar w:fldCharType="separate"/>
      </w:r>
      <w:r w:rsidR="007261FC">
        <w:t>4.4.1</w:t>
      </w:r>
      <w:r>
        <w:fldChar w:fldCharType="end"/>
      </w:r>
      <w:r>
        <w:t xml:space="preserve">). As such, </w:t>
      </w:r>
      <w:r w:rsidRPr="00883125">
        <w:t>the true (unknown) value could be higher or lower.</w:t>
      </w:r>
      <w:r>
        <w:t xml:space="preserve"> We consider this cannot constitute an upper bound for the true utilisation rate.</w:t>
      </w:r>
    </w:p>
    <w:p w:rsidR="00CA67C0" w:rsidRPr="00883125" w:rsidRDefault="00CA67C0" w:rsidP="00CA67C0">
      <w:r>
        <w:t>Also, Lally considers that the correctly measured tax statistics provides an upward biased estimate for the utilisation value.</w:t>
      </w:r>
      <w:r>
        <w:rPr>
          <w:rStyle w:val="FootnoteReference"/>
        </w:rPr>
        <w:footnoteReference w:id="548"/>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549"/>
      </w:r>
      <w:r w:rsidRPr="00EA5224">
        <w:t xml:space="preserve"> </w:t>
      </w:r>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550"/>
      </w:r>
    </w:p>
    <w:p w:rsidR="00CA67C0" w:rsidRPr="00883125" w:rsidRDefault="00CA67C0" w:rsidP="00CA67C0">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w:t>
      </w:r>
      <w:r w:rsidR="007F26CE">
        <w:t xml:space="preserve">post-company </w:t>
      </w:r>
      <w:r w:rsidRPr="00883125">
        <w:t xml:space="preserve">pre-personal tax and pre-personal cost basis. Given the 45 day holding rule should not be </w:t>
      </w:r>
      <w:r w:rsidRPr="00883125">
        <w:lastRenderedPageBreak/>
        <w:t xml:space="preserve">having a material impact on the utilisation of imputation credits (see section </w:t>
      </w:r>
      <w:r>
        <w:fldChar w:fldCharType="begin"/>
      </w:r>
      <w:r>
        <w:instrText xml:space="preserve"> REF _Ref414099389 \r \h </w:instrText>
      </w:r>
      <w:r>
        <w:fldChar w:fldCharType="separate"/>
      </w:r>
      <w:r w:rsidR="007261FC">
        <w:t>A.8.3</w:t>
      </w:r>
      <w:r>
        <w:fldChar w:fldCharType="end"/>
      </w:r>
      <w:r w:rsidRPr="00883125">
        <w:t xml:space="preserve">), </w:t>
      </w:r>
      <w:r>
        <w:t>w</w:t>
      </w:r>
      <w:r w:rsidRPr="00883125">
        <w:t>e consider the proportion of local investor in the equity markets is a</w:t>
      </w:r>
      <w:r>
        <w:t xml:space="preserve"> reasonable point estimate of the utilisation value.</w:t>
      </w:r>
      <w:r w:rsidRPr="00883125" w:rsidDel="00EE2A38">
        <w:t xml:space="preserve"> </w:t>
      </w:r>
    </w:p>
    <w:p w:rsidR="00CA67C0" w:rsidRPr="00883125" w:rsidRDefault="00CA67C0" w:rsidP="00CA67C0">
      <w:r w:rsidRPr="00883125">
        <w:t xml:space="preserve">In comparison to tax statistics market studies do not provide as appropriate an estimate of the utilisation value as they are determined by the marginal investor and the not aggregate investors. As a result, we consider market studies do not provide as good an estimate of the value of distributed imputation credits as estimates from the equity ownership approach and tax statistics. Market studies are also influenced by differential personal tax and personal cost factors </w:t>
      </w:r>
      <w:r>
        <w:t>and do not reflect a post-</w:t>
      </w:r>
      <w:r w:rsidR="00605D8A">
        <w:t xml:space="preserve">company pre-personal </w:t>
      </w:r>
      <w:r>
        <w:t xml:space="preserve">tax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7261FC">
        <w:t>A.15.3</w:t>
      </w:r>
      <w:r w:rsidRPr="00883125">
        <w:fldChar w:fldCharType="end"/>
      </w:r>
      <w:r w:rsidRPr="00883125">
        <w:t>). For these reasons we provide them relatively less weight.</w:t>
      </w:r>
    </w:p>
    <w:p w:rsidR="00CA67C0" w:rsidRPr="00883125" w:rsidRDefault="00CA67C0" w:rsidP="00CA67C0">
      <w:pPr>
        <w:pStyle w:val="Heading8"/>
      </w:pPr>
      <w:bookmarkStart w:id="257" w:name="_Ref450298682"/>
      <w:bookmarkStart w:id="258" w:name="_Ref450299464"/>
      <w:bookmarkStart w:id="259" w:name="_Toc451842261"/>
      <w:bookmarkStart w:id="260" w:name="_Toc451938315"/>
      <w:bookmarkStart w:id="261" w:name="_Toc456614334"/>
      <w:bookmarkStart w:id="262" w:name="_Ref401080753"/>
      <w:bookmarkStart w:id="263" w:name="_Toc436049455"/>
      <w:r w:rsidRPr="00883125">
        <w:t>Difference between equity ownership approach and tax statistics</w:t>
      </w:r>
      <w:bookmarkEnd w:id="257"/>
      <w:bookmarkEnd w:id="258"/>
      <w:bookmarkEnd w:id="259"/>
      <w:bookmarkEnd w:id="260"/>
      <w:bookmarkEnd w:id="261"/>
    </w:p>
    <w:p w:rsidR="00CA67C0" w:rsidRPr="00883125" w:rsidRDefault="00E268EE" w:rsidP="00CA67C0">
      <w:r w:rsidRPr="00883125">
        <w:t xml:space="preserve">In </w:t>
      </w:r>
      <w:r>
        <w:t>its</w:t>
      </w:r>
      <w:r w:rsidRPr="00883125">
        <w:t xml:space="preserve"> decision</w:t>
      </w:r>
      <w:r>
        <w:t>s</w:t>
      </w:r>
      <w:r w:rsidRPr="00883125">
        <w:t xml:space="preserve">, the Tribunal considered it is apparent there are investors who </w:t>
      </w:r>
      <w:r w:rsidR="00D4793A">
        <w:t>the AER</w:t>
      </w:r>
      <w:r w:rsidRPr="00883125">
        <w:t xml:space="preserve"> assume</w:t>
      </w:r>
      <w:r w:rsidR="00D4793A">
        <w:t>s</w:t>
      </w:r>
      <w:r w:rsidRPr="00883125">
        <w:t xml:space="preserve"> are eligible to redeem imputation credits but, for whatever reasons, either cannot redeem them or attribute so little value to the credits that they do not utilise them.</w:t>
      </w:r>
      <w:r w:rsidRPr="00883125">
        <w:rPr>
          <w:rStyle w:val="FootnoteReference"/>
        </w:rPr>
        <w:footnoteReference w:id="551"/>
      </w:r>
      <w:r w:rsidRPr="00883125">
        <w:t xml:space="preserve"> </w:t>
      </w:r>
      <w:r w:rsidR="00CA67C0" w:rsidRPr="00883125">
        <w:t>This is due to the equity ownership approach indicating</w:t>
      </w:r>
      <w:r w:rsidR="00CA67C0">
        <w:t xml:space="preserve"> the</w:t>
      </w:r>
      <w:r w:rsidR="00CA67C0" w:rsidRPr="00883125">
        <w:t xml:space="preserve"> utilisation</w:t>
      </w:r>
      <w:r w:rsidR="00CA67C0">
        <w:t xml:space="preserve"> rate</w:t>
      </w:r>
      <w:r w:rsidR="00CA67C0" w:rsidRPr="00883125">
        <w:t xml:space="preserve"> is above the </w:t>
      </w:r>
      <w:r w:rsidR="00CA67C0">
        <w:t>estimate</w:t>
      </w:r>
      <w:r w:rsidR="00CA67C0" w:rsidRPr="00883125">
        <w:t xml:space="preserve"> specified through tax statistics. Further, the Tribunal considered the value of the utilisation value produced by taxation statistics is evidence that Australian investors do not value imputation credits at their face value, because they may be unable to use them.</w:t>
      </w:r>
      <w:r w:rsidR="00CA67C0" w:rsidRPr="00883125">
        <w:rPr>
          <w:rStyle w:val="FootnoteReference"/>
        </w:rPr>
        <w:footnoteReference w:id="552"/>
      </w:r>
    </w:p>
    <w:p w:rsidR="00DD218F" w:rsidRDefault="00DD218F" w:rsidP="00CA67C0">
      <w:r>
        <w:t xml:space="preserve">Similarly, AusNet </w:t>
      </w:r>
      <w:r w:rsidR="004730E0">
        <w:t xml:space="preserve">Services </w:t>
      </w:r>
      <w:r>
        <w:t xml:space="preserve">considers that </w:t>
      </w:r>
      <w:r w:rsidR="00D4793A">
        <w:t>the fact that the</w:t>
      </w:r>
      <w:r>
        <w:t xml:space="preserve"> redemption rate indicated by tax statistics is significantly below the domestic ownership rate strongly indicates that these tax rules are affecting domestic </w:t>
      </w:r>
      <w:r w:rsidR="00D064B9">
        <w:t>investor's</w:t>
      </w:r>
      <w:r>
        <w:t xml:space="preserve"> </w:t>
      </w:r>
      <w:r w:rsidR="00D064B9">
        <w:t>ability</w:t>
      </w:r>
      <w:r>
        <w:t xml:space="preserve"> to redeem </w:t>
      </w:r>
      <w:r w:rsidR="00CB19B5">
        <w:t>imputation</w:t>
      </w:r>
      <w:r>
        <w:t xml:space="preserve"> credits.</w:t>
      </w:r>
      <w:r>
        <w:rPr>
          <w:rStyle w:val="FootnoteReference"/>
        </w:rPr>
        <w:footnoteReference w:id="553"/>
      </w:r>
      <w:r w:rsidR="00D064B9">
        <w:t xml:space="preserve"> AusNet Services notes that the redemption rate indicated by tax </w:t>
      </w:r>
      <w:r w:rsidR="00CB19B5">
        <w:t>statistics</w:t>
      </w:r>
      <w:r w:rsidR="00D064B9">
        <w:t xml:space="preserve"> is approximately 0.43, which is below the domestic ownership rate for all equity.</w:t>
      </w:r>
      <w:r w:rsidR="00D064B9">
        <w:rPr>
          <w:rStyle w:val="FootnoteReference"/>
        </w:rPr>
        <w:footnoteReference w:id="554"/>
      </w:r>
    </w:p>
    <w:p w:rsidR="00CA67C0" w:rsidRDefault="00CA67C0" w:rsidP="00CA67C0">
      <w:r>
        <w:t>We have</w:t>
      </w:r>
      <w:r w:rsidRPr="00883125">
        <w:t xml:space="preserve"> considered the 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the equity ownership approach and tax statistics is likely driven primarily by data issues </w:t>
      </w:r>
      <w:r>
        <w:t xml:space="preserve">associated </w:t>
      </w:r>
      <w:r w:rsidRPr="00883125">
        <w:t xml:space="preserve">with the tax statistics. The data issues with tax statistics was recognised by </w:t>
      </w:r>
      <w:r w:rsidRPr="00883125">
        <w:lastRenderedPageBreak/>
        <w:t>the Tribunal.</w:t>
      </w:r>
      <w:r w:rsidRPr="00883125">
        <w:rPr>
          <w:rStyle w:val="FootnoteReference"/>
        </w:rPr>
        <w:footnoteReference w:id="555"/>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556"/>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557"/>
      </w:r>
    </w:p>
    <w:p w:rsidR="00CA67C0" w:rsidRPr="00883125" w:rsidRDefault="00CA67C0" w:rsidP="00CA67C0">
      <w:r>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sidRPr="00C20CE6">
        <w:rPr>
          <w:rStyle w:val="FootnoteReference"/>
        </w:rPr>
        <w:t xml:space="preserve"> </w:t>
      </w:r>
      <w:r>
        <w:rPr>
          <w:rStyle w:val="FootnoteReference"/>
        </w:rPr>
        <w:footnoteReference w:id="558"/>
      </w:r>
    </w:p>
    <w:p w:rsidR="00CA67C0" w:rsidRPr="00883125" w:rsidRDefault="00CA67C0" w:rsidP="00CA67C0">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7261FC">
        <w:t>A.12</w:t>
      </w:r>
      <w:r>
        <w:fldChar w:fldCharType="end"/>
      </w:r>
      <w:r>
        <w:t>) and there are</w:t>
      </w:r>
      <w:r w:rsidRPr="00883125">
        <w:t xml:space="preserve"> data issue</w:t>
      </w:r>
      <w:r>
        <w:t>s associated</w:t>
      </w:r>
      <w:r w:rsidRPr="00883125">
        <w:t xml:space="preserve"> with tax statistics. The Tribunal itself has acknowledged these data issues in its latest decision.</w:t>
      </w:r>
      <w:r w:rsidRPr="00883125">
        <w:rPr>
          <w:rStyle w:val="FootnoteReference"/>
        </w:rPr>
        <w:footnoteReference w:id="559"/>
      </w:r>
      <w:r w:rsidRPr="00883125">
        <w:t xml:space="preserve"> In light of the 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7261FC">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CA67C0" w:rsidRPr="00883125" w:rsidRDefault="00CA67C0" w:rsidP="00CA67C0">
      <w:pPr>
        <w:pStyle w:val="Heading8"/>
      </w:pPr>
      <w:bookmarkStart w:id="264" w:name="_Ref451184082"/>
      <w:bookmarkStart w:id="265" w:name="_Ref451186079"/>
      <w:bookmarkStart w:id="266" w:name="_Ref451242641"/>
      <w:bookmarkStart w:id="267" w:name="_Ref451266265"/>
      <w:bookmarkStart w:id="268" w:name="_Ref451267181"/>
      <w:bookmarkStart w:id="269" w:name="_Ref451267267"/>
      <w:bookmarkStart w:id="270" w:name="_Ref451267696"/>
      <w:bookmarkStart w:id="271" w:name="_Ref451267729"/>
      <w:bookmarkStart w:id="272" w:name="_Ref451267750"/>
      <w:bookmarkStart w:id="273" w:name="_Toc451842262"/>
      <w:bookmarkStart w:id="274" w:name="_Toc451938316"/>
      <w:bookmarkStart w:id="275" w:name="_Toc456614335"/>
      <w:r w:rsidRPr="00883125">
        <w:t>Implied market value studies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CA67C0" w:rsidRPr="00883125" w:rsidRDefault="00CA67C0" w:rsidP="00764AB1">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fldChar w:fldCharType="begin"/>
      </w:r>
      <w:r>
        <w:instrText xml:space="preserve"> REF _Ref451350649 \r \h </w:instrText>
      </w:r>
      <w:r>
        <w:fldChar w:fldCharType="separate"/>
      </w:r>
      <w:r w:rsidR="007261FC">
        <w:t>4.4</w:t>
      </w:r>
      <w:r>
        <w:fldChar w:fldCharType="end"/>
      </w:r>
      <w:r w:rsidRPr="00883125">
        <w:t xml:space="preserve"> of attachment 4. </w:t>
      </w:r>
    </w:p>
    <w:p w:rsidR="00CA67C0" w:rsidRPr="00883125" w:rsidRDefault="00CA67C0" w:rsidP="00764AB1">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fldChar w:fldCharType="begin"/>
      </w:r>
      <w:r>
        <w:instrText xml:space="preserve"> REF _Ref451350656 \r \h </w:instrText>
      </w:r>
      <w:r>
        <w:fldChar w:fldCharType="separate"/>
      </w:r>
      <w:r w:rsidR="007261FC">
        <w:t>4.4</w:t>
      </w:r>
      <w:r>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7261FC">
        <w:t>A.15.5</w:t>
      </w:r>
      <w:r w:rsidRPr="00883125">
        <w:fldChar w:fldCharType="end"/>
      </w:r>
      <w:r w:rsidRPr="00883125">
        <w:t>.</w:t>
      </w:r>
    </w:p>
    <w:p w:rsidR="00CA67C0" w:rsidRPr="00883125" w:rsidRDefault="00CA67C0" w:rsidP="00CA67C0">
      <w:pPr>
        <w:pStyle w:val="Heading9"/>
      </w:pPr>
      <w:bookmarkStart w:id="276" w:name="_Ref402791521"/>
      <w:bookmarkStart w:id="277" w:name="_Toc456614336"/>
      <w:r w:rsidRPr="00883125">
        <w:lastRenderedPageBreak/>
        <w:t>Types of implied market value studies</w:t>
      </w:r>
      <w:bookmarkEnd w:id="276"/>
      <w:bookmarkEnd w:id="277"/>
    </w:p>
    <w:p w:rsidR="00CA67C0" w:rsidRPr="00883125" w:rsidRDefault="00CA67C0" w:rsidP="00764AB1">
      <w:pPr>
        <w:numPr>
          <w:ilvl w:val="0"/>
          <w:numId w:val="24"/>
        </w:numPr>
      </w:pPr>
      <w:r w:rsidRPr="00883125">
        <w:t>In this section, we describe the key characteristics of dividend drop off studies and other implied market value studies.</w:t>
      </w:r>
    </w:p>
    <w:p w:rsidR="00CA67C0" w:rsidRPr="00883125" w:rsidRDefault="00CA67C0" w:rsidP="00764AB1">
      <w:pPr>
        <w:pStyle w:val="HeadingBoldBlue"/>
        <w:numPr>
          <w:ilvl w:val="0"/>
          <w:numId w:val="24"/>
        </w:numPr>
      </w:pPr>
      <w:bookmarkStart w:id="278" w:name="_Toc456614337"/>
      <w:r w:rsidRPr="00883125">
        <w:t>Dividend drop off studies</w:t>
      </w:r>
      <w:bookmarkEnd w:id="278"/>
    </w:p>
    <w:p w:rsidR="00CA67C0" w:rsidRPr="00883125" w:rsidRDefault="00CA67C0" w:rsidP="00764AB1">
      <w:pPr>
        <w:numPr>
          <w:ilvl w:val="0"/>
          <w:numId w:val="24"/>
        </w:numPr>
      </w:pPr>
      <w:r w:rsidRPr="00883125">
        <w:t>Dividend drop off studies are the most common type of implied market value study. These studies involve comparing share prices between:</w:t>
      </w:r>
    </w:p>
    <w:p w:rsidR="00CA67C0" w:rsidRPr="00883125" w:rsidRDefault="00CA67C0" w:rsidP="00CA67C0">
      <w:pPr>
        <w:pStyle w:val="AERbulletlistfirststyle"/>
      </w:pPr>
      <w:r w:rsidRPr="00883125">
        <w:t>the cum-dividend date—the last day on which investors owning shares will be eligible to receive dividends and the attached imputation credits, and</w:t>
      </w:r>
    </w:p>
    <w:p w:rsidR="00CA67C0" w:rsidRPr="00883125" w:rsidRDefault="00CA67C0" w:rsidP="00CA67C0">
      <w:pPr>
        <w:pStyle w:val="AERbulletlistfirststyle"/>
      </w:pPr>
      <w:r w:rsidRPr="00883125">
        <w:t>the ex-dividend date—the first day on which investors owning shares will not be eligible to receive dividends and attached imputation credits.</w:t>
      </w:r>
    </w:p>
    <w:p w:rsidR="00CA67C0" w:rsidRPr="00883125" w:rsidRDefault="00CA67C0" w:rsidP="00764AB1">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CA67C0" w:rsidRPr="00883125" w:rsidRDefault="00CA67C0" w:rsidP="00764AB1">
      <w:pPr>
        <w:numPr>
          <w:ilvl w:val="0"/>
          <w:numId w:val="24"/>
        </w:numPr>
      </w:pPr>
      <w:r w:rsidRPr="00883125">
        <w:fldChar w:fldCharType="begin"/>
      </w:r>
      <w:r w:rsidRPr="00883125">
        <w:instrText xml:space="preserve"> REF _Ref401075742 \h </w:instrText>
      </w:r>
      <w:r w:rsidRPr="00883125">
        <w:fldChar w:fldCharType="separate"/>
      </w:r>
      <w:r w:rsidR="007261FC" w:rsidRPr="00883125">
        <w:t xml:space="preserve">Table </w:t>
      </w:r>
      <w:r w:rsidR="007261FC">
        <w:rPr>
          <w:noProof/>
        </w:rPr>
        <w:t>4</w:t>
      </w:r>
      <w:r w:rsidR="007261FC">
        <w:noBreakHyphen/>
      </w:r>
      <w:r w:rsidR="007261FC">
        <w:rPr>
          <w:noProof/>
        </w:rPr>
        <w:t>15</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7261FC" w:rsidRPr="00883125">
        <w:t xml:space="preserve">table </w:t>
      </w:r>
      <w:r w:rsidR="007261FC">
        <w:rPr>
          <w:noProof/>
        </w:rPr>
        <w:t>4</w:t>
      </w:r>
      <w:r w:rsidR="007261FC">
        <w:noBreakHyphen/>
      </w:r>
      <w:r w:rsidR="007261FC">
        <w:rPr>
          <w:noProof/>
        </w:rPr>
        <w:t>17</w:t>
      </w:r>
      <w:r w:rsidRPr="00883125">
        <w:fldChar w:fldCharType="end"/>
      </w:r>
      <w:r w:rsidRPr="00883125">
        <w:t>.</w:t>
      </w:r>
    </w:p>
    <w:p w:rsidR="00CA67C0" w:rsidRPr="00883125" w:rsidRDefault="00CA67C0" w:rsidP="00CA67C0">
      <w:pPr>
        <w:pStyle w:val="Caption"/>
      </w:pPr>
      <w:bookmarkStart w:id="279" w:name="_Ref401075742"/>
      <w:r w:rsidRPr="00883125">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15</w:t>
      </w:r>
      <w:r w:rsidRPr="001D37D5">
        <w:fldChar w:fldCharType="end"/>
      </w:r>
      <w:bookmarkEnd w:id="279"/>
      <w:r w:rsidRPr="00883125">
        <w:tab/>
        <w:t>Summary of available dividend drop off studies</w:t>
      </w:r>
    </w:p>
    <w:tbl>
      <w:tblPr>
        <w:tblStyle w:val="AERtable-text0"/>
        <w:tblW w:w="0" w:type="auto"/>
        <w:tblLook w:val="04A0" w:firstRow="1" w:lastRow="0" w:firstColumn="1" w:lastColumn="0" w:noHBand="0" w:noVBand="1"/>
      </w:tblPr>
      <w:tblGrid>
        <w:gridCol w:w="2383"/>
        <w:gridCol w:w="1223"/>
        <w:gridCol w:w="5087"/>
      </w:tblGrid>
      <w:tr w:rsidR="00CA67C0" w:rsidTr="00CA67C0">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CA67C0" w:rsidRPr="00CA67C0" w:rsidRDefault="00CA67C0" w:rsidP="00CA67C0">
            <w:r w:rsidRPr="00883125">
              <w:t>Authors</w:t>
            </w:r>
          </w:p>
        </w:tc>
        <w:tc>
          <w:tcPr>
            <w:tcW w:w="1276" w:type="dxa"/>
          </w:tcPr>
          <w:p w:rsidR="00CA67C0" w:rsidRPr="00CA67C0" w:rsidRDefault="00CA67C0" w:rsidP="00CA67C0">
            <w:r w:rsidRPr="00883125">
              <w:t>Data range</w:t>
            </w:r>
          </w:p>
        </w:tc>
        <w:tc>
          <w:tcPr>
            <w:tcW w:w="5448" w:type="dxa"/>
          </w:tcPr>
          <w:p w:rsidR="00CA67C0" w:rsidRPr="00CA67C0" w:rsidRDefault="00CA67C0" w:rsidP="00CA67C0">
            <w:r w:rsidRPr="00883125">
              <w:t>Assessment relative to other studies in that class</w:t>
            </w:r>
          </w:p>
        </w:tc>
      </w:tr>
      <w:tr w:rsidR="00CA67C0" w:rsidTr="00CA67C0">
        <w:trPr>
          <w:cantSplit/>
        </w:trPr>
        <w:tc>
          <w:tcPr>
            <w:tcW w:w="9242" w:type="dxa"/>
            <w:gridSpan w:val="3"/>
          </w:tcPr>
          <w:p w:rsidR="00CA67C0" w:rsidRPr="00883125" w:rsidRDefault="00CA67C0" w:rsidP="00764AB1">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518" w:type="dxa"/>
          </w:tcPr>
          <w:p w:rsidR="00CA67C0" w:rsidRPr="00CA67C0" w:rsidRDefault="00CA67C0" w:rsidP="00CA67C0">
            <w:r w:rsidRPr="00883125">
              <w:t>Vo et al (2013)</w:t>
            </w:r>
            <w:r w:rsidRPr="00CA67C0">
              <w:rPr>
                <w:rStyle w:val="FootnoteReference"/>
              </w:rPr>
              <w:footnoteReference w:id="560"/>
            </w:r>
          </w:p>
        </w:tc>
        <w:tc>
          <w:tcPr>
            <w:tcW w:w="1276" w:type="dxa"/>
          </w:tcPr>
          <w:p w:rsidR="00CA67C0" w:rsidRPr="00CA67C0" w:rsidRDefault="00CA67C0" w:rsidP="00CA67C0">
            <w:r w:rsidRPr="00883125">
              <w:t>2001-2012</w:t>
            </w:r>
          </w:p>
        </w:tc>
        <w:tc>
          <w:tcPr>
            <w:tcW w:w="5448" w:type="dxa"/>
          </w:tcPr>
          <w:p w:rsidR="00CA67C0" w:rsidRPr="00CA67C0" w:rsidRDefault="00CA67C0" w:rsidP="00CA67C0">
            <w:r w:rsidRPr="00883125">
              <w:t>Builds on SFG (2011), includes additional econometric permutations and sensitivity analysis.</w:t>
            </w:r>
          </w:p>
        </w:tc>
      </w:tr>
      <w:tr w:rsidR="00CA67C0" w:rsidTr="00CA67C0">
        <w:trPr>
          <w:cantSplit/>
        </w:trPr>
        <w:tc>
          <w:tcPr>
            <w:tcW w:w="2518" w:type="dxa"/>
          </w:tcPr>
          <w:p w:rsidR="00CA67C0" w:rsidRPr="00CA67C0" w:rsidRDefault="00CA67C0" w:rsidP="00CA67C0">
            <w:r w:rsidRPr="00883125">
              <w:t>SFG (2013a)</w:t>
            </w:r>
            <w:r w:rsidRPr="00CA67C0">
              <w:rPr>
                <w:rStyle w:val="FootnoteReference"/>
              </w:rPr>
              <w:footnoteReference w:id="561"/>
            </w:r>
          </w:p>
        </w:tc>
        <w:tc>
          <w:tcPr>
            <w:tcW w:w="1276" w:type="dxa"/>
          </w:tcPr>
          <w:p w:rsidR="00CA67C0" w:rsidRPr="00CA67C0" w:rsidRDefault="00CA67C0" w:rsidP="00CA67C0">
            <w:r w:rsidRPr="00883125">
              <w:t>2001-2012</w:t>
            </w:r>
          </w:p>
        </w:tc>
        <w:tc>
          <w:tcPr>
            <w:tcW w:w="5448" w:type="dxa"/>
          </w:tcPr>
          <w:p w:rsidR="00CA67C0" w:rsidRPr="00CA67C0" w:rsidRDefault="00CA67C0" w:rsidP="00CA67C0">
            <w:r w:rsidRPr="00883125">
              <w:t>Updates SFG (2011) – same author, longer data series.</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518" w:type="dxa"/>
          </w:tcPr>
          <w:p w:rsidR="00CA67C0" w:rsidRPr="00CA67C0" w:rsidRDefault="00CA67C0" w:rsidP="00CA67C0">
            <w:r w:rsidRPr="00883125">
              <w:t>SFG (2011)</w:t>
            </w:r>
            <w:r w:rsidRPr="00CA67C0">
              <w:rPr>
                <w:rStyle w:val="FootnoteReference"/>
              </w:rPr>
              <w:footnoteReference w:id="562"/>
            </w:r>
          </w:p>
        </w:tc>
        <w:tc>
          <w:tcPr>
            <w:tcW w:w="1276" w:type="dxa"/>
          </w:tcPr>
          <w:p w:rsidR="00CA67C0" w:rsidRPr="00CA67C0" w:rsidRDefault="00CA67C0" w:rsidP="00CA67C0">
            <w:r w:rsidRPr="00883125">
              <w:t>2001-2010</w:t>
            </w:r>
          </w:p>
        </w:tc>
        <w:tc>
          <w:tcPr>
            <w:tcW w:w="5448" w:type="dxa"/>
          </w:tcPr>
          <w:p w:rsidR="00CA67C0" w:rsidRPr="00CA67C0" w:rsidRDefault="00CA67C0" w:rsidP="00CA67C0">
            <w:r w:rsidRPr="00883125">
              <w:t>Study commissioned by the Australian Competition Tribunal.</w:t>
            </w:r>
          </w:p>
        </w:tc>
      </w:tr>
      <w:tr w:rsidR="00CA67C0" w:rsidTr="00CA67C0">
        <w:trPr>
          <w:cantSplit/>
        </w:trPr>
        <w:tc>
          <w:tcPr>
            <w:tcW w:w="2518" w:type="dxa"/>
          </w:tcPr>
          <w:p w:rsidR="00CA67C0" w:rsidRPr="00CA67C0" w:rsidRDefault="00CA67C0" w:rsidP="00CA67C0">
            <w:r w:rsidRPr="00883125">
              <w:t>Minney (2010)</w:t>
            </w:r>
            <w:r w:rsidRPr="00CA67C0">
              <w:rPr>
                <w:rStyle w:val="FootnoteReference"/>
              </w:rPr>
              <w:footnoteReference w:id="563"/>
            </w:r>
          </w:p>
        </w:tc>
        <w:tc>
          <w:tcPr>
            <w:tcW w:w="1276" w:type="dxa"/>
          </w:tcPr>
          <w:p w:rsidR="00CA67C0" w:rsidRPr="00CA67C0" w:rsidRDefault="00CA67C0" w:rsidP="00CA67C0">
            <w:r w:rsidRPr="00883125">
              <w:t>2001–2009</w:t>
            </w:r>
          </w:p>
        </w:tc>
        <w:tc>
          <w:tcPr>
            <w:tcW w:w="5448" w:type="dxa"/>
          </w:tcPr>
          <w:p w:rsidR="00CA67C0" w:rsidRPr="00CA67C0" w:rsidRDefault="00CA67C0" w:rsidP="00CA67C0">
            <w:r w:rsidRPr="00883125">
              <w:t xml:space="preserve">Partitions by firm size; </w:t>
            </w:r>
            <w:r w:rsidRPr="00CA67C0">
              <w:t>sub-periods 2001–2005 and 2006–2009.</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518" w:type="dxa"/>
          </w:tcPr>
          <w:p w:rsidR="00CA67C0" w:rsidRPr="00CA67C0" w:rsidRDefault="00CA67C0" w:rsidP="00CA67C0">
            <w:r w:rsidRPr="00883125">
              <w:lastRenderedPageBreak/>
              <w:t>Beggs and Skeels (2006)</w:t>
            </w:r>
            <w:r w:rsidRPr="00CA67C0">
              <w:rPr>
                <w:rStyle w:val="FootnoteReference"/>
              </w:rPr>
              <w:footnoteReference w:id="564"/>
            </w:r>
          </w:p>
        </w:tc>
        <w:tc>
          <w:tcPr>
            <w:tcW w:w="1276" w:type="dxa"/>
          </w:tcPr>
          <w:p w:rsidR="00CA67C0" w:rsidRPr="00CA67C0" w:rsidRDefault="00CA67C0" w:rsidP="00CA67C0">
            <w:r w:rsidRPr="00883125">
              <w:t>1986-2004</w:t>
            </w:r>
          </w:p>
        </w:tc>
        <w:tc>
          <w:tcPr>
            <w:tcW w:w="5448" w:type="dxa"/>
          </w:tcPr>
          <w:p w:rsidR="00CA67C0" w:rsidRPr="00CA67C0" w:rsidRDefault="00CA67C0" w:rsidP="00CA67C0">
            <w:r w:rsidRPr="00883125">
              <w:t>Key study in the AER's 2009 review of rate of return parameters. Data calculated yearly.</w:t>
            </w:r>
          </w:p>
        </w:tc>
      </w:tr>
      <w:tr w:rsidR="00CA67C0" w:rsidTr="00CA67C0">
        <w:trPr>
          <w:cantSplit/>
        </w:trPr>
        <w:tc>
          <w:tcPr>
            <w:tcW w:w="2518" w:type="dxa"/>
          </w:tcPr>
          <w:p w:rsidR="00CA67C0" w:rsidRPr="00CA67C0" w:rsidRDefault="00CA67C0" w:rsidP="00CA67C0">
            <w:r w:rsidRPr="00883125">
              <w:t>Hathaway and Officer (2004)</w:t>
            </w:r>
            <w:r w:rsidRPr="00CA67C0">
              <w:rPr>
                <w:rStyle w:val="FootnoteReference"/>
              </w:rPr>
              <w:footnoteReference w:id="565"/>
            </w:r>
          </w:p>
        </w:tc>
        <w:tc>
          <w:tcPr>
            <w:tcW w:w="1276" w:type="dxa"/>
          </w:tcPr>
          <w:p w:rsidR="00CA67C0" w:rsidRPr="00CA67C0" w:rsidRDefault="00CA67C0" w:rsidP="00CA67C0">
            <w:r w:rsidRPr="00883125">
              <w:t>1986-2004</w:t>
            </w:r>
          </w:p>
        </w:tc>
        <w:tc>
          <w:tcPr>
            <w:tcW w:w="5448" w:type="dxa"/>
          </w:tcPr>
          <w:p w:rsidR="00CA67C0" w:rsidRPr="00CA67C0" w:rsidRDefault="00CA67C0" w:rsidP="00CA67C0">
            <w:r w:rsidRPr="00883125">
              <w:t>Study partitions by firm size, dividend yield level.</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518" w:type="dxa"/>
          </w:tcPr>
          <w:p w:rsidR="00CA67C0" w:rsidRPr="00CA67C0" w:rsidRDefault="00CA67C0" w:rsidP="00CA67C0">
            <w:r w:rsidRPr="00883125">
              <w:t>Bellamy and Gray (2004)</w:t>
            </w:r>
            <w:r w:rsidRPr="00CA67C0">
              <w:rPr>
                <w:rStyle w:val="FootnoteReference"/>
              </w:rPr>
              <w:footnoteReference w:id="566"/>
            </w:r>
          </w:p>
        </w:tc>
        <w:tc>
          <w:tcPr>
            <w:tcW w:w="1276" w:type="dxa"/>
          </w:tcPr>
          <w:p w:rsidR="00CA67C0" w:rsidRPr="00CA67C0" w:rsidRDefault="00CA67C0" w:rsidP="00CA67C0">
            <w:r w:rsidRPr="00883125">
              <w:t>1995-2002</w:t>
            </w:r>
          </w:p>
        </w:tc>
        <w:tc>
          <w:tcPr>
            <w:tcW w:w="5448" w:type="dxa"/>
          </w:tcPr>
          <w:p w:rsidR="00CA67C0" w:rsidRPr="00CA67C0" w:rsidRDefault="00CA67C0" w:rsidP="00CA67C0">
            <w:r w:rsidRPr="00883125">
              <w:t>Several regression forms and</w:t>
            </w:r>
            <w:r w:rsidRPr="00CA67C0">
              <w:t xml:space="preserve"> sample selections. Partitions by size and time period (pre and post 45-day holding rule). Use of simulation to inform regression equation.</w:t>
            </w:r>
          </w:p>
        </w:tc>
      </w:tr>
      <w:tr w:rsidR="00CA67C0" w:rsidTr="00CA67C0">
        <w:trPr>
          <w:cantSplit/>
        </w:trPr>
        <w:tc>
          <w:tcPr>
            <w:tcW w:w="2518" w:type="dxa"/>
          </w:tcPr>
          <w:p w:rsidR="00CA67C0" w:rsidRPr="00CA67C0" w:rsidRDefault="00CA67C0" w:rsidP="00CA67C0">
            <w:r w:rsidRPr="00883125">
              <w:t>Bruckner et al (1994)</w:t>
            </w:r>
            <w:r w:rsidRPr="00CA67C0">
              <w:rPr>
                <w:rStyle w:val="FootnoteReference"/>
              </w:rPr>
              <w:footnoteReference w:id="567"/>
            </w:r>
          </w:p>
        </w:tc>
        <w:tc>
          <w:tcPr>
            <w:tcW w:w="1276" w:type="dxa"/>
          </w:tcPr>
          <w:p w:rsidR="00CA67C0" w:rsidRPr="00CA67C0" w:rsidRDefault="00CA67C0" w:rsidP="00CA67C0">
            <w:r w:rsidRPr="00883125">
              <w:t>1987-1993</w:t>
            </w:r>
          </w:p>
        </w:tc>
        <w:tc>
          <w:tcPr>
            <w:tcW w:w="5448" w:type="dxa"/>
          </w:tcPr>
          <w:p w:rsidR="00CA67C0" w:rsidRPr="00CA67C0" w:rsidRDefault="00CA67C0" w:rsidP="00CA67C0">
            <w:r w:rsidRPr="00883125">
              <w:t>Early study with limited data; sub-periods 1987–1990 and 1991–1993.</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518" w:type="dxa"/>
          </w:tcPr>
          <w:p w:rsidR="00CA67C0" w:rsidRPr="00CA67C0" w:rsidRDefault="00CA67C0" w:rsidP="00CA67C0">
            <w:r w:rsidRPr="00883125">
              <w:t>Brown and Clarke (1993)</w:t>
            </w:r>
            <w:r w:rsidRPr="00CA67C0">
              <w:rPr>
                <w:rStyle w:val="FootnoteReference"/>
              </w:rPr>
              <w:footnoteReference w:id="568"/>
            </w:r>
          </w:p>
        </w:tc>
        <w:tc>
          <w:tcPr>
            <w:tcW w:w="1276" w:type="dxa"/>
          </w:tcPr>
          <w:p w:rsidR="00CA67C0" w:rsidRPr="00CA67C0" w:rsidRDefault="00CA67C0" w:rsidP="00CA67C0">
            <w:r w:rsidRPr="00883125">
              <w:t>1973–1991</w:t>
            </w:r>
          </w:p>
        </w:tc>
        <w:tc>
          <w:tcPr>
            <w:tcW w:w="5448" w:type="dxa"/>
          </w:tcPr>
          <w:p w:rsidR="00CA67C0" w:rsidRPr="00CA67C0" w:rsidRDefault="00CA67C0" w:rsidP="00CA67C0">
            <w:r w:rsidRPr="00883125">
              <w:t>Compares dividend drop off before and after imputation; presents yearly figures and sub-periods.</w:t>
            </w:r>
          </w:p>
        </w:tc>
      </w:tr>
    </w:tbl>
    <w:p w:rsidR="00CA67C0" w:rsidRPr="00883125" w:rsidRDefault="00CA67C0" w:rsidP="00CA67C0">
      <w:pPr>
        <w:pStyle w:val="AERtablesource"/>
      </w:pPr>
      <w:r w:rsidRPr="00883125">
        <w:t xml:space="preserve">Source: </w:t>
      </w:r>
      <w:r w:rsidRPr="00883125">
        <w:tab/>
        <w:t>As specified in table.</w:t>
      </w:r>
    </w:p>
    <w:p w:rsidR="00CA67C0" w:rsidRPr="00883125" w:rsidRDefault="00CA67C0" w:rsidP="00764AB1">
      <w:pPr>
        <w:pStyle w:val="HeadingBoldBlue"/>
        <w:numPr>
          <w:ilvl w:val="0"/>
          <w:numId w:val="24"/>
        </w:numPr>
      </w:pPr>
      <w:bookmarkStart w:id="280" w:name="_Toc456614338"/>
      <w:r w:rsidRPr="00883125">
        <w:t>Alternative implied market value studies</w:t>
      </w:r>
      <w:bookmarkEnd w:id="280"/>
    </w:p>
    <w:p w:rsidR="00CA67C0" w:rsidRPr="00883125" w:rsidRDefault="00CA67C0" w:rsidP="00764AB1">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CA67C0" w:rsidRPr="00883125" w:rsidRDefault="00CA67C0" w:rsidP="00CA67C0">
      <w:pPr>
        <w:pStyle w:val="AERbulletlistfirststyle"/>
      </w:pPr>
      <w:r w:rsidRPr="00883125">
        <w:t>Simultaneous trading of shares with and without entitlements.</w:t>
      </w:r>
    </w:p>
    <w:p w:rsidR="00CA67C0" w:rsidRPr="00883125" w:rsidRDefault="00CA67C0" w:rsidP="00CA67C0">
      <w:pPr>
        <w:pStyle w:val="AERbulletlistfirststyle"/>
      </w:pPr>
      <w:r w:rsidRPr="00883125">
        <w:t>Simultaneous trading of derivatives and futures and of their underlying shares.</w:t>
      </w:r>
    </w:p>
    <w:p w:rsidR="00CA67C0" w:rsidRPr="00883125" w:rsidRDefault="00CA67C0" w:rsidP="00CA67C0">
      <w:pPr>
        <w:pStyle w:val="AERbulletlistfirststyle"/>
      </w:pPr>
      <w:r w:rsidRPr="00883125">
        <w:t>Hybrid securities which trade with imputation credits.</w:t>
      </w:r>
    </w:p>
    <w:p w:rsidR="00CA67C0" w:rsidRPr="00883125" w:rsidRDefault="00CA67C0" w:rsidP="00CA67C0">
      <w:pPr>
        <w:pStyle w:val="AERbulletlistfirststyle"/>
      </w:pPr>
      <w:r w:rsidRPr="00883125">
        <w:t>Comparison of the capital gains and (cash) dividend returns across time.</w:t>
      </w:r>
    </w:p>
    <w:p w:rsidR="00CA67C0" w:rsidRDefault="00CA67C0" w:rsidP="00CA67C0">
      <w:pPr>
        <w:rPr>
          <w:rStyle w:val="AERbody"/>
        </w:rPr>
      </w:pPr>
      <w:r w:rsidRPr="00B27BE5">
        <w:rPr>
          <w:rStyle w:val="AERbody"/>
        </w:rPr>
        <w:lastRenderedPageBreak/>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7261FC" w:rsidRPr="007261FC">
        <w:rPr>
          <w:rStyle w:val="AERbody"/>
        </w:rPr>
        <w:t>Table 4</w:t>
      </w:r>
      <w:r w:rsidR="007261FC" w:rsidRPr="007261FC">
        <w:rPr>
          <w:rStyle w:val="AERbody"/>
        </w:rPr>
        <w:noBreakHyphen/>
        <w:t>16</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7261FC" w:rsidRPr="00883125">
        <w:t xml:space="preserve">Table </w:t>
      </w:r>
      <w:r w:rsidR="007261FC">
        <w:rPr>
          <w:noProof/>
        </w:rPr>
        <w:t>4</w:t>
      </w:r>
      <w:r w:rsidR="007261FC">
        <w:noBreakHyphen/>
      </w:r>
      <w:r w:rsidR="007261FC">
        <w:rPr>
          <w:noProof/>
        </w:rPr>
        <w:t>18</w:t>
      </w:r>
      <w:r w:rsidRPr="00883125">
        <w:rPr>
          <w:rStyle w:val="AERbody"/>
        </w:rPr>
        <w:fldChar w:fldCharType="end"/>
      </w:r>
      <w:r w:rsidRPr="00883125">
        <w:rPr>
          <w:rStyle w:val="AERbody"/>
        </w:rPr>
        <w:t>.</w:t>
      </w:r>
    </w:p>
    <w:p w:rsidR="00CA67C0" w:rsidRPr="00B27BE5" w:rsidRDefault="00CA67C0" w:rsidP="00CA67C0">
      <w:pPr>
        <w:rPr>
          <w:rStyle w:val="AERbody"/>
        </w:rPr>
      </w:pPr>
    </w:p>
    <w:p w:rsidR="00CA67C0" w:rsidRPr="00883125" w:rsidRDefault="00CA67C0" w:rsidP="00CA67C0">
      <w:pPr>
        <w:pStyle w:val="Caption"/>
      </w:pPr>
      <w:bookmarkStart w:id="281" w:name="_Ref401075839"/>
      <w:r w:rsidRPr="00883125">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16</w:t>
      </w:r>
      <w:r w:rsidRPr="001D37D5">
        <w:fldChar w:fldCharType="end"/>
      </w:r>
      <w:bookmarkEnd w:id="281"/>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CA67C0" w:rsidTr="00CA67C0">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CA67C0" w:rsidRPr="00883125" w:rsidRDefault="00CA67C0" w:rsidP="00764AB1">
            <w:pPr>
              <w:numPr>
                <w:ilvl w:val="0"/>
                <w:numId w:val="24"/>
              </w:numPr>
            </w:pPr>
            <w:r w:rsidRPr="00883125">
              <w:t>Authors</w:t>
            </w:r>
          </w:p>
        </w:tc>
        <w:tc>
          <w:tcPr>
            <w:tcW w:w="1111" w:type="dxa"/>
          </w:tcPr>
          <w:p w:rsidR="00CA67C0" w:rsidRPr="00883125" w:rsidRDefault="00CA67C0" w:rsidP="00764AB1">
            <w:pPr>
              <w:numPr>
                <w:ilvl w:val="0"/>
                <w:numId w:val="24"/>
              </w:numPr>
            </w:pPr>
            <w:r w:rsidRPr="00883125">
              <w:t>Data range</w:t>
            </w:r>
          </w:p>
        </w:tc>
        <w:tc>
          <w:tcPr>
            <w:tcW w:w="5448" w:type="dxa"/>
          </w:tcPr>
          <w:p w:rsidR="00CA67C0" w:rsidRPr="00883125" w:rsidRDefault="00CA67C0" w:rsidP="00764AB1">
            <w:pPr>
              <w:numPr>
                <w:ilvl w:val="0"/>
                <w:numId w:val="24"/>
              </w:numPr>
            </w:pPr>
            <w:r w:rsidRPr="00883125">
              <w:t>Assessment relative to other studies in that class</w:t>
            </w:r>
          </w:p>
        </w:tc>
      </w:tr>
      <w:tr w:rsidR="00CA67C0" w:rsidTr="00CA67C0">
        <w:trPr>
          <w:cantSplit/>
        </w:trPr>
        <w:tc>
          <w:tcPr>
            <w:tcW w:w="9242" w:type="dxa"/>
            <w:gridSpan w:val="3"/>
          </w:tcPr>
          <w:p w:rsidR="00CA67C0" w:rsidRPr="00883125" w:rsidRDefault="00CA67C0" w:rsidP="00764AB1">
            <w:pPr>
              <w:numPr>
                <w:ilvl w:val="0"/>
                <w:numId w:val="24"/>
              </w:numPr>
            </w:pPr>
            <w:r w:rsidRPr="00883125">
              <w:rPr>
                <w:rStyle w:val="Strong"/>
              </w:rPr>
              <w:t>Dividend drop off using hybrids</w:t>
            </w:r>
            <w:r w:rsidRPr="00883125">
              <w:t xml:space="preserve"> – Similar to standard DDO but using debt/equity hybrid securities.</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683" w:type="dxa"/>
          </w:tcPr>
          <w:p w:rsidR="00CA67C0" w:rsidRPr="00CA67C0" w:rsidRDefault="00CA67C0" w:rsidP="00CA67C0">
            <w:r w:rsidRPr="00883125">
              <w:t>Feuerherdt et al (2010)</w:t>
            </w:r>
            <w:r w:rsidRPr="00CA67C0">
              <w:rPr>
                <w:rStyle w:val="FootnoteReference"/>
              </w:rPr>
              <w:footnoteReference w:id="569"/>
            </w:r>
          </w:p>
        </w:tc>
        <w:tc>
          <w:tcPr>
            <w:tcW w:w="1111" w:type="dxa"/>
          </w:tcPr>
          <w:p w:rsidR="00CA67C0" w:rsidRPr="00CA67C0" w:rsidRDefault="00CA67C0" w:rsidP="00CA67C0">
            <w:r w:rsidRPr="00883125">
              <w:t>1995–2002</w:t>
            </w:r>
          </w:p>
        </w:tc>
        <w:tc>
          <w:tcPr>
            <w:tcW w:w="5448" w:type="dxa"/>
          </w:tcPr>
          <w:p w:rsidR="00CA67C0" w:rsidRPr="00CA67C0" w:rsidRDefault="00CA67C0" w:rsidP="00CA67C0">
            <w:r w:rsidRPr="00883125">
              <w:t>Uses hybrid securities (such as convertible preference shares), 165 ex-dividend events for 46 securities which are primarily fully franked.</w:t>
            </w:r>
          </w:p>
        </w:tc>
      </w:tr>
      <w:tr w:rsidR="00CA67C0" w:rsidTr="00CA67C0">
        <w:trPr>
          <w:cantSplit/>
        </w:trPr>
        <w:tc>
          <w:tcPr>
            <w:tcW w:w="9242" w:type="dxa"/>
            <w:gridSpan w:val="3"/>
          </w:tcPr>
          <w:p w:rsidR="00CA67C0" w:rsidRPr="00883125" w:rsidRDefault="00CA67C0" w:rsidP="00764AB1">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683" w:type="dxa"/>
          </w:tcPr>
          <w:p w:rsidR="00CA67C0" w:rsidRPr="00CA67C0" w:rsidRDefault="00CA67C0" w:rsidP="00CA67C0">
            <w:r w:rsidRPr="00883125">
              <w:t>SFG (2013b)</w:t>
            </w:r>
            <w:r w:rsidRPr="00CA67C0">
              <w:rPr>
                <w:rStyle w:val="FootnoteReference"/>
              </w:rPr>
              <w:footnoteReference w:id="570"/>
            </w:r>
          </w:p>
        </w:tc>
        <w:tc>
          <w:tcPr>
            <w:tcW w:w="1111" w:type="dxa"/>
          </w:tcPr>
          <w:p w:rsidR="00CA67C0" w:rsidRPr="00CA67C0" w:rsidRDefault="00CA67C0" w:rsidP="00CA67C0">
            <w:r w:rsidRPr="00883125">
              <w:t>2000–2013</w:t>
            </w:r>
          </w:p>
        </w:tc>
        <w:tc>
          <w:tcPr>
            <w:tcW w:w="5448" w:type="dxa"/>
          </w:tcPr>
          <w:p w:rsidR="00CA67C0" w:rsidRPr="00CA67C0" w:rsidRDefault="00CA67C0" w:rsidP="00CA67C0">
            <w:r w:rsidRPr="00883125">
              <w:t>Updates Cannavan et al (2004). Compares matched trades in individual shares to futures contracts and low exercise price options for 98 firms (over 52,000 trades).</w:t>
            </w:r>
          </w:p>
        </w:tc>
      </w:tr>
      <w:tr w:rsidR="00CA67C0" w:rsidTr="00CA67C0">
        <w:trPr>
          <w:cantSplit/>
        </w:trPr>
        <w:tc>
          <w:tcPr>
            <w:tcW w:w="2683" w:type="dxa"/>
          </w:tcPr>
          <w:p w:rsidR="00CA67C0" w:rsidRPr="00CA67C0" w:rsidRDefault="00CA67C0" w:rsidP="00CA67C0">
            <w:r w:rsidRPr="00883125">
              <w:t>Cannavan et al (2004)</w:t>
            </w:r>
            <w:r w:rsidRPr="00CA67C0">
              <w:rPr>
                <w:rStyle w:val="FootnoteReference"/>
              </w:rPr>
              <w:footnoteReference w:id="571"/>
            </w:r>
          </w:p>
        </w:tc>
        <w:tc>
          <w:tcPr>
            <w:tcW w:w="1111" w:type="dxa"/>
          </w:tcPr>
          <w:p w:rsidR="00CA67C0" w:rsidRPr="00CA67C0" w:rsidRDefault="00CA67C0" w:rsidP="00CA67C0">
            <w:r w:rsidRPr="00883125">
              <w:t>1994–1999</w:t>
            </w:r>
          </w:p>
        </w:tc>
        <w:tc>
          <w:tcPr>
            <w:tcW w:w="5448" w:type="dxa"/>
          </w:tcPr>
          <w:p w:rsidR="00CA67C0" w:rsidRPr="00CA67C0" w:rsidRDefault="00CA67C0" w:rsidP="00CA67C0">
            <w:r w:rsidRPr="00883125">
              <w:t>Uses matched trades (four minute window) in individual shares and futures contracts for 19 firms (over 14,000 trades). Sub-periods 1994–1997 and 1997–1999.</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683" w:type="dxa"/>
          </w:tcPr>
          <w:p w:rsidR="00CA67C0" w:rsidRPr="00CA67C0" w:rsidRDefault="00CA67C0" w:rsidP="00CA67C0">
            <w:r w:rsidRPr="00883125">
              <w:t>Cummings and Frino (2008)</w:t>
            </w:r>
            <w:r w:rsidRPr="00CA67C0">
              <w:rPr>
                <w:rStyle w:val="FootnoteReference"/>
              </w:rPr>
              <w:footnoteReference w:id="572"/>
            </w:r>
          </w:p>
        </w:tc>
        <w:tc>
          <w:tcPr>
            <w:tcW w:w="1111" w:type="dxa"/>
          </w:tcPr>
          <w:p w:rsidR="00CA67C0" w:rsidRPr="00CA67C0" w:rsidRDefault="00CA67C0" w:rsidP="00CA67C0">
            <w:r w:rsidRPr="00883125">
              <w:t>2002-2005</w:t>
            </w:r>
          </w:p>
        </w:tc>
        <w:tc>
          <w:tcPr>
            <w:tcW w:w="5448" w:type="dxa"/>
          </w:tcPr>
          <w:p w:rsidR="00CA67C0" w:rsidRPr="00CA67C0" w:rsidRDefault="00CA67C0" w:rsidP="00CA67C0">
            <w:r w:rsidRPr="00883125">
              <w:t xml:space="preserve">Uses entire ASX200 index (rather than specific firms) and futures over the index, distinct from other studies in this class (which use individual shares). </w:t>
            </w:r>
          </w:p>
        </w:tc>
      </w:tr>
      <w:tr w:rsidR="00CA67C0" w:rsidTr="00CA67C0">
        <w:trPr>
          <w:cantSplit/>
        </w:trPr>
        <w:tc>
          <w:tcPr>
            <w:tcW w:w="9242" w:type="dxa"/>
            <w:gridSpan w:val="3"/>
          </w:tcPr>
          <w:p w:rsidR="00CA67C0" w:rsidRPr="00883125" w:rsidRDefault="00CA67C0" w:rsidP="00764AB1">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683" w:type="dxa"/>
          </w:tcPr>
          <w:p w:rsidR="00CA67C0" w:rsidRPr="00CA67C0" w:rsidRDefault="00CA67C0" w:rsidP="00CA67C0">
            <w:r w:rsidRPr="00883125">
              <w:t>NERA (2013b)</w:t>
            </w:r>
            <w:r w:rsidRPr="00CA67C0">
              <w:rPr>
                <w:rStyle w:val="FootnoteReference"/>
              </w:rPr>
              <w:footnoteReference w:id="573"/>
            </w:r>
          </w:p>
        </w:tc>
        <w:tc>
          <w:tcPr>
            <w:tcW w:w="1111" w:type="dxa"/>
          </w:tcPr>
          <w:p w:rsidR="00CA67C0" w:rsidRPr="00CA67C0" w:rsidRDefault="00CA67C0" w:rsidP="00CA67C0">
            <w:r w:rsidRPr="00883125">
              <w:t>1987–2012</w:t>
            </w:r>
          </w:p>
        </w:tc>
        <w:tc>
          <w:tcPr>
            <w:tcW w:w="5448" w:type="dxa"/>
          </w:tcPr>
          <w:p w:rsidR="00CA67C0" w:rsidRPr="00CA67C0" w:rsidRDefault="00CA67C0" w:rsidP="00CA67C0">
            <w:r w:rsidRPr="00883125">
              <w:t>Updates the Lajbcygier and Wheatley paper; same author and more relevant data set. Sub-period splits 1987–2000 and 2000–2012.</w:t>
            </w:r>
          </w:p>
        </w:tc>
      </w:tr>
      <w:tr w:rsidR="00CA67C0" w:rsidTr="00CA67C0">
        <w:trPr>
          <w:cantSplit/>
        </w:trPr>
        <w:tc>
          <w:tcPr>
            <w:tcW w:w="2683" w:type="dxa"/>
          </w:tcPr>
          <w:p w:rsidR="00CA67C0" w:rsidRPr="00CA67C0" w:rsidRDefault="00CA67C0" w:rsidP="00CA67C0">
            <w:r w:rsidRPr="00883125">
              <w:t>Lajbcygier and Wheatley (2012)</w:t>
            </w:r>
            <w:r w:rsidRPr="00CA67C0">
              <w:rPr>
                <w:rStyle w:val="FootnoteReference"/>
              </w:rPr>
              <w:footnoteReference w:id="574"/>
            </w:r>
          </w:p>
        </w:tc>
        <w:tc>
          <w:tcPr>
            <w:tcW w:w="1111" w:type="dxa"/>
          </w:tcPr>
          <w:p w:rsidR="00CA67C0" w:rsidRPr="00CA67C0" w:rsidRDefault="00CA67C0" w:rsidP="00CA67C0">
            <w:r w:rsidRPr="00883125">
              <w:t>1987–2009</w:t>
            </w:r>
          </w:p>
        </w:tc>
        <w:tc>
          <w:tcPr>
            <w:tcW w:w="5448" w:type="dxa"/>
          </w:tcPr>
          <w:p w:rsidR="00CA67C0" w:rsidRPr="00CA67C0" w:rsidRDefault="00CA67C0" w:rsidP="00CA67C0">
            <w:r w:rsidRPr="00883125">
              <w:t xml:space="preserve">Compares current prices to past returns </w:t>
            </w:r>
            <w:r w:rsidRPr="00CA67C0">
              <w:t>from capital gains and dividends. Includes sub-periods from 1987–2000 and 2000-2009.</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683" w:type="dxa"/>
          </w:tcPr>
          <w:p w:rsidR="00CA67C0" w:rsidRPr="00CA67C0" w:rsidRDefault="00CA67C0" w:rsidP="00CA67C0">
            <w:r w:rsidRPr="00883125">
              <w:t>Siau et al (2013)</w:t>
            </w:r>
            <w:r w:rsidRPr="00CA67C0">
              <w:rPr>
                <w:rStyle w:val="FootnoteReference"/>
              </w:rPr>
              <w:footnoteReference w:id="575"/>
            </w:r>
          </w:p>
        </w:tc>
        <w:tc>
          <w:tcPr>
            <w:tcW w:w="1111" w:type="dxa"/>
          </w:tcPr>
          <w:p w:rsidR="00CA67C0" w:rsidRPr="00CA67C0" w:rsidRDefault="00CA67C0" w:rsidP="00CA67C0">
            <w:r w:rsidRPr="00883125">
              <w:t>1996–2011</w:t>
            </w:r>
          </w:p>
        </w:tc>
        <w:tc>
          <w:tcPr>
            <w:tcW w:w="5448" w:type="dxa"/>
          </w:tcPr>
          <w:p w:rsidR="00CA67C0" w:rsidRPr="00CA67C0" w:rsidRDefault="00CA67C0" w:rsidP="00CA67C0">
            <w:r w:rsidRPr="00883125">
              <w:t xml:space="preserve">Compares current prices to expected future returns. Uses ASX300 index firms and consensus analyst dividend forecasts. </w:t>
            </w:r>
          </w:p>
        </w:tc>
      </w:tr>
      <w:tr w:rsidR="00CA67C0" w:rsidTr="00CA67C0">
        <w:trPr>
          <w:cantSplit/>
        </w:trPr>
        <w:tc>
          <w:tcPr>
            <w:tcW w:w="2683" w:type="dxa"/>
          </w:tcPr>
          <w:p w:rsidR="00CA67C0" w:rsidRPr="00CA67C0" w:rsidRDefault="00CA67C0" w:rsidP="00CA67C0">
            <w:r w:rsidRPr="00883125">
              <w:lastRenderedPageBreak/>
              <w:t>Siau et al (2015)</w:t>
            </w:r>
            <w:r w:rsidRPr="00CA67C0">
              <w:rPr>
                <w:rStyle w:val="FootnoteReference"/>
              </w:rPr>
              <w:footnoteReference w:id="576"/>
            </w:r>
          </w:p>
        </w:tc>
        <w:tc>
          <w:tcPr>
            <w:tcW w:w="1111" w:type="dxa"/>
          </w:tcPr>
          <w:p w:rsidR="00CA67C0" w:rsidRPr="00CA67C0" w:rsidRDefault="00CA67C0" w:rsidP="00CA67C0">
            <w:r w:rsidRPr="00883125">
              <w:t>1996-2011</w:t>
            </w:r>
          </w:p>
        </w:tc>
        <w:tc>
          <w:tcPr>
            <w:tcW w:w="5448" w:type="dxa"/>
          </w:tcPr>
          <w:p w:rsidR="00CA67C0" w:rsidRPr="00CA67C0" w:rsidRDefault="00CA67C0" w:rsidP="00CA67C0">
            <w:r w:rsidRPr="00883125">
              <w:t xml:space="preserve">Journal published version of the 2013 paper by Siau et al with relatively minor editorial changes </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683" w:type="dxa"/>
          </w:tcPr>
          <w:p w:rsidR="00CA67C0" w:rsidRPr="00CA67C0" w:rsidRDefault="00CA67C0" w:rsidP="00CA67C0">
            <w:r w:rsidRPr="00883125">
              <w:t>NERA (2015)</w:t>
            </w:r>
            <w:r w:rsidRPr="00CA67C0">
              <w:rPr>
                <w:rStyle w:val="FootnoteReference"/>
              </w:rPr>
              <w:footnoteReference w:id="577"/>
            </w:r>
          </w:p>
        </w:tc>
        <w:tc>
          <w:tcPr>
            <w:tcW w:w="1111" w:type="dxa"/>
          </w:tcPr>
          <w:p w:rsidR="00CA67C0" w:rsidRPr="00CA67C0" w:rsidRDefault="00CA67C0" w:rsidP="00CA67C0">
            <w:r w:rsidRPr="00883125">
              <w:t>1987-2013</w:t>
            </w:r>
          </w:p>
        </w:tc>
        <w:tc>
          <w:tcPr>
            <w:tcW w:w="5448" w:type="dxa"/>
          </w:tcPr>
          <w:p w:rsidR="00CA67C0" w:rsidRPr="00CA67C0" w:rsidRDefault="00CA67C0" w:rsidP="00CA67C0">
            <w:r w:rsidRPr="00883125">
              <w:t>Updates the results of the Lajbcygier and Wheatley and NERA (2013) studies.</w:t>
            </w:r>
          </w:p>
        </w:tc>
      </w:tr>
      <w:tr w:rsidR="00CA67C0" w:rsidTr="00CA67C0">
        <w:trPr>
          <w:cantSplit/>
        </w:trPr>
        <w:tc>
          <w:tcPr>
            <w:tcW w:w="9242" w:type="dxa"/>
            <w:gridSpan w:val="3"/>
          </w:tcPr>
          <w:p w:rsidR="00CA67C0" w:rsidRPr="00883125" w:rsidRDefault="00CA67C0" w:rsidP="00764AB1">
            <w:pPr>
              <w:numPr>
                <w:ilvl w:val="0"/>
                <w:numId w:val="24"/>
              </w:numPr>
            </w:pPr>
            <w:r w:rsidRPr="00883125">
              <w:rPr>
                <w:rStyle w:val="Strong"/>
              </w:rPr>
              <w:t>Simultaneous share trades</w:t>
            </w:r>
            <w:r w:rsidRPr="00883125">
              <w:t xml:space="preserve"> – Compare simultaneous prices for shares that are/are not entitled to imputation credits.</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683" w:type="dxa"/>
          </w:tcPr>
          <w:p w:rsidR="00CA67C0" w:rsidRPr="00CA67C0" w:rsidRDefault="00CA67C0" w:rsidP="00CA67C0">
            <w:r w:rsidRPr="00883125">
              <w:t>Chu and Partington (2008)</w:t>
            </w:r>
            <w:r w:rsidRPr="00CA67C0">
              <w:rPr>
                <w:rStyle w:val="FootnoteReference"/>
              </w:rPr>
              <w:footnoteReference w:id="578"/>
            </w:r>
          </w:p>
        </w:tc>
        <w:tc>
          <w:tcPr>
            <w:tcW w:w="1111" w:type="dxa"/>
          </w:tcPr>
          <w:p w:rsidR="00CA67C0" w:rsidRPr="00CA67C0" w:rsidRDefault="00CA67C0" w:rsidP="00CA67C0">
            <w:r w:rsidRPr="00883125">
              <w:t>1996</w:t>
            </w:r>
          </w:p>
        </w:tc>
        <w:tc>
          <w:tcPr>
            <w:tcW w:w="5448" w:type="dxa"/>
          </w:tcPr>
          <w:p w:rsidR="00CA67C0" w:rsidRPr="00CA67C0" w:rsidRDefault="00CA67C0" w:rsidP="00CA67C0">
            <w:r w:rsidRPr="00883125">
              <w:t xml:space="preserve">Uses shares trading in two forms (one with dividend, one without) as a result of the CRA bonus issue. 154 matched trades (one minute window) across 3 </w:t>
            </w:r>
            <w:r w:rsidRPr="00CA67C0">
              <w:t>months.</w:t>
            </w:r>
          </w:p>
        </w:tc>
      </w:tr>
      <w:tr w:rsidR="00CA67C0" w:rsidTr="00CA67C0">
        <w:trPr>
          <w:cantSplit/>
        </w:trPr>
        <w:tc>
          <w:tcPr>
            <w:tcW w:w="2683" w:type="dxa"/>
          </w:tcPr>
          <w:p w:rsidR="00CA67C0" w:rsidRPr="00CA67C0" w:rsidRDefault="00CA67C0" w:rsidP="00CA67C0">
            <w:r w:rsidRPr="00883125">
              <w:t>Chu and Partington (2001)</w:t>
            </w:r>
            <w:r w:rsidRPr="00CA67C0">
              <w:rPr>
                <w:rStyle w:val="FootnoteReference"/>
              </w:rPr>
              <w:footnoteReference w:id="579"/>
            </w:r>
          </w:p>
        </w:tc>
        <w:tc>
          <w:tcPr>
            <w:tcW w:w="1111" w:type="dxa"/>
          </w:tcPr>
          <w:p w:rsidR="00CA67C0" w:rsidRPr="00CA67C0" w:rsidRDefault="00CA67C0" w:rsidP="00CA67C0">
            <w:r w:rsidRPr="00883125">
              <w:t>1991–1999</w:t>
            </w:r>
          </w:p>
        </w:tc>
        <w:tc>
          <w:tcPr>
            <w:tcW w:w="5448" w:type="dxa"/>
          </w:tcPr>
          <w:p w:rsidR="00CA67C0" w:rsidRPr="00CA67C0" w:rsidDel="003D6627" w:rsidRDefault="00CA67C0" w:rsidP="00CA67C0">
            <w:r w:rsidRPr="00883125">
              <w:t>Uses shares trading simultaneously with and without dividend after certain rights issues - 3,356 trades (matched within a minute) from 26 rights issues for 23 firms.</w:t>
            </w:r>
          </w:p>
        </w:tc>
      </w:tr>
      <w:tr w:rsidR="00CA67C0" w:rsidTr="00CA67C0">
        <w:trPr>
          <w:cnfStyle w:val="000000010000" w:firstRow="0" w:lastRow="0" w:firstColumn="0" w:lastColumn="0" w:oddVBand="0" w:evenVBand="0" w:oddHBand="0" w:evenHBand="1" w:firstRowFirstColumn="0" w:firstRowLastColumn="0" w:lastRowFirstColumn="0" w:lastRowLastColumn="0"/>
          <w:cantSplit/>
        </w:trPr>
        <w:tc>
          <w:tcPr>
            <w:tcW w:w="2683" w:type="dxa"/>
          </w:tcPr>
          <w:p w:rsidR="00CA67C0" w:rsidRPr="00CA67C0" w:rsidRDefault="00CA67C0" w:rsidP="00CA67C0">
            <w:r w:rsidRPr="00883125">
              <w:t>Walker and Partington (1999)</w:t>
            </w:r>
            <w:r w:rsidRPr="00CA67C0">
              <w:rPr>
                <w:rStyle w:val="FootnoteReference"/>
              </w:rPr>
              <w:footnoteReference w:id="580"/>
            </w:r>
          </w:p>
        </w:tc>
        <w:tc>
          <w:tcPr>
            <w:tcW w:w="1111" w:type="dxa"/>
          </w:tcPr>
          <w:p w:rsidR="00CA67C0" w:rsidRPr="00CA67C0" w:rsidRDefault="00CA67C0" w:rsidP="00CA67C0">
            <w:r w:rsidRPr="00883125">
              <w:t>1995–1997</w:t>
            </w:r>
          </w:p>
        </w:tc>
        <w:tc>
          <w:tcPr>
            <w:tcW w:w="5448" w:type="dxa"/>
          </w:tcPr>
          <w:p w:rsidR="00CA67C0" w:rsidRPr="00CA67C0" w:rsidRDefault="00CA67C0" w:rsidP="00CA67C0">
            <w:r w:rsidRPr="00883125">
              <w:t>Looks at shares trading cum-dividend in the ex-dividend period. 1,015 data points (trades matched within a minute) for 93 ex-dividend events from 50 securities.</w:t>
            </w:r>
          </w:p>
        </w:tc>
      </w:tr>
    </w:tbl>
    <w:p w:rsidR="00CA67C0" w:rsidRPr="00883125" w:rsidRDefault="00CA67C0" w:rsidP="00CA67C0">
      <w:pPr>
        <w:pStyle w:val="AERtablesource"/>
      </w:pPr>
      <w:r w:rsidRPr="00883125">
        <w:t xml:space="preserve">Source: </w:t>
      </w:r>
      <w:r w:rsidRPr="00883125">
        <w:tab/>
        <w:t>As specified in table.</w:t>
      </w:r>
    </w:p>
    <w:p w:rsidR="00CA67C0" w:rsidRPr="00883125" w:rsidRDefault="00CA67C0" w:rsidP="00CA67C0">
      <w:pPr>
        <w:pStyle w:val="Heading9"/>
      </w:pPr>
      <w:bookmarkStart w:id="282" w:name="_Ref403482459"/>
      <w:bookmarkStart w:id="283" w:name="_Toc456614339"/>
      <w:r w:rsidRPr="00883125">
        <w:t>Estimates from implied market value studies</w:t>
      </w:r>
      <w:bookmarkEnd w:id="282"/>
      <w:bookmarkEnd w:id="283"/>
    </w:p>
    <w:p w:rsidR="00CA67C0" w:rsidRPr="00883125" w:rsidRDefault="00CA67C0" w:rsidP="00764AB1">
      <w:pPr>
        <w:numPr>
          <w:ilvl w:val="0"/>
          <w:numId w:val="24"/>
        </w:numPr>
      </w:pPr>
      <w:r w:rsidRPr="00883125">
        <w:t>This section presents the results from the available implied market value studies.</w:t>
      </w:r>
    </w:p>
    <w:p w:rsidR="00CA67C0" w:rsidRPr="00883125" w:rsidRDefault="00CA67C0" w:rsidP="00764AB1">
      <w:pPr>
        <w:numPr>
          <w:ilvl w:val="0"/>
          <w:numId w:val="24"/>
        </w:numPr>
      </w:pPr>
      <w:r w:rsidRPr="00883125">
        <w:fldChar w:fldCharType="begin"/>
      </w:r>
      <w:r w:rsidRPr="00883125">
        <w:instrText xml:space="preserve"> REF _Ref401075676 \h </w:instrText>
      </w:r>
      <w:r w:rsidRPr="00883125">
        <w:fldChar w:fldCharType="separate"/>
      </w:r>
      <w:r w:rsidR="007261FC" w:rsidRPr="00883125">
        <w:t xml:space="preserve">Table </w:t>
      </w:r>
      <w:r w:rsidR="007261FC">
        <w:rPr>
          <w:noProof/>
        </w:rPr>
        <w:t>4</w:t>
      </w:r>
      <w:r w:rsidR="007261FC">
        <w:noBreakHyphen/>
      </w:r>
      <w:r w:rsidR="007261FC">
        <w:rPr>
          <w:noProof/>
        </w:rPr>
        <w:t>17</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581"/>
      </w:r>
      <w:r w:rsidRPr="00883125">
        <w:t xml:space="preserve"> This is not true as seen in table 4.10 where the table separately reports results based on whether the underlying data is (primarily) from </w:t>
      </w:r>
      <w:r w:rsidRPr="00883125">
        <w:lastRenderedPageBreak/>
        <w:t>before or after 2000, when the change in tax law entitled eligible investors to a full refund of excess imputation credits. In the recent Tribunal decision, the Tribunal stated that the AER could have excluded earlier market based studies that were not relevant, such as the studies that were conducted on pre 2000 data.</w:t>
      </w:r>
      <w:r w:rsidRPr="00883125">
        <w:rPr>
          <w:rStyle w:val="FootnoteReference"/>
        </w:rPr>
        <w:footnoteReference w:id="582"/>
      </w:r>
    </w:p>
    <w:p w:rsidR="00CA67C0" w:rsidRPr="00883125" w:rsidRDefault="00CA67C0" w:rsidP="00764AB1">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regard to </w:t>
      </w:r>
      <w:r>
        <w:t xml:space="preserve"> </w:t>
      </w:r>
      <w:r w:rsidRPr="00883125">
        <w:t xml:space="preserve">pre 2000 studies. However, even if the AER was to completely disregard the pre 2000 studies this would not change the outcome of selecting the lowest point estimate in the range from the equity ownership approach. </w:t>
      </w:r>
    </w:p>
    <w:p w:rsidR="00CA67C0" w:rsidRPr="00B27BE5" w:rsidRDefault="00CA67C0" w:rsidP="00CA67C0">
      <w:r w:rsidRPr="00B27BE5">
        <w:fldChar w:fldCharType="begin"/>
      </w:r>
      <w:r w:rsidRPr="00B27BE5">
        <w:instrText xml:space="preserve"> REF _Ref449538408 \h </w:instrText>
      </w:r>
      <w:r w:rsidRPr="00B27BE5">
        <w:fldChar w:fldCharType="separate"/>
      </w:r>
      <w:r w:rsidR="007261FC" w:rsidRPr="00883125">
        <w:t xml:space="preserve">Table </w:t>
      </w:r>
      <w:r w:rsidR="007261FC">
        <w:rPr>
          <w:noProof/>
        </w:rPr>
        <w:t>4</w:t>
      </w:r>
      <w:r w:rsidR="007261FC">
        <w:noBreakHyphen/>
      </w:r>
      <w:r w:rsidR="007261FC">
        <w:rPr>
          <w:noProof/>
        </w:rPr>
        <w:t>18</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CA67C0" w:rsidRPr="00883125" w:rsidRDefault="00CA67C0" w:rsidP="00CA67C0">
      <w:pPr>
        <w:pStyle w:val="Caption"/>
      </w:pPr>
      <w:bookmarkStart w:id="284" w:name="_Ref401075676"/>
      <w:r w:rsidRPr="00883125">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17</w:t>
      </w:r>
      <w:r w:rsidRPr="001D37D5">
        <w:fldChar w:fldCharType="end"/>
      </w:r>
      <w:bookmarkEnd w:id="284"/>
      <w:r w:rsidRPr="00883125">
        <w:tab/>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CA67C0" w:rsidRPr="00222643" w:rsidTr="00CA67C0">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CA67C0" w:rsidRPr="00883125" w:rsidRDefault="00CA67C0" w:rsidP="00CA67C0"/>
        </w:tc>
        <w:tc>
          <w:tcPr>
            <w:tcW w:w="2835" w:type="dxa"/>
          </w:tcPr>
          <w:p w:rsidR="00CA67C0" w:rsidRPr="00CA67C0" w:rsidRDefault="00CA67C0" w:rsidP="00CA67C0">
            <w:r w:rsidRPr="00883125">
              <w:t>Authors</w:t>
            </w:r>
          </w:p>
        </w:tc>
        <w:tc>
          <w:tcPr>
            <w:tcW w:w="1346" w:type="dxa"/>
          </w:tcPr>
          <w:p w:rsidR="00CA67C0" w:rsidRPr="00CA67C0" w:rsidRDefault="00CA67C0" w:rsidP="00CA67C0">
            <w:r w:rsidRPr="00883125">
              <w:t>Pre-2000 results</w:t>
            </w:r>
          </w:p>
        </w:tc>
        <w:tc>
          <w:tcPr>
            <w:tcW w:w="1347" w:type="dxa"/>
          </w:tcPr>
          <w:p w:rsidR="00CA67C0" w:rsidRPr="00CA67C0" w:rsidRDefault="00CA67C0" w:rsidP="00CA67C0">
            <w:r w:rsidRPr="00883125">
              <w:t>Post-2000 results</w:t>
            </w:r>
          </w:p>
        </w:tc>
        <w:tc>
          <w:tcPr>
            <w:tcW w:w="3260" w:type="dxa"/>
          </w:tcPr>
          <w:p w:rsidR="00CA67C0" w:rsidRPr="00CA67C0" w:rsidRDefault="00CA67C0" w:rsidP="00CA67C0">
            <w:r w:rsidRPr="00883125">
              <w:t>Notes</w:t>
            </w:r>
          </w:p>
        </w:tc>
      </w:tr>
      <w:tr w:rsidR="00CA67C0" w:rsidRPr="00222643" w:rsidTr="00CA67C0">
        <w:trPr>
          <w:cantSplit/>
          <w:trHeight w:val="426"/>
        </w:trPr>
        <w:tc>
          <w:tcPr>
            <w:tcW w:w="3227" w:type="dxa"/>
            <w:gridSpan w:val="3"/>
          </w:tcPr>
          <w:p w:rsidR="00CA67C0" w:rsidRPr="00CA67C0" w:rsidRDefault="00CA67C0" w:rsidP="00CA67C0">
            <w:pPr>
              <w:rPr>
                <w:rStyle w:val="Strong"/>
              </w:rPr>
            </w:pPr>
            <w:r w:rsidRPr="00883125">
              <w:rPr>
                <w:rStyle w:val="Strong"/>
              </w:rPr>
              <w:t>Dividend drop off study</w:t>
            </w:r>
          </w:p>
        </w:tc>
        <w:tc>
          <w:tcPr>
            <w:tcW w:w="1346" w:type="dxa"/>
          </w:tcPr>
          <w:p w:rsidR="00CA67C0" w:rsidRPr="00883125" w:rsidRDefault="00CA67C0" w:rsidP="00CA67C0"/>
        </w:tc>
        <w:tc>
          <w:tcPr>
            <w:tcW w:w="1347" w:type="dxa"/>
          </w:tcPr>
          <w:p w:rsidR="00CA67C0" w:rsidRPr="00883125" w:rsidRDefault="00CA67C0" w:rsidP="00CA67C0"/>
        </w:tc>
        <w:tc>
          <w:tcPr>
            <w:tcW w:w="3260" w:type="dxa"/>
          </w:tcPr>
          <w:p w:rsidR="00CA67C0" w:rsidRPr="00883125" w:rsidRDefault="00CA67C0" w:rsidP="00CA67C0"/>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CA67C0" w:rsidRPr="00883125" w:rsidRDefault="00CA67C0" w:rsidP="00CA67C0"/>
        </w:tc>
        <w:tc>
          <w:tcPr>
            <w:tcW w:w="2977" w:type="dxa"/>
            <w:gridSpan w:val="2"/>
          </w:tcPr>
          <w:p w:rsidR="00CA67C0" w:rsidRPr="00CA67C0" w:rsidRDefault="00CA67C0" w:rsidP="00CA67C0">
            <w:r w:rsidRPr="00883125">
              <w:t>Vo et al (2013)</w:t>
            </w:r>
            <w:r w:rsidRPr="00CA67C0">
              <w:rPr>
                <w:rStyle w:val="FootnoteReference"/>
              </w:rPr>
              <w:footnoteReference w:id="583"/>
            </w:r>
          </w:p>
        </w:tc>
        <w:tc>
          <w:tcPr>
            <w:tcW w:w="1346" w:type="dxa"/>
          </w:tcPr>
          <w:p w:rsidR="00CA67C0" w:rsidRPr="00883125" w:rsidRDefault="00CA67C0" w:rsidP="00CA67C0"/>
        </w:tc>
        <w:tc>
          <w:tcPr>
            <w:tcW w:w="1347" w:type="dxa"/>
          </w:tcPr>
          <w:p w:rsidR="00CA67C0" w:rsidRPr="00CA67C0" w:rsidRDefault="00CA67C0" w:rsidP="00CA67C0">
            <w:r w:rsidRPr="00883125">
              <w:t>0.35–0.55</w:t>
            </w:r>
            <w:r w:rsidRPr="00883125">
              <w:br/>
              <w:t>(2001–2012)</w:t>
            </w:r>
          </w:p>
        </w:tc>
        <w:tc>
          <w:tcPr>
            <w:tcW w:w="3260" w:type="dxa"/>
          </w:tcPr>
          <w:p w:rsidR="00CA67C0" w:rsidRPr="00CA67C0" w:rsidRDefault="00CA67C0" w:rsidP="00CA67C0">
            <w:r w:rsidRPr="00883125">
              <w:t>Range derived from large number of permutations and sensitivity tests.</w:t>
            </w:r>
          </w:p>
        </w:tc>
      </w:tr>
      <w:tr w:rsidR="00CA67C0" w:rsidRPr="00222643" w:rsidTr="00CA67C0">
        <w:trPr>
          <w:cantSplit/>
        </w:trPr>
        <w:tc>
          <w:tcPr>
            <w:tcW w:w="250" w:type="dxa"/>
          </w:tcPr>
          <w:p w:rsidR="00CA67C0" w:rsidRPr="00883125" w:rsidRDefault="00CA67C0" w:rsidP="00CA67C0"/>
        </w:tc>
        <w:tc>
          <w:tcPr>
            <w:tcW w:w="2977" w:type="dxa"/>
            <w:gridSpan w:val="2"/>
          </w:tcPr>
          <w:p w:rsidR="00CA67C0" w:rsidRPr="00CA67C0" w:rsidRDefault="00CA67C0" w:rsidP="00CA67C0">
            <w:r w:rsidRPr="00883125">
              <w:t xml:space="preserve">SFG </w:t>
            </w:r>
            <w:r w:rsidRPr="00CA67C0">
              <w:t>(2013a)</w:t>
            </w:r>
            <w:r w:rsidRPr="00CA67C0">
              <w:rPr>
                <w:rStyle w:val="FootnoteReference"/>
              </w:rPr>
              <w:footnoteReference w:id="584"/>
            </w:r>
          </w:p>
        </w:tc>
        <w:tc>
          <w:tcPr>
            <w:tcW w:w="1346" w:type="dxa"/>
          </w:tcPr>
          <w:p w:rsidR="00CA67C0" w:rsidRPr="00883125" w:rsidRDefault="00CA67C0" w:rsidP="00CA67C0"/>
        </w:tc>
        <w:tc>
          <w:tcPr>
            <w:tcW w:w="1347" w:type="dxa"/>
          </w:tcPr>
          <w:p w:rsidR="00CA67C0" w:rsidRPr="00CA67C0" w:rsidRDefault="00CA67C0" w:rsidP="00CA67C0">
            <w:r w:rsidRPr="00883125">
              <w:t>0.35</w:t>
            </w:r>
            <w:r w:rsidRPr="00883125">
              <w:br/>
              <w:t>(2001–2012)</w:t>
            </w:r>
          </w:p>
        </w:tc>
        <w:tc>
          <w:tcPr>
            <w:tcW w:w="3260" w:type="dxa"/>
          </w:tcPr>
          <w:p w:rsidR="00CA67C0" w:rsidRPr="00CA67C0" w:rsidRDefault="00CA67C0" w:rsidP="00CA67C0">
            <w:r w:rsidRPr="00883125">
              <w:t xml:space="preserve">Author's point estimate </w:t>
            </w:r>
            <w:r w:rsidRPr="00CA67C0">
              <w:t>across a number of different regression forms.</w:t>
            </w:r>
          </w:p>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Pr>
        <w:tc>
          <w:tcPr>
            <w:tcW w:w="250" w:type="dxa"/>
          </w:tcPr>
          <w:p w:rsidR="00CA67C0" w:rsidRPr="00883125" w:rsidRDefault="00CA67C0" w:rsidP="00CA67C0"/>
        </w:tc>
        <w:tc>
          <w:tcPr>
            <w:tcW w:w="2977" w:type="dxa"/>
            <w:gridSpan w:val="2"/>
          </w:tcPr>
          <w:p w:rsidR="00CA67C0" w:rsidRPr="00CA67C0" w:rsidRDefault="00CA67C0" w:rsidP="00CA67C0">
            <w:r w:rsidRPr="00883125">
              <w:t>SFG (2011)</w:t>
            </w:r>
            <w:r w:rsidRPr="00CA67C0">
              <w:rPr>
                <w:rStyle w:val="FootnoteReference"/>
              </w:rPr>
              <w:footnoteReference w:id="585"/>
            </w:r>
          </w:p>
        </w:tc>
        <w:tc>
          <w:tcPr>
            <w:tcW w:w="1346" w:type="dxa"/>
          </w:tcPr>
          <w:p w:rsidR="00CA67C0" w:rsidRPr="00883125" w:rsidRDefault="00CA67C0" w:rsidP="00CA67C0"/>
        </w:tc>
        <w:tc>
          <w:tcPr>
            <w:tcW w:w="1347" w:type="dxa"/>
          </w:tcPr>
          <w:p w:rsidR="00CA67C0" w:rsidRPr="00CA67C0" w:rsidRDefault="00CA67C0" w:rsidP="00CA67C0">
            <w:r w:rsidRPr="00883125">
              <w:t>0.35</w:t>
            </w:r>
            <w:r w:rsidRPr="00883125">
              <w:br/>
              <w:t>(2001–2010)</w:t>
            </w:r>
          </w:p>
        </w:tc>
        <w:tc>
          <w:tcPr>
            <w:tcW w:w="3260" w:type="dxa"/>
          </w:tcPr>
          <w:p w:rsidR="00CA67C0" w:rsidRPr="00883125" w:rsidRDefault="00CA67C0" w:rsidP="00CA67C0"/>
        </w:tc>
      </w:tr>
      <w:tr w:rsidR="00CA67C0" w:rsidRPr="00222643" w:rsidTr="00CA67C0">
        <w:trPr>
          <w:cantSplit/>
          <w:trHeight w:val="301"/>
        </w:trPr>
        <w:tc>
          <w:tcPr>
            <w:tcW w:w="250" w:type="dxa"/>
          </w:tcPr>
          <w:p w:rsidR="00CA67C0" w:rsidRPr="00883125" w:rsidRDefault="00CA67C0" w:rsidP="00CA67C0"/>
        </w:tc>
        <w:tc>
          <w:tcPr>
            <w:tcW w:w="2977" w:type="dxa"/>
            <w:gridSpan w:val="2"/>
          </w:tcPr>
          <w:p w:rsidR="00CA67C0" w:rsidRPr="00CA67C0" w:rsidRDefault="00CA67C0" w:rsidP="00CA67C0">
            <w:r w:rsidRPr="00883125">
              <w:t>Minney (2010)</w:t>
            </w:r>
            <w:r w:rsidRPr="00CA67C0">
              <w:rPr>
                <w:rStyle w:val="FootnoteReference"/>
              </w:rPr>
              <w:footnoteReference w:id="586"/>
            </w:r>
          </w:p>
        </w:tc>
        <w:tc>
          <w:tcPr>
            <w:tcW w:w="1346" w:type="dxa"/>
          </w:tcPr>
          <w:p w:rsidR="00CA67C0" w:rsidRPr="00883125" w:rsidRDefault="00CA67C0" w:rsidP="00CA67C0"/>
        </w:tc>
        <w:tc>
          <w:tcPr>
            <w:tcW w:w="1347" w:type="dxa"/>
          </w:tcPr>
          <w:p w:rsidR="00CA67C0" w:rsidRPr="00CA67C0" w:rsidRDefault="00CA67C0" w:rsidP="00CA67C0">
            <w:r w:rsidRPr="00883125">
              <w:t>0.39</w:t>
            </w:r>
            <w:r w:rsidRPr="00883125">
              <w:br/>
              <w:t>(2001–2009)</w:t>
            </w:r>
          </w:p>
        </w:tc>
        <w:tc>
          <w:tcPr>
            <w:tcW w:w="3260" w:type="dxa"/>
          </w:tcPr>
          <w:p w:rsidR="00CA67C0" w:rsidRPr="00CA67C0" w:rsidRDefault="00CA67C0" w:rsidP="00CA67C0">
            <w:r w:rsidRPr="00883125">
              <w:t xml:space="preserve">Average of results from 2001–2005 and 2006–2009 sub-periods. For the most recent </w:t>
            </w:r>
            <w:r w:rsidRPr="00CA67C0">
              <w:t>sub-period (2006–2009), utilisation rate is 0.53.</w:t>
            </w:r>
          </w:p>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CA67C0" w:rsidRPr="00883125" w:rsidRDefault="00CA67C0" w:rsidP="00CA67C0"/>
        </w:tc>
        <w:tc>
          <w:tcPr>
            <w:tcW w:w="2977" w:type="dxa"/>
            <w:gridSpan w:val="2"/>
          </w:tcPr>
          <w:p w:rsidR="00CA67C0" w:rsidRPr="00CA67C0" w:rsidRDefault="00CA67C0" w:rsidP="00CA67C0">
            <w:r w:rsidRPr="00883125">
              <w:t xml:space="preserve">Beggs </w:t>
            </w:r>
            <w:r w:rsidRPr="00CA67C0">
              <w:t>and Skeels (2006)</w:t>
            </w:r>
            <w:r w:rsidRPr="00CA67C0">
              <w:rPr>
                <w:rStyle w:val="FootnoteReference"/>
              </w:rPr>
              <w:footnoteReference w:id="587"/>
            </w:r>
          </w:p>
        </w:tc>
        <w:tc>
          <w:tcPr>
            <w:tcW w:w="1346" w:type="dxa"/>
          </w:tcPr>
          <w:p w:rsidR="00CA67C0" w:rsidRPr="00CA67C0" w:rsidRDefault="00CA67C0" w:rsidP="00CA67C0">
            <w:r w:rsidRPr="00883125">
              <w:t>0.20</w:t>
            </w:r>
            <w:r w:rsidRPr="00883125">
              <w:br/>
              <w:t>(1992–1997)</w:t>
            </w:r>
          </w:p>
        </w:tc>
        <w:tc>
          <w:tcPr>
            <w:tcW w:w="1347" w:type="dxa"/>
          </w:tcPr>
          <w:p w:rsidR="00CA67C0" w:rsidRPr="00CA67C0" w:rsidRDefault="00CA67C0" w:rsidP="00CA67C0">
            <w:r w:rsidRPr="00883125">
              <w:t>0.57</w:t>
            </w:r>
            <w:r w:rsidRPr="00883125">
              <w:br/>
              <w:t>(2001–2004)</w:t>
            </w:r>
          </w:p>
        </w:tc>
        <w:tc>
          <w:tcPr>
            <w:tcW w:w="3260" w:type="dxa"/>
          </w:tcPr>
          <w:p w:rsidR="00CA67C0" w:rsidRPr="00CA67C0" w:rsidRDefault="00CA67C0" w:rsidP="00CA67C0">
            <w:r w:rsidRPr="00883125">
              <w:t>Several other pre-2000 periods are presented.</w:t>
            </w:r>
          </w:p>
        </w:tc>
      </w:tr>
      <w:tr w:rsidR="00CA67C0" w:rsidRPr="00222643" w:rsidTr="00CA67C0">
        <w:trPr>
          <w:cantSplit/>
          <w:trHeight w:val="789"/>
        </w:trPr>
        <w:tc>
          <w:tcPr>
            <w:tcW w:w="250" w:type="dxa"/>
          </w:tcPr>
          <w:p w:rsidR="00CA67C0" w:rsidRPr="00883125" w:rsidRDefault="00CA67C0" w:rsidP="00CA67C0"/>
        </w:tc>
        <w:tc>
          <w:tcPr>
            <w:tcW w:w="2977" w:type="dxa"/>
            <w:gridSpan w:val="2"/>
          </w:tcPr>
          <w:p w:rsidR="00CA67C0" w:rsidRPr="00CA67C0" w:rsidRDefault="00CA67C0" w:rsidP="00CA67C0">
            <w:r w:rsidRPr="00883125">
              <w:t>Hathaway and Officer (2004)</w:t>
            </w:r>
            <w:r w:rsidRPr="00CA67C0">
              <w:rPr>
                <w:rStyle w:val="FootnoteReference"/>
              </w:rPr>
              <w:footnoteReference w:id="588"/>
            </w:r>
          </w:p>
        </w:tc>
        <w:tc>
          <w:tcPr>
            <w:tcW w:w="1346" w:type="dxa"/>
          </w:tcPr>
          <w:p w:rsidR="00CA67C0" w:rsidRPr="00CA67C0" w:rsidRDefault="00CA67C0" w:rsidP="00CA67C0">
            <w:r w:rsidRPr="00883125">
              <w:t>0.49</w:t>
            </w:r>
            <w:r w:rsidRPr="00883125">
              <w:br/>
              <w:t>(1986–2004)</w:t>
            </w:r>
          </w:p>
        </w:tc>
        <w:tc>
          <w:tcPr>
            <w:tcW w:w="1347" w:type="dxa"/>
          </w:tcPr>
          <w:p w:rsidR="00CA67C0" w:rsidRPr="00883125" w:rsidRDefault="00CA67C0" w:rsidP="00CA67C0"/>
        </w:tc>
        <w:tc>
          <w:tcPr>
            <w:tcW w:w="3260" w:type="dxa"/>
          </w:tcPr>
          <w:p w:rsidR="00CA67C0" w:rsidRPr="00CA67C0" w:rsidRDefault="00CA67C0" w:rsidP="00CA67C0">
            <w:r w:rsidRPr="00883125">
              <w:t xml:space="preserve">Authors suggest that estimate has increased </w:t>
            </w:r>
            <w:r w:rsidRPr="00CA67C0">
              <w:t>post-2000.</w:t>
            </w:r>
          </w:p>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Pr>
        <w:tc>
          <w:tcPr>
            <w:tcW w:w="250" w:type="dxa"/>
          </w:tcPr>
          <w:p w:rsidR="00CA67C0" w:rsidRPr="00883125" w:rsidRDefault="00CA67C0" w:rsidP="00CA67C0"/>
        </w:tc>
        <w:tc>
          <w:tcPr>
            <w:tcW w:w="2977" w:type="dxa"/>
            <w:gridSpan w:val="2"/>
          </w:tcPr>
          <w:p w:rsidR="00CA67C0" w:rsidRPr="00CA67C0" w:rsidRDefault="00CA67C0" w:rsidP="00CA67C0">
            <w:r w:rsidRPr="00883125">
              <w:t>Bellamy and Gray (2004)</w:t>
            </w:r>
            <w:r w:rsidRPr="00CA67C0">
              <w:rPr>
                <w:rStyle w:val="FootnoteReference"/>
              </w:rPr>
              <w:footnoteReference w:id="589"/>
            </w:r>
          </w:p>
        </w:tc>
        <w:tc>
          <w:tcPr>
            <w:tcW w:w="1346" w:type="dxa"/>
          </w:tcPr>
          <w:p w:rsidR="00CA67C0" w:rsidRPr="00CA67C0" w:rsidRDefault="00CA67C0" w:rsidP="00CA67C0">
            <w:r w:rsidRPr="00883125">
              <w:t>0.36</w:t>
            </w:r>
            <w:r w:rsidRPr="00883125">
              <w:br/>
              <w:t>(1995–2002)</w:t>
            </w:r>
          </w:p>
        </w:tc>
        <w:tc>
          <w:tcPr>
            <w:tcW w:w="1347" w:type="dxa"/>
          </w:tcPr>
          <w:p w:rsidR="00CA67C0" w:rsidRPr="00883125" w:rsidRDefault="00CA67C0" w:rsidP="00CA67C0"/>
        </w:tc>
        <w:tc>
          <w:tcPr>
            <w:tcW w:w="3260" w:type="dxa"/>
          </w:tcPr>
          <w:p w:rsidR="00CA67C0" w:rsidRPr="00CA67C0" w:rsidRDefault="00CA67C0" w:rsidP="00CA67C0">
            <w:r w:rsidRPr="00883125">
              <w:t>Range of</w:t>
            </w:r>
            <w:r w:rsidRPr="00CA67C0">
              <w:t xml:space="preserve"> 0.0–0.60 is also presented.</w:t>
            </w:r>
          </w:p>
        </w:tc>
      </w:tr>
      <w:tr w:rsidR="00CA67C0" w:rsidRPr="00222643" w:rsidTr="00CA67C0">
        <w:trPr>
          <w:cantSplit/>
        </w:trPr>
        <w:tc>
          <w:tcPr>
            <w:tcW w:w="250" w:type="dxa"/>
          </w:tcPr>
          <w:p w:rsidR="00CA67C0" w:rsidRPr="00883125" w:rsidRDefault="00CA67C0" w:rsidP="00CA67C0"/>
        </w:tc>
        <w:tc>
          <w:tcPr>
            <w:tcW w:w="2977" w:type="dxa"/>
            <w:gridSpan w:val="2"/>
          </w:tcPr>
          <w:p w:rsidR="00CA67C0" w:rsidRPr="00CA67C0" w:rsidRDefault="00CA67C0" w:rsidP="00CA67C0">
            <w:r w:rsidRPr="00883125">
              <w:t>Bruckner et al (1994)</w:t>
            </w:r>
            <w:r w:rsidRPr="00CA67C0">
              <w:rPr>
                <w:rStyle w:val="FootnoteReference"/>
              </w:rPr>
              <w:footnoteReference w:id="590"/>
            </w:r>
          </w:p>
        </w:tc>
        <w:tc>
          <w:tcPr>
            <w:tcW w:w="1346" w:type="dxa"/>
          </w:tcPr>
          <w:p w:rsidR="00CA67C0" w:rsidRPr="00CA67C0" w:rsidRDefault="00CA67C0" w:rsidP="00CA67C0">
            <w:r w:rsidRPr="00883125">
              <w:t>0.69</w:t>
            </w:r>
            <w:r w:rsidRPr="00883125">
              <w:br/>
              <w:t>(1991–1993)</w:t>
            </w:r>
          </w:p>
        </w:tc>
        <w:tc>
          <w:tcPr>
            <w:tcW w:w="1347" w:type="dxa"/>
          </w:tcPr>
          <w:p w:rsidR="00CA67C0" w:rsidRPr="00883125" w:rsidRDefault="00CA67C0" w:rsidP="00CA67C0"/>
        </w:tc>
        <w:tc>
          <w:tcPr>
            <w:tcW w:w="3260" w:type="dxa"/>
          </w:tcPr>
          <w:p w:rsidR="00CA67C0" w:rsidRPr="00CA67C0" w:rsidRDefault="00CA67C0" w:rsidP="00CA67C0">
            <w:r w:rsidRPr="00883125">
              <w:t>Also present an earlier period (1987–1990).</w:t>
            </w:r>
          </w:p>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Pr>
        <w:tc>
          <w:tcPr>
            <w:tcW w:w="250" w:type="dxa"/>
          </w:tcPr>
          <w:p w:rsidR="00CA67C0" w:rsidRPr="00883125" w:rsidRDefault="00CA67C0" w:rsidP="00CA67C0"/>
        </w:tc>
        <w:tc>
          <w:tcPr>
            <w:tcW w:w="2977" w:type="dxa"/>
            <w:gridSpan w:val="2"/>
          </w:tcPr>
          <w:p w:rsidR="00CA67C0" w:rsidRPr="00CA67C0" w:rsidRDefault="00CA67C0" w:rsidP="00CA67C0">
            <w:r w:rsidRPr="00883125">
              <w:t>Brown and Clarke (1993)</w:t>
            </w:r>
            <w:r w:rsidRPr="00CA67C0">
              <w:rPr>
                <w:rStyle w:val="FootnoteReference"/>
              </w:rPr>
              <w:footnoteReference w:id="591"/>
            </w:r>
          </w:p>
        </w:tc>
        <w:tc>
          <w:tcPr>
            <w:tcW w:w="1346" w:type="dxa"/>
          </w:tcPr>
          <w:p w:rsidR="00CA67C0" w:rsidRPr="00CA67C0" w:rsidRDefault="00CA67C0" w:rsidP="00CA67C0">
            <w:r w:rsidRPr="00883125">
              <w:t>0.80</w:t>
            </w:r>
            <w:r w:rsidRPr="00883125">
              <w:br/>
              <w:t>(1988–1991)</w:t>
            </w:r>
          </w:p>
        </w:tc>
        <w:tc>
          <w:tcPr>
            <w:tcW w:w="1347" w:type="dxa"/>
          </w:tcPr>
          <w:p w:rsidR="00CA67C0" w:rsidRPr="00883125" w:rsidRDefault="00CA67C0" w:rsidP="00CA67C0"/>
        </w:tc>
        <w:tc>
          <w:tcPr>
            <w:tcW w:w="3260" w:type="dxa"/>
          </w:tcPr>
          <w:p w:rsidR="00CA67C0" w:rsidRPr="00883125" w:rsidRDefault="00CA67C0" w:rsidP="00CA67C0"/>
        </w:tc>
      </w:tr>
    </w:tbl>
    <w:p w:rsidR="00CA67C0" w:rsidRPr="00883125" w:rsidRDefault="00CA67C0" w:rsidP="00CA67C0">
      <w:pPr>
        <w:pStyle w:val="AERtablesource"/>
      </w:pPr>
      <w:r w:rsidRPr="00883125">
        <w:t xml:space="preserve">Source: </w:t>
      </w:r>
      <w:r w:rsidRPr="00883125">
        <w:tab/>
        <w:t>As specified in table.</w:t>
      </w:r>
    </w:p>
    <w:p w:rsidR="00CA67C0" w:rsidRDefault="00CA67C0" w:rsidP="00CA67C0">
      <w:pPr>
        <w:rPr>
          <w:rStyle w:val="AERbody"/>
        </w:rPr>
      </w:pPr>
      <w:bookmarkStart w:id="285"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is in the range of 0.35 to 0.57 when using post 2000 data and is in the range of 0.2 to 0.8 when using pre 2000 data. This is consistent with the finding in Ainsworth, Partington and Warren (2015) which considers that the dividend drop-off and comparative pricing studies they examine would suggest that imputation credits are partially priced at about $0.38 in the dollar.</w:t>
      </w:r>
      <w:r w:rsidRPr="00B27BE5">
        <w:rPr>
          <w:rStyle w:val="FootnoteReference"/>
        </w:rPr>
        <w:footnoteReference w:id="592"/>
      </w:r>
    </w:p>
    <w:p w:rsidR="00CA67C0" w:rsidRPr="00CA67C0" w:rsidRDefault="00CA67C0" w:rsidP="00CA67C0">
      <w:pPr>
        <w:rPr>
          <w:rStyle w:val="AERbody"/>
        </w:rPr>
      </w:pPr>
      <w:r>
        <w:rPr>
          <w:rStyle w:val="AERbody"/>
        </w:rPr>
        <w:br w:type="page"/>
      </w:r>
    </w:p>
    <w:p w:rsidR="00CA67C0" w:rsidRPr="00883125" w:rsidRDefault="00CA67C0" w:rsidP="00CA67C0">
      <w:pPr>
        <w:pStyle w:val="Caption"/>
      </w:pPr>
      <w:bookmarkStart w:id="286" w:name="_Ref449538408"/>
      <w:r w:rsidRPr="00883125">
        <w:lastRenderedPageBreak/>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noBreakHyphen/>
      </w:r>
      <w:r w:rsidRPr="001D37D5">
        <w:fldChar w:fldCharType="begin"/>
      </w:r>
      <w:r>
        <w:instrText xml:space="preserve"> SEQ Table \* ARABIC \s 1 </w:instrText>
      </w:r>
      <w:r w:rsidRPr="001D37D5">
        <w:fldChar w:fldCharType="separate"/>
      </w:r>
      <w:r w:rsidR="007261FC">
        <w:rPr>
          <w:noProof/>
        </w:rPr>
        <w:t>18</w:t>
      </w:r>
      <w:r w:rsidRPr="001D37D5">
        <w:fldChar w:fldCharType="end"/>
      </w:r>
      <w:bookmarkEnd w:id="285"/>
      <w:bookmarkEnd w:id="286"/>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CA67C0" w:rsidRPr="00222643" w:rsidTr="00CA67C0">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CA67C0" w:rsidRPr="00883125" w:rsidRDefault="00CA67C0" w:rsidP="00CA67C0"/>
        </w:tc>
        <w:tc>
          <w:tcPr>
            <w:tcW w:w="2835" w:type="dxa"/>
          </w:tcPr>
          <w:p w:rsidR="00CA67C0" w:rsidRPr="00CA67C0" w:rsidRDefault="00CA67C0" w:rsidP="00CA67C0">
            <w:r w:rsidRPr="00883125">
              <w:t>Authors</w:t>
            </w:r>
          </w:p>
        </w:tc>
        <w:tc>
          <w:tcPr>
            <w:tcW w:w="1346" w:type="dxa"/>
          </w:tcPr>
          <w:p w:rsidR="00CA67C0" w:rsidRPr="00CA67C0" w:rsidRDefault="00CA67C0" w:rsidP="00CA67C0">
            <w:r w:rsidRPr="00883125">
              <w:t>Pre-2000 results</w:t>
            </w:r>
          </w:p>
        </w:tc>
        <w:tc>
          <w:tcPr>
            <w:tcW w:w="1347" w:type="dxa"/>
          </w:tcPr>
          <w:p w:rsidR="00CA67C0" w:rsidRPr="00CA67C0" w:rsidRDefault="00CA67C0" w:rsidP="00CA67C0">
            <w:r w:rsidRPr="00883125">
              <w:t>Post-2000 results</w:t>
            </w:r>
          </w:p>
        </w:tc>
        <w:tc>
          <w:tcPr>
            <w:tcW w:w="3260" w:type="dxa"/>
          </w:tcPr>
          <w:p w:rsidR="00CA67C0" w:rsidRPr="00CA67C0" w:rsidRDefault="00CA67C0" w:rsidP="00CA67C0">
            <w:r w:rsidRPr="00883125">
              <w:t>Notes</w:t>
            </w:r>
          </w:p>
        </w:tc>
      </w:tr>
      <w:tr w:rsidR="00CA67C0" w:rsidRPr="00222643" w:rsidTr="00CA67C0">
        <w:trPr>
          <w:cantSplit/>
          <w:trHeight w:val="479"/>
        </w:trPr>
        <w:tc>
          <w:tcPr>
            <w:tcW w:w="3227" w:type="dxa"/>
            <w:gridSpan w:val="2"/>
          </w:tcPr>
          <w:p w:rsidR="00CA67C0" w:rsidRPr="00CA67C0" w:rsidRDefault="00CA67C0" w:rsidP="00CA67C0">
            <w:pPr>
              <w:rPr>
                <w:rStyle w:val="Strong"/>
              </w:rPr>
            </w:pPr>
            <w:r w:rsidRPr="00883125">
              <w:rPr>
                <w:rStyle w:val="Strong"/>
              </w:rPr>
              <w:t>Dividend drop off study using hybrids</w:t>
            </w:r>
          </w:p>
        </w:tc>
        <w:tc>
          <w:tcPr>
            <w:tcW w:w="1346" w:type="dxa"/>
          </w:tcPr>
          <w:p w:rsidR="00CA67C0" w:rsidRPr="00883125" w:rsidRDefault="00CA67C0" w:rsidP="00CA67C0"/>
        </w:tc>
        <w:tc>
          <w:tcPr>
            <w:tcW w:w="1347" w:type="dxa"/>
          </w:tcPr>
          <w:p w:rsidR="00CA67C0" w:rsidRPr="00883125" w:rsidRDefault="00CA67C0" w:rsidP="00CA67C0"/>
        </w:tc>
        <w:tc>
          <w:tcPr>
            <w:tcW w:w="3322" w:type="dxa"/>
            <w:gridSpan w:val="2"/>
          </w:tcPr>
          <w:p w:rsidR="00CA67C0" w:rsidRPr="00883125" w:rsidRDefault="00CA67C0" w:rsidP="00CA67C0"/>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Pr>
        <w:tc>
          <w:tcPr>
            <w:tcW w:w="392" w:type="dxa"/>
          </w:tcPr>
          <w:p w:rsidR="00CA67C0" w:rsidRPr="00883125" w:rsidRDefault="00CA67C0" w:rsidP="00CA67C0"/>
        </w:tc>
        <w:tc>
          <w:tcPr>
            <w:tcW w:w="2835" w:type="dxa"/>
          </w:tcPr>
          <w:p w:rsidR="00CA67C0" w:rsidRPr="00CA67C0" w:rsidRDefault="00CA67C0" w:rsidP="00CA67C0">
            <w:r w:rsidRPr="00883125">
              <w:t>Feuerherdt, Gray and Hall (2010)</w:t>
            </w:r>
            <w:r w:rsidRPr="00CA67C0">
              <w:rPr>
                <w:rStyle w:val="FootnoteReference"/>
              </w:rPr>
              <w:footnoteReference w:id="593"/>
            </w:r>
          </w:p>
        </w:tc>
        <w:tc>
          <w:tcPr>
            <w:tcW w:w="1346" w:type="dxa"/>
          </w:tcPr>
          <w:p w:rsidR="00CA67C0" w:rsidRPr="00CA67C0" w:rsidRDefault="00CA67C0" w:rsidP="00CA67C0">
            <w:r w:rsidRPr="00883125">
              <w:t>N/A</w:t>
            </w:r>
            <w:r w:rsidRPr="00883125">
              <w:br/>
              <w:t>(1995–2002)</w:t>
            </w:r>
          </w:p>
        </w:tc>
        <w:tc>
          <w:tcPr>
            <w:tcW w:w="1347" w:type="dxa"/>
          </w:tcPr>
          <w:p w:rsidR="00CA67C0" w:rsidRPr="00883125" w:rsidRDefault="00CA67C0" w:rsidP="00CA67C0"/>
        </w:tc>
        <w:tc>
          <w:tcPr>
            <w:tcW w:w="3322" w:type="dxa"/>
            <w:gridSpan w:val="2"/>
          </w:tcPr>
          <w:p w:rsidR="00CA67C0" w:rsidRPr="00CA67C0" w:rsidRDefault="00CA67C0" w:rsidP="00CA67C0">
            <w:r w:rsidRPr="00883125">
              <w:t xml:space="preserve">Combined drop </w:t>
            </w:r>
            <w:r w:rsidRPr="00CA67C0">
              <w:t>off of 1.0. With dividends at full value, this is a utilisation rate of 0.</w:t>
            </w:r>
          </w:p>
        </w:tc>
      </w:tr>
      <w:tr w:rsidR="00CA67C0" w:rsidRPr="00222643" w:rsidTr="00CA67C0">
        <w:trPr>
          <w:cantSplit/>
        </w:trPr>
        <w:tc>
          <w:tcPr>
            <w:tcW w:w="3227" w:type="dxa"/>
            <w:gridSpan w:val="2"/>
          </w:tcPr>
          <w:p w:rsidR="00CA67C0" w:rsidRPr="00CA67C0" w:rsidRDefault="00CA67C0" w:rsidP="00CA67C0">
            <w:pPr>
              <w:rPr>
                <w:rStyle w:val="Strong"/>
              </w:rPr>
            </w:pPr>
            <w:r w:rsidRPr="00883125">
              <w:rPr>
                <w:rStyle w:val="Strong"/>
              </w:rPr>
              <w:t xml:space="preserve">Futures study (individual or </w:t>
            </w:r>
            <w:r w:rsidRPr="00CA67C0">
              <w:rPr>
                <w:rStyle w:val="Strong"/>
              </w:rPr>
              <w:t>index)</w:t>
            </w:r>
          </w:p>
        </w:tc>
        <w:tc>
          <w:tcPr>
            <w:tcW w:w="1346" w:type="dxa"/>
          </w:tcPr>
          <w:p w:rsidR="00CA67C0" w:rsidRPr="00883125" w:rsidRDefault="00CA67C0" w:rsidP="00CA67C0">
            <w:pPr>
              <w:rPr>
                <w:rStyle w:val="Strong"/>
              </w:rPr>
            </w:pPr>
          </w:p>
        </w:tc>
        <w:tc>
          <w:tcPr>
            <w:tcW w:w="1347" w:type="dxa"/>
          </w:tcPr>
          <w:p w:rsidR="00CA67C0" w:rsidRPr="00883125" w:rsidRDefault="00CA67C0" w:rsidP="00CA67C0"/>
        </w:tc>
        <w:tc>
          <w:tcPr>
            <w:tcW w:w="3322" w:type="dxa"/>
            <w:gridSpan w:val="2"/>
          </w:tcPr>
          <w:p w:rsidR="00CA67C0" w:rsidRPr="00883125" w:rsidRDefault="00CA67C0" w:rsidP="00CA67C0"/>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CA67C0" w:rsidRPr="00883125" w:rsidRDefault="00CA67C0" w:rsidP="00CA67C0"/>
        </w:tc>
        <w:tc>
          <w:tcPr>
            <w:tcW w:w="2835" w:type="dxa"/>
          </w:tcPr>
          <w:p w:rsidR="00CA67C0" w:rsidRPr="00CA67C0" w:rsidRDefault="00CA67C0" w:rsidP="00CA67C0">
            <w:r w:rsidRPr="00883125">
              <w:t>SFG (2013b)</w:t>
            </w:r>
            <w:r w:rsidRPr="00CA67C0">
              <w:rPr>
                <w:rStyle w:val="FootnoteReference"/>
              </w:rPr>
              <w:footnoteReference w:id="594"/>
            </w:r>
          </w:p>
        </w:tc>
        <w:tc>
          <w:tcPr>
            <w:tcW w:w="1346" w:type="dxa"/>
          </w:tcPr>
          <w:p w:rsidR="00CA67C0" w:rsidRPr="00883125" w:rsidRDefault="00CA67C0" w:rsidP="00CA67C0"/>
        </w:tc>
        <w:tc>
          <w:tcPr>
            <w:tcW w:w="1347" w:type="dxa"/>
          </w:tcPr>
          <w:p w:rsidR="00CA67C0" w:rsidRPr="00CA67C0" w:rsidRDefault="00CA67C0" w:rsidP="00CA67C0">
            <w:r w:rsidRPr="00883125">
              <w:t>0.12</w:t>
            </w:r>
            <w:r w:rsidRPr="00883125">
              <w:br/>
              <w:t>(2000–2013)</w:t>
            </w:r>
          </w:p>
        </w:tc>
        <w:tc>
          <w:tcPr>
            <w:tcW w:w="3322" w:type="dxa"/>
            <w:gridSpan w:val="2"/>
          </w:tcPr>
          <w:p w:rsidR="00CA67C0" w:rsidRPr="00CA67C0" w:rsidRDefault="00CA67C0" w:rsidP="00CA67C0">
            <w:r w:rsidRPr="00883125">
              <w:t>Uses individual firms.</w:t>
            </w:r>
          </w:p>
        </w:tc>
      </w:tr>
      <w:tr w:rsidR="00CA67C0" w:rsidRPr="00222643" w:rsidTr="00CA67C0">
        <w:trPr>
          <w:cantSplit/>
          <w:trHeight w:val="465"/>
        </w:trPr>
        <w:tc>
          <w:tcPr>
            <w:tcW w:w="392" w:type="dxa"/>
          </w:tcPr>
          <w:p w:rsidR="00CA67C0" w:rsidRPr="00883125" w:rsidRDefault="00CA67C0" w:rsidP="00CA67C0"/>
        </w:tc>
        <w:tc>
          <w:tcPr>
            <w:tcW w:w="2835" w:type="dxa"/>
          </w:tcPr>
          <w:p w:rsidR="00CA67C0" w:rsidRPr="00CA67C0" w:rsidRDefault="00CA67C0" w:rsidP="00CA67C0">
            <w:r w:rsidRPr="00883125">
              <w:t>Cannavan et al (2004)</w:t>
            </w:r>
            <w:r w:rsidRPr="00CA67C0">
              <w:rPr>
                <w:rStyle w:val="FootnoteReference"/>
              </w:rPr>
              <w:footnoteReference w:id="595"/>
            </w:r>
          </w:p>
        </w:tc>
        <w:tc>
          <w:tcPr>
            <w:tcW w:w="1346" w:type="dxa"/>
          </w:tcPr>
          <w:p w:rsidR="00CA67C0" w:rsidRPr="00CA67C0" w:rsidRDefault="00CA67C0" w:rsidP="00CA67C0">
            <w:r w:rsidRPr="00883125">
              <w:t>0–0.15</w:t>
            </w:r>
            <w:r w:rsidRPr="00883125">
              <w:br/>
              <w:t>(1994–1999)</w:t>
            </w:r>
          </w:p>
        </w:tc>
        <w:tc>
          <w:tcPr>
            <w:tcW w:w="1347" w:type="dxa"/>
          </w:tcPr>
          <w:p w:rsidR="00CA67C0" w:rsidRPr="00883125" w:rsidRDefault="00CA67C0" w:rsidP="00CA67C0"/>
        </w:tc>
        <w:tc>
          <w:tcPr>
            <w:tcW w:w="3322" w:type="dxa"/>
            <w:gridSpan w:val="2"/>
          </w:tcPr>
          <w:p w:rsidR="00CA67C0" w:rsidRPr="00CA67C0" w:rsidRDefault="00CA67C0" w:rsidP="00CA67C0">
            <w:r w:rsidRPr="00883125">
              <w:t>Uses individual firms.</w:t>
            </w:r>
          </w:p>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Pr>
        <w:tc>
          <w:tcPr>
            <w:tcW w:w="392" w:type="dxa"/>
          </w:tcPr>
          <w:p w:rsidR="00CA67C0" w:rsidRPr="00883125" w:rsidRDefault="00CA67C0" w:rsidP="00CA67C0"/>
        </w:tc>
        <w:tc>
          <w:tcPr>
            <w:tcW w:w="2835" w:type="dxa"/>
          </w:tcPr>
          <w:p w:rsidR="00CA67C0" w:rsidRPr="00CA67C0" w:rsidRDefault="00CA67C0" w:rsidP="00CA67C0">
            <w:r w:rsidRPr="00883125">
              <w:t xml:space="preserve">Cummings and </w:t>
            </w:r>
            <w:r w:rsidRPr="00CA67C0">
              <w:t>Frino (2008)</w:t>
            </w:r>
            <w:r w:rsidRPr="00CA67C0">
              <w:rPr>
                <w:rStyle w:val="FootnoteReference"/>
              </w:rPr>
              <w:footnoteReference w:id="596"/>
            </w:r>
          </w:p>
        </w:tc>
        <w:tc>
          <w:tcPr>
            <w:tcW w:w="1346" w:type="dxa"/>
          </w:tcPr>
          <w:p w:rsidR="00CA67C0" w:rsidRPr="00883125" w:rsidRDefault="00CA67C0" w:rsidP="00CA67C0"/>
        </w:tc>
        <w:tc>
          <w:tcPr>
            <w:tcW w:w="1347" w:type="dxa"/>
          </w:tcPr>
          <w:p w:rsidR="00CA67C0" w:rsidRPr="00CA67C0" w:rsidRDefault="00CA67C0" w:rsidP="00CA67C0">
            <w:r w:rsidRPr="00883125">
              <w:t>0.52</w:t>
            </w:r>
            <w:r w:rsidRPr="00883125">
              <w:br/>
              <w:t>(2002–2005)</w:t>
            </w:r>
          </w:p>
        </w:tc>
        <w:tc>
          <w:tcPr>
            <w:tcW w:w="3322" w:type="dxa"/>
            <w:gridSpan w:val="2"/>
          </w:tcPr>
          <w:p w:rsidR="00CA67C0" w:rsidRPr="00CA67C0" w:rsidRDefault="00CA67C0" w:rsidP="00CA67C0">
            <w:r w:rsidRPr="00883125">
              <w:t>Uses index.</w:t>
            </w:r>
          </w:p>
        </w:tc>
      </w:tr>
      <w:tr w:rsidR="00CA67C0" w:rsidRPr="00222643" w:rsidTr="00CA67C0">
        <w:trPr>
          <w:cantSplit/>
        </w:trPr>
        <w:tc>
          <w:tcPr>
            <w:tcW w:w="3227" w:type="dxa"/>
            <w:gridSpan w:val="2"/>
          </w:tcPr>
          <w:p w:rsidR="00CA67C0" w:rsidRPr="00CA67C0" w:rsidRDefault="00CA67C0" w:rsidP="00CA67C0">
            <w:pPr>
              <w:rPr>
                <w:rStyle w:val="Strong"/>
              </w:rPr>
            </w:pPr>
            <w:r w:rsidRPr="00883125">
              <w:rPr>
                <w:rStyle w:val="Strong"/>
              </w:rPr>
              <w:t>Rate of return study</w:t>
            </w:r>
          </w:p>
        </w:tc>
        <w:tc>
          <w:tcPr>
            <w:tcW w:w="1346" w:type="dxa"/>
          </w:tcPr>
          <w:p w:rsidR="00CA67C0" w:rsidRPr="00883125" w:rsidRDefault="00CA67C0" w:rsidP="00CA67C0"/>
        </w:tc>
        <w:tc>
          <w:tcPr>
            <w:tcW w:w="1347" w:type="dxa"/>
          </w:tcPr>
          <w:p w:rsidR="00CA67C0" w:rsidRPr="00883125" w:rsidRDefault="00CA67C0" w:rsidP="00CA67C0"/>
        </w:tc>
        <w:tc>
          <w:tcPr>
            <w:tcW w:w="3322" w:type="dxa"/>
            <w:gridSpan w:val="2"/>
          </w:tcPr>
          <w:p w:rsidR="00CA67C0" w:rsidRPr="00883125" w:rsidRDefault="00CA67C0" w:rsidP="00CA67C0"/>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Pr>
        <w:tc>
          <w:tcPr>
            <w:tcW w:w="392" w:type="dxa"/>
          </w:tcPr>
          <w:p w:rsidR="00CA67C0" w:rsidRPr="00883125" w:rsidRDefault="00CA67C0" w:rsidP="00CA67C0"/>
        </w:tc>
        <w:tc>
          <w:tcPr>
            <w:tcW w:w="2835" w:type="dxa"/>
          </w:tcPr>
          <w:p w:rsidR="00CA67C0" w:rsidRPr="00CA67C0" w:rsidRDefault="00CA67C0" w:rsidP="00CA67C0">
            <w:r w:rsidRPr="00883125">
              <w:t>NERA (2013b)</w:t>
            </w:r>
            <w:r w:rsidRPr="00CA67C0">
              <w:rPr>
                <w:rStyle w:val="FootnoteReference"/>
              </w:rPr>
              <w:footnoteReference w:id="597"/>
            </w:r>
          </w:p>
        </w:tc>
        <w:tc>
          <w:tcPr>
            <w:tcW w:w="1346" w:type="dxa"/>
          </w:tcPr>
          <w:p w:rsidR="00CA67C0" w:rsidRPr="00CA67C0" w:rsidRDefault="00CA67C0" w:rsidP="00CA67C0">
            <w:r w:rsidRPr="00883125">
              <w:t>-1.57</w:t>
            </w:r>
            <w:r w:rsidRPr="00883125">
              <w:br/>
              <w:t>(1987–2000)</w:t>
            </w:r>
          </w:p>
        </w:tc>
        <w:tc>
          <w:tcPr>
            <w:tcW w:w="1347" w:type="dxa"/>
          </w:tcPr>
          <w:p w:rsidR="00CA67C0" w:rsidRPr="00CA67C0" w:rsidRDefault="00CA67C0" w:rsidP="00CA67C0">
            <w:r w:rsidRPr="00883125">
              <w:t>-1.90</w:t>
            </w:r>
            <w:r w:rsidRPr="00883125">
              <w:br/>
              <w:t>(2000–2012)</w:t>
            </w:r>
          </w:p>
        </w:tc>
        <w:tc>
          <w:tcPr>
            <w:tcW w:w="3322" w:type="dxa"/>
            <w:gridSpan w:val="2"/>
          </w:tcPr>
          <w:p w:rsidR="00CA67C0" w:rsidRPr="00CA67C0" w:rsidRDefault="00CA67C0" w:rsidP="00CA67C0">
            <w:r w:rsidRPr="00883125">
              <w:t>Uses past returns. For the entire period, estimate is -1.50.</w:t>
            </w:r>
          </w:p>
        </w:tc>
      </w:tr>
      <w:tr w:rsidR="00CA67C0" w:rsidRPr="00222643" w:rsidTr="00CA67C0">
        <w:trPr>
          <w:cantSplit/>
          <w:trHeight w:val="535"/>
        </w:trPr>
        <w:tc>
          <w:tcPr>
            <w:tcW w:w="392" w:type="dxa"/>
          </w:tcPr>
          <w:p w:rsidR="00CA67C0" w:rsidRPr="00883125" w:rsidRDefault="00CA67C0" w:rsidP="00CA67C0"/>
        </w:tc>
        <w:tc>
          <w:tcPr>
            <w:tcW w:w="2835" w:type="dxa"/>
          </w:tcPr>
          <w:p w:rsidR="00CA67C0" w:rsidRPr="00CA67C0" w:rsidRDefault="00CA67C0" w:rsidP="00CA67C0">
            <w:r w:rsidRPr="00883125">
              <w:t>Lajbcygier and Wheatley (2012)</w:t>
            </w:r>
            <w:r w:rsidRPr="00CA67C0">
              <w:rPr>
                <w:rStyle w:val="FootnoteReference"/>
              </w:rPr>
              <w:footnoteReference w:id="598"/>
            </w:r>
          </w:p>
        </w:tc>
        <w:tc>
          <w:tcPr>
            <w:tcW w:w="1346" w:type="dxa"/>
          </w:tcPr>
          <w:p w:rsidR="00CA67C0" w:rsidRPr="00CA67C0" w:rsidRDefault="00CA67C0" w:rsidP="00CA67C0">
            <w:r w:rsidRPr="00883125">
              <w:t>-1.57</w:t>
            </w:r>
            <w:r w:rsidRPr="00883125">
              <w:br/>
              <w:t>(1987–2000)</w:t>
            </w:r>
          </w:p>
        </w:tc>
        <w:tc>
          <w:tcPr>
            <w:tcW w:w="1347" w:type="dxa"/>
          </w:tcPr>
          <w:p w:rsidR="00CA67C0" w:rsidRPr="00CA67C0" w:rsidRDefault="00CA67C0" w:rsidP="00CA67C0">
            <w:r w:rsidRPr="00883125">
              <w:t>-1.68</w:t>
            </w:r>
            <w:r w:rsidRPr="00883125">
              <w:br/>
              <w:t>(2000–2009)</w:t>
            </w:r>
          </w:p>
        </w:tc>
        <w:tc>
          <w:tcPr>
            <w:tcW w:w="3322" w:type="dxa"/>
            <w:gridSpan w:val="2"/>
          </w:tcPr>
          <w:p w:rsidR="00CA67C0" w:rsidRPr="00CA67C0" w:rsidRDefault="00CA67C0" w:rsidP="00CA67C0">
            <w:r w:rsidRPr="00883125">
              <w:t>Uses</w:t>
            </w:r>
            <w:r w:rsidRPr="00CA67C0">
              <w:t xml:space="preserve"> past returns. For the entire period, estimate is -1.88</w:t>
            </w:r>
          </w:p>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A67C0" w:rsidRPr="00883125" w:rsidRDefault="00CA67C0" w:rsidP="00CA67C0"/>
        </w:tc>
        <w:tc>
          <w:tcPr>
            <w:tcW w:w="2835" w:type="dxa"/>
          </w:tcPr>
          <w:p w:rsidR="00CA67C0" w:rsidRPr="00CA67C0" w:rsidRDefault="00CA67C0" w:rsidP="00CA67C0">
            <w:r w:rsidRPr="00883125">
              <w:t>Siau et al (2013)</w:t>
            </w:r>
            <w:r w:rsidRPr="00CA67C0">
              <w:rPr>
                <w:rStyle w:val="FootnoteReference"/>
              </w:rPr>
              <w:footnoteReference w:id="599"/>
            </w:r>
          </w:p>
        </w:tc>
        <w:tc>
          <w:tcPr>
            <w:tcW w:w="1346" w:type="dxa"/>
          </w:tcPr>
          <w:p w:rsidR="00CA67C0" w:rsidRPr="00883125" w:rsidRDefault="00CA67C0" w:rsidP="00CA67C0"/>
        </w:tc>
        <w:tc>
          <w:tcPr>
            <w:tcW w:w="1347" w:type="dxa"/>
          </w:tcPr>
          <w:p w:rsidR="00CA67C0" w:rsidRPr="00CA67C0" w:rsidRDefault="00CA67C0" w:rsidP="00CA67C0">
            <w:r w:rsidRPr="00883125">
              <w:t>-0.29–0.30</w:t>
            </w:r>
            <w:r w:rsidRPr="00883125">
              <w:br/>
              <w:t>(1996–2011)</w:t>
            </w:r>
          </w:p>
        </w:tc>
        <w:tc>
          <w:tcPr>
            <w:tcW w:w="3322" w:type="dxa"/>
            <w:gridSpan w:val="2"/>
          </w:tcPr>
          <w:p w:rsidR="00CA67C0" w:rsidRPr="00CA67C0" w:rsidRDefault="00CA67C0" w:rsidP="00CA67C0">
            <w:r w:rsidRPr="00883125">
              <w:t>Uses forecast returns. Note range is from negative 0.29 to positive 0.30.</w:t>
            </w:r>
          </w:p>
        </w:tc>
      </w:tr>
      <w:tr w:rsidR="00CA67C0" w:rsidRPr="00222643" w:rsidTr="00CA67C0">
        <w:trPr>
          <w:cantSplit/>
          <w:trHeight w:val="299"/>
        </w:trPr>
        <w:tc>
          <w:tcPr>
            <w:tcW w:w="392" w:type="dxa"/>
          </w:tcPr>
          <w:p w:rsidR="00CA67C0" w:rsidRPr="00883125" w:rsidRDefault="00CA67C0" w:rsidP="00CA67C0"/>
        </w:tc>
        <w:tc>
          <w:tcPr>
            <w:tcW w:w="2835" w:type="dxa"/>
          </w:tcPr>
          <w:p w:rsidR="00CA67C0" w:rsidRPr="00CA67C0" w:rsidRDefault="00CA67C0" w:rsidP="00CA67C0">
            <w:r w:rsidRPr="00883125">
              <w:t>Siau et al (2015)</w:t>
            </w:r>
            <w:r w:rsidRPr="00CA67C0">
              <w:rPr>
                <w:rStyle w:val="FootnoteReference"/>
              </w:rPr>
              <w:footnoteReference w:id="600"/>
            </w:r>
          </w:p>
        </w:tc>
        <w:tc>
          <w:tcPr>
            <w:tcW w:w="1346" w:type="dxa"/>
          </w:tcPr>
          <w:p w:rsidR="00CA67C0" w:rsidRPr="00883125" w:rsidRDefault="00CA67C0" w:rsidP="00CA67C0"/>
        </w:tc>
        <w:tc>
          <w:tcPr>
            <w:tcW w:w="1347" w:type="dxa"/>
          </w:tcPr>
          <w:p w:rsidR="00CA67C0" w:rsidRPr="00CA67C0" w:rsidRDefault="00CA67C0" w:rsidP="00CA67C0">
            <w:r w:rsidRPr="00883125">
              <w:t>-0.29–0.30</w:t>
            </w:r>
            <w:r w:rsidRPr="00883125">
              <w:br/>
              <w:t>(1996–2011)</w:t>
            </w:r>
          </w:p>
        </w:tc>
        <w:tc>
          <w:tcPr>
            <w:tcW w:w="3322" w:type="dxa"/>
            <w:gridSpan w:val="2"/>
          </w:tcPr>
          <w:p w:rsidR="00CA67C0" w:rsidRPr="00CA67C0" w:rsidRDefault="00CA67C0" w:rsidP="00CA67C0">
            <w:r w:rsidRPr="00883125">
              <w:t xml:space="preserve">Uses forecast returns. Note range is from negative 0.29 to positive 0.30. </w:t>
            </w:r>
          </w:p>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A67C0" w:rsidRPr="00883125" w:rsidRDefault="00CA67C0" w:rsidP="00CA67C0"/>
        </w:tc>
        <w:tc>
          <w:tcPr>
            <w:tcW w:w="2835" w:type="dxa"/>
          </w:tcPr>
          <w:p w:rsidR="00CA67C0" w:rsidRPr="00CA67C0" w:rsidRDefault="00CA67C0" w:rsidP="00CA67C0">
            <w:r w:rsidRPr="00883125">
              <w:t>NERA (2015)</w:t>
            </w:r>
            <w:r w:rsidRPr="00CA67C0">
              <w:rPr>
                <w:rStyle w:val="FootnoteReference"/>
              </w:rPr>
              <w:footnoteReference w:id="601"/>
            </w:r>
          </w:p>
        </w:tc>
        <w:tc>
          <w:tcPr>
            <w:tcW w:w="1346" w:type="dxa"/>
          </w:tcPr>
          <w:p w:rsidR="00CA67C0" w:rsidRPr="00CA67C0" w:rsidRDefault="00CA67C0" w:rsidP="00CA67C0">
            <w:r w:rsidRPr="00883125">
              <w:t>-0.90                         (1987-2000)</w:t>
            </w:r>
          </w:p>
        </w:tc>
        <w:tc>
          <w:tcPr>
            <w:tcW w:w="1347" w:type="dxa"/>
          </w:tcPr>
          <w:p w:rsidR="00CA67C0" w:rsidRPr="00CA67C0" w:rsidRDefault="00CA67C0" w:rsidP="00CA67C0">
            <w:r w:rsidRPr="00883125">
              <w:t>-3.18                    (2000-2013)</w:t>
            </w:r>
          </w:p>
        </w:tc>
        <w:tc>
          <w:tcPr>
            <w:tcW w:w="3322" w:type="dxa"/>
            <w:gridSpan w:val="2"/>
          </w:tcPr>
          <w:p w:rsidR="00CA67C0" w:rsidRPr="00CA67C0" w:rsidRDefault="00CA67C0" w:rsidP="00CA67C0">
            <w:r w:rsidRPr="00883125">
              <w:t>Uses past returns. For the entire period, estimate is -1.76</w:t>
            </w:r>
          </w:p>
        </w:tc>
      </w:tr>
      <w:tr w:rsidR="00CA67C0" w:rsidRPr="00222643" w:rsidTr="00CA67C0">
        <w:trPr>
          <w:cantSplit/>
          <w:trHeight w:val="402"/>
        </w:trPr>
        <w:tc>
          <w:tcPr>
            <w:tcW w:w="3227" w:type="dxa"/>
            <w:gridSpan w:val="2"/>
          </w:tcPr>
          <w:p w:rsidR="00CA67C0" w:rsidRPr="00CA67C0" w:rsidRDefault="00CA67C0" w:rsidP="00CA67C0">
            <w:pPr>
              <w:rPr>
                <w:rStyle w:val="Strong"/>
              </w:rPr>
            </w:pPr>
            <w:r w:rsidRPr="00883125">
              <w:rPr>
                <w:rStyle w:val="Strong"/>
              </w:rPr>
              <w:lastRenderedPageBreak/>
              <w:t>Simultaneous share trades</w:t>
            </w:r>
          </w:p>
        </w:tc>
        <w:tc>
          <w:tcPr>
            <w:tcW w:w="1346" w:type="dxa"/>
          </w:tcPr>
          <w:p w:rsidR="00CA67C0" w:rsidRPr="00883125" w:rsidRDefault="00CA67C0" w:rsidP="00CA67C0"/>
        </w:tc>
        <w:tc>
          <w:tcPr>
            <w:tcW w:w="1347" w:type="dxa"/>
          </w:tcPr>
          <w:p w:rsidR="00CA67C0" w:rsidRPr="00883125" w:rsidRDefault="00CA67C0" w:rsidP="00CA67C0"/>
        </w:tc>
        <w:tc>
          <w:tcPr>
            <w:tcW w:w="3322" w:type="dxa"/>
            <w:gridSpan w:val="2"/>
          </w:tcPr>
          <w:p w:rsidR="00CA67C0" w:rsidRPr="00883125" w:rsidRDefault="00CA67C0" w:rsidP="00CA67C0"/>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CA67C0" w:rsidRPr="00883125" w:rsidRDefault="00CA67C0" w:rsidP="00CA67C0"/>
        </w:tc>
        <w:tc>
          <w:tcPr>
            <w:tcW w:w="2835" w:type="dxa"/>
          </w:tcPr>
          <w:p w:rsidR="00CA67C0" w:rsidRPr="00CA67C0" w:rsidRDefault="00CA67C0" w:rsidP="00CA67C0">
            <w:r w:rsidRPr="00883125">
              <w:t>Chu and Partington (2008)</w:t>
            </w:r>
            <w:r w:rsidRPr="00CA67C0">
              <w:rPr>
                <w:rStyle w:val="FootnoteReference"/>
              </w:rPr>
              <w:footnoteReference w:id="602"/>
            </w:r>
          </w:p>
        </w:tc>
        <w:tc>
          <w:tcPr>
            <w:tcW w:w="1346" w:type="dxa"/>
          </w:tcPr>
          <w:p w:rsidR="00CA67C0" w:rsidRPr="00CA67C0" w:rsidRDefault="00CA67C0" w:rsidP="00CA67C0">
            <w:r w:rsidRPr="00883125">
              <w:t>N/A</w:t>
            </w:r>
            <w:r w:rsidRPr="00883125">
              <w:br/>
              <w:t>(1996)</w:t>
            </w:r>
          </w:p>
        </w:tc>
        <w:tc>
          <w:tcPr>
            <w:tcW w:w="1347" w:type="dxa"/>
          </w:tcPr>
          <w:p w:rsidR="00CA67C0" w:rsidRPr="00883125" w:rsidRDefault="00CA67C0" w:rsidP="00CA67C0"/>
        </w:tc>
        <w:tc>
          <w:tcPr>
            <w:tcW w:w="3322" w:type="dxa"/>
            <w:gridSpan w:val="2"/>
          </w:tcPr>
          <w:p w:rsidR="00CA67C0" w:rsidRPr="00CA67C0" w:rsidRDefault="00CA67C0" w:rsidP="00CA67C0">
            <w:r w:rsidRPr="00883125">
              <w:t>Combined drop off of 1.29. With dividends at full value, this is a utilisation rate of 0.68.</w:t>
            </w:r>
          </w:p>
        </w:tc>
      </w:tr>
      <w:tr w:rsidR="00CA67C0" w:rsidRPr="00222643" w:rsidTr="00CA67C0">
        <w:trPr>
          <w:cantSplit/>
          <w:trHeight w:val="284"/>
        </w:trPr>
        <w:tc>
          <w:tcPr>
            <w:tcW w:w="392" w:type="dxa"/>
          </w:tcPr>
          <w:p w:rsidR="00CA67C0" w:rsidRPr="00883125" w:rsidRDefault="00CA67C0" w:rsidP="00CA67C0"/>
        </w:tc>
        <w:tc>
          <w:tcPr>
            <w:tcW w:w="2835" w:type="dxa"/>
          </w:tcPr>
          <w:p w:rsidR="00CA67C0" w:rsidRPr="00CA67C0" w:rsidRDefault="00CA67C0" w:rsidP="00CA67C0">
            <w:r w:rsidRPr="00883125">
              <w:t>Walker and Partington (1999)</w:t>
            </w:r>
            <w:r w:rsidRPr="00CA67C0">
              <w:rPr>
                <w:rStyle w:val="FootnoteReference"/>
              </w:rPr>
              <w:footnoteReference w:id="603"/>
            </w:r>
          </w:p>
        </w:tc>
        <w:tc>
          <w:tcPr>
            <w:tcW w:w="1346" w:type="dxa"/>
          </w:tcPr>
          <w:p w:rsidR="00CA67C0" w:rsidRPr="00CA67C0" w:rsidRDefault="00CA67C0" w:rsidP="00CA67C0">
            <w:r w:rsidRPr="00883125">
              <w:t>0.88–0.96</w:t>
            </w:r>
            <w:r w:rsidRPr="00883125">
              <w:br/>
              <w:t>(1995–1997)</w:t>
            </w:r>
          </w:p>
        </w:tc>
        <w:tc>
          <w:tcPr>
            <w:tcW w:w="1347" w:type="dxa"/>
          </w:tcPr>
          <w:p w:rsidR="00CA67C0" w:rsidRPr="00883125" w:rsidRDefault="00CA67C0" w:rsidP="00CA67C0"/>
        </w:tc>
        <w:tc>
          <w:tcPr>
            <w:tcW w:w="3322" w:type="dxa"/>
            <w:gridSpan w:val="2"/>
          </w:tcPr>
          <w:p w:rsidR="00CA67C0" w:rsidRPr="00883125" w:rsidDel="003D6627" w:rsidRDefault="00CA67C0" w:rsidP="00CA67C0"/>
        </w:tc>
      </w:tr>
      <w:tr w:rsidR="00CA67C0" w:rsidRPr="00222643" w:rsidTr="00CA67C0">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CA67C0" w:rsidRPr="00883125" w:rsidRDefault="00CA67C0" w:rsidP="00CA67C0"/>
        </w:tc>
        <w:tc>
          <w:tcPr>
            <w:tcW w:w="2835" w:type="dxa"/>
          </w:tcPr>
          <w:p w:rsidR="00CA67C0" w:rsidRPr="00CA67C0" w:rsidRDefault="00CA67C0" w:rsidP="00CA67C0">
            <w:r w:rsidRPr="00883125">
              <w:t>Chu and Partington (2001)</w:t>
            </w:r>
            <w:r w:rsidRPr="00CA67C0">
              <w:rPr>
                <w:rStyle w:val="FootnoteReference"/>
              </w:rPr>
              <w:footnoteReference w:id="604"/>
            </w:r>
          </w:p>
        </w:tc>
        <w:tc>
          <w:tcPr>
            <w:tcW w:w="1346" w:type="dxa"/>
          </w:tcPr>
          <w:p w:rsidR="00CA67C0" w:rsidRPr="00CA67C0" w:rsidRDefault="00CA67C0" w:rsidP="00CA67C0">
            <w:r w:rsidRPr="00883125">
              <w:t>N/A</w:t>
            </w:r>
            <w:r w:rsidRPr="00883125">
              <w:br/>
              <w:t>(1991–1999)</w:t>
            </w:r>
          </w:p>
        </w:tc>
        <w:tc>
          <w:tcPr>
            <w:tcW w:w="1347" w:type="dxa"/>
          </w:tcPr>
          <w:p w:rsidR="00CA67C0" w:rsidRPr="00883125" w:rsidRDefault="00CA67C0" w:rsidP="00CA67C0"/>
        </w:tc>
        <w:tc>
          <w:tcPr>
            <w:tcW w:w="3322" w:type="dxa"/>
            <w:gridSpan w:val="2"/>
          </w:tcPr>
          <w:p w:rsidR="00CA67C0" w:rsidRPr="00CA67C0" w:rsidDel="003D6627" w:rsidRDefault="00CA67C0" w:rsidP="00CA67C0">
            <w:r w:rsidRPr="00883125">
              <w:t>Combined drop off</w:t>
            </w:r>
            <w:r w:rsidRPr="00CA67C0">
              <w:t xml:space="preserve"> of 1.5. With dividends at full value, this is a utilisation rate above 1.</w:t>
            </w:r>
          </w:p>
        </w:tc>
      </w:tr>
    </w:tbl>
    <w:p w:rsidR="00CA67C0" w:rsidRPr="00883125" w:rsidRDefault="00CA67C0" w:rsidP="00CA67C0">
      <w:pPr>
        <w:pStyle w:val="AERtablesource"/>
      </w:pPr>
      <w:r w:rsidRPr="00883125">
        <w:t xml:space="preserve">Source: </w:t>
      </w:r>
      <w:r w:rsidRPr="00883125">
        <w:tab/>
        <w:t>As specified in table.</w:t>
      </w:r>
    </w:p>
    <w:p w:rsidR="00CA67C0" w:rsidRPr="00883125" w:rsidRDefault="00CA67C0" w:rsidP="00CA67C0">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605"/>
      </w:r>
      <w:r w:rsidRPr="00883125">
        <w:t xml:space="preserve"> </w:t>
      </w:r>
    </w:p>
    <w:p w:rsidR="00CA67C0" w:rsidRPr="00883125" w:rsidRDefault="00CA67C0" w:rsidP="00CA67C0">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606"/>
      </w:r>
      <w:r w:rsidRPr="00883125">
        <w:t xml:space="preserve"> While NERA has responded to the criticism effectively stating the results may indicate there is something wrong with the SLCAPM</w:t>
      </w:r>
      <w:r w:rsidRPr="00883125">
        <w:rPr>
          <w:rStyle w:val="FootnoteReference"/>
        </w:rPr>
        <w:footnoteReference w:id="607"/>
      </w:r>
      <w:r w:rsidRPr="00883125">
        <w:t>, this does not resolve the issue of the reliability of the theta estimate for use in the SLCAPM.</w:t>
      </w:r>
      <w:r w:rsidRPr="00883125">
        <w:rPr>
          <w:rStyle w:val="FootnoteReference"/>
        </w:rPr>
        <w:footnoteReference w:id="608"/>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609"/>
      </w:r>
    </w:p>
    <w:p w:rsidR="00CA67C0" w:rsidRPr="00CA67C0" w:rsidRDefault="00CA67C0" w:rsidP="00CA67C0">
      <w:pPr>
        <w:pStyle w:val="Heading9"/>
      </w:pPr>
      <w:bookmarkStart w:id="287" w:name="_Ref435171205"/>
      <w:bookmarkStart w:id="288" w:name="_Toc456614340"/>
      <w:r w:rsidRPr="00883125">
        <w:t>Comparison with other market-based estimation approaches</w:t>
      </w:r>
      <w:bookmarkEnd w:id="287"/>
      <w:bookmarkEnd w:id="288"/>
    </w:p>
    <w:p w:rsidR="00CA67C0" w:rsidRPr="00CA67C0" w:rsidRDefault="00CA67C0" w:rsidP="00CA67C0">
      <w:r w:rsidRPr="00883125">
        <w:lastRenderedPageBreak/>
        <w:t>The majority of service providers have submitted that the use of implied market value studies to estimate the value of imputation credits is consistent with the approach to estimating other rate of return parameters.</w:t>
      </w:r>
      <w:r w:rsidRPr="00CA67C0">
        <w:rPr>
          <w:rStyle w:val="FootnoteReference"/>
        </w:rPr>
        <w:footnoteReference w:id="610"/>
      </w:r>
      <w:r w:rsidRPr="00CA67C0">
        <w:t xml:space="preserve"> We disagree. As we set our prior decisions, we consider that the use of market prices to estimate the value of imputation credits is fundamentally different to using market prices to estimate other rate of return parameters. </w:t>
      </w:r>
    </w:p>
    <w:p w:rsidR="00CA67C0" w:rsidRPr="00883125" w:rsidRDefault="00CA67C0" w:rsidP="00CA67C0">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611"/>
      </w:r>
      <w:r w:rsidRPr="00883125">
        <w:t xml:space="preserve"> By contrast, imputation credits are not separately traded. Therefore, no market price exists for imputation credits in the same manner as that for separately traded assets.</w:t>
      </w:r>
    </w:p>
    <w:p w:rsidR="00CA67C0" w:rsidRPr="00883125" w:rsidRDefault="00CA67C0" w:rsidP="00CA67C0">
      <w:r w:rsidRPr="00883125">
        <w:t>Further, when returns are calculated on bonds for the cost of debt, and capital gains/loss for the return on equity, these returns are</w:t>
      </w:r>
      <w:r w:rsidR="007F26CE">
        <w:t xml:space="preserve"> post (company) tax</w:t>
      </w:r>
      <w:r w:rsidRPr="00883125">
        <w:t xml:space="preserve"> </w:t>
      </w:r>
      <w:r w:rsidR="007F26CE">
        <w:t>(</w:t>
      </w:r>
      <w:r>
        <w:t>pre-personal tax</w:t>
      </w:r>
      <w:r w:rsidR="007F26CE">
        <w:t>)</w:t>
      </w:r>
      <w:r>
        <w:t xml:space="preserve"> returns</w:t>
      </w:r>
      <w:r w:rsidRPr="00883125">
        <w:t>. However, imputation credits and dividends market values derived from drop off studies are influenced by differential personal tax</w:t>
      </w:r>
      <w:r>
        <w:t xml:space="preserve"> resulting in these values being neither pre nor post </w:t>
      </w:r>
      <w:r w:rsidR="007F26CE">
        <w:t xml:space="preserve">personal </w:t>
      </w:r>
      <w:r>
        <w:t>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612"/>
      </w:r>
      <w:r>
        <w:t xml:space="preserve"> </w:t>
      </w:r>
      <w:r w:rsidRPr="00883125">
        <w:t xml:space="preserve">This is further discussed in detail in section </w:t>
      </w:r>
      <w:r>
        <w:fldChar w:fldCharType="begin"/>
      </w:r>
      <w:r>
        <w:instrText xml:space="preserve"> REF _Ref450840388 \r \h </w:instrText>
      </w:r>
      <w:r>
        <w:fldChar w:fldCharType="separate"/>
      </w:r>
      <w:r w:rsidR="007261FC">
        <w:t>A.8.2</w:t>
      </w:r>
      <w:r>
        <w:fldChar w:fldCharType="end"/>
      </w:r>
      <w:r w:rsidRPr="00883125">
        <w:t xml:space="preserve"> and an example is provided to demonstrate the impact below.</w:t>
      </w:r>
    </w:p>
    <w:p w:rsidR="00CA67C0" w:rsidRPr="00883125" w:rsidRDefault="00CA67C0" w:rsidP="00CA67C0">
      <w:r w:rsidRPr="00883125">
        <w:t>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techniques (that is, regression analysis) to observed market prices when estimating beta.</w:t>
      </w:r>
      <w:r w:rsidRPr="00883125">
        <w:rPr>
          <w:rStyle w:val="FootnoteReference"/>
        </w:rPr>
        <w:footnoteReference w:id="613"/>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614"/>
      </w:r>
    </w:p>
    <w:p w:rsidR="00CA67C0" w:rsidRPr="00883125" w:rsidRDefault="00CA67C0" w:rsidP="00CA67C0">
      <w:r w:rsidRPr="00883125">
        <w:lastRenderedPageBreak/>
        <w:t>A number of service providers also submitted, consistent with advice from Gray (for SFG), that we do not seek to adjust other rate of return parameters for personal costs.</w:t>
      </w:r>
      <w:r w:rsidRPr="00883125">
        <w:rPr>
          <w:rStyle w:val="FootnoteReference"/>
        </w:rPr>
        <w:footnoteReference w:id="615"/>
      </w:r>
      <w:r w:rsidRPr="00883125">
        <w:t xml:space="preserve"> They consider that the value of imputation credits will reflect transaction costs</w:t>
      </w:r>
      <w:r w:rsidR="00D064B9">
        <w:t xml:space="preserve"> </w:t>
      </w:r>
      <w:r w:rsidR="00CB19B5">
        <w:t xml:space="preserve"> that are associated </w:t>
      </w:r>
      <w:r w:rsidRPr="00883125">
        <w:t>with redeeming imputation credits.</w:t>
      </w:r>
      <w:r w:rsidRPr="00883125">
        <w:rPr>
          <w:rStyle w:val="FootnoteReference"/>
        </w:rPr>
        <w:footnoteReference w:id="616"/>
      </w:r>
    </w:p>
    <w:p w:rsidR="00CA67C0" w:rsidRPr="00883125" w:rsidRDefault="00CA67C0" w:rsidP="00CA67C0">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617"/>
      </w:r>
    </w:p>
    <w:p w:rsidR="00CA67C0" w:rsidRPr="00883125" w:rsidRDefault="00CA67C0" w:rsidP="00CA67C0">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CA67C0" w:rsidRPr="00883125" w:rsidRDefault="00CA67C0" w:rsidP="00CA67C0">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CA67C0" w:rsidRPr="00883125" w:rsidRDefault="00CA67C0" w:rsidP="00CA67C0">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618"/>
      </w:r>
    </w:p>
    <w:p w:rsidR="00CA67C0" w:rsidRPr="001D37D5" w:rsidRDefault="00CA67C0" w:rsidP="00CA67C0">
      <w:pPr>
        <w:pStyle w:val="AERbulletlistfirststyle"/>
      </w:pPr>
      <w:r w:rsidRPr="00883125">
        <w:t>Sell</w:t>
      </w:r>
      <w:r w:rsidRPr="001D37D5">
        <w:t>ing their stock the day before the shareholder is entitled to receive the dividend at the cum-dividend price (P</w:t>
      </w:r>
      <w:r w:rsidRPr="001D37D5">
        <w:rPr>
          <w:rStyle w:val="AERsubscript"/>
        </w:rPr>
        <w:t>cum-div</w:t>
      </w:r>
      <w:r w:rsidRPr="001D37D5">
        <w:t>). In this scenario the shareholder receives only the proceeds from the sale of the shares.</w:t>
      </w:r>
    </w:p>
    <w:p w:rsidR="00CA67C0" w:rsidRPr="001D37D5" w:rsidRDefault="00CA67C0" w:rsidP="00CA67C0">
      <w:pPr>
        <w:pStyle w:val="AERbulletlistfirststyle"/>
      </w:pPr>
      <w:r w:rsidRPr="00883125">
        <w:lastRenderedPageBreak/>
        <w:t>Se</w:t>
      </w:r>
      <w:r w:rsidRPr="001D37D5">
        <w:t>lling their stock when the shareholder is entitled to receive the dividend at the ex-dividend price (P</w:t>
      </w:r>
      <w:r w:rsidRPr="001D37D5">
        <w:rPr>
          <w:rStyle w:val="AERsubscript"/>
        </w:rPr>
        <w:t>ex-div</w:t>
      </w:r>
      <w:r w:rsidRPr="001D37D5">
        <w:t>). In this scenario the shareholder receives both the dividend (D) and proceeds from the sale of the shares.</w:t>
      </w:r>
    </w:p>
    <w:p w:rsidR="00CA67C0" w:rsidRPr="00883125" w:rsidRDefault="00CA67C0" w:rsidP="00CA67C0">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CA67C0" w:rsidRPr="00883125" w:rsidRDefault="00CA67C0" w:rsidP="00CA67C0">
      <w:r>
        <w:t xml:space="preserve">Where income and capital gains are taxed at the same rate, </w:t>
      </w:r>
      <w:r w:rsidRPr="00883125">
        <w:t>the investor should be indifferent between receiving the cum-dividend price or the ex-dividend price plus the dividend. I.e.</w:t>
      </w:r>
    </w:p>
    <w:p w:rsidR="00CA67C0" w:rsidRPr="00883125" w:rsidRDefault="00CA67C0" w:rsidP="00CA67C0"/>
    <w:p w:rsidR="00CA67C0" w:rsidRDefault="00CA67C0" w:rsidP="00CA67C0">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CA67C0" w:rsidRPr="00B27BE5" w:rsidRDefault="00CA67C0" w:rsidP="00CA67C0"/>
    <w:p w:rsidR="00CA67C0" w:rsidRPr="00883125" w:rsidRDefault="00CA67C0" w:rsidP="00CA67C0">
      <w:r>
        <w:t xml:space="preserve">More generally, </w:t>
      </w:r>
      <w:r w:rsidRPr="00883125">
        <w:t xml:space="preserve">the results </w:t>
      </w:r>
      <w:r>
        <w:t xml:space="preserve">of market studies </w:t>
      </w:r>
      <w:r w:rsidRPr="00883125">
        <w:t>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w:t>
      </w:r>
      <w:r w:rsidR="00647A1B">
        <w:t xml:space="preserve">company </w:t>
      </w:r>
      <w:r w:rsidRPr="00883125">
        <w:t xml:space="preserve">tax costs faced by the benchmark efficient entity are not appropriate estimates under our post tax regulatory framework. </w:t>
      </w:r>
    </w:p>
    <w:p w:rsidR="00CA67C0" w:rsidRPr="00883125" w:rsidRDefault="00CA67C0" w:rsidP="00CA67C0">
      <w:r w:rsidRPr="00883125">
        <w:t>To demonstrate assume an investor faces the following investment scenario:</w:t>
      </w:r>
    </w:p>
    <w:p w:rsidR="00CA67C0" w:rsidRPr="00B27BE5" w:rsidRDefault="00CA67C0" w:rsidP="00CA67C0">
      <w:pPr>
        <w:pStyle w:val="AERbulletlistthirdstyle"/>
      </w:pPr>
      <w:r w:rsidRPr="00883125">
        <w:t>(P</w:t>
      </w:r>
      <w:r w:rsidRPr="00B27BE5">
        <w:rPr>
          <w:rStyle w:val="AERsubscript"/>
        </w:rPr>
        <w:t>cost</w:t>
      </w:r>
      <w:r w:rsidRPr="00B27BE5">
        <w:t>) Purchased share in 2010 for $10</w:t>
      </w:r>
    </w:p>
    <w:p w:rsidR="00CA67C0" w:rsidRPr="00B27BE5" w:rsidRDefault="00CA67C0" w:rsidP="00CA67C0">
      <w:pPr>
        <w:pStyle w:val="AERbulletlistthirdstyle"/>
      </w:pPr>
      <w:r w:rsidRPr="00883125">
        <w:t>(P</w:t>
      </w:r>
      <w:r w:rsidRPr="00B27BE5">
        <w:rPr>
          <w:rStyle w:val="AERsubscript"/>
        </w:rPr>
        <w:t>cum-div</w:t>
      </w:r>
      <w:r w:rsidRPr="00B27BE5">
        <w:t>) Current cum dividend price in 2016 is $20</w:t>
      </w:r>
    </w:p>
    <w:p w:rsidR="00CA67C0" w:rsidRPr="00B27BE5" w:rsidRDefault="00CA67C0" w:rsidP="00CA67C0">
      <w:pPr>
        <w:pStyle w:val="AERbulletlistthirdstyle"/>
      </w:pPr>
      <w:r w:rsidRPr="00883125">
        <w:t xml:space="preserve">(D) </w:t>
      </w:r>
      <w:r w:rsidRPr="00B27BE5">
        <w:t>2016 dividend is $1 assume fully unfranked</w:t>
      </w:r>
    </w:p>
    <w:p w:rsidR="00CA67C0" w:rsidRPr="00B27BE5" w:rsidRDefault="00CA67C0" w:rsidP="00CA67C0">
      <w:pPr>
        <w:pStyle w:val="AERbulletlistthirdstyle"/>
      </w:pPr>
      <w:r w:rsidRPr="00883125">
        <w:t>(P</w:t>
      </w:r>
      <w:r w:rsidRPr="00B27BE5">
        <w:rPr>
          <w:rStyle w:val="AERsubscript"/>
        </w:rPr>
        <w:t>ex-div</w:t>
      </w:r>
      <w:r w:rsidRPr="00B27BE5">
        <w:t>) Ex-dividend price in 2016 is $19 (calculated as cum-div price minus dividend)</w:t>
      </w:r>
    </w:p>
    <w:p w:rsidR="00CA67C0" w:rsidRPr="00B27BE5" w:rsidRDefault="00CA67C0" w:rsidP="00CA67C0">
      <w:pPr>
        <w:pStyle w:val="AERbulletlistthirdstyle"/>
      </w:pPr>
      <w:r w:rsidRPr="00883125">
        <w:t xml:space="preserve">(MTR) </w:t>
      </w:r>
      <w:r w:rsidRPr="00B27BE5">
        <w:t>Investors marginal tax rate = 47 %</w:t>
      </w:r>
    </w:p>
    <w:p w:rsidR="00CA67C0" w:rsidRPr="00B27BE5" w:rsidRDefault="00CA67C0" w:rsidP="00CA67C0">
      <w:pPr>
        <w:pStyle w:val="AERbulletlistthirdstyle"/>
      </w:pPr>
      <w:r w:rsidRPr="00883125">
        <w:t>(CGT</w:t>
      </w:r>
      <w:r w:rsidRPr="00B27BE5">
        <w:rPr>
          <w:rStyle w:val="AERsubscript"/>
        </w:rPr>
        <w:t>discount</w:t>
      </w:r>
      <w:r w:rsidRPr="00B27BE5">
        <w:t>) capital gains discount (0.5 when shares held for more than 12 months, otherwise 1)</w:t>
      </w:r>
    </w:p>
    <w:p w:rsidR="00CA67C0" w:rsidRPr="00B27BE5" w:rsidRDefault="00CA67C0" w:rsidP="00CA67C0">
      <w:pPr>
        <w:pStyle w:val="AERbulletlistthirdstyle"/>
      </w:pPr>
      <w:r w:rsidRPr="00883125">
        <w:t xml:space="preserve">For the time being it will </w:t>
      </w:r>
      <w:r w:rsidRPr="00B27BE5">
        <w:t>be assumed that there is one type of investor in the economy, however, this assumption will be relaxed.</w:t>
      </w:r>
    </w:p>
    <w:p w:rsidR="00CA67C0" w:rsidRPr="00E1560E" w:rsidRDefault="00CA67C0" w:rsidP="00CA67C0">
      <w:pPr>
        <w:rPr>
          <w:rStyle w:val="AERbody"/>
        </w:rPr>
      </w:pPr>
      <w:r w:rsidRPr="00E1560E">
        <w:rPr>
          <w:rStyle w:val="AERbody"/>
        </w:rPr>
        <w:t>Under this scenario ex-dividend and cum-dividend returns are equal on a pre-personal tax basis:</w:t>
      </w:r>
    </w:p>
    <w:p w:rsidR="00CA67C0" w:rsidRPr="00883125" w:rsidRDefault="00CA67C0" w:rsidP="00CA67C0">
      <w:pPr>
        <w:rPr>
          <w:rStyle w:val="AERbody"/>
        </w:rPr>
      </w:pPr>
    </w:p>
    <w:p w:rsidR="00CA67C0" w:rsidRPr="00883125" w:rsidRDefault="00CA67C0" w:rsidP="00CA67C0">
      <w:pPr>
        <w:pStyle w:val="AERbodytextcentre"/>
      </w:pPr>
      <w:r w:rsidRPr="00883125">
        <w:lastRenderedPageBreak/>
        <w:t>P</w:t>
      </w:r>
      <w:r w:rsidRPr="00883125">
        <w:rPr>
          <w:rStyle w:val="AERsubscript"/>
        </w:rPr>
        <w:t>cum-div</w:t>
      </w:r>
      <w:r w:rsidRPr="00883125">
        <w:t xml:space="preserve"> = P</w:t>
      </w:r>
      <w:r w:rsidRPr="00883125">
        <w:rPr>
          <w:rStyle w:val="AERsubscript"/>
        </w:rPr>
        <w:t>ex-div</w:t>
      </w:r>
      <w:r w:rsidRPr="00883125">
        <w:t xml:space="preserve"> + D</w:t>
      </w:r>
    </w:p>
    <w:p w:rsidR="00CA67C0" w:rsidRPr="00883125" w:rsidRDefault="00CA67C0" w:rsidP="00CA67C0">
      <w:pPr>
        <w:pStyle w:val="AERbodytextcentre"/>
      </w:pPr>
      <w:r w:rsidRPr="00883125">
        <w:t>20 = 19 +1</w:t>
      </w:r>
    </w:p>
    <w:p w:rsidR="00CA67C0" w:rsidRPr="00B27BE5" w:rsidRDefault="00CA67C0" w:rsidP="00CA67C0">
      <w:pPr>
        <w:rPr>
          <w:rStyle w:val="AERbody"/>
        </w:rPr>
      </w:pPr>
    </w:p>
    <w:p w:rsidR="00CA67C0" w:rsidRPr="00B27BE5" w:rsidRDefault="00CA67C0" w:rsidP="00CA67C0">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CA67C0" w:rsidRPr="00B27BE5" w:rsidRDefault="00CA67C0" w:rsidP="00CA67C0">
      <w:pPr>
        <w:rPr>
          <w:rStyle w:val="AERbody"/>
        </w:rPr>
      </w:pPr>
    </w:p>
    <w:p w:rsidR="00CA67C0" w:rsidRPr="00883125" w:rsidRDefault="00CA67C0" w:rsidP="00CA67C0">
      <w:pPr>
        <w:pStyle w:val="AERbodytextcentre"/>
      </w:pPr>
      <w:r w:rsidRPr="00883125">
        <w:t>Post Tax return = P</w:t>
      </w:r>
      <w:r w:rsidRPr="00883125">
        <w:rPr>
          <w:rStyle w:val="AERsubscript"/>
        </w:rPr>
        <w:t>cum-div</w:t>
      </w:r>
      <w:r w:rsidRPr="00883125">
        <w:t xml:space="preserve"> - Personal Tax (CGT)</w:t>
      </w:r>
    </w:p>
    <w:p w:rsidR="00CA67C0" w:rsidRPr="00883125" w:rsidRDefault="00CA67C0" w:rsidP="00CA67C0">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CA67C0" w:rsidRPr="00883125" w:rsidRDefault="00CA67C0" w:rsidP="00CA67C0">
      <w:pPr>
        <w:pStyle w:val="AERbodytextcentre"/>
      </w:pPr>
      <w:r w:rsidRPr="00883125">
        <w:t>Personal Tax Capital Gain = (20-10) * 0.5 * 0.47</w:t>
      </w:r>
    </w:p>
    <w:p w:rsidR="00CA67C0" w:rsidRPr="00883125" w:rsidRDefault="00CA67C0" w:rsidP="00CA67C0">
      <w:pPr>
        <w:pStyle w:val="AERbodytextcentre"/>
      </w:pPr>
      <w:r w:rsidRPr="00883125">
        <w:t>Personal Tax Capital Gain = 2.35</w:t>
      </w:r>
    </w:p>
    <w:p w:rsidR="00CA67C0" w:rsidRPr="00883125" w:rsidRDefault="00CA67C0" w:rsidP="00CA67C0">
      <w:pPr>
        <w:pStyle w:val="AERbodytextcentre"/>
      </w:pPr>
      <w:r w:rsidRPr="00883125">
        <w:t>Post Tax return = 20 - 2.35 = 17.65</w:t>
      </w:r>
    </w:p>
    <w:p w:rsidR="00CA67C0" w:rsidRPr="00883125" w:rsidRDefault="00CA67C0" w:rsidP="00CA67C0"/>
    <w:p w:rsidR="00CA67C0" w:rsidRPr="00883125" w:rsidRDefault="00CA67C0" w:rsidP="00CA67C0">
      <w:r w:rsidRPr="00883125">
        <w:t>The investors post personal tax return if they sell ex-dividend is:</w:t>
      </w:r>
    </w:p>
    <w:p w:rsidR="00CA67C0" w:rsidRPr="00883125" w:rsidRDefault="00CA67C0" w:rsidP="00CA67C0"/>
    <w:p w:rsidR="00CA67C0" w:rsidRPr="00883125" w:rsidRDefault="00CA67C0" w:rsidP="00CA67C0">
      <w:pPr>
        <w:pStyle w:val="AERbodytextcentre"/>
      </w:pPr>
      <w:r w:rsidRPr="00883125">
        <w:t>Post Tax return = P</w:t>
      </w:r>
      <w:r w:rsidRPr="00883125">
        <w:rPr>
          <w:rStyle w:val="AERsubscript"/>
        </w:rPr>
        <w:t>ex-div</w:t>
      </w:r>
      <w:r w:rsidRPr="00883125">
        <w:t xml:space="preserve"> + D - Personal Tax (CGT) - Personal Tax (Dividend)</w:t>
      </w:r>
    </w:p>
    <w:p w:rsidR="00CA67C0" w:rsidRPr="00883125" w:rsidRDefault="00CA67C0" w:rsidP="00CA67C0">
      <w:pPr>
        <w:pStyle w:val="AERbodytextcentre"/>
      </w:pPr>
      <w:r w:rsidRPr="00883125">
        <w:t>Personal Tax (CGT) = (19-10) * 0.5 * 0.47 = 2.115</w:t>
      </w:r>
    </w:p>
    <w:p w:rsidR="00CA67C0" w:rsidRPr="00883125" w:rsidRDefault="00CA67C0" w:rsidP="00CA67C0">
      <w:pPr>
        <w:pStyle w:val="AERbodytextcentre"/>
      </w:pPr>
      <w:r w:rsidRPr="00883125">
        <w:t>Personal Tax (Dividend) = 1 * 0.47 = 0.47</w:t>
      </w:r>
    </w:p>
    <w:p w:rsidR="00CA67C0" w:rsidRPr="00883125" w:rsidRDefault="00CA67C0" w:rsidP="00CA67C0">
      <w:pPr>
        <w:pStyle w:val="AERbodytextcentre"/>
      </w:pPr>
      <w:r w:rsidRPr="00883125">
        <w:t>Total Tax = 2.115 + 0.47 = 2.585</w:t>
      </w:r>
    </w:p>
    <w:p w:rsidR="00CA67C0" w:rsidRPr="00883125" w:rsidRDefault="00CA67C0" w:rsidP="00CA67C0">
      <w:pPr>
        <w:pStyle w:val="AERbodytextcentre"/>
      </w:pPr>
      <w:r w:rsidRPr="00883125">
        <w:t>Post Tax return = P</w:t>
      </w:r>
      <w:r w:rsidRPr="00883125">
        <w:rPr>
          <w:rStyle w:val="AERsubscript"/>
        </w:rPr>
        <w:t>ex-div</w:t>
      </w:r>
      <w:r w:rsidRPr="00883125">
        <w:t xml:space="preserve"> + D - Personal Tax (CGT) - Personal Tax (Dividend)</w:t>
      </w:r>
    </w:p>
    <w:p w:rsidR="00CA67C0" w:rsidRPr="00883125" w:rsidRDefault="00CA67C0" w:rsidP="00CA67C0">
      <w:pPr>
        <w:pStyle w:val="AERbodytextcentre"/>
      </w:pPr>
      <w:r w:rsidRPr="00883125">
        <w:t>Post Tax return = 19 + 1 - 2.115 - 0.47 = 17.415</w:t>
      </w:r>
    </w:p>
    <w:p w:rsidR="00CA67C0" w:rsidRPr="00883125" w:rsidRDefault="00CA67C0" w:rsidP="00CA67C0"/>
    <w:p w:rsidR="00CA67C0" w:rsidRPr="00B27BE5" w:rsidRDefault="00CA67C0" w:rsidP="00CA67C0">
      <w:r w:rsidRPr="00883125">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CA67C0" w:rsidRPr="00B27BE5" w:rsidRDefault="00CA67C0" w:rsidP="00CA67C0">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CA67C0" w:rsidRPr="00883125" w:rsidRDefault="00CA67C0" w:rsidP="00CA67C0"/>
    <w:p w:rsidR="00CA67C0" w:rsidRPr="00883125" w:rsidRDefault="00CA67C0" w:rsidP="00CA67C0">
      <w:pPr>
        <w:pStyle w:val="AERbodytextcentre"/>
      </w:pPr>
      <w:r w:rsidRPr="00883125">
        <w:t>Post Tax return cum div = Post Tax return ex div</w:t>
      </w:r>
    </w:p>
    <w:p w:rsidR="00CA67C0" w:rsidRPr="00883125" w:rsidRDefault="00CA67C0" w:rsidP="00CA67C0">
      <w:pPr>
        <w:pStyle w:val="AERbodytextcentre"/>
      </w:pPr>
      <w:r w:rsidRPr="00883125">
        <w:lastRenderedPageBreak/>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CA67C0" w:rsidRPr="00883125" w:rsidRDefault="00CA67C0" w:rsidP="00CA67C0">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CA67C0" w:rsidRPr="00883125" w:rsidRDefault="00CA67C0" w:rsidP="00CA67C0">
      <w:pPr>
        <w:pStyle w:val="AERbodytextcentre"/>
      </w:pPr>
      <w:r w:rsidRPr="00883125">
        <w:t>This is the equilibrium condition.</w:t>
      </w:r>
    </w:p>
    <w:p w:rsidR="00CA67C0" w:rsidRPr="00883125" w:rsidRDefault="00CA67C0" w:rsidP="00CA67C0"/>
    <w:p w:rsidR="00CA67C0" w:rsidRPr="00B27BE5" w:rsidRDefault="00CA67C0" w:rsidP="00CA67C0">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CA67C0" w:rsidRPr="00883125" w:rsidRDefault="00CA67C0" w:rsidP="00CA67C0"/>
    <w:p w:rsidR="00CA67C0" w:rsidRPr="00883125" w:rsidRDefault="00CA67C0" w:rsidP="00CA67C0">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A67C0" w:rsidRPr="00883125" w:rsidRDefault="00CA67C0" w:rsidP="00CA67C0"/>
    <w:p w:rsidR="00CA67C0" w:rsidRPr="00B27BE5" w:rsidRDefault="00CA67C0" w:rsidP="00CA67C0">
      <w:r w:rsidRPr="00883125">
        <w:t>S</w:t>
      </w:r>
      <w:r w:rsidRPr="00B27BE5">
        <w:t>ubstituting in all the parameters into the formula and solving for D we get the following:</w:t>
      </w:r>
    </w:p>
    <w:p w:rsidR="00CA67C0" w:rsidRPr="00883125" w:rsidRDefault="00CA67C0" w:rsidP="00CA67C0"/>
    <w:p w:rsidR="00CA67C0" w:rsidRPr="00883125" w:rsidRDefault="00CA67C0" w:rsidP="00CA67C0">
      <w:pPr>
        <w:pStyle w:val="AERbodytextcentre"/>
      </w:pPr>
      <w:r w:rsidRPr="00883125">
        <w:t>20 - (20 - 10)* 0.5*0.47 = 20 - x + 1 - (20 - x - 10) * 0.5 * 0.47 - 0.47</w:t>
      </w:r>
    </w:p>
    <w:p w:rsidR="00CA67C0" w:rsidRPr="00883125" w:rsidRDefault="00CA67C0" w:rsidP="00CA67C0">
      <w:pPr>
        <w:pStyle w:val="AERbodytextcentre"/>
      </w:pPr>
      <w:r w:rsidRPr="00883125">
        <w:t xml:space="preserve">17.65 = 21 - x - (10 - x) * 0.235 - 0.47 </w:t>
      </w:r>
    </w:p>
    <w:p w:rsidR="00CA67C0" w:rsidRPr="00883125" w:rsidRDefault="00CA67C0" w:rsidP="00CA67C0">
      <w:pPr>
        <w:pStyle w:val="AERbodytextcentre"/>
      </w:pPr>
      <w:r w:rsidRPr="00883125">
        <w:t>X = 0.6928</w:t>
      </w:r>
    </w:p>
    <w:p w:rsidR="00CA67C0" w:rsidRPr="00883125" w:rsidRDefault="00CA67C0" w:rsidP="00CA67C0"/>
    <w:p w:rsidR="00CA67C0" w:rsidRPr="00883125" w:rsidRDefault="00CA67C0" w:rsidP="00CA67C0">
      <w:r w:rsidRPr="00883125">
        <w:t>As a result, for arbitrage opportunities to not exist the dollar face value dividend must be worth 69 cents in the dividend drop off study. In such a situation the following market prices will persist in the market:</w:t>
      </w:r>
    </w:p>
    <w:p w:rsidR="00CA67C0" w:rsidRPr="00883125" w:rsidRDefault="00CA67C0" w:rsidP="00CA67C0"/>
    <w:p w:rsidR="00CA67C0" w:rsidRPr="00883125" w:rsidRDefault="00CA67C0" w:rsidP="00CA67C0">
      <w:pPr>
        <w:pStyle w:val="AERbulletlistthirdstyle"/>
      </w:pPr>
      <w:r w:rsidRPr="00883125">
        <w:t>P</w:t>
      </w:r>
      <w:r w:rsidRPr="00883125">
        <w:rPr>
          <w:rStyle w:val="AERsubscript"/>
        </w:rPr>
        <w:t>cum-div</w:t>
      </w:r>
      <w:r w:rsidRPr="00883125">
        <w:t>: $20</w:t>
      </w:r>
    </w:p>
    <w:p w:rsidR="00CA67C0" w:rsidRPr="00883125" w:rsidRDefault="00CA67C0" w:rsidP="00CA67C0">
      <w:pPr>
        <w:pStyle w:val="AERbulletlistthirdstyle"/>
      </w:pPr>
      <w:r w:rsidRPr="00883125">
        <w:t>D: Face value = $1, as per dividend drop off $0.6928</w:t>
      </w:r>
    </w:p>
    <w:p w:rsidR="00CA67C0" w:rsidRPr="00883125" w:rsidRDefault="00CA67C0" w:rsidP="00CA67C0">
      <w:pPr>
        <w:pStyle w:val="AERbulletlistthirdstyle"/>
      </w:pPr>
      <w:r w:rsidRPr="00883125">
        <w:t>P</w:t>
      </w:r>
      <w:r w:rsidRPr="00883125">
        <w:rPr>
          <w:rStyle w:val="AERsubscript"/>
        </w:rPr>
        <w:t>ex-div</w:t>
      </w:r>
      <w:r w:rsidRPr="00883125">
        <w:t>: $19.3072</w:t>
      </w:r>
      <w:r w:rsidRPr="00883125">
        <w:rPr>
          <w:rStyle w:val="FootnoteReference"/>
        </w:rPr>
        <w:footnoteReference w:id="619"/>
      </w:r>
    </w:p>
    <w:p w:rsidR="00CA67C0" w:rsidRPr="00883125" w:rsidRDefault="00CA67C0" w:rsidP="00CA67C0"/>
    <w:p w:rsidR="00CA67C0" w:rsidRPr="00883125" w:rsidRDefault="00CA67C0" w:rsidP="00CA67C0">
      <w:r w:rsidRPr="00883125">
        <w:t>With these arbitrage free market parameters the investors post personal tax return is as follows:</w:t>
      </w:r>
    </w:p>
    <w:p w:rsidR="00CA67C0" w:rsidRPr="00883125" w:rsidRDefault="00CA67C0" w:rsidP="00CA67C0"/>
    <w:p w:rsidR="00CA67C0" w:rsidRPr="00883125" w:rsidRDefault="00CA67C0" w:rsidP="00CA67C0">
      <w:pPr>
        <w:pStyle w:val="AERbodytextcentre"/>
      </w:pPr>
      <w:r w:rsidRPr="00883125">
        <w:t>Post Tax return cum div = P</w:t>
      </w:r>
      <w:r w:rsidRPr="00883125">
        <w:rPr>
          <w:rStyle w:val="AERsubscript"/>
        </w:rPr>
        <w:t>cum-div</w:t>
      </w:r>
      <w:r w:rsidRPr="00883125">
        <w:t xml:space="preserve"> - Personal Tax (CGT)</w:t>
      </w:r>
    </w:p>
    <w:p w:rsidR="00CA67C0" w:rsidRPr="00883125" w:rsidRDefault="00CA67C0" w:rsidP="00CA67C0">
      <w:pPr>
        <w:pStyle w:val="AERbodytextcentre"/>
      </w:pPr>
      <w:r w:rsidRPr="00883125">
        <w:t>Post Tax return cum div = 20 - 0.5 * 0.47 * (20-10)</w:t>
      </w:r>
    </w:p>
    <w:p w:rsidR="00CA67C0" w:rsidRPr="00AC2168" w:rsidRDefault="00CA67C0" w:rsidP="00CA67C0">
      <w:pPr>
        <w:pStyle w:val="AERbodytextcentre"/>
      </w:pPr>
      <w:r w:rsidRPr="00AC2168">
        <w:t>Post Tax return cum div = 20 - 2.35 = 17.65</w:t>
      </w:r>
    </w:p>
    <w:p w:rsidR="00CA67C0" w:rsidRPr="00883125" w:rsidRDefault="00CA67C0" w:rsidP="00CA67C0"/>
    <w:p w:rsidR="00CA67C0" w:rsidRPr="00883125" w:rsidRDefault="00CA67C0" w:rsidP="00CA67C0">
      <w:pPr>
        <w:pStyle w:val="AERbodytextcentre"/>
      </w:pPr>
      <w:r w:rsidRPr="00883125">
        <w:t>Post Tax return ex div = P</w:t>
      </w:r>
      <w:r w:rsidRPr="00883125">
        <w:rPr>
          <w:rStyle w:val="AERsubscript"/>
        </w:rPr>
        <w:t>ex-div</w:t>
      </w:r>
      <w:r w:rsidRPr="00883125">
        <w:t xml:space="preserve"> + D - Personal Tax (CGT) - Personal Tax (Dividend)</w:t>
      </w:r>
    </w:p>
    <w:p w:rsidR="00CA67C0" w:rsidRPr="00883125" w:rsidRDefault="00CA67C0" w:rsidP="00CA67C0">
      <w:pPr>
        <w:pStyle w:val="AERbodytextcentre"/>
      </w:pPr>
      <w:r w:rsidRPr="00883125">
        <w:t>Post Tax return ex div = 19.3072 + 1 - ((19.3072 - 10)*0.47*0.5) - 1*0.47</w:t>
      </w:r>
    </w:p>
    <w:p w:rsidR="00CA67C0" w:rsidRPr="00883125" w:rsidRDefault="00CA67C0" w:rsidP="00CA67C0">
      <w:pPr>
        <w:pStyle w:val="AERbodytextcentre"/>
      </w:pPr>
      <w:r w:rsidRPr="00883125">
        <w:t xml:space="preserve">Post Tax return ex div = </w:t>
      </w:r>
      <w:r w:rsidRPr="00AC2168">
        <w:t>17.65</w:t>
      </w:r>
    </w:p>
    <w:p w:rsidR="00CA67C0" w:rsidRPr="00883125" w:rsidRDefault="00CA67C0" w:rsidP="00CA67C0">
      <w:pPr>
        <w:rPr>
          <w:rStyle w:val="AERbody"/>
        </w:rPr>
      </w:pPr>
    </w:p>
    <w:p w:rsidR="00CA67C0" w:rsidRPr="00CB38D8" w:rsidRDefault="00CA67C0" w:rsidP="00CA67C0">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CA67C0" w:rsidRPr="00CB38D8" w:rsidRDefault="00CA67C0" w:rsidP="00CA67C0">
      <w:pPr>
        <w:rPr>
          <w:rStyle w:val="AERbody"/>
        </w:rPr>
      </w:pPr>
      <w:r w:rsidRPr="00CB38D8">
        <w:rPr>
          <w:rStyle w:val="AERbody"/>
        </w:rPr>
        <w:t>As a result, the investor's pre-personal tax return is:</w:t>
      </w:r>
    </w:p>
    <w:p w:rsidR="00CA67C0" w:rsidRPr="00B27BE5" w:rsidRDefault="00CA67C0" w:rsidP="00CA67C0">
      <w:pPr>
        <w:pStyle w:val="AERbulletlistthirdstyle"/>
        <w:rPr>
          <w:rStyle w:val="AERbody"/>
        </w:rPr>
      </w:pPr>
      <w:r w:rsidRPr="00883125">
        <w:rPr>
          <w:rStyle w:val="AERbody"/>
        </w:rPr>
        <w:t>$20 if they sold on the cum-dividend date</w:t>
      </w:r>
    </w:p>
    <w:p w:rsidR="00CA67C0" w:rsidRPr="00B27BE5" w:rsidRDefault="00CA67C0" w:rsidP="00CA67C0">
      <w:pPr>
        <w:pStyle w:val="AERbulletlistthirdstyle"/>
        <w:rPr>
          <w:rStyle w:val="AERbody"/>
        </w:rPr>
      </w:pPr>
      <w:r w:rsidRPr="00883125">
        <w:rPr>
          <w:rStyle w:val="AERbody"/>
        </w:rPr>
        <w:t xml:space="preserve">$20.3072 </w:t>
      </w:r>
      <w:r w:rsidRPr="00B27BE5">
        <w:rPr>
          <w:rStyle w:val="AERbody"/>
        </w:rPr>
        <w:t>($19.3072 + $1) if they sold on the ex-dividend date</w:t>
      </w:r>
    </w:p>
    <w:p w:rsidR="00CA67C0" w:rsidRPr="00883125" w:rsidRDefault="00CA67C0" w:rsidP="00CA67C0">
      <w:pPr>
        <w:rPr>
          <w:rStyle w:val="AERbody"/>
        </w:rPr>
      </w:pPr>
      <w:r w:rsidRPr="00883125">
        <w:rPr>
          <w:rStyle w:val="AERbody"/>
        </w:rPr>
        <w:t>The investor's post-personal tax return is:</w:t>
      </w:r>
    </w:p>
    <w:p w:rsidR="00CA67C0" w:rsidRPr="00883125" w:rsidRDefault="00CA67C0" w:rsidP="00CA67C0">
      <w:pPr>
        <w:pStyle w:val="AERbulletlistthirdstyle"/>
        <w:rPr>
          <w:rStyle w:val="AERbody"/>
        </w:rPr>
      </w:pPr>
      <w:r w:rsidRPr="00883125">
        <w:rPr>
          <w:rStyle w:val="AERbody"/>
        </w:rPr>
        <w:t>$17.65 ($20 - $2.35) if they sold on the cum-dividend date</w:t>
      </w:r>
    </w:p>
    <w:p w:rsidR="00CA67C0" w:rsidRPr="00883125" w:rsidRDefault="00CA67C0" w:rsidP="00CA67C0">
      <w:pPr>
        <w:pStyle w:val="AERbulletlistthirdstyle"/>
        <w:rPr>
          <w:rStyle w:val="AERbody"/>
        </w:rPr>
      </w:pPr>
      <w:r w:rsidRPr="00883125">
        <w:rPr>
          <w:rStyle w:val="AERbody"/>
        </w:rPr>
        <w:t>$17.65 ($20.3072 - $2.6572) if they sold on the ex-dividend date</w:t>
      </w:r>
    </w:p>
    <w:p w:rsidR="00CA67C0" w:rsidRPr="00883125" w:rsidRDefault="00CA67C0" w:rsidP="00CA67C0">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6928 dividend value that is derived from dividend drop off studies is neither a pre-personal or post-personal value of the dividend. It is the difference between the cum-dividend and ex-dividend price, which is determined by the face value of the dividend and the 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CA67C0" w:rsidRPr="00883125" w:rsidRDefault="00CA67C0" w:rsidP="00CA67C0">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p>
    <w:p w:rsidR="00CA67C0" w:rsidRPr="00883125" w:rsidRDefault="00CA67C0" w:rsidP="00CA67C0">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w:t>
      </w:r>
      <w:r w:rsidRPr="00883125">
        <w:lastRenderedPageBreak/>
        <w:t xml:space="preserve">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620"/>
      </w:r>
    </w:p>
    <w:p w:rsidR="00CA67C0" w:rsidRPr="00883125" w:rsidRDefault="00CA67C0" w:rsidP="00CA67C0">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CA67C0" w:rsidRPr="00883125" w:rsidRDefault="00CA67C0" w:rsidP="00CA67C0">
      <w:pPr>
        <w:rPr>
          <w:rStyle w:val="AERbody"/>
        </w:rPr>
      </w:pPr>
    </w:p>
    <w:p w:rsidR="00CA67C0" w:rsidRPr="00883125" w:rsidRDefault="00CA67C0" w:rsidP="00CA67C0">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A67C0" w:rsidRPr="00883125" w:rsidRDefault="00CA67C0" w:rsidP="00CA67C0">
      <w:pPr>
        <w:pStyle w:val="AERbodytextcentre"/>
      </w:pPr>
      <w:r w:rsidRPr="00883125">
        <w:t>Solving for X the formula simplifies to:</w:t>
      </w:r>
    </w:p>
    <w:p w:rsidR="00CA67C0" w:rsidRPr="00B27BE5" w:rsidRDefault="00CA67C0" w:rsidP="00CA67C0">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CA67C0" w:rsidRPr="00883125" w:rsidRDefault="00CA67C0" w:rsidP="00CA67C0">
      <w:pPr>
        <w:pStyle w:val="AERbodytextcentre"/>
        <w:rPr>
          <w:rStyle w:val="AERbody"/>
        </w:rPr>
      </w:pPr>
    </w:p>
    <w:p w:rsidR="00CA67C0" w:rsidRPr="00883125" w:rsidRDefault="00CA67C0" w:rsidP="00CA67C0">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621"/>
      </w:r>
    </w:p>
    <w:p w:rsidR="00CA67C0" w:rsidRPr="00883125" w:rsidRDefault="00CA67C0" w:rsidP="00CA67C0">
      <w:pPr>
        <w:rPr>
          <w:rStyle w:val="AERbody"/>
        </w:rPr>
      </w:pPr>
    </w:p>
    <w:p w:rsidR="00CA67C0" w:rsidRPr="00883125" w:rsidRDefault="007261FC" w:rsidP="00CA67C0">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CA67C0" w:rsidRPr="00883125" w:rsidRDefault="00CA67C0" w:rsidP="00CA67C0">
      <w:pPr>
        <w:rPr>
          <w:rStyle w:val="AERbody"/>
        </w:rPr>
      </w:pPr>
    </w:p>
    <w:p w:rsidR="00CA67C0" w:rsidRPr="00883125" w:rsidRDefault="00CA67C0" w:rsidP="00CA67C0">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CA67C0" w:rsidRDefault="00CA67C0" w:rsidP="00CA67C0">
      <w:r>
        <w:t>Further, Lally generalises the dividend relationship to the following:</w:t>
      </w:r>
      <w:r>
        <w:rPr>
          <w:rStyle w:val="FootnoteReference"/>
        </w:rPr>
        <w:footnoteReference w:id="622"/>
      </w:r>
    </w:p>
    <w:p w:rsidR="00CA67C0" w:rsidRDefault="00CA67C0" w:rsidP="00CA67C0"/>
    <w:p w:rsidR="00CA67C0" w:rsidRPr="00883125" w:rsidRDefault="00CA67C0" w:rsidP="00CA67C0">
      <w:pPr>
        <w:rPr>
          <w:rStyle w:val="AERbody"/>
        </w:rPr>
      </w:pPr>
      <m:oMathPara>
        <m:oMath>
          <m:r>
            <w:rPr>
              <w:rFonts w:ascii="Cambria Math" w:hAnsi="Cambria Math"/>
            </w:rPr>
            <m:t>∆P= δD+δθ</m:t>
          </m:r>
          <m:d>
            <m:dPr>
              <m:ctrlPr>
                <w:rPr>
                  <w:rFonts w:ascii="Cambria Math" w:hAnsi="Cambria Math"/>
                </w:rPr>
              </m:ctrlPr>
            </m:dPr>
            <m:e>
              <m:r>
                <w:rPr>
                  <w:rFonts w:ascii="Cambria Math" w:hAnsi="Cambria Math"/>
                </w:rPr>
                <m:t>IC</m:t>
              </m:r>
            </m:e>
          </m:d>
          <m:r>
            <w:rPr>
              <w:rFonts w:ascii="Cambria Math" w:hAnsi="Cambria Math"/>
            </w:rPr>
            <m:t>+ε</m:t>
          </m:r>
        </m:oMath>
      </m:oMathPara>
    </w:p>
    <w:p w:rsidR="00CA67C0" w:rsidRDefault="00CA67C0" w:rsidP="00CA67C0"/>
    <w:p w:rsidR="00CA67C0" w:rsidRDefault="00CA67C0" w:rsidP="00CA67C0">
      <w:r>
        <w:lastRenderedPageBreak/>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623"/>
      </w:r>
      <w:r>
        <w:rPr>
          <w:rStyle w:val="FootnoteReference"/>
        </w:rPr>
        <w:t xml:space="preserve"> </w:t>
      </w:r>
    </w:p>
    <w:p w:rsidR="00CA67C0" w:rsidRPr="00883125" w:rsidRDefault="00CA67C0" w:rsidP="00CA67C0">
      <w:r w:rsidRPr="00883125">
        <w:t>Using different values for MTR (0%, 15%, 21%, 34.5%. 39% 47%) and CGT discount (50% if shares held for more than 12 months and 100% if shares held for less than 12 months)</w:t>
      </w:r>
      <w:r>
        <w:rPr>
          <w:rStyle w:val="FootnoteReference"/>
        </w:rPr>
        <w:footnoteReference w:id="624"/>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CA67C0" w:rsidRPr="00883125" w:rsidRDefault="00CA67C0" w:rsidP="00CA67C0">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CA67C0" w:rsidRPr="00883125" w:rsidRDefault="00CA67C0" w:rsidP="00CA67C0">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CA67C0" w:rsidRPr="00B27BE5" w:rsidRDefault="00CA67C0" w:rsidP="00CA67C0">
      <w:pPr>
        <w:pStyle w:val="Caption"/>
      </w:pPr>
      <w:r w:rsidRPr="00883125">
        <w:t xml:space="preserve">Table </w:t>
      </w:r>
      <w:r w:rsidRPr="001D37D5">
        <w:fldChar w:fldCharType="begin"/>
      </w:r>
      <w:r>
        <w:instrText xml:space="preserve"> STYLEREF 1 \s </w:instrText>
      </w:r>
      <w:r w:rsidRPr="001D37D5">
        <w:fldChar w:fldCharType="separate"/>
      </w:r>
      <w:r w:rsidR="007261FC">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7261FC">
        <w:rPr>
          <w:noProof/>
        </w:rPr>
        <w:t>19</w:t>
      </w:r>
      <w:r w:rsidRPr="001D37D5">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CA67C0" w:rsidRPr="00CF5360" w:rsidTr="00CA67C0">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CA67C0" w:rsidRPr="00CA67C0" w:rsidRDefault="00CA67C0" w:rsidP="00CA67C0">
            <w:pPr>
              <w:pStyle w:val="ListContinue2"/>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CA67C0" w:rsidRPr="00CA67C0" w:rsidRDefault="00CA67C0" w:rsidP="00CA67C0">
            <w:r w:rsidRPr="005764F6">
              <w:t>CGT</w:t>
            </w:r>
          </w:p>
        </w:tc>
      </w:tr>
      <w:tr w:rsidR="00CA67C0" w:rsidRPr="00CF5360" w:rsidTr="00CA67C0">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A67C0" w:rsidRPr="00F1222E" w:rsidRDefault="00CA67C0" w:rsidP="00CA67C0">
            <w:pPr>
              <w:pStyle w:val="ListContinue2"/>
            </w:pPr>
          </w:p>
        </w:tc>
        <w:tc>
          <w:tcPr>
            <w:tcW w:w="2063" w:type="dxa"/>
            <w:tcBorders>
              <w:top w:val="nil"/>
              <w:left w:val="nil"/>
              <w:bottom w:val="nil"/>
              <w:right w:val="single" w:sz="4" w:space="0" w:color="auto"/>
            </w:tcBorders>
            <w:shd w:val="clear" w:color="000000" w:fill="FDE9D9"/>
            <w:noWrap/>
            <w:vAlign w:val="bottom"/>
            <w:hideMark/>
          </w:tcPr>
          <w:p w:rsidR="00CA67C0" w:rsidRPr="00CA67C0" w:rsidRDefault="00CA67C0" w:rsidP="00CA67C0">
            <w:r w:rsidRPr="005764F6">
              <w:t>50%</w:t>
            </w:r>
          </w:p>
        </w:tc>
        <w:tc>
          <w:tcPr>
            <w:tcW w:w="897" w:type="dxa"/>
            <w:tcBorders>
              <w:top w:val="nil"/>
              <w:left w:val="nil"/>
              <w:bottom w:val="nil"/>
              <w:right w:val="single" w:sz="4" w:space="0" w:color="auto"/>
            </w:tcBorders>
            <w:shd w:val="clear" w:color="000000" w:fill="FDE9D9"/>
            <w:noWrap/>
            <w:vAlign w:val="bottom"/>
            <w:hideMark/>
          </w:tcPr>
          <w:p w:rsidR="00CA67C0" w:rsidRPr="00CA67C0" w:rsidRDefault="00CA67C0" w:rsidP="00CA67C0">
            <w:r w:rsidRPr="005764F6">
              <w:t>100%</w:t>
            </w:r>
          </w:p>
        </w:tc>
      </w:tr>
      <w:tr w:rsidR="00CA67C0" w:rsidRPr="00CF5360" w:rsidTr="00CA67C0">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CA67C0" w:rsidRPr="00CA67C0" w:rsidRDefault="00CA67C0" w:rsidP="00CA67C0">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CA67C0" w:rsidRPr="00CA67C0" w:rsidRDefault="00CA67C0" w:rsidP="00CA67C0">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1</w:t>
            </w:r>
          </w:p>
        </w:tc>
      </w:tr>
      <w:tr w:rsidR="00CA67C0" w:rsidRPr="00CF5360" w:rsidTr="00CA67C0">
        <w:trPr>
          <w:trHeight w:val="300"/>
        </w:trPr>
        <w:tc>
          <w:tcPr>
            <w:tcW w:w="486" w:type="dxa"/>
            <w:vMerge/>
            <w:tcBorders>
              <w:top w:val="nil"/>
              <w:left w:val="single" w:sz="4" w:space="0" w:color="auto"/>
              <w:bottom w:val="single" w:sz="4" w:space="0" w:color="auto"/>
              <w:right w:val="single" w:sz="4" w:space="0" w:color="auto"/>
            </w:tcBorders>
            <w:vAlign w:val="center"/>
            <w:hideMark/>
          </w:tcPr>
          <w:p w:rsidR="00CA67C0" w:rsidRPr="00AC2168" w:rsidRDefault="00CA67C0" w:rsidP="00CA67C0"/>
        </w:tc>
        <w:tc>
          <w:tcPr>
            <w:tcW w:w="1074" w:type="dxa"/>
            <w:tcBorders>
              <w:top w:val="nil"/>
              <w:left w:val="nil"/>
              <w:bottom w:val="single" w:sz="4" w:space="0" w:color="auto"/>
              <w:right w:val="single" w:sz="4" w:space="0" w:color="auto"/>
            </w:tcBorders>
            <w:shd w:val="clear" w:color="000000" w:fill="FDE9D9"/>
            <w:noWrap/>
            <w:vAlign w:val="bottom"/>
            <w:hideMark/>
          </w:tcPr>
          <w:p w:rsidR="00CA67C0" w:rsidRPr="00CA67C0" w:rsidRDefault="00CA67C0" w:rsidP="00CA67C0">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1</w:t>
            </w:r>
          </w:p>
        </w:tc>
      </w:tr>
      <w:tr w:rsidR="00CA67C0" w:rsidRPr="00CF5360" w:rsidTr="00CA67C0">
        <w:trPr>
          <w:trHeight w:val="300"/>
        </w:trPr>
        <w:tc>
          <w:tcPr>
            <w:tcW w:w="486" w:type="dxa"/>
            <w:vMerge/>
            <w:tcBorders>
              <w:top w:val="nil"/>
              <w:left w:val="single" w:sz="4" w:space="0" w:color="auto"/>
              <w:bottom w:val="single" w:sz="4" w:space="0" w:color="auto"/>
              <w:right w:val="single" w:sz="4" w:space="0" w:color="auto"/>
            </w:tcBorders>
            <w:vAlign w:val="center"/>
            <w:hideMark/>
          </w:tcPr>
          <w:p w:rsidR="00CA67C0" w:rsidRPr="00AC2168" w:rsidRDefault="00CA67C0" w:rsidP="00CA67C0"/>
        </w:tc>
        <w:tc>
          <w:tcPr>
            <w:tcW w:w="1074" w:type="dxa"/>
            <w:tcBorders>
              <w:top w:val="nil"/>
              <w:left w:val="nil"/>
              <w:bottom w:val="single" w:sz="4" w:space="0" w:color="auto"/>
              <w:right w:val="single" w:sz="4" w:space="0" w:color="auto"/>
            </w:tcBorders>
            <w:shd w:val="clear" w:color="000000" w:fill="FDE9D9"/>
            <w:noWrap/>
            <w:vAlign w:val="bottom"/>
            <w:hideMark/>
          </w:tcPr>
          <w:p w:rsidR="00CA67C0" w:rsidRPr="00CA67C0" w:rsidRDefault="00CA67C0" w:rsidP="00CA67C0">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1</w:t>
            </w:r>
          </w:p>
        </w:tc>
      </w:tr>
      <w:tr w:rsidR="00CA67C0" w:rsidRPr="00CF5360" w:rsidTr="00CA67C0">
        <w:trPr>
          <w:trHeight w:val="300"/>
        </w:trPr>
        <w:tc>
          <w:tcPr>
            <w:tcW w:w="486" w:type="dxa"/>
            <w:vMerge/>
            <w:tcBorders>
              <w:top w:val="nil"/>
              <w:left w:val="single" w:sz="4" w:space="0" w:color="auto"/>
              <w:bottom w:val="single" w:sz="4" w:space="0" w:color="auto"/>
              <w:right w:val="single" w:sz="4" w:space="0" w:color="auto"/>
            </w:tcBorders>
            <w:vAlign w:val="center"/>
            <w:hideMark/>
          </w:tcPr>
          <w:p w:rsidR="00CA67C0" w:rsidRPr="00AC2168" w:rsidRDefault="00CA67C0" w:rsidP="00CA67C0"/>
        </w:tc>
        <w:tc>
          <w:tcPr>
            <w:tcW w:w="1074" w:type="dxa"/>
            <w:tcBorders>
              <w:top w:val="nil"/>
              <w:left w:val="nil"/>
              <w:bottom w:val="single" w:sz="4" w:space="0" w:color="auto"/>
              <w:right w:val="single" w:sz="4" w:space="0" w:color="auto"/>
            </w:tcBorders>
            <w:shd w:val="clear" w:color="000000" w:fill="FDE9D9"/>
            <w:noWrap/>
            <w:vAlign w:val="bottom"/>
            <w:hideMark/>
          </w:tcPr>
          <w:p w:rsidR="00CA67C0" w:rsidRPr="00CA67C0" w:rsidRDefault="00CA67C0" w:rsidP="00CA67C0">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1</w:t>
            </w:r>
          </w:p>
        </w:tc>
      </w:tr>
      <w:tr w:rsidR="00CA67C0" w:rsidRPr="00CF5360" w:rsidTr="00CA67C0">
        <w:trPr>
          <w:trHeight w:val="300"/>
        </w:trPr>
        <w:tc>
          <w:tcPr>
            <w:tcW w:w="486" w:type="dxa"/>
            <w:vMerge/>
            <w:tcBorders>
              <w:top w:val="nil"/>
              <w:left w:val="single" w:sz="4" w:space="0" w:color="auto"/>
              <w:bottom w:val="single" w:sz="4" w:space="0" w:color="auto"/>
              <w:right w:val="single" w:sz="4" w:space="0" w:color="auto"/>
            </w:tcBorders>
            <w:vAlign w:val="center"/>
            <w:hideMark/>
          </w:tcPr>
          <w:p w:rsidR="00CA67C0" w:rsidRPr="00AC2168" w:rsidRDefault="00CA67C0" w:rsidP="00CA67C0"/>
        </w:tc>
        <w:tc>
          <w:tcPr>
            <w:tcW w:w="1074" w:type="dxa"/>
            <w:tcBorders>
              <w:top w:val="nil"/>
              <w:left w:val="nil"/>
              <w:bottom w:val="single" w:sz="4" w:space="0" w:color="auto"/>
              <w:right w:val="single" w:sz="4" w:space="0" w:color="auto"/>
            </w:tcBorders>
            <w:shd w:val="clear" w:color="000000" w:fill="FDE9D9"/>
            <w:noWrap/>
            <w:vAlign w:val="bottom"/>
            <w:hideMark/>
          </w:tcPr>
          <w:p w:rsidR="00CA67C0" w:rsidRPr="00CA67C0" w:rsidRDefault="00CA67C0" w:rsidP="00CA67C0">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1</w:t>
            </w:r>
          </w:p>
        </w:tc>
      </w:tr>
      <w:tr w:rsidR="00CA67C0" w:rsidRPr="00CF5360" w:rsidTr="00CA67C0">
        <w:trPr>
          <w:trHeight w:val="300"/>
        </w:trPr>
        <w:tc>
          <w:tcPr>
            <w:tcW w:w="486" w:type="dxa"/>
            <w:vMerge/>
            <w:tcBorders>
              <w:top w:val="nil"/>
              <w:left w:val="single" w:sz="4" w:space="0" w:color="auto"/>
              <w:bottom w:val="single" w:sz="4" w:space="0" w:color="auto"/>
              <w:right w:val="single" w:sz="4" w:space="0" w:color="auto"/>
            </w:tcBorders>
            <w:vAlign w:val="center"/>
            <w:hideMark/>
          </w:tcPr>
          <w:p w:rsidR="00CA67C0" w:rsidRPr="00AC2168" w:rsidRDefault="00CA67C0" w:rsidP="00CA67C0"/>
        </w:tc>
        <w:tc>
          <w:tcPr>
            <w:tcW w:w="1074" w:type="dxa"/>
            <w:tcBorders>
              <w:top w:val="nil"/>
              <w:left w:val="nil"/>
              <w:bottom w:val="single" w:sz="4" w:space="0" w:color="auto"/>
              <w:right w:val="single" w:sz="4" w:space="0" w:color="auto"/>
            </w:tcBorders>
            <w:shd w:val="clear" w:color="000000" w:fill="FDE9D9"/>
            <w:noWrap/>
            <w:vAlign w:val="bottom"/>
            <w:hideMark/>
          </w:tcPr>
          <w:p w:rsidR="00CA67C0" w:rsidRPr="00CA67C0" w:rsidRDefault="00CA67C0" w:rsidP="00CA67C0">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CA67C0" w:rsidRPr="00CA67C0" w:rsidRDefault="00CA67C0" w:rsidP="00CA67C0">
            <w:pPr>
              <w:pStyle w:val="ListContinue2"/>
            </w:pPr>
            <w:r w:rsidRPr="00F1222E">
              <w:t>1</w:t>
            </w:r>
          </w:p>
        </w:tc>
      </w:tr>
    </w:tbl>
    <w:p w:rsidR="00CA67C0" w:rsidRPr="00883125" w:rsidRDefault="00CA67C0" w:rsidP="00CA67C0">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w:t>
      </w:r>
      <w:r w:rsidRPr="00883125">
        <w:lastRenderedPageBreak/>
        <w:t>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CA67C0" w:rsidRPr="00883125" w:rsidRDefault="00CA67C0" w:rsidP="00CA67C0">
      <w:r w:rsidRPr="00883125">
        <w:t>As is evident above, different investors have a different dividend drop off ratio and this is determined by many factors such as:</w:t>
      </w:r>
    </w:p>
    <w:p w:rsidR="00CA67C0" w:rsidRPr="00B27BE5" w:rsidRDefault="00CA67C0" w:rsidP="00CA67C0">
      <w:pPr>
        <w:pStyle w:val="AERbulletlistthirdstyle"/>
      </w:pPr>
      <w:r w:rsidRPr="00883125">
        <w:t xml:space="preserve">Investor </w:t>
      </w:r>
      <w:r w:rsidRPr="00B27BE5">
        <w:t>marginal income tax rate</w:t>
      </w:r>
    </w:p>
    <w:p w:rsidR="00CA67C0" w:rsidRDefault="00CA67C0" w:rsidP="00CA67C0">
      <w:pPr>
        <w:pStyle w:val="AERbulletlistthirdstyle"/>
      </w:pPr>
      <w:r w:rsidRPr="00883125">
        <w:t>Whether the investor held the share for more than 12 months</w:t>
      </w:r>
    </w:p>
    <w:p w:rsidR="00CA67C0" w:rsidRPr="00B27BE5" w:rsidRDefault="00CA67C0" w:rsidP="00CA67C0">
      <w:pPr>
        <w:pStyle w:val="AERbulletlistthirdstyle"/>
      </w:pPr>
      <w:r>
        <w:t>Whether the investor is super fund or not</w:t>
      </w:r>
    </w:p>
    <w:p w:rsidR="00CA67C0" w:rsidRPr="00B27BE5" w:rsidRDefault="00CA67C0" w:rsidP="00CA67C0">
      <w:pPr>
        <w:pStyle w:val="AERbulletlistthirdstyle"/>
      </w:pPr>
      <w:r w:rsidRPr="00883125">
        <w:t xml:space="preserve">Whether the investor is foreign and how foreign income is taxed </w:t>
      </w:r>
      <w:r w:rsidRPr="00B27BE5">
        <w:t>at their home country</w:t>
      </w:r>
    </w:p>
    <w:p w:rsidR="00CA67C0" w:rsidRPr="00883125" w:rsidRDefault="00CA67C0" w:rsidP="00CA67C0">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625"/>
      </w:r>
    </w:p>
    <w:p w:rsidR="00CA67C0" w:rsidRPr="00883125" w:rsidRDefault="00CA67C0" w:rsidP="00CA67C0">
      <w:r w:rsidRPr="00883125">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626"/>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xml:space="preserve">, both of which are taxed as ordinary income. </w:t>
      </w:r>
    </w:p>
    <w:p w:rsidR="00CA67C0" w:rsidRPr="00B27BE5" w:rsidRDefault="00CA67C0" w:rsidP="00CA67C0">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to the taxation building block. </w:t>
      </w:r>
    </w:p>
    <w:p w:rsidR="00CA67C0" w:rsidRPr="00883125" w:rsidRDefault="00CA67C0" w:rsidP="00CA67C0">
      <w:r w:rsidRPr="00883125">
        <w:t xml:space="preserve">In the recent Tribunal decision, the Tribunal considered </w:t>
      </w:r>
      <w:r>
        <w:t>we were</w:t>
      </w:r>
      <w:r w:rsidRPr="00883125">
        <w:t xml:space="preserve"> being inconsistent with </w:t>
      </w:r>
      <w:r>
        <w:t>our</w:t>
      </w:r>
      <w:r w:rsidRPr="00883125">
        <w:t xml:space="preserve"> approach as other allowed rate of return parameters were determined by </w:t>
      </w:r>
      <w:r w:rsidRPr="00883125">
        <w:lastRenderedPageBreak/>
        <w:t xml:space="preserve">market prices which are influenced by personal taxes. </w:t>
      </w:r>
      <w:r>
        <w:t>We</w:t>
      </w:r>
      <w:r w:rsidRPr="00883125">
        <w:t xml:space="preserve"> do not agree. Other allowed rate of return parameters in the cost of equity and cost of debt are not influence by personal tax factors in a manner that results in estimates not being a genuine expected post tax returns. </w:t>
      </w:r>
    </w:p>
    <w:p w:rsidR="00CA67C0" w:rsidRPr="00883125" w:rsidRDefault="00CA67C0" w:rsidP="00CA67C0">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estimates of the value to investors. </w:t>
      </w:r>
    </w:p>
    <w:p w:rsidR="00CA67C0" w:rsidRPr="00883125" w:rsidRDefault="00CA67C0" w:rsidP="00CA67C0">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CA67C0" w:rsidRPr="00883125" w:rsidRDefault="00CA67C0" w:rsidP="00CA67C0">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principal are used in the calculations. </w:t>
      </w:r>
    </w:p>
    <w:p w:rsidR="00CA67C0" w:rsidRPr="00883125" w:rsidRDefault="00CA67C0" w:rsidP="00CA67C0">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7261FC">
        <w:t>A.8.2</w:t>
      </w:r>
      <w:r w:rsidRPr="00883125">
        <w:fldChar w:fldCharType="end"/>
      </w:r>
      <w:r w:rsidRPr="00883125">
        <w:t>.</w:t>
      </w:r>
    </w:p>
    <w:p w:rsidR="00CA67C0" w:rsidRPr="00883125" w:rsidRDefault="00CA67C0" w:rsidP="00CA67C0">
      <w:r w:rsidRPr="00883125">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CA67C0" w:rsidRPr="00883125" w:rsidRDefault="00CA67C0" w:rsidP="00CA67C0">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CA67C0" w:rsidRPr="00883125" w:rsidRDefault="00CA67C0" w:rsidP="00CA67C0">
      <w:r w:rsidRPr="00883125">
        <w:lastRenderedPageBreak/>
        <w:t>The analysis above is based around dividend drop off studies but is equally applicable to alternative market value studies.</w:t>
      </w:r>
    </w:p>
    <w:p w:rsidR="00CA67C0" w:rsidRPr="00883125" w:rsidRDefault="00CA67C0" w:rsidP="00CA67C0">
      <w:pPr>
        <w:pStyle w:val="Heading9"/>
      </w:pPr>
      <w:bookmarkStart w:id="289" w:name="_Ref415065117"/>
      <w:bookmarkStart w:id="290" w:name="_Toc456614341"/>
      <w:r w:rsidRPr="00883125">
        <w:t>Adjustment of estimates from implied market value studies</w:t>
      </w:r>
      <w:bookmarkEnd w:id="289"/>
      <w:bookmarkEnd w:id="290"/>
    </w:p>
    <w:p w:rsidR="00E268EE" w:rsidRDefault="00E268EE" w:rsidP="00E268EE">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627"/>
      </w:r>
      <w:r w:rsidRPr="00883125">
        <w:t xml:space="preserve"> </w:t>
      </w:r>
      <w:r>
        <w:t>However, the service providers do not propose this adjustment as they consider it to be unnecessary and inappropriate.</w:t>
      </w:r>
      <w:r w:rsidRPr="00883125">
        <w:rPr>
          <w:rStyle w:val="FootnoteReference"/>
        </w:rPr>
        <w:footnoteReference w:id="628"/>
      </w:r>
      <w:r>
        <w:t xml:space="preserve"> AusNet Services considers personal cost may affect the value investors place on imputation credits and this cannot be ignored or assumed away.</w:t>
      </w:r>
      <w:r>
        <w:rPr>
          <w:rStyle w:val="FootnoteReference"/>
        </w:rPr>
        <w:footnoteReference w:id="629"/>
      </w:r>
      <w:r>
        <w:t xml:space="preserve"> Accordingly, AusNet Services state</w:t>
      </w:r>
      <w:r w:rsidR="00D4793A">
        <w:t>s</w:t>
      </w:r>
      <w:r>
        <w:t xml:space="preserve"> that any adjustment to ex</w:t>
      </w:r>
      <w:r w:rsidR="00F15ADC">
        <w:t>c</w:t>
      </w:r>
      <w:r>
        <w:t>lude the impact of these factors (personal tax and personal costs) would be inappropriate and would lead to overestimation of the value of imputation credits to investors.</w:t>
      </w:r>
      <w:r>
        <w:rPr>
          <w:rStyle w:val="FootnoteReference"/>
        </w:rPr>
        <w:footnoteReference w:id="630"/>
      </w:r>
    </w:p>
    <w:p w:rsidR="00CA67C0" w:rsidRPr="00883125" w:rsidRDefault="00CA67C0" w:rsidP="00CA67C0">
      <w:r>
        <w:t>W</w:t>
      </w:r>
      <w:r w:rsidRPr="00883125">
        <w:t xml:space="preserve">e do not consider that the relevant adjustment—proposed by Handley and Lally and discussed in section </w:t>
      </w:r>
      <w:r>
        <w:fldChar w:fldCharType="begin"/>
      </w:r>
      <w:r>
        <w:instrText xml:space="preserve"> REF _Ref451353895 \r \h </w:instrText>
      </w:r>
      <w:r>
        <w:fldChar w:fldCharType="separate"/>
      </w:r>
      <w:r w:rsidR="007261FC">
        <w:t>4.4</w:t>
      </w:r>
      <w:r>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631"/>
      </w:r>
    </w:p>
    <w:p w:rsidR="00CA67C0" w:rsidRPr="00883125" w:rsidRDefault="00CA67C0" w:rsidP="00CA67C0">
      <w:pPr>
        <w:pStyle w:val="AERquote"/>
      </w:pPr>
      <w:r w:rsidRPr="00883125">
        <w:t>…costs that reasonable, efficient investors would incur in relation to imputation credits, which do not apply to dividends or capital gains.</w:t>
      </w:r>
    </w:p>
    <w:p w:rsidR="00CA67C0" w:rsidRPr="00883125" w:rsidRDefault="00CA67C0" w:rsidP="00CA67C0">
      <w:r w:rsidRPr="00883125">
        <w:t xml:space="preserve">Thus, Gray's view (for SFG) appears to be that there are factors which affect investors' valuation of imputation credits (as reflected in share prices) which do not affect </w:t>
      </w:r>
      <w:r w:rsidRPr="00883125">
        <w:lastRenderedPageBreak/>
        <w:t>investors' valuation of dividends.</w:t>
      </w:r>
      <w:r w:rsidRPr="00883125">
        <w:rPr>
          <w:rStyle w:val="FootnoteReference"/>
        </w:rPr>
        <w:footnoteReference w:id="632"/>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CA67C0" w:rsidRDefault="00CA67C0" w:rsidP="00CA67C0">
      <w:r w:rsidRPr="00883125">
        <w:t xml:space="preserve">As outlined above in section </w:t>
      </w:r>
      <w:r w:rsidRPr="00883125">
        <w:fldChar w:fldCharType="begin"/>
      </w:r>
      <w:r w:rsidRPr="00883125">
        <w:instrText xml:space="preserve"> REF _Ref435171205 \r \h </w:instrText>
      </w:r>
      <w:r w:rsidRPr="00883125">
        <w:fldChar w:fldCharType="separate"/>
      </w:r>
      <w:r w:rsidR="007261FC">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CA67C0" w:rsidRDefault="00CA67C0" w:rsidP="00CA67C0">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sidRPr="002D2E1B">
        <w:rPr>
          <w:rStyle w:val="FootnoteReference"/>
        </w:rPr>
        <w:t xml:space="preserve"> </w:t>
      </w:r>
      <w:r>
        <w:rPr>
          <w:rStyle w:val="FootnoteReference"/>
        </w:rPr>
        <w:footnoteReference w:id="633"/>
      </w:r>
    </w:p>
    <w:p w:rsidR="00CA67C0" w:rsidRPr="00883125" w:rsidRDefault="00CA67C0" w:rsidP="00CA67C0">
      <w:pPr>
        <w:pStyle w:val="Heading9"/>
      </w:pPr>
      <w:bookmarkStart w:id="291" w:name="_Ref414624721"/>
      <w:bookmarkStart w:id="292" w:name="_Toc456614342"/>
      <w:r w:rsidRPr="00883125">
        <w:t>Limitations of SFG's dividend drop off study</w:t>
      </w:r>
      <w:bookmarkEnd w:id="291"/>
      <w:bookmarkEnd w:id="292"/>
    </w:p>
    <w:p w:rsidR="00CA67C0" w:rsidRPr="00883125" w:rsidRDefault="00CA67C0" w:rsidP="00CA67C0">
      <w:r w:rsidRPr="00883125">
        <w:t>A number of service providers submitted that ‘several of the general limitations [of implied market value studies identified] do not apply to the SFG study’.</w:t>
      </w:r>
      <w:r w:rsidRPr="00883125">
        <w:rPr>
          <w:rStyle w:val="FootnoteReference"/>
        </w:rPr>
        <w:footnoteReference w:id="634"/>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635"/>
      </w:r>
      <w:r w:rsidRPr="00883125">
        <w:t xml:space="preserve"> The 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636"/>
      </w:r>
      <w:r w:rsidRPr="00883125">
        <w:t xml:space="preserve"> </w:t>
      </w:r>
      <w:r>
        <w:t>We</w:t>
      </w:r>
      <w:r w:rsidRPr="00883125">
        <w:t xml:space="preserve"> do not agree and below we set out the limitations that we consider apply generally to implied market value studies and consider whether these apply to SFG’s dividend drop off </w:t>
      </w:r>
      <w:r w:rsidRPr="00883125">
        <w:lastRenderedPageBreak/>
        <w:t>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637"/>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CA67C0" w:rsidRPr="00883125" w:rsidRDefault="00CA67C0" w:rsidP="00CA67C0">
      <w:pPr>
        <w:pStyle w:val="HeadingBoldBlue"/>
      </w:pPr>
      <w:bookmarkStart w:id="293" w:name="_Toc456614343"/>
      <w:r w:rsidRPr="00883125">
        <w:t>These studies can produce nonsensical estimates of the utilisation rate; that is, greater than one or less than zero.</w:t>
      </w:r>
      <w:bookmarkEnd w:id="293"/>
    </w:p>
    <w:p w:rsidR="00CA67C0" w:rsidRPr="00883125" w:rsidRDefault="00CA67C0" w:rsidP="00CA67C0">
      <w:r w:rsidRPr="00883125">
        <w:t>We accept that this limitation does not apply to SFG’s study. Its estimate of the utilisation rate is 0.35.</w:t>
      </w:r>
    </w:p>
    <w:p w:rsidR="00CA67C0" w:rsidRPr="00883125" w:rsidRDefault="00CA67C0" w:rsidP="00CA67C0">
      <w:pPr>
        <w:pStyle w:val="HeadingBoldBlue"/>
      </w:pPr>
      <w:bookmarkStart w:id="294" w:name="_Toc456614344"/>
      <w:r w:rsidRPr="00883125">
        <w:t>The results of these studies can reflect factors, such as differential personal taxes and risk, which are not relevant to the utilisation rate.</w:t>
      </w:r>
      <w:bookmarkEnd w:id="294"/>
    </w:p>
    <w:p w:rsidR="00CA67C0" w:rsidRPr="00883125" w:rsidRDefault="00CA67C0" w:rsidP="00CA67C0">
      <w:r w:rsidRPr="00883125">
        <w:t>Both Handley and Lally advised that the results from SFG’s dividend drop off study reflect these factors.</w:t>
      </w:r>
      <w:r w:rsidRPr="00883125">
        <w:rPr>
          <w:rStyle w:val="FootnoteReference"/>
        </w:rPr>
        <w:footnoteReference w:id="638"/>
      </w:r>
      <w:r w:rsidRPr="00883125">
        <w:t xml:space="preserve"> A number of service providers themselves also acknowledged this elsewhere in their proposals:</w:t>
      </w:r>
      <w:r w:rsidRPr="00883125">
        <w:rPr>
          <w:rStyle w:val="FootnoteReference"/>
        </w:rPr>
        <w:footnoteReference w:id="639"/>
      </w:r>
    </w:p>
    <w:p w:rsidR="00CA67C0" w:rsidRPr="00883125" w:rsidRDefault="00CA67C0" w:rsidP="00CA67C0">
      <w:pPr>
        <w:pStyle w:val="AERquote"/>
      </w:pPr>
      <w:r w:rsidRPr="00883125">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CA67C0" w:rsidRPr="00883125" w:rsidRDefault="00CA67C0" w:rsidP="00CA67C0">
      <w:r w:rsidRPr="00883125">
        <w:t>Therefore, we conclude that this limitation does apply to SFG’s study.</w:t>
      </w:r>
    </w:p>
    <w:p w:rsidR="00CA67C0" w:rsidRPr="00883125" w:rsidRDefault="00CA67C0" w:rsidP="00CA67C0">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7261FC">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CA67C0" w:rsidRPr="00883125" w:rsidRDefault="00CA67C0" w:rsidP="00CA67C0">
      <w:pPr>
        <w:pStyle w:val="HeadingBoldBlue"/>
      </w:pPr>
      <w:bookmarkStart w:id="295" w:name="_Toc456614345"/>
      <w:r w:rsidRPr="00883125">
        <w:t>The results of these studies might not be reflective of the value of imputation credits to investors in the market as a whole.</w:t>
      </w:r>
      <w:bookmarkEnd w:id="295"/>
    </w:p>
    <w:p w:rsidR="00CA67C0" w:rsidRPr="00883125" w:rsidRDefault="00CA67C0" w:rsidP="00CA67C0">
      <w:r w:rsidRPr="00883125">
        <w:t>Gray’s response to this point (for SFG) was:</w:t>
      </w:r>
      <w:r w:rsidRPr="00883125">
        <w:rPr>
          <w:rStyle w:val="FootnoteReference"/>
        </w:rPr>
        <w:footnoteReference w:id="640"/>
      </w:r>
    </w:p>
    <w:p w:rsidR="00CA67C0" w:rsidRPr="00883125" w:rsidRDefault="00CA67C0" w:rsidP="00CA67C0">
      <w:pPr>
        <w:pStyle w:val="AERquote"/>
      </w:pPr>
      <w:r w:rsidRPr="00883125">
        <w:lastRenderedPageBreak/>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CA67C0" w:rsidRPr="00883125" w:rsidRDefault="00CA67C0" w:rsidP="00CA67C0">
      <w:pPr>
        <w:pStyle w:val="AERquote"/>
      </w:pPr>
      <w:r w:rsidRPr="00883125">
        <w:t>I have previously addressed this issue at pp. 31-32 of SFG (2014 Gamma) and at ENA (2013), Section 7.9, pp.119-123.</w:t>
      </w:r>
    </w:p>
    <w:p w:rsidR="00CA67C0" w:rsidRPr="00883125" w:rsidRDefault="00CA67C0" w:rsidP="00CA67C0">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641"/>
      </w:r>
    </w:p>
    <w:p w:rsidR="00CA67C0" w:rsidRPr="00883125" w:rsidRDefault="00CA67C0" w:rsidP="00CA67C0">
      <w:pPr>
        <w:pStyle w:val="AERquote"/>
      </w:pPr>
      <w:r w:rsidRPr="00883125">
        <w:t>The AER’s third approach to estimating [the utilisation rate] involves estimates derived from market prices (AER, 2013, pp. 133–134, 239–247). The AER does not consider that these estimates are useful for a number of reasons.</w:t>
      </w:r>
    </w:p>
    <w:p w:rsidR="00CA67C0" w:rsidRPr="00883125" w:rsidRDefault="00CA67C0" w:rsidP="00CA67C0">
      <w:pPr>
        <w:pStyle w:val="AERquote"/>
      </w:pPr>
      <w:r w:rsidRPr="00883125">
        <w:t>…</w:t>
      </w:r>
    </w:p>
    <w:p w:rsidR="00CA67C0" w:rsidRPr="00883125" w:rsidRDefault="00CA67C0" w:rsidP="00CA67C0">
      <w:pPr>
        <w:pStyle w:val="AERquote"/>
      </w:pPr>
      <w:r w:rsidRPr="00883125">
        <w:t>I concur with all of these concerns, and I have additional concerns about these studies or their interpretation.</w:t>
      </w:r>
    </w:p>
    <w:p w:rsidR="00CA67C0" w:rsidRPr="00883125" w:rsidRDefault="00CA67C0" w:rsidP="00CA67C0">
      <w:r w:rsidRPr="00883125">
        <w:t>Regarding the particular limitation at hand, Lally noted:</w:t>
      </w:r>
      <w:r w:rsidRPr="00883125">
        <w:rPr>
          <w:rStyle w:val="FootnoteReference"/>
        </w:rPr>
        <w:footnoteReference w:id="642"/>
      </w:r>
    </w:p>
    <w:p w:rsidR="00CA67C0" w:rsidRPr="00883125" w:rsidRDefault="00CA67C0" w:rsidP="00CA67C0">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CA67C0" w:rsidRPr="00883125" w:rsidRDefault="00CA67C0" w:rsidP="00CA67C0">
      <w:r w:rsidRPr="00883125">
        <w:t>And on the effect of trading around the ex-dividend date, Lally noted:</w:t>
      </w:r>
      <w:r w:rsidRPr="00883125">
        <w:rPr>
          <w:rStyle w:val="FootnoteReference"/>
        </w:rPr>
        <w:footnoteReference w:id="643"/>
      </w:r>
    </w:p>
    <w:p w:rsidR="00CA67C0" w:rsidRPr="00883125" w:rsidRDefault="00CA67C0" w:rsidP="00CA67C0">
      <w:pPr>
        <w:pStyle w:val="AERquote"/>
      </w:pPr>
      <w:r w:rsidRPr="00883125">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CA67C0" w:rsidRPr="00883125" w:rsidRDefault="00CA67C0" w:rsidP="00CA67C0">
      <w:r w:rsidRPr="00883125">
        <w:t>Thus, Lally appeared unconvinced by the ENA’s views and provided no indication that SFG’s study (or any implied market value study) should necessarily be deemed free of this limitation.</w:t>
      </w:r>
    </w:p>
    <w:p w:rsidR="00CA67C0" w:rsidRPr="00883125" w:rsidRDefault="00CA67C0" w:rsidP="00CA67C0">
      <w:r w:rsidRPr="00883125">
        <w:t>Handley also appeared unconvinced by the views of Gray (for SFG) in his 2014 report on this limitation, noting in his September 2014 report:</w:t>
      </w:r>
      <w:r w:rsidRPr="00883125">
        <w:rPr>
          <w:rStyle w:val="FootnoteReference"/>
        </w:rPr>
        <w:footnoteReference w:id="644"/>
      </w:r>
    </w:p>
    <w:p w:rsidR="00CA67C0" w:rsidRPr="00883125" w:rsidRDefault="00CA67C0" w:rsidP="00CA67C0">
      <w:pPr>
        <w:pStyle w:val="AERquote"/>
      </w:pPr>
      <w:r w:rsidRPr="00883125">
        <w:lastRenderedPageBreak/>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A67C0" w:rsidRPr="00883125" w:rsidRDefault="00CA67C0" w:rsidP="00CA67C0">
      <w:r w:rsidRPr="00883125">
        <w:t>Handley reiterated this view in his April 2015 report.</w:t>
      </w:r>
      <w:r w:rsidRPr="00883125">
        <w:rPr>
          <w:rStyle w:val="FootnoteReference"/>
        </w:rPr>
        <w:footnoteReference w:id="645"/>
      </w:r>
    </w:p>
    <w:p w:rsidR="00CA67C0" w:rsidRPr="00883125" w:rsidRDefault="00CA67C0" w:rsidP="00CA67C0">
      <w:r w:rsidRPr="00883125">
        <w:t>Finally, we note the South Australian Centre for Economic Studies recommended disregarding evidence from all dividend drop off studies due to this limitation entirely:</w:t>
      </w:r>
      <w:r w:rsidRPr="00883125">
        <w:rPr>
          <w:rStyle w:val="FootnoteReference"/>
        </w:rPr>
        <w:footnoteReference w:id="646"/>
      </w:r>
    </w:p>
    <w:p w:rsidR="00CA67C0" w:rsidRPr="00883125" w:rsidRDefault="00CA67C0" w:rsidP="00CA67C0">
      <w:pPr>
        <w:pStyle w:val="AERquote"/>
      </w:pPr>
      <w:r w:rsidRPr="00883125">
        <w:t>The studies included by SFG consulting in their review of estimates for theta all appear to be of good quality and are undertaken in a manner which reflects the current best practice in the literature.</w:t>
      </w:r>
    </w:p>
    <w:p w:rsidR="00CA67C0" w:rsidRPr="00883125" w:rsidRDefault="00CA67C0" w:rsidP="00CA67C0">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A67C0" w:rsidRPr="00883125" w:rsidRDefault="00CA67C0" w:rsidP="00CA67C0">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A67C0" w:rsidRPr="00883125" w:rsidRDefault="00CA67C0" w:rsidP="00CA67C0">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A67C0" w:rsidRPr="00883125" w:rsidRDefault="00CA67C0" w:rsidP="00CA67C0">
      <w:r w:rsidRPr="00883125">
        <w:t>We consider that there is sufficient evidence in the expert views quoted above to suggest that SFG's dividend drop off study is subject to this limitation.</w:t>
      </w:r>
    </w:p>
    <w:p w:rsidR="00CA67C0" w:rsidRPr="00883125" w:rsidRDefault="00CA67C0" w:rsidP="00CA67C0">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7261FC">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w:t>
      </w:r>
      <w:r>
        <w:t>,</w:t>
      </w:r>
      <w:r w:rsidRPr="00883125">
        <w:t xml:space="preserve"> that trades around </w:t>
      </w:r>
      <w:r w:rsidRPr="00883125">
        <w:lastRenderedPageBreak/>
        <w:t>the ex-dividend date</w:t>
      </w:r>
      <w:r>
        <w:t>,</w:t>
      </w:r>
      <w:r w:rsidRPr="00883125">
        <w:t xml:space="preserve"> marginal tax rate. However, the marginal investor dividend drop off ratio is not relevant for estimating gamma in the regulatory context for two reasons:</w:t>
      </w:r>
    </w:p>
    <w:p w:rsidR="00CA67C0" w:rsidRPr="001D37D5" w:rsidRDefault="00CA67C0" w:rsidP="00CA67C0">
      <w:pPr>
        <w:pStyle w:val="AERbulletlistfirststyle"/>
      </w:pPr>
      <w:r w:rsidRPr="00883125">
        <w:t xml:space="preserve">The purpose of gamma </w:t>
      </w:r>
      <w:r w:rsidRPr="001D37D5">
        <w:t>is to deduct the proportion of company tax is a pre-payment of personal tax from the allowed regulated revenues. In order to determine this proportion the analysis has to focus on the aggregate investors and not the marginal investors that trade around the ex-dividend date.</w:t>
      </w:r>
    </w:p>
    <w:p w:rsidR="00CA67C0" w:rsidRPr="001D37D5" w:rsidRDefault="00CA67C0" w:rsidP="00CA67C0">
      <w:pPr>
        <w:pStyle w:val="AERbulletlistfirststyle"/>
      </w:pPr>
      <w:r w:rsidRPr="00883125">
        <w:t>This dividend drop off ratio is neither a pre-personal nor a post-persona tax measure of dividends</w:t>
      </w:r>
      <w:r w:rsidRPr="001D37D5">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1D37D5">
        <w:rPr>
          <w:rStyle w:val="AERtexthighlight"/>
        </w:rPr>
        <w:fldChar w:fldCharType="begin"/>
      </w:r>
      <w:r w:rsidRPr="001D37D5">
        <w:instrText xml:space="preserve"> REF _Ref435171205 \r \h </w:instrText>
      </w:r>
      <w:r w:rsidRPr="001D37D5">
        <w:rPr>
          <w:rStyle w:val="AERtexthighlight"/>
        </w:rPr>
      </w:r>
      <w:r w:rsidRPr="001D37D5">
        <w:rPr>
          <w:rStyle w:val="AERtexthighlight"/>
        </w:rPr>
        <w:fldChar w:fldCharType="separate"/>
      </w:r>
      <w:r w:rsidR="007261FC">
        <w:t>A.15.3</w:t>
      </w:r>
      <w:r w:rsidRPr="001D37D5">
        <w:rPr>
          <w:rStyle w:val="AERtexthighlight"/>
        </w:rPr>
        <w:fldChar w:fldCharType="end"/>
      </w:r>
      <w:r w:rsidRPr="001D37D5">
        <w:t>.</w:t>
      </w:r>
    </w:p>
    <w:p w:rsidR="00CA67C0" w:rsidRPr="00883125" w:rsidRDefault="00CA67C0" w:rsidP="00CA67C0">
      <w:pPr>
        <w:pStyle w:val="HeadingBoldBlue"/>
      </w:pPr>
      <w:bookmarkStart w:id="296" w:name="_Toc456614346"/>
      <w:r w:rsidRPr="00883125">
        <w:t>These studies can be data intensive and employ complex and sometimes problematic estimation methodologies.</w:t>
      </w:r>
      <w:bookmarkEnd w:id="296"/>
    </w:p>
    <w:p w:rsidR="00CA67C0" w:rsidRPr="00883125" w:rsidRDefault="00CA67C0" w:rsidP="00CA67C0">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647"/>
      </w:r>
    </w:p>
    <w:p w:rsidR="00CA67C0" w:rsidRPr="00883125" w:rsidRDefault="00CA67C0" w:rsidP="00CA67C0">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out in section </w:t>
      </w:r>
      <w:r w:rsidRPr="00883125">
        <w:fldChar w:fldCharType="begin"/>
      </w:r>
      <w:r w:rsidRPr="00883125">
        <w:instrText xml:space="preserve"> REF _Ref414619467 \r \h </w:instrText>
      </w:r>
      <w:r w:rsidRPr="00883125">
        <w:fldChar w:fldCharType="separate"/>
      </w:r>
      <w:r w:rsidR="007261FC">
        <w:t>0</w:t>
      </w:r>
      <w:r w:rsidRPr="00883125">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regard to the Tribunal's acceptance of the results from SFG's dividend drop off study in 2011.</w:t>
      </w:r>
    </w:p>
    <w:p w:rsidR="00CA67C0" w:rsidRPr="00883125" w:rsidRDefault="00CA67C0" w:rsidP="00CA67C0">
      <w:r w:rsidRPr="00883125">
        <w:t>Therefore, we consider that there is evidence both for and against the idea that this limitation applies to SFG's dividend drop off study.</w:t>
      </w:r>
    </w:p>
    <w:p w:rsidR="00CA67C0" w:rsidRPr="00883125" w:rsidRDefault="00CA67C0" w:rsidP="00CA67C0">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CA67C0" w:rsidRDefault="00CA67C0" w:rsidP="00CA67C0">
      <w:r w:rsidRPr="00883125">
        <w:t xml:space="preserve">Firstly, we note that it is strictly incorrect to say that the value of the combined package of dividends and imputation credits can be 'observed'. The service providers support this by quoting Gray that empirical evidence provides a very clear and consistent view </w:t>
      </w:r>
      <w:r w:rsidRPr="00883125">
        <w:lastRenderedPageBreak/>
        <w:t>of the combined value of credit and dividend.</w:t>
      </w:r>
      <w:r w:rsidRPr="00883125">
        <w:rPr>
          <w:rStyle w:val="FootnoteReference"/>
        </w:rPr>
        <w:footnoteReference w:id="648"/>
      </w:r>
      <w:r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297" w:name="_Ref402180002"/>
      <w:bookmarkStart w:id="298" w:name="_Ref414619467"/>
    </w:p>
    <w:p w:rsidR="00CA67C0" w:rsidRPr="00B27BE5" w:rsidRDefault="00CA67C0" w:rsidP="00CA67C0">
      <w:pPr>
        <w:pStyle w:val="Heading9"/>
      </w:pPr>
      <w:bookmarkStart w:id="299" w:name="_Toc456614347"/>
      <w:r w:rsidRPr="00883125">
        <w:t>The views of academics and other regulators</w:t>
      </w:r>
      <w:bookmarkEnd w:id="297"/>
      <w:r w:rsidRPr="00883125">
        <w:t xml:space="preserve"> on dividend drop off studies</w:t>
      </w:r>
      <w:bookmarkEnd w:id="298"/>
      <w:bookmarkEnd w:id="299"/>
    </w:p>
    <w:p w:rsidR="00CA67C0" w:rsidRPr="00883125" w:rsidRDefault="00CA67C0" w:rsidP="00764AB1">
      <w:pPr>
        <w:numPr>
          <w:ilvl w:val="0"/>
          <w:numId w:val="24"/>
        </w:numPr>
      </w:pPr>
      <w:r w:rsidRPr="00883125">
        <w:t>A number of academics and regulators have recognised the limitations of dividend drop off studies. Moreover, many of these concerns continue to be expressed even after the first version of SFG's dividend drop off study in 2011 (which was relied upon by the Tribunal in the Energex matter), and the 2013 update of that study (which was relied upon in service providers' current proposals).</w:t>
      </w:r>
      <w:r w:rsidRPr="00883125">
        <w:rPr>
          <w:rStyle w:val="FootnoteReference"/>
        </w:rPr>
        <w:footnoteReference w:id="649"/>
      </w:r>
      <w:r w:rsidRPr="00883125">
        <w:t xml:space="preserve"> The comments of academics and other regulators support the lesser reliance we place on SFG's dividend drop off study in estimating the utilisation rate. </w:t>
      </w:r>
    </w:p>
    <w:p w:rsidR="00CA67C0" w:rsidRPr="00883125" w:rsidRDefault="00CA67C0" w:rsidP="00764AB1">
      <w:pPr>
        <w:numPr>
          <w:ilvl w:val="0"/>
          <w:numId w:val="24"/>
        </w:numPr>
      </w:pPr>
      <w:r w:rsidRPr="00883125">
        <w:t>Some academics have identified a number of practical and methodological issues:</w:t>
      </w:r>
    </w:p>
    <w:p w:rsidR="00CA67C0" w:rsidRPr="00CA67C0" w:rsidRDefault="00CA67C0" w:rsidP="00CA67C0">
      <w:pPr>
        <w:pStyle w:val="AERbulletlistfirststyle"/>
      </w:pPr>
      <w:r w:rsidRPr="00883125">
        <w:t>Cannavan, Finn and Gray (2004):</w:t>
      </w:r>
      <w:r w:rsidRPr="00CA67C0">
        <w:rPr>
          <w:rStyle w:val="FootnoteReference"/>
        </w:rPr>
        <w:footnoteReference w:id="650"/>
      </w:r>
    </w:p>
    <w:p w:rsidR="00CA67C0" w:rsidRPr="00CA67C0" w:rsidRDefault="00CA67C0" w:rsidP="00CA67C0">
      <w:pPr>
        <w:pStyle w:val="AERquote"/>
      </w:pPr>
      <w:r w:rsidRPr="00883125">
        <w:t>…it is unlikely that the traditional ex-dividend day drop-off methodology will be able to separately identify the value of cash dividends and imputation credits.</w:t>
      </w:r>
    </w:p>
    <w:p w:rsidR="00CA67C0" w:rsidRPr="001D37D5" w:rsidRDefault="00CA67C0" w:rsidP="00CA67C0">
      <w:pPr>
        <w:pStyle w:val="AERbulletlistfirststyle"/>
      </w:pPr>
      <w:r w:rsidRPr="00883125">
        <w:t>Siau, Sault and Warren (2013):</w:t>
      </w:r>
      <w:r w:rsidRPr="001D37D5">
        <w:rPr>
          <w:rStyle w:val="FootnoteReference"/>
        </w:rPr>
        <w:footnoteReference w:id="651"/>
      </w:r>
    </w:p>
    <w:p w:rsidR="00CA67C0" w:rsidRPr="00883125" w:rsidRDefault="00CA67C0" w:rsidP="00CA67C0">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w:t>
      </w:r>
      <w:r w:rsidRPr="00883125">
        <w:lastRenderedPageBreak/>
        <w:t xml:space="preserve">issues, such as imprecise estimates that may be influenced by the presence of short-term traders arbitraging dividends and limited samples in the case of comparative studies. </w:t>
      </w:r>
    </w:p>
    <w:p w:rsidR="00CA67C0" w:rsidRPr="00883125" w:rsidRDefault="00CA67C0" w:rsidP="00CA67C0">
      <w:pPr>
        <w:pStyle w:val="AERquote"/>
      </w:pPr>
      <w:r w:rsidRPr="00883125">
        <w:t>…</w:t>
      </w:r>
    </w:p>
    <w:p w:rsidR="00CA67C0" w:rsidRPr="00883125" w:rsidRDefault="00CA67C0" w:rsidP="00CA67C0">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CA67C0" w:rsidRPr="00883125" w:rsidRDefault="00CA67C0" w:rsidP="00CA67C0">
      <w:pPr>
        <w:pStyle w:val="AERquote"/>
      </w:pPr>
      <w:r w:rsidRPr="00883125">
        <w:t>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(2008) points out that the value attributed to imputation credits is conditional on the assumed value on cash dividends by design, to the extent that they are supplementary components within a single package. This notion is reinforced by evidence of offsetting variation in the value attributed to dividends and imputation credits across samples (see Bellamy and Gray, 2006; Gray, 2008).</w:t>
      </w:r>
    </w:p>
    <w:p w:rsidR="00CA67C0" w:rsidRPr="001D37D5" w:rsidRDefault="00CA67C0" w:rsidP="00CA67C0">
      <w:pPr>
        <w:pStyle w:val="AERbulletlistfirststyle"/>
      </w:pPr>
      <w:r w:rsidRPr="00883125">
        <w:t>McKenzie and Partington (2013):</w:t>
      </w:r>
      <w:r w:rsidRPr="001D37D5">
        <w:rPr>
          <w:rStyle w:val="FootnoteReference"/>
        </w:rPr>
        <w:footnoteReference w:id="652"/>
      </w:r>
    </w:p>
    <w:p w:rsidR="00CA67C0" w:rsidRPr="00883125" w:rsidRDefault="00CA67C0" w:rsidP="00CA67C0">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CA67C0" w:rsidRPr="00883125" w:rsidRDefault="00CA67C0" w:rsidP="00CA67C0">
      <w:pPr>
        <w:pStyle w:val="AERquote"/>
      </w:pPr>
      <w:r w:rsidRPr="00883125">
        <w:t xml:space="preserve">It is well understood that the market value of the package of dividends and franking credits mixes together not just dividends and credits, but the effects of </w:t>
      </w:r>
      <w:r w:rsidRPr="00883125">
        <w:lastRenderedPageBreak/>
        <w:t>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CA67C0" w:rsidRPr="00883125" w:rsidRDefault="00CA67C0" w:rsidP="00CA67C0">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CA67C0" w:rsidRPr="00883125" w:rsidRDefault="00CA67C0" w:rsidP="00CA67C0">
      <w:pPr>
        <w:pStyle w:val="AERquote"/>
      </w:pPr>
      <w:r w:rsidRPr="00883125">
        <w:t>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 and franking credit valuation that reflects the clientele of investors normally holding the stock. Finally, there are conceptual and econometric problems. For example, multicollinearity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CA67C0" w:rsidRPr="001D37D5" w:rsidRDefault="00CA67C0" w:rsidP="00CA67C0">
      <w:pPr>
        <w:pStyle w:val="AERbulletlistfirststyle"/>
      </w:pPr>
      <w:r w:rsidRPr="00883125">
        <w:t>Lally (2013):</w:t>
      </w:r>
      <w:r w:rsidRPr="001D37D5">
        <w:rPr>
          <w:rStyle w:val="FootnoteReference"/>
        </w:rPr>
        <w:footnoteReference w:id="653"/>
      </w:r>
    </w:p>
    <w:p w:rsidR="00CA67C0" w:rsidRPr="00883125" w:rsidRDefault="00CA67C0" w:rsidP="00CA67C0">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w:t>
      </w:r>
      <w:r w:rsidRPr="00883125">
        <w:lastRenderedPageBreak/>
        <w:t>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CA67C0" w:rsidRPr="00883125" w:rsidRDefault="00CA67C0" w:rsidP="00CA67C0">
      <w:pPr>
        <w:pStyle w:val="AERquote"/>
      </w:pPr>
      <w:r w:rsidRPr="00883125">
        <w:t>I concur with all of these concerns, and I have additional concerns about these studies or their interpretation.</w:t>
      </w:r>
    </w:p>
    <w:p w:rsidR="00CA67C0" w:rsidRPr="00883125" w:rsidRDefault="00CA67C0" w:rsidP="00CA67C0">
      <w:r w:rsidRPr="00883125">
        <w:t>Other academics have focussed on the specific issue of whether dividend drop off studies produce results that are reflective of investors in the market as a whole:</w:t>
      </w:r>
    </w:p>
    <w:p w:rsidR="00CA67C0" w:rsidRPr="001D37D5" w:rsidRDefault="00CA67C0" w:rsidP="00CA67C0">
      <w:pPr>
        <w:pStyle w:val="AERbulletlistfirststyle"/>
      </w:pPr>
      <w:r w:rsidRPr="00883125">
        <w:t>Handley (2014):</w:t>
      </w:r>
      <w:r w:rsidRPr="001D37D5">
        <w:rPr>
          <w:rStyle w:val="FootnoteReference"/>
        </w:rPr>
        <w:footnoteReference w:id="654"/>
      </w:r>
    </w:p>
    <w:p w:rsidR="00CA67C0" w:rsidRPr="00883125" w:rsidRDefault="00CA67C0" w:rsidP="00CA67C0">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A67C0" w:rsidRPr="00CA67C0" w:rsidRDefault="00CA67C0" w:rsidP="00CA67C0">
      <w:pPr>
        <w:pStyle w:val="AERbulletlistfirststyle"/>
      </w:pPr>
      <w:r w:rsidRPr="00883125">
        <w:t>South Australian Centre for Economic Studies (2015):</w:t>
      </w:r>
      <w:r w:rsidRPr="00CA67C0">
        <w:rPr>
          <w:rStyle w:val="FootnoteReference"/>
        </w:rPr>
        <w:footnoteReference w:id="655"/>
      </w:r>
    </w:p>
    <w:p w:rsidR="00CA67C0" w:rsidRPr="00CA67C0" w:rsidRDefault="00CA67C0" w:rsidP="00CA67C0">
      <w:pPr>
        <w:pStyle w:val="AERquote"/>
      </w:pPr>
      <w:r w:rsidRPr="00883125">
        <w:t>In order for a dividend drop-off study to provide useful evidence of the value of franking credits to a representative owner of equity three conditions need to be met:</w:t>
      </w:r>
    </w:p>
    <w:p w:rsidR="00CA67C0" w:rsidRPr="00883125" w:rsidRDefault="00CA67C0" w:rsidP="00CA67C0">
      <w:pPr>
        <w:pStyle w:val="AERquotebullet1"/>
      </w:pPr>
      <w:r w:rsidRPr="00883125">
        <w:t>the studies being drawn on need to be of high quality;</w:t>
      </w:r>
    </w:p>
    <w:p w:rsidR="00CA67C0" w:rsidRPr="00883125" w:rsidRDefault="00CA67C0" w:rsidP="00CA67C0">
      <w:pPr>
        <w:pStyle w:val="AERquotebullet1"/>
      </w:pPr>
      <w:r w:rsidRPr="00883125">
        <w:t>the equity holders who buy shares in the period after dividends are issued need to be representative of the whole class of equity holders; and</w:t>
      </w:r>
    </w:p>
    <w:p w:rsidR="00CA67C0" w:rsidRPr="00883125" w:rsidRDefault="00CA67C0" w:rsidP="00CA67C0">
      <w:pPr>
        <w:pStyle w:val="AERquotebullet1"/>
      </w:pPr>
      <w:r w:rsidRPr="00883125">
        <w:t>the equity for which data is drawn on for the dividend drop off study needs to be representative of the overall stock of equity in the Australian economy</w:t>
      </w:r>
    </w:p>
    <w:p w:rsidR="00CA67C0" w:rsidRPr="00883125" w:rsidRDefault="00CA67C0" w:rsidP="00CA67C0">
      <w:pPr>
        <w:pStyle w:val="AERquote"/>
      </w:pPr>
      <w:r w:rsidRPr="00883125">
        <w:t>We would contend that only the first of these three conditions is definitely met.</w:t>
      </w:r>
    </w:p>
    <w:p w:rsidR="00CA67C0" w:rsidRPr="00883125" w:rsidRDefault="00CA67C0" w:rsidP="00CA67C0">
      <w:pPr>
        <w:pStyle w:val="AERquote"/>
      </w:pPr>
      <w:r w:rsidRPr="00883125">
        <w:lastRenderedPageBreak/>
        <w:t>The studies included by SFG consulting in their review of estimates for theta all appear to be of good quality and are undertaken in a manner which reflects the current best practice in the literature.</w:t>
      </w:r>
    </w:p>
    <w:p w:rsidR="00CA67C0" w:rsidRPr="00883125" w:rsidRDefault="00CA67C0" w:rsidP="00CA67C0">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A67C0" w:rsidRPr="00883125" w:rsidRDefault="00CA67C0" w:rsidP="00CA67C0">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A67C0" w:rsidRPr="00883125" w:rsidRDefault="00CA67C0" w:rsidP="00CA67C0">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A67C0" w:rsidRPr="00883125" w:rsidRDefault="00CA67C0" w:rsidP="00CA67C0">
      <w:r w:rsidRPr="00883125">
        <w:t>The limitations identified have been recognised by other regulators and reflected in their respective approaches to determining the utilisation rate:</w:t>
      </w:r>
    </w:p>
    <w:p w:rsidR="00CA67C0" w:rsidRPr="001D37D5" w:rsidRDefault="00CA67C0" w:rsidP="00CA67C0">
      <w:pPr>
        <w:pStyle w:val="AERbulletlistfirststyle"/>
      </w:pPr>
      <w:r w:rsidRPr="00883125">
        <w:t>QCA (2014):</w:t>
      </w:r>
      <w:r w:rsidRPr="001D37D5">
        <w:rPr>
          <w:rStyle w:val="FootnoteReference"/>
        </w:rPr>
        <w:footnoteReference w:id="656"/>
      </w:r>
    </w:p>
    <w:p w:rsidR="00CA67C0" w:rsidRPr="00883125" w:rsidRDefault="00CA67C0" w:rsidP="00CA67C0">
      <w:pPr>
        <w:pStyle w:val="AERquote"/>
      </w:pPr>
      <w:r w:rsidRPr="00883125">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CA67C0" w:rsidRPr="001D37D5" w:rsidRDefault="00CA67C0" w:rsidP="00CA67C0">
      <w:pPr>
        <w:pStyle w:val="AERbulletlistfirststyle"/>
      </w:pPr>
      <w:r w:rsidRPr="00883125">
        <w:t>The ERA, which until the publication of a revised draft Guideline in November 2014 preferred the use of dividend drop off studies, stated:</w:t>
      </w:r>
      <w:r w:rsidRPr="001D37D5">
        <w:rPr>
          <w:rStyle w:val="FootnoteReference"/>
        </w:rPr>
        <w:footnoteReference w:id="657"/>
      </w:r>
    </w:p>
    <w:p w:rsidR="00CA67C0" w:rsidRPr="00883125" w:rsidRDefault="00CA67C0" w:rsidP="00CA67C0">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CA67C0" w:rsidRPr="00373BE8" w:rsidRDefault="00CA67C0" w:rsidP="00CA67C0">
      <w:pPr>
        <w:pStyle w:val="Heading8"/>
      </w:pPr>
      <w:bookmarkStart w:id="300" w:name="_Ref403481482"/>
      <w:bookmarkStart w:id="301" w:name="_Toc433449226"/>
      <w:bookmarkStart w:id="302" w:name="_Toc451938317"/>
      <w:bookmarkStart w:id="303" w:name="_Toc456614348"/>
      <w:r w:rsidRPr="00373BE8">
        <w:lastRenderedPageBreak/>
        <w:t>Revised consideration of the conceptual goalposts approach</w:t>
      </w:r>
      <w:bookmarkEnd w:id="300"/>
      <w:bookmarkEnd w:id="301"/>
      <w:bookmarkEnd w:id="302"/>
      <w:bookmarkEnd w:id="303"/>
    </w:p>
    <w:p w:rsidR="00CA67C0" w:rsidRPr="00373BE8" w:rsidRDefault="00CA67C0" w:rsidP="00764AB1">
      <w:pPr>
        <w:numPr>
          <w:ilvl w:val="0"/>
          <w:numId w:val="24"/>
        </w:numPr>
      </w:pPr>
      <w:r w:rsidRPr="00373BE8">
        <w:t xml:space="preserve">We placed a degree of reliance upon the conceptual goalposts approach when coming to an estimate for the utilisation rate in the Guideline. However, we do not rely on the conceptual goalposts approach in this </w:t>
      </w:r>
      <w:r w:rsidR="00690CAC" w:rsidRPr="00373BE8">
        <w:t xml:space="preserve"> </w:t>
      </w:r>
      <w:r w:rsidRPr="00373BE8">
        <w:t>decision. This is mainly to be consistent with Handley's advice on the conceptual framework, which we have accepted in making this</w:t>
      </w:r>
      <w:r w:rsidR="00F15ADC">
        <w:t xml:space="preserve"> draft</w:t>
      </w:r>
      <w:r w:rsidRPr="00373BE8">
        <w:t xml:space="preserve"> 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658"/>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CA67C0" w:rsidRPr="00373BE8" w:rsidRDefault="00CA67C0" w:rsidP="00CA67C0">
      <w:pPr>
        <w:pStyle w:val="Heading9"/>
      </w:pPr>
      <w:bookmarkStart w:id="304" w:name="_Toc456614349"/>
      <w:r w:rsidRPr="00373BE8">
        <w:t>Description of the approach</w:t>
      </w:r>
      <w:bookmarkEnd w:id="304"/>
    </w:p>
    <w:p w:rsidR="00CA67C0" w:rsidRPr="00373BE8" w:rsidRDefault="00CA67C0" w:rsidP="00764AB1">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659"/>
      </w:r>
      <w:r w:rsidRPr="00373BE8">
        <w:t xml:space="preserve"> In the Officer CAPM, the given set of assets is the domestic market and Lally considered that the given set of investors is domestic investors; that is, the domestic market is assumed to be 'fully segmented' from international markets.</w:t>
      </w:r>
      <w:r w:rsidRPr="00373BE8">
        <w:rPr>
          <w:rStyle w:val="FootnoteReference"/>
        </w:rPr>
        <w:footnoteReference w:id="660"/>
      </w:r>
    </w:p>
    <w:p w:rsidR="00CA67C0" w:rsidRPr="00373BE8" w:rsidRDefault="00CA67C0" w:rsidP="00764AB1">
      <w:pPr>
        <w:numPr>
          <w:ilvl w:val="0"/>
          <w:numId w:val="24"/>
        </w:numPr>
      </w:pPr>
      <w:r w:rsidRPr="00373BE8">
        <w:t>Lally considered it paramount to estimate the utilisation rate consistently with the underlying theoretical framework:</w:t>
      </w:r>
      <w:r w:rsidRPr="00373BE8">
        <w:rPr>
          <w:rStyle w:val="FootnoteReference"/>
        </w:rPr>
        <w:footnoteReference w:id="661"/>
      </w:r>
    </w:p>
    <w:p w:rsidR="00CA67C0" w:rsidRPr="00373BE8" w:rsidRDefault="00CA67C0" w:rsidP="00CA67C0">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CA67C0" w:rsidRPr="00373BE8" w:rsidRDefault="00CA67C0" w:rsidP="00764AB1">
      <w:pPr>
        <w:numPr>
          <w:ilvl w:val="0"/>
          <w:numId w:val="24"/>
        </w:numPr>
      </w:pPr>
      <w:r w:rsidRPr="00373BE8">
        <w:lastRenderedPageBreak/>
        <w:t>The importance of theoretical consistency led Lally to recommend that the optimal estimate of the utilisation rate is 1, on these conceptual grounds:</w:t>
      </w:r>
      <w:r w:rsidRPr="00373BE8">
        <w:rPr>
          <w:rStyle w:val="FootnoteReference"/>
        </w:rPr>
        <w:footnoteReference w:id="662"/>
      </w:r>
    </w:p>
    <w:p w:rsidR="00CA67C0" w:rsidRPr="00373BE8" w:rsidRDefault="00CA67C0" w:rsidP="00CA67C0">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CA67C0" w:rsidRPr="00373BE8" w:rsidRDefault="00CA67C0" w:rsidP="00CA67C0">
      <w:pPr>
        <w:pStyle w:val="AERquote"/>
      </w:pPr>
      <w:r w:rsidRPr="00373BE8">
        <w:t>…</w:t>
      </w:r>
    </w:p>
    <w:p w:rsidR="00CA67C0" w:rsidRPr="00373BE8" w:rsidRDefault="00CA67C0" w:rsidP="00CA67C0">
      <w:pPr>
        <w:pStyle w:val="AERquote"/>
      </w:pPr>
      <w:r w:rsidRPr="00373BE8">
        <w:t>Using the three criteria described above, my preferred estimate is 1 from the first approach…</w:t>
      </w:r>
    </w:p>
    <w:p w:rsidR="00CA67C0" w:rsidRPr="00373BE8" w:rsidRDefault="00CA67C0" w:rsidP="00764AB1">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A67C0" w:rsidRPr="00373BE8" w:rsidRDefault="00CA67C0" w:rsidP="00764AB1">
      <w:pPr>
        <w:numPr>
          <w:ilvl w:val="0"/>
          <w:numId w:val="24"/>
        </w:numPr>
      </w:pPr>
      <w:r w:rsidRPr="00373BE8">
        <w:t xml:space="preserve">Both in the Guideline and in this </w:t>
      </w:r>
      <w:r w:rsidR="00F15ADC">
        <w:t xml:space="preserve">draft </w:t>
      </w:r>
      <w:r w:rsidRPr="00373BE8">
        <w:t>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663"/>
      </w:r>
    </w:p>
    <w:p w:rsidR="00CA67C0" w:rsidRPr="00373BE8" w:rsidRDefault="00CA67C0" w:rsidP="00CA67C0">
      <w:pPr>
        <w:pStyle w:val="AERquote"/>
      </w:pPr>
      <w:r w:rsidRPr="00373BE8">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373BE8">
        <w:rPr>
          <w:rStyle w:val="AERtextitalic"/>
        </w:rPr>
        <w:t>U</w:t>
      </w:r>
      <w:r w:rsidRPr="00373BE8">
        <w:t>) that is inconsistent with this model.</w:t>
      </w:r>
    </w:p>
    <w:p w:rsidR="00CA67C0" w:rsidRPr="00373BE8" w:rsidRDefault="00CA67C0" w:rsidP="00764AB1">
      <w:pPr>
        <w:numPr>
          <w:ilvl w:val="0"/>
          <w:numId w:val="24"/>
        </w:numPr>
      </w:pPr>
      <w:r w:rsidRPr="00373BE8">
        <w:t>Lally considered the overarching concern is whether the inconsistency between input parameters and model definitions might produce an unreasonable outcome. That is, even if the individual components are each justified in isolation, the combination might produce an overall result that is no longer reasonable:</w:t>
      </w:r>
      <w:r w:rsidRPr="00373BE8">
        <w:rPr>
          <w:rStyle w:val="FootnoteReference"/>
        </w:rPr>
        <w:footnoteReference w:id="664"/>
      </w:r>
      <w:r w:rsidRPr="00373BE8">
        <w:t xml:space="preserve"> </w:t>
      </w:r>
    </w:p>
    <w:p w:rsidR="00CA67C0" w:rsidRPr="00373BE8" w:rsidRDefault="00CA67C0" w:rsidP="00CA67C0">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w:t>
      </w:r>
      <w:r w:rsidRPr="00373BE8">
        <w:lastRenderedPageBreak/>
        <w:t xml:space="preserve">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CA67C0" w:rsidRPr="00373BE8" w:rsidRDefault="00CA67C0" w:rsidP="00CA67C0">
      <w:pPr>
        <w:pStyle w:val="AERquote"/>
      </w:pPr>
      <w:r w:rsidRPr="00373BE8">
        <w:t>To do so it is necessary to consider the implications for the cost of equity of complete integration and complete segmentation of national markets for risky assets.</w:t>
      </w:r>
    </w:p>
    <w:p w:rsidR="00CA67C0" w:rsidRPr="00373BE8" w:rsidRDefault="00CA67C0" w:rsidP="00764AB1">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665"/>
      </w:r>
      <w:r w:rsidRPr="00373BE8">
        <w:t xml:space="preserve"> </w:t>
      </w:r>
    </w:p>
    <w:p w:rsidR="00CA67C0" w:rsidRPr="00373BE8" w:rsidRDefault="00CA67C0" w:rsidP="00CA67C0">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CA67C0" w:rsidRPr="00373BE8" w:rsidRDefault="00CA67C0" w:rsidP="00CA67C0">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CA67C0" w:rsidRPr="00373BE8" w:rsidRDefault="00CA67C0" w:rsidP="00CA67C0">
      <w:pPr>
        <w:pStyle w:val="AERbulletlistfirststyle"/>
      </w:pPr>
      <w:r w:rsidRPr="00373BE8">
        <w:t xml:space="preserve">The return on equity using a segmented (Officer) CAPM, populated with parameters that accord with our 'partially integrated' market definition. That is, a market risk premium and an equity beta that reflect the domestic market, but recognising foreign investors to the extent that they invest in the domestic (Australian) market. </w:t>
      </w:r>
    </w:p>
    <w:p w:rsidR="00CA67C0" w:rsidRPr="00373BE8" w:rsidRDefault="00CA67C0" w:rsidP="00764AB1">
      <w:pPr>
        <w:numPr>
          <w:ilvl w:val="0"/>
          <w:numId w:val="24"/>
        </w:numPr>
      </w:pPr>
      <w:r w:rsidRPr="00373BE8">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666"/>
      </w:r>
      <w:r w:rsidRPr="00373BE8">
        <w:t xml:space="preserve"> </w:t>
      </w:r>
    </w:p>
    <w:p w:rsidR="00CA67C0" w:rsidRPr="00373BE8" w:rsidRDefault="00CA67C0" w:rsidP="00CA67C0">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w:t>
      </w:r>
      <w:r w:rsidRPr="00373BE8">
        <w:lastRenderedPageBreak/>
        <w:t xml:space="preserve">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A67C0" w:rsidRPr="00373BE8" w:rsidRDefault="00CA67C0" w:rsidP="00764AB1">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CA67C0" w:rsidRPr="00373BE8" w:rsidRDefault="00CA67C0" w:rsidP="00764AB1">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CA67C0" w:rsidRPr="00CA67C0" w:rsidRDefault="00CA67C0" w:rsidP="00CA67C0">
      <w:pPr>
        <w:pStyle w:val="Heading9"/>
      </w:pPr>
      <w:bookmarkStart w:id="305" w:name="_Toc456614350"/>
      <w:r w:rsidRPr="00373BE8">
        <w:t>Advice received since the Guideline</w:t>
      </w:r>
      <w:bookmarkEnd w:id="305"/>
    </w:p>
    <w:p w:rsidR="00CA67C0" w:rsidRPr="00373BE8" w:rsidRDefault="00CA67C0" w:rsidP="00764AB1">
      <w:pPr>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667"/>
      </w:r>
    </w:p>
    <w:p w:rsidR="00CA67C0" w:rsidRPr="00373BE8" w:rsidRDefault="00CA67C0" w:rsidP="00CA67C0">
      <w:pPr>
        <w:pStyle w:val="AERquote"/>
      </w:pPr>
      <w:r w:rsidRPr="00373BE8">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CA67C0" w:rsidRPr="00373BE8" w:rsidRDefault="00CA67C0" w:rsidP="00764AB1">
      <w:pPr>
        <w:numPr>
          <w:ilvl w:val="0"/>
          <w:numId w:val="24"/>
        </w:numPr>
      </w:pPr>
      <w:r w:rsidRPr="00373BE8">
        <w:t>Handley expanded on his first point elsewhere in his advice:</w:t>
      </w:r>
      <w:r w:rsidRPr="00373BE8">
        <w:rPr>
          <w:rStyle w:val="FootnoteReference"/>
        </w:rPr>
        <w:footnoteReference w:id="668"/>
      </w:r>
    </w:p>
    <w:p w:rsidR="00CA67C0" w:rsidRPr="00373BE8" w:rsidRDefault="00CA67C0" w:rsidP="00CA67C0">
      <w:pPr>
        <w:pStyle w:val="AERquote"/>
      </w:pPr>
      <w:r w:rsidRPr="00373BE8">
        <w:lastRenderedPageBreak/>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CA67C0" w:rsidRPr="00373BE8" w:rsidRDefault="00CA67C0" w:rsidP="00764AB1">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669"/>
      </w:r>
    </w:p>
    <w:p w:rsidR="00CA67C0" w:rsidRDefault="00CA67C0" w:rsidP="00CA67C0">
      <w:r w:rsidRPr="00373BE8">
        <w:t>Gray (for SFG) also raised concerns with the approach, and a number of these have been responded to by Lally.</w:t>
      </w:r>
      <w:r w:rsidRPr="00373BE8">
        <w:rPr>
          <w:rStyle w:val="FootnoteReference"/>
        </w:rPr>
        <w:footnoteReference w:id="670"/>
      </w:r>
    </w:p>
    <w:p w:rsidR="00CA67C0" w:rsidRPr="00373BE8" w:rsidRDefault="00CA67C0" w:rsidP="00CA67C0"/>
    <w:p w:rsidR="000B321F" w:rsidRDefault="000B321F" w:rsidP="00540418">
      <w:pPr>
        <w:rPr>
          <w:rStyle w:val="AERbody"/>
        </w:rPr>
      </w:pPr>
    </w:p>
    <w:sectPr w:rsidR="000B321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4E" w:rsidRPr="00290C63" w:rsidRDefault="008E314E" w:rsidP="00290C63">
      <w:r>
        <w:separator/>
      </w:r>
    </w:p>
    <w:p w:rsidR="008E314E" w:rsidRDefault="008E314E"/>
  </w:endnote>
  <w:endnote w:type="continuationSeparator" w:id="0">
    <w:p w:rsidR="008E314E" w:rsidRPr="00290C63" w:rsidRDefault="008E314E" w:rsidP="00290C63">
      <w:r>
        <w:continuationSeparator/>
      </w:r>
    </w:p>
    <w:p w:rsidR="008E314E" w:rsidRDefault="008E3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14E" w:rsidRPr="00290C63" w:rsidRDefault="008E314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E314E" w:rsidRDefault="008E314E"/>
  <w:p w:rsidR="008E314E" w:rsidRDefault="008E314E"/>
  <w:p w:rsidR="008E314E" w:rsidRDefault="008E314E"/>
  <w:p w:rsidR="008E314E" w:rsidRDefault="008E314E"/>
  <w:p w:rsidR="008E314E" w:rsidRDefault="008E314E"/>
  <w:p w:rsidR="008E314E" w:rsidRDefault="008E314E"/>
  <w:p w:rsidR="008E314E" w:rsidRDefault="008E31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8E314E" w:rsidRDefault="008E314E">
        <w:pPr>
          <w:pStyle w:val="Footer"/>
        </w:pPr>
        <w:r>
          <w:fldChar w:fldCharType="begin"/>
        </w:r>
        <w:r>
          <w:instrText xml:space="preserve"> PAGE   \* MERGEFORMAT </w:instrText>
        </w:r>
        <w:r>
          <w:fldChar w:fldCharType="separate"/>
        </w:r>
        <w:r w:rsidR="007261FC">
          <w:rPr>
            <w:noProof/>
          </w:rPr>
          <w:t>4-0</w:t>
        </w:r>
        <w:r>
          <w:rPr>
            <w:noProof/>
          </w:rPr>
          <w:fldChar w:fldCharType="end"/>
        </w:r>
        <w:r>
          <w:rPr>
            <w:noProof/>
          </w:rPr>
          <w:t xml:space="preserve">          </w:t>
        </w:r>
        <w:r>
          <w:rPr>
            <w:noProof/>
            <w:sz w:val="16"/>
            <w:szCs w:val="16"/>
          </w:rPr>
          <w:t xml:space="preserve">Attachment 4 </w:t>
        </w:r>
        <w:r w:rsidRPr="00FD5E78">
          <w:rPr>
            <w:rFonts w:cs="Gautami"/>
            <w:noProof/>
            <w:sz w:val="16"/>
            <w:szCs w:val="16"/>
          </w:rPr>
          <w:t xml:space="preserve">– </w:t>
        </w:r>
        <w:r>
          <w:rPr>
            <w:sz w:val="16"/>
            <w:szCs w:val="16"/>
          </w:rPr>
          <w:t>Value of imputation credits</w:t>
        </w:r>
        <w:r w:rsidRPr="00FD5E78">
          <w:rPr>
            <w:rFonts w:cs="Gautami"/>
            <w:noProof/>
            <w:sz w:val="16"/>
            <w:szCs w:val="16"/>
          </w:rPr>
          <w:t xml:space="preserve"> | </w:t>
        </w:r>
        <w:r>
          <w:rPr>
            <w:rFonts w:cs="Gautami"/>
            <w:noProof/>
            <w:sz w:val="16"/>
            <w:szCs w:val="16"/>
          </w:rPr>
          <w:t>Draft</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w:t>
        </w:r>
        <w:r>
          <w:t>v</w:t>
        </w:r>
        <w:r>
          <w:rPr>
            <w:rFonts w:cs="Gautami"/>
            <w:noProof/>
            <w:sz w:val="16"/>
            <w:szCs w:val="16"/>
          </w:rPr>
          <w:t>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8E314E" w:rsidRDefault="008E3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14E" w:rsidRPr="00290C63" w:rsidRDefault="008E314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E314E" w:rsidRDefault="008E314E">
    <w:pPr>
      <w:pStyle w:val="Footer"/>
    </w:pPr>
  </w:p>
  <w:p w:rsidR="008E314E" w:rsidRDefault="008E314E"/>
  <w:p w:rsidR="008E314E" w:rsidRDefault="008E314E"/>
  <w:p w:rsidR="008E314E" w:rsidRDefault="008E314E"/>
  <w:p w:rsidR="008E314E" w:rsidRDefault="008E314E"/>
  <w:p w:rsidR="008E314E" w:rsidRDefault="008E314E"/>
  <w:p w:rsidR="008E314E" w:rsidRDefault="008E314E"/>
  <w:p w:rsidR="008E314E" w:rsidRDefault="008E31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8659"/>
      <w:docPartObj>
        <w:docPartGallery w:val="Page Numbers (Bottom of Page)"/>
        <w:docPartUnique/>
      </w:docPartObj>
    </w:sdtPr>
    <w:sdtEndPr/>
    <w:sdtContent>
      <w:p w:rsidR="008E314E" w:rsidRPr="00824CC8" w:rsidRDefault="008E314E" w:rsidP="00CA67C0">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14E" w:rsidRPr="00057C3E" w:rsidRDefault="008E314E" w:rsidP="00057C3E">
    <w:pPr>
      <w:pStyle w:val="Footer"/>
    </w:pPr>
    <w:r w:rsidRPr="00C97C1E">
      <w:fldChar w:fldCharType="begin"/>
    </w:r>
    <w:r w:rsidRPr="00C97C1E">
      <w:instrText xml:space="preserve"> PAGE   \* MERGEFORMAT </w:instrText>
    </w:r>
    <w:r w:rsidRPr="00C97C1E">
      <w:fldChar w:fldCharType="separate"/>
    </w:r>
    <w:r w:rsidR="007261FC">
      <w:rPr>
        <w:noProof/>
      </w:rPr>
      <w:t>4-186</w:t>
    </w:r>
    <w:r w:rsidRPr="00C97C1E">
      <w:fldChar w:fldCharType="end"/>
    </w:r>
  </w:p>
  <w:p w:rsidR="008E314E" w:rsidRDefault="008E314E" w:rsidP="00057C3E">
    <w:pPr>
      <w:pStyle w:val="Footer"/>
    </w:pPr>
    <w:r w:rsidRPr="00057C3E">
      <w:t xml:space="preserve">          Attachment 4 – Value of imputation credits | Draft decision: AusNet Ser</w:t>
    </w:r>
    <w:r>
      <w:t>v</w:t>
    </w:r>
    <w:r w:rsidRPr="00057C3E">
      <w:t>ices transmission determination 2017–22</w:t>
    </w:r>
  </w:p>
  <w:p w:rsidR="008E314E" w:rsidRPr="00C97C1E" w:rsidRDefault="008E314E" w:rsidP="00CA6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4E" w:rsidRPr="00290C63" w:rsidRDefault="008E314E" w:rsidP="00290C63">
      <w:r>
        <w:separator/>
      </w:r>
    </w:p>
    <w:p w:rsidR="008E314E" w:rsidRDefault="008E314E"/>
  </w:footnote>
  <w:footnote w:type="continuationSeparator" w:id="0">
    <w:p w:rsidR="008E314E" w:rsidRPr="00290C63" w:rsidRDefault="008E314E" w:rsidP="00290C63">
      <w:r>
        <w:continuationSeparator/>
      </w:r>
    </w:p>
    <w:p w:rsidR="008E314E" w:rsidRDefault="008E314E"/>
  </w:footnote>
  <w:footnote w:id="1">
    <w:p w:rsidR="008E314E" w:rsidRDefault="008E314E" w:rsidP="00CA67C0">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8E314E" w:rsidRDefault="008E314E" w:rsidP="00CA67C0">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8E314E" w:rsidRDefault="008E314E" w:rsidP="00CA67C0">
      <w:pPr>
        <w:pStyle w:val="FootnoteText"/>
      </w:pPr>
      <w:r>
        <w:rPr>
          <w:rStyle w:val="FootnoteReference"/>
        </w:rPr>
        <w:footnoteRef/>
      </w:r>
      <w:r>
        <w:t xml:space="preserve"> </w:t>
      </w:r>
      <w:r>
        <w:tab/>
        <w:t>NER, cll. 6.4.3(a)(4), 6.4.3(b)(4), 6.5.3, 6A.5.4(a)(4), 6A.5.4(b)(4), 6A.6.4; NGR, rr. 76(c), 87A.</w:t>
      </w:r>
    </w:p>
  </w:footnote>
  <w:footnote w:id="4">
    <w:p w:rsidR="008E314E" w:rsidRDefault="008E314E" w:rsidP="00CA67C0">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rsidR="007261FC">
        <w:t>A.1</w:t>
      </w:r>
      <w:r>
        <w:fldChar w:fldCharType="end"/>
      </w:r>
      <w:r>
        <w:t xml:space="preserve"> of appendix A.</w:t>
      </w:r>
    </w:p>
  </w:footnote>
  <w:footnote w:id="5">
    <w:p w:rsidR="008E314E" w:rsidRDefault="008E314E" w:rsidP="00CA67C0">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8E314E" w:rsidRDefault="008E314E" w:rsidP="00CA67C0">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rsidR="007261FC">
        <w:t>A.6</w:t>
      </w:r>
      <w:r>
        <w:fldChar w:fldCharType="end"/>
      </w:r>
      <w:r>
        <w:t>.</w:t>
      </w:r>
    </w:p>
  </w:footnote>
  <w:footnote w:id="7">
    <w:p w:rsidR="008E314E" w:rsidRDefault="008E314E">
      <w:pPr>
        <w:pStyle w:val="FootnoteText"/>
      </w:pPr>
      <w:r>
        <w:rPr>
          <w:rStyle w:val="FootnoteReference"/>
        </w:rPr>
        <w:footnoteRef/>
      </w:r>
      <w:r>
        <w:t xml:space="preserve"> </w:t>
      </w:r>
      <w:r>
        <w:tab/>
        <w:t>Post-tax refers to after company tax and before personal tax.</w:t>
      </w:r>
    </w:p>
  </w:footnote>
  <w:footnote w:id="8">
    <w:p w:rsidR="008E314E" w:rsidRDefault="008E314E" w:rsidP="00CA67C0">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9">
    <w:p w:rsidR="008E314E" w:rsidRDefault="008E314E" w:rsidP="00CA67C0">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10">
    <w:p w:rsidR="008E314E" w:rsidRDefault="008E314E" w:rsidP="00CA67C0">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_Ref451464892 \r \h </w:instrText>
      </w:r>
      <w:r>
        <w:fldChar w:fldCharType="separate"/>
      </w:r>
      <w:r w:rsidR="007261FC">
        <w:t>4.4</w:t>
      </w:r>
      <w:r>
        <w:fldChar w:fldCharType="end"/>
      </w:r>
      <w:r>
        <w:t>.</w:t>
      </w:r>
    </w:p>
  </w:footnote>
  <w:footnote w:id="11">
    <w:p w:rsidR="008E314E" w:rsidRDefault="008E314E" w:rsidP="00CA67C0">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2">
    <w:p w:rsidR="008E314E" w:rsidRDefault="008E314E" w:rsidP="00CA67C0">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3">
    <w:p w:rsidR="008E314E" w:rsidRPr="009516BF" w:rsidRDefault="008E314E" w:rsidP="00CA67C0">
      <w:pPr>
        <w:pStyle w:val="FootnoteText"/>
      </w:pPr>
      <w:r>
        <w:rPr>
          <w:rStyle w:val="FootnoteReference"/>
        </w:rPr>
        <w:footnoteRef/>
      </w:r>
      <w:r>
        <w:t xml:space="preserve"> </w:t>
      </w:r>
      <w:r>
        <w:tab/>
      </w:r>
      <w:r w:rsidRPr="005764F6">
        <w:t xml:space="preserve">United Energy, </w:t>
      </w:r>
      <w:r w:rsidRPr="00583683">
        <w:rPr>
          <w:rStyle w:val="AERtextitalic"/>
        </w:rPr>
        <w:t>Submission on AER preliminary determination - Submission on gamma</w:t>
      </w:r>
      <w:r w:rsidRPr="005764F6">
        <w:t xml:space="preserve">, 26 April 2016; CitiPower/Powercor, </w:t>
      </w:r>
      <w:r w:rsidRPr="00583683">
        <w:rPr>
          <w:rStyle w:val="AERtextitalic"/>
        </w:rPr>
        <w:t>Submission on implications of recent Australian Competition Tribunal Decision</w:t>
      </w:r>
      <w:r w:rsidRPr="005764F6">
        <w:t xml:space="preserve">, 18 April 2016; ActewAGL, </w:t>
      </w:r>
      <w:r w:rsidRPr="00583683">
        <w:rPr>
          <w:rStyle w:val="AERtextitalic"/>
        </w:rPr>
        <w:t>Implication of recent Tribunal decisions for final decision and updates to the allowed rate of return and forecast inflation estimate</w:t>
      </w:r>
      <w:r w:rsidRPr="005764F6">
        <w:t>, 12 May 2016.</w:t>
      </w:r>
    </w:p>
  </w:footnote>
  <w:footnote w:id="14">
    <w:p w:rsidR="008E314E" w:rsidRDefault="008E314E" w:rsidP="00CA67C0">
      <w:pPr>
        <w:pStyle w:val="FootnoteText"/>
      </w:pPr>
      <w:r>
        <w:rPr>
          <w:rStyle w:val="FootnoteReference"/>
        </w:rPr>
        <w:footnoteRef/>
      </w:r>
      <w:r>
        <w:t xml:space="preserve"> </w:t>
      </w:r>
      <w:r>
        <w:tab/>
        <w:t>CitiPower and Powercor's submission covers most of the issues raised in United Energy's submission. See CitiPower and Powercor, CitiPower and Powercor 2016-2020 distribution determinations—Submission on implications of recent Australian Competition Tribunal decisions, 18 April 2016.</w:t>
      </w:r>
    </w:p>
  </w:footnote>
  <w:footnote w:id="15">
    <w:p w:rsidR="008E314E" w:rsidRDefault="008E314E" w:rsidP="00CA67C0">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w:t>
      </w:r>
    </w:p>
  </w:footnote>
  <w:footnote w:id="16">
    <w:p w:rsidR="008E314E" w:rsidRDefault="008E314E" w:rsidP="00CA67C0">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pp. 18–20.</w:t>
      </w:r>
    </w:p>
  </w:footnote>
  <w:footnote w:id="17">
    <w:p w:rsidR="008E314E" w:rsidRDefault="008E314E" w:rsidP="00CA67C0">
      <w:pPr>
        <w:pStyle w:val="FootnoteText"/>
      </w:pPr>
      <w:r>
        <w:rPr>
          <w:rStyle w:val="FootnoteReference"/>
        </w:rPr>
        <w:footnoteRef/>
      </w:r>
      <w:r>
        <w:t xml:space="preserve"> </w:t>
      </w:r>
      <w:r>
        <w:tab/>
      </w:r>
      <w:r w:rsidRPr="00297495">
        <w:t xml:space="preserve">Lally, </w:t>
      </w:r>
      <w:r w:rsidRPr="005764F6">
        <w:rPr>
          <w:rStyle w:val="AERtextitalic"/>
        </w:rPr>
        <w:t>Gamma and the ACT Decision</w:t>
      </w:r>
      <w:r w:rsidRPr="00297495">
        <w:t xml:space="preserve">, May 2016, p. </w:t>
      </w:r>
      <w:r>
        <w:t>5</w:t>
      </w:r>
      <w:r w:rsidRPr="00297495">
        <w:t>.</w:t>
      </w:r>
    </w:p>
  </w:footnote>
  <w:footnote w:id="18">
    <w:p w:rsidR="008E314E" w:rsidRDefault="008E314E" w:rsidP="00CA67C0">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 22.</w:t>
      </w:r>
    </w:p>
  </w:footnote>
  <w:footnote w:id="19">
    <w:p w:rsidR="008E314E" w:rsidRDefault="008E314E" w:rsidP="00CA67C0">
      <w:pPr>
        <w:pStyle w:val="FootnoteText"/>
      </w:pPr>
      <w:r>
        <w:rPr>
          <w:rStyle w:val="FootnoteReference"/>
        </w:rPr>
        <w:footnoteRef/>
      </w:r>
      <w:r>
        <w:t xml:space="preserve"> </w:t>
      </w:r>
      <w:r>
        <w:tab/>
      </w:r>
      <w:r w:rsidRPr="009A6FC1">
        <w:t>Australian Competition Tribunal, Application by Public Interest Advocacy Centre Ltd and Ausgrid [2016] ACompT 1, 26 February 2016, paras. 1048, 1090 and 1095.</w:t>
      </w:r>
    </w:p>
  </w:footnote>
  <w:footnote w:id="20">
    <w:p w:rsidR="008E314E" w:rsidRDefault="008E314E" w:rsidP="00CA67C0">
      <w:pPr>
        <w:pStyle w:val="FootnoteText"/>
      </w:pPr>
      <w:r>
        <w:rPr>
          <w:rStyle w:val="FootnoteReference"/>
        </w:rPr>
        <w:footnoteRef/>
      </w:r>
      <w:r>
        <w:t xml:space="preserve"> </w:t>
      </w:r>
      <w:r>
        <w:tab/>
      </w:r>
      <w:r w:rsidRPr="009A6FC1">
        <w:t>Lally, Gamma and the ACT Decision, May 2016, p. 20.</w:t>
      </w:r>
    </w:p>
  </w:footnote>
  <w:footnote w:id="21">
    <w:p w:rsidR="008E314E" w:rsidRDefault="008E314E" w:rsidP="00CA67C0">
      <w:pPr>
        <w:pStyle w:val="FootnoteText"/>
      </w:pPr>
      <w:r>
        <w:rPr>
          <w:rStyle w:val="FootnoteReference"/>
        </w:rPr>
        <w:footnoteRef/>
      </w:r>
      <w:r>
        <w:t xml:space="preserve"> </w:t>
      </w:r>
      <w:r>
        <w:tab/>
        <w:t xml:space="preserve">See </w:t>
      </w:r>
      <w:r w:rsidRPr="001B2D3D">
        <w:t xml:space="preserve">Lally, </w:t>
      </w:r>
      <w:r w:rsidRPr="005764F6">
        <w:rPr>
          <w:rStyle w:val="AERtextitalic"/>
        </w:rPr>
        <w:t>Gamma and the ACT Decision</w:t>
      </w:r>
      <w:r>
        <w:t>, May 2016, pp. 24–26</w:t>
      </w:r>
      <w:r w:rsidRPr="001B2D3D">
        <w:t>.</w:t>
      </w:r>
    </w:p>
  </w:footnote>
  <w:footnote w:id="22">
    <w:p w:rsidR="008E314E" w:rsidRDefault="008E314E" w:rsidP="00CA67C0">
      <w:pPr>
        <w:pStyle w:val="FootnoteText"/>
      </w:pPr>
      <w:r>
        <w:rPr>
          <w:rStyle w:val="FootnoteReference"/>
        </w:rPr>
        <w:footnoteRef/>
      </w:r>
      <w:r>
        <w:t xml:space="preserve"> </w:t>
      </w:r>
      <w:r>
        <w:tab/>
      </w:r>
      <w:r w:rsidRPr="00714353">
        <w:t xml:space="preserve">This is because, in principle, the distribution rate is a firm specific parameter and the utilisation rate is a market wide parameter. </w:t>
      </w:r>
      <w:r>
        <w:t xml:space="preserve">See </w:t>
      </w:r>
      <w:r w:rsidRPr="00E0166D">
        <w:t xml:space="preserve">Lally, </w:t>
      </w:r>
      <w:r w:rsidRPr="005764F6">
        <w:rPr>
          <w:rStyle w:val="AERtextitalic"/>
        </w:rPr>
        <w:t>Gamma and the ACT Decision</w:t>
      </w:r>
      <w:r>
        <w:t>, May 2016, p. 25</w:t>
      </w:r>
      <w:r w:rsidRPr="00E0166D">
        <w:t>.</w:t>
      </w:r>
    </w:p>
  </w:footnote>
  <w:footnote w:id="23">
    <w:p w:rsidR="008E314E" w:rsidRDefault="008E314E" w:rsidP="00CA67C0">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4">
    <w:p w:rsidR="008E314E" w:rsidRDefault="008E314E" w:rsidP="00CA67C0">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25">
    <w:p w:rsidR="008E314E" w:rsidRDefault="008E314E" w:rsidP="00CA67C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26">
    <w:p w:rsidR="008E314E" w:rsidRDefault="008E314E" w:rsidP="00CA67C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27">
    <w:p w:rsidR="008E314E" w:rsidRDefault="008E314E" w:rsidP="00CA67C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28">
    <w:p w:rsidR="008E314E" w:rsidRDefault="008E314E" w:rsidP="00CA67C0">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29">
    <w:p w:rsidR="008E314E" w:rsidRDefault="008E314E" w:rsidP="00CA67C0">
      <w:pPr>
        <w:pStyle w:val="FootnoteText"/>
      </w:pPr>
      <w:r>
        <w:rPr>
          <w:rStyle w:val="FootnoteReference"/>
        </w:rPr>
        <w:footnoteRef/>
      </w:r>
      <w:r>
        <w:t xml:space="preserve"> </w:t>
      </w:r>
      <w:r>
        <w:tab/>
        <w:t>This relies on cumulative distribution rate based on FAB data being used which matches to the 0.48 tax statistic.</w:t>
      </w:r>
    </w:p>
  </w:footnote>
  <w:footnote w:id="30">
    <w:p w:rsidR="008E314E" w:rsidRDefault="008E314E" w:rsidP="00CA67C0">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1">
    <w:p w:rsidR="008E314E" w:rsidRDefault="008E314E" w:rsidP="00CA67C0">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32">
    <w:p w:rsidR="008E314E" w:rsidRDefault="008E314E" w:rsidP="00CA67C0">
      <w:pPr>
        <w:pStyle w:val="FootnoteText"/>
      </w:pPr>
      <w:r>
        <w:rPr>
          <w:rStyle w:val="FootnoteReference"/>
        </w:rPr>
        <w:footnoteRef/>
      </w:r>
      <w:r>
        <w:t xml:space="preserve"> </w:t>
      </w:r>
      <w:r>
        <w:tab/>
      </w:r>
      <w:r w:rsidRPr="004E65F8">
        <w:t>N. Hathaway, Imputation credit redemption ATO data 1988–2011: Where have all the credits gone?, September 2013</w:t>
      </w:r>
      <w:r>
        <w:t>.</w:t>
      </w:r>
    </w:p>
  </w:footnote>
  <w:footnote w:id="33">
    <w:p w:rsidR="008E314E" w:rsidRPr="00AB0B17" w:rsidRDefault="008E314E" w:rsidP="00CA67C0">
      <w:pPr>
        <w:pStyle w:val="FootnoteText"/>
      </w:pPr>
      <w:r>
        <w:rPr>
          <w:rStyle w:val="FootnoteReference"/>
        </w:rPr>
        <w:footnoteRef/>
      </w:r>
      <w:r>
        <w:t xml:space="preserve"> </w:t>
      </w:r>
      <w:r>
        <w:tab/>
      </w:r>
      <w:r w:rsidRPr="004E65F8">
        <w:t>N. Hathaway, Imputation credit redemption ATO data 1988–2011: Where have all the credits gone?, September 2013.</w:t>
      </w:r>
    </w:p>
  </w:footnote>
  <w:footnote w:id="34">
    <w:p w:rsidR="008E314E" w:rsidRDefault="008E314E" w:rsidP="00CA67C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35">
    <w:p w:rsidR="008E314E" w:rsidRDefault="008E314E" w:rsidP="00CA67C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26.</w:t>
      </w:r>
    </w:p>
  </w:footnote>
  <w:footnote w:id="36">
    <w:p w:rsidR="008E314E" w:rsidRDefault="008E314E">
      <w:pPr>
        <w:pStyle w:val="FootnoteText"/>
      </w:pPr>
      <w:r>
        <w:rPr>
          <w:rStyle w:val="FootnoteReference"/>
        </w:rPr>
        <w:footnoteRef/>
      </w:r>
      <w:r>
        <w:t xml:space="preserve"> </w:t>
      </w:r>
      <w:r>
        <w:tab/>
        <w:t xml:space="preserve">AusNet Transmission, </w:t>
      </w:r>
      <w:r>
        <w:rPr>
          <w:rStyle w:val="AERtextitalic"/>
        </w:rPr>
        <w:t>Transmission Revenue Review 2017-2022</w:t>
      </w:r>
      <w:r>
        <w:t>, October 2015</w:t>
      </w:r>
    </w:p>
  </w:footnote>
  <w:footnote w:id="37">
    <w:p w:rsidR="008E314E" w:rsidRDefault="008E314E">
      <w:pPr>
        <w:pStyle w:val="FootnoteText"/>
      </w:pPr>
      <w:r>
        <w:rPr>
          <w:rStyle w:val="FootnoteReference"/>
        </w:rPr>
        <w:footnoteRef/>
      </w:r>
      <w:r>
        <w:t xml:space="preserve"> </w:t>
      </w:r>
      <w:r w:rsidR="000179E7">
        <w:tab/>
      </w:r>
      <w:r w:rsidR="000179E7" w:rsidRPr="008E314E">
        <w:t xml:space="preserve">See for example, </w:t>
      </w:r>
      <w:r w:rsidR="000179E7">
        <w:t xml:space="preserve">AER, </w:t>
      </w:r>
      <w:r w:rsidR="00A5507E">
        <w:rPr>
          <w:rStyle w:val="AERtextitalic"/>
        </w:rPr>
        <w:t>Draft</w:t>
      </w:r>
      <w:r w:rsidR="000179E7" w:rsidRPr="00CA7182">
        <w:rPr>
          <w:rStyle w:val="AERtextitalic"/>
        </w:rPr>
        <w:t xml:space="preserve"> decision</w:t>
      </w:r>
      <w:r w:rsidR="000179E7">
        <w:rPr>
          <w:rStyle w:val="AERtextitalic"/>
        </w:rPr>
        <w:t xml:space="preserve"> </w:t>
      </w:r>
      <w:r w:rsidR="00A5507E">
        <w:rPr>
          <w:rStyle w:val="AERtextitalic"/>
        </w:rPr>
        <w:t>Ausg</w:t>
      </w:r>
      <w:r w:rsidR="00372C51">
        <w:rPr>
          <w:rStyle w:val="AERtextitalic"/>
        </w:rPr>
        <w:t>ri</w:t>
      </w:r>
      <w:r w:rsidR="00A5507E">
        <w:rPr>
          <w:rStyle w:val="AERtextitalic"/>
        </w:rPr>
        <w:t>d</w:t>
      </w:r>
      <w:r w:rsidR="000179E7">
        <w:rPr>
          <w:rStyle w:val="AERtextitalic"/>
        </w:rPr>
        <w:t xml:space="preserve"> distribution </w:t>
      </w:r>
      <w:r w:rsidR="00A5507E">
        <w:rPr>
          <w:rStyle w:val="AERtextitalic"/>
        </w:rPr>
        <w:t>determination</w:t>
      </w:r>
      <w:r w:rsidR="000179E7">
        <w:rPr>
          <w:rStyle w:val="AERtextitalic"/>
        </w:rPr>
        <w:t>,</w:t>
      </w:r>
      <w:r w:rsidR="000179E7" w:rsidRPr="000179E7">
        <w:rPr>
          <w:rStyle w:val="AERtextitalic"/>
        </w:rPr>
        <w:t xml:space="preserve"> </w:t>
      </w:r>
      <w:r w:rsidR="000179E7" w:rsidRPr="00CE11C9">
        <w:rPr>
          <w:rStyle w:val="AERtextitalic"/>
        </w:rPr>
        <w:t xml:space="preserve">Attachment </w:t>
      </w:r>
      <w:r w:rsidR="000179E7">
        <w:rPr>
          <w:rStyle w:val="AERtextitalic"/>
        </w:rPr>
        <w:t>4</w:t>
      </w:r>
      <w:r w:rsidR="000179E7" w:rsidRPr="00CE11C9">
        <w:rPr>
          <w:rStyle w:val="AERtextitalic"/>
        </w:rPr>
        <w:t>—</w:t>
      </w:r>
      <w:r w:rsidR="000179E7">
        <w:rPr>
          <w:rStyle w:val="AERtextitalic"/>
        </w:rPr>
        <w:t>Value of imputation credits</w:t>
      </w:r>
      <w:r w:rsidR="000179E7">
        <w:t xml:space="preserve">, </w:t>
      </w:r>
      <w:r w:rsidR="00A5507E">
        <w:t>November</w:t>
      </w:r>
      <w:r w:rsidR="000179E7">
        <w:t xml:space="preserve"> 201</w:t>
      </w:r>
      <w:r w:rsidR="00A5507E">
        <w:t xml:space="preserve">4; AER, </w:t>
      </w:r>
      <w:r w:rsidR="00A5507E" w:rsidRPr="00CA7182">
        <w:rPr>
          <w:rStyle w:val="AERtextitalic"/>
        </w:rPr>
        <w:t>Final decision</w:t>
      </w:r>
      <w:r w:rsidR="00A5507E">
        <w:rPr>
          <w:rStyle w:val="AERtextitalic"/>
        </w:rPr>
        <w:t xml:space="preserve"> JGN distribution access arrangement,</w:t>
      </w:r>
      <w:r w:rsidR="00A5507E" w:rsidRPr="000179E7">
        <w:rPr>
          <w:rStyle w:val="AERtextitalic"/>
        </w:rPr>
        <w:t xml:space="preserve"> </w:t>
      </w:r>
      <w:r w:rsidR="00A5507E" w:rsidRPr="00CE11C9">
        <w:rPr>
          <w:rStyle w:val="AERtextitalic"/>
        </w:rPr>
        <w:t xml:space="preserve">Attachment </w:t>
      </w:r>
      <w:r w:rsidR="00A5507E">
        <w:rPr>
          <w:rStyle w:val="AERtextitalic"/>
        </w:rPr>
        <w:t>4</w:t>
      </w:r>
      <w:r w:rsidR="00A5507E" w:rsidRPr="00CE11C9">
        <w:rPr>
          <w:rStyle w:val="AERtextitalic"/>
        </w:rPr>
        <w:t>—</w:t>
      </w:r>
      <w:r w:rsidR="00A5507E">
        <w:rPr>
          <w:rStyle w:val="AERtextitalic"/>
        </w:rPr>
        <w:t>Value of imputation credits</w:t>
      </w:r>
      <w:r w:rsidR="00A5507E">
        <w:t>, June 2015</w:t>
      </w:r>
    </w:p>
  </w:footnote>
  <w:footnote w:id="38">
    <w:p w:rsidR="008E314E" w:rsidRDefault="008E314E">
      <w:pPr>
        <w:pStyle w:val="FootnoteText"/>
      </w:pPr>
      <w:r>
        <w:rPr>
          <w:rStyle w:val="FootnoteReference"/>
        </w:rPr>
        <w:footnoteRef/>
      </w:r>
      <w:r>
        <w:t xml:space="preserve"> </w:t>
      </w:r>
      <w:r>
        <w:tab/>
      </w:r>
      <w:r w:rsidRPr="008E314E">
        <w:t xml:space="preserve">See for example, </w:t>
      </w:r>
      <w:r>
        <w:t xml:space="preserve">AER, </w:t>
      </w:r>
      <w:r w:rsidRPr="00FC10E0">
        <w:rPr>
          <w:rStyle w:val="AERtextitalic"/>
        </w:rPr>
        <w:t>Final decision SA Power Networks distribution determination</w:t>
      </w:r>
      <w:r>
        <w:t xml:space="preserve">, </w:t>
      </w:r>
      <w:r w:rsidRPr="00CE11C9">
        <w:rPr>
          <w:rStyle w:val="AERtextitalic"/>
        </w:rPr>
        <w:t xml:space="preserve">Attachment </w:t>
      </w:r>
      <w:r>
        <w:rPr>
          <w:rStyle w:val="AERtextitalic"/>
        </w:rPr>
        <w:t>4</w:t>
      </w:r>
      <w:r w:rsidRPr="00CE11C9">
        <w:rPr>
          <w:rStyle w:val="AERtextitalic"/>
        </w:rPr>
        <w:t>—</w:t>
      </w:r>
      <w:r>
        <w:rPr>
          <w:rStyle w:val="AERtextitalic"/>
        </w:rPr>
        <w:t>Value of imputation credits</w:t>
      </w:r>
      <w:r>
        <w:t xml:space="preserve">, October 2015; AER, </w:t>
      </w:r>
      <w:r w:rsidRPr="00CE11C9">
        <w:rPr>
          <w:rStyle w:val="AERtextitalic"/>
        </w:rPr>
        <w:t>Final decision</w:t>
      </w:r>
      <w:r>
        <w:rPr>
          <w:rStyle w:val="AERtextitalic"/>
        </w:rPr>
        <w:t xml:space="preserve">: CitiPower distribution determination 2016 to 2020, </w:t>
      </w:r>
      <w:r w:rsidRPr="00CE11C9">
        <w:rPr>
          <w:rStyle w:val="AERtextitalic"/>
        </w:rPr>
        <w:t xml:space="preserve">Attachment </w:t>
      </w:r>
      <w:r>
        <w:rPr>
          <w:rStyle w:val="AERtextitalic"/>
        </w:rPr>
        <w:t>4</w:t>
      </w:r>
      <w:r w:rsidRPr="00CE11C9">
        <w:rPr>
          <w:rStyle w:val="AERtextitalic"/>
        </w:rPr>
        <w:t>—</w:t>
      </w:r>
      <w:r>
        <w:rPr>
          <w:rStyle w:val="AERtextitalic"/>
        </w:rPr>
        <w:t>Value of imputation credits</w:t>
      </w:r>
      <w:r>
        <w:t>, May 2016.</w:t>
      </w:r>
    </w:p>
  </w:footnote>
  <w:footnote w:id="39">
    <w:p w:rsidR="008E314E" w:rsidRDefault="008E314E" w:rsidP="00CA67C0">
      <w:pPr>
        <w:pStyle w:val="FootnoteText"/>
      </w:pPr>
      <w:r>
        <w:rPr>
          <w:rStyle w:val="FootnoteReference"/>
        </w:rPr>
        <w:footnoteRef/>
      </w:r>
      <w:r>
        <w:t xml:space="preserve"> </w:t>
      </w:r>
      <w:r>
        <w:tab/>
        <w:t xml:space="preserve">AusNet Transmission, </w:t>
      </w:r>
      <w:r>
        <w:rPr>
          <w:rStyle w:val="AERtextitalic"/>
        </w:rPr>
        <w:t>Transmission Revenue Review 2017-2022</w:t>
      </w:r>
      <w:r>
        <w:t>, October 2015, p. 288.</w:t>
      </w:r>
    </w:p>
  </w:footnote>
  <w:footnote w:id="40">
    <w:p w:rsidR="008E314E" w:rsidRDefault="008E314E">
      <w:pPr>
        <w:pStyle w:val="FootnoteText"/>
      </w:pPr>
      <w:r>
        <w:rPr>
          <w:rStyle w:val="FootnoteReference"/>
        </w:rPr>
        <w:footnoteRef/>
      </w:r>
      <w:r>
        <w:t xml:space="preserve"> </w:t>
      </w:r>
      <w:r>
        <w:tab/>
        <w:t xml:space="preserve">AusNet Transmission, </w:t>
      </w:r>
      <w:r>
        <w:rPr>
          <w:rStyle w:val="AERtextitalic"/>
        </w:rPr>
        <w:t>Transmission Revenue Review 2017-2022</w:t>
      </w:r>
      <w:r>
        <w:t>, October 2015, p. 287.</w:t>
      </w:r>
    </w:p>
  </w:footnote>
  <w:footnote w:id="41">
    <w:p w:rsidR="008E314E" w:rsidRDefault="008E314E">
      <w:pPr>
        <w:pStyle w:val="FootnoteText"/>
      </w:pPr>
      <w:r>
        <w:rPr>
          <w:rStyle w:val="FootnoteReference"/>
        </w:rPr>
        <w:footnoteRef/>
      </w:r>
      <w:r>
        <w:t xml:space="preserve"> </w:t>
      </w:r>
      <w:r>
        <w:tab/>
        <w:t xml:space="preserve">AusNet Transmission, </w:t>
      </w:r>
      <w:r>
        <w:rPr>
          <w:rStyle w:val="AERtextitalic"/>
        </w:rPr>
        <w:t>Transmission Revenue Review 2017-2022</w:t>
      </w:r>
      <w:r>
        <w:t>, October 2015, p. 285.</w:t>
      </w:r>
    </w:p>
  </w:footnote>
  <w:footnote w:id="42">
    <w:p w:rsidR="008E314E" w:rsidRDefault="008E314E">
      <w:pPr>
        <w:pStyle w:val="FootnoteText"/>
      </w:pPr>
      <w:r>
        <w:rPr>
          <w:rStyle w:val="FootnoteReference"/>
        </w:rPr>
        <w:footnoteRef/>
      </w:r>
      <w:r>
        <w:t xml:space="preserve"> </w:t>
      </w:r>
      <w:r>
        <w:tab/>
        <w:t xml:space="preserve">AusNet Transmission, </w:t>
      </w:r>
      <w:r>
        <w:rPr>
          <w:rStyle w:val="AERtextitalic"/>
        </w:rPr>
        <w:t>Transmission Revenue Review 2017-2022</w:t>
      </w:r>
      <w:r>
        <w:t>, October 2015, p. 285.</w:t>
      </w:r>
    </w:p>
  </w:footnote>
  <w:footnote w:id="43">
    <w:p w:rsidR="008E314E" w:rsidRDefault="008E314E" w:rsidP="00CA67C0">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xml:space="preserve"> Dividend drop off studies are explained in section </w:t>
      </w:r>
      <w:r>
        <w:fldChar w:fldCharType="begin"/>
      </w:r>
      <w:r>
        <w:instrText xml:space="preserve"> REF _Ref402791521 \r \h </w:instrText>
      </w:r>
      <w:r>
        <w:fldChar w:fldCharType="separate"/>
      </w:r>
      <w:r w:rsidR="007261FC">
        <w:t>A.15.1</w:t>
      </w:r>
      <w:r>
        <w:fldChar w:fldCharType="end"/>
      </w:r>
      <w:r>
        <w:t>.</w:t>
      </w:r>
    </w:p>
  </w:footnote>
  <w:footnote w:id="44">
    <w:p w:rsidR="008E314E" w:rsidRDefault="008E314E">
      <w:pPr>
        <w:pStyle w:val="FootnoteText"/>
      </w:pPr>
      <w:r>
        <w:rPr>
          <w:rStyle w:val="FootnoteReference"/>
        </w:rPr>
        <w:footnoteRef/>
      </w:r>
      <w:r>
        <w:t xml:space="preserve"> </w:t>
      </w:r>
      <w:r>
        <w:tab/>
        <w:t xml:space="preserve">AusNet Transmission, </w:t>
      </w:r>
      <w:r>
        <w:rPr>
          <w:rStyle w:val="AERtextitalic"/>
        </w:rPr>
        <w:t>Transmission Revenue Review 2017-2022</w:t>
      </w:r>
      <w:r>
        <w:t>, October 2015, p. 288.</w:t>
      </w:r>
    </w:p>
  </w:footnote>
  <w:footnote w:id="45">
    <w:p w:rsidR="008E314E" w:rsidRDefault="008E314E" w:rsidP="00CA67C0">
      <w:pPr>
        <w:pStyle w:val="FootnoteText"/>
      </w:pPr>
      <w:r>
        <w:rPr>
          <w:rStyle w:val="FootnoteReference"/>
        </w:rPr>
        <w:footnoteRef/>
      </w:r>
      <w:r>
        <w:t xml:space="preserve"> </w:t>
      </w:r>
      <w:r>
        <w:tab/>
        <w:t xml:space="preserve">These service providers are: </w:t>
      </w:r>
      <w:r w:rsidRPr="00577F31">
        <w:t>ActewAGL, Ausgrid, Directlink, Endeavour Energy, Essential Energy, Jemena Gas Networks (JGN), TransGrid, SA Power Networks, Energex, Ergon Energy, AusNet Services, CitiPower, Powercor, Jemena Electricity Networks (JEN), ActewAGL Distribution, Australian Gas Networks, and APT Pipeline (NT) Pty Ltd (APTNT)</w:t>
      </w:r>
      <w:r>
        <w:t>.</w:t>
      </w:r>
    </w:p>
  </w:footnote>
  <w:footnote w:id="46">
    <w:p w:rsidR="008E314E" w:rsidRDefault="008E314E" w:rsidP="00CA67C0">
      <w:pPr>
        <w:pStyle w:val="FootnoteText"/>
      </w:pPr>
      <w:r>
        <w:rPr>
          <w:rStyle w:val="FootnoteReference"/>
        </w:rPr>
        <w:footnoteRef/>
      </w:r>
      <w:r>
        <w:t xml:space="preserve"> </w:t>
      </w:r>
      <w:r>
        <w:tab/>
        <w:t xml:space="preserve">Frontier Economics, </w:t>
      </w:r>
      <w:r w:rsidRPr="00692859">
        <w:rPr>
          <w:rStyle w:val="AERtextitalic"/>
        </w:rPr>
        <w:t>The appropriate use of tax statistics when estimating gamma</w:t>
      </w:r>
      <w:r>
        <w:t xml:space="preserve">, January 2016; Frontier Economics, </w:t>
      </w:r>
      <w:r w:rsidRPr="00D14DE4">
        <w:rPr>
          <w:rStyle w:val="AERtextitalic"/>
        </w:rPr>
        <w:t>An appropriate regulatory estimate of gamma</w:t>
      </w:r>
      <w:r>
        <w:t xml:space="preserve">, June 2015; NERA Economic Consulting, </w:t>
      </w:r>
      <w:r w:rsidRPr="005764F6">
        <w:rPr>
          <w:rStyle w:val="AERtextitalic"/>
        </w:rPr>
        <w:t>Estimating Distribution and Redemption Rates: Response to the AER's Final Decisions for the NSW and ACT Electricity Distributors, and for Jemena Gas Networks</w:t>
      </w:r>
      <w:r>
        <w:t>, June 2015.</w:t>
      </w:r>
    </w:p>
  </w:footnote>
  <w:footnote w:id="47">
    <w:p w:rsidR="008E314E" w:rsidRDefault="008E314E" w:rsidP="00CA67C0">
      <w:pPr>
        <w:pStyle w:val="FootnoteText"/>
      </w:pPr>
      <w:r>
        <w:rPr>
          <w:rStyle w:val="FootnoteReference"/>
        </w:rPr>
        <w:footnoteRef/>
      </w:r>
      <w:r>
        <w:t xml:space="preserve"> </w:t>
      </w:r>
      <w:r>
        <w:tab/>
        <w:t>NER, cll. 6.5.3, 6A.6.4; NGR, r. 87A.</w:t>
      </w:r>
    </w:p>
  </w:footnote>
  <w:footnote w:id="48">
    <w:p w:rsidR="008E314E" w:rsidRDefault="008E314E" w:rsidP="00CA67C0">
      <w:pPr>
        <w:pStyle w:val="FootnoteText"/>
      </w:pPr>
      <w:r>
        <w:rPr>
          <w:rStyle w:val="FootnoteReference"/>
        </w:rPr>
        <w:footnoteRef/>
      </w:r>
      <w:r>
        <w:t xml:space="preserve"> </w:t>
      </w:r>
      <w:r>
        <w:tab/>
        <w:t>NER, cll. 6.5.2(d)(2), 6A.6.2(d)(2); NGR, r. 87(4)(b).</w:t>
      </w:r>
    </w:p>
  </w:footnote>
  <w:footnote w:id="49">
    <w:p w:rsidR="008E314E" w:rsidRDefault="008E314E" w:rsidP="00CA67C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50">
    <w:p w:rsidR="008E314E" w:rsidRDefault="008E314E" w:rsidP="00CA67C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51">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52">
    <w:p w:rsidR="008E314E" w:rsidRDefault="008E314E" w:rsidP="00CA67C0">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53">
    <w:p w:rsidR="008E314E" w:rsidRDefault="008E314E" w:rsidP="00CA67C0">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54">
    <w:p w:rsidR="008E314E" w:rsidRDefault="008E314E" w:rsidP="00CA67C0">
      <w:pPr>
        <w:pStyle w:val="FootnoteText"/>
      </w:pPr>
      <w:r>
        <w:rPr>
          <w:rStyle w:val="FootnoteReference"/>
        </w:rPr>
        <w:footnoteRef/>
      </w:r>
      <w:r>
        <w:t xml:space="preserve"> </w:t>
      </w:r>
      <w:r>
        <w:tab/>
        <w:t>NER, cll. 6.5.2, 6A.6.2;</w:t>
      </w:r>
      <w:r w:rsidRPr="0042735A">
        <w:t xml:space="preserve"> </w:t>
      </w:r>
      <w:r>
        <w:t>NGR, r. 87.</w:t>
      </w:r>
    </w:p>
  </w:footnote>
  <w:footnote w:id="55">
    <w:p w:rsidR="008E314E" w:rsidRDefault="008E314E" w:rsidP="00CA67C0">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56">
    <w:p w:rsidR="008E314E" w:rsidRDefault="008E314E" w:rsidP="00CA67C0">
      <w:pPr>
        <w:pStyle w:val="FootnoteText"/>
      </w:pPr>
      <w:r>
        <w:rPr>
          <w:rStyle w:val="FootnoteReference"/>
        </w:rPr>
        <w:footnoteRef/>
      </w:r>
      <w:r>
        <w:tab/>
        <w:t>NEL, s. 16(1)(a); NGL, s. 28(1)(a).</w:t>
      </w:r>
    </w:p>
  </w:footnote>
  <w:footnote w:id="57">
    <w:p w:rsidR="008E314E" w:rsidRDefault="008E314E" w:rsidP="00CA67C0">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58">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59">
    <w:p w:rsidR="008E314E" w:rsidRDefault="008E314E" w:rsidP="00CA67C0">
      <w:pPr>
        <w:pStyle w:val="FootnoteText"/>
      </w:pPr>
      <w:r>
        <w:rPr>
          <w:rStyle w:val="FootnoteReference"/>
        </w:rPr>
        <w:footnoteRef/>
      </w:r>
      <w:r>
        <w:tab/>
        <w:t>NEL, s. 16(1)(a); NGL, s. 28(1)(a).</w:t>
      </w:r>
    </w:p>
  </w:footnote>
  <w:footnote w:id="60">
    <w:p w:rsidR="008E314E" w:rsidRDefault="008E314E" w:rsidP="00CA67C0">
      <w:pPr>
        <w:pStyle w:val="FootnoteText"/>
      </w:pPr>
      <w:r>
        <w:rPr>
          <w:rStyle w:val="FootnoteReference"/>
        </w:rPr>
        <w:footnoteRef/>
      </w:r>
      <w:r>
        <w:t xml:space="preserve"> </w:t>
      </w:r>
      <w:r>
        <w:tab/>
        <w:t>NEL, s. 16(2)(a)(i); NGL, s. 28(2)(a)(i).</w:t>
      </w:r>
    </w:p>
  </w:footnote>
  <w:footnote w:id="61">
    <w:p w:rsidR="008E314E" w:rsidRDefault="008E314E" w:rsidP="00CA67C0">
      <w:pPr>
        <w:pStyle w:val="FootnoteText"/>
      </w:pPr>
      <w:r>
        <w:rPr>
          <w:rStyle w:val="FootnoteReference"/>
        </w:rPr>
        <w:footnoteRef/>
      </w:r>
      <w:r>
        <w:t xml:space="preserve"> </w:t>
      </w:r>
      <w:r>
        <w:tab/>
        <w:t>NEL, ss. 7A(2)–(7); NGL, ss. 24(2)–(7).</w:t>
      </w:r>
    </w:p>
  </w:footnote>
  <w:footnote w:id="62">
    <w:p w:rsidR="008E314E" w:rsidRDefault="008E314E" w:rsidP="00CA67C0">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63">
    <w:p w:rsidR="008E314E" w:rsidRDefault="008E314E" w:rsidP="00CA67C0">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64">
    <w:p w:rsidR="008E314E" w:rsidRDefault="008E314E" w:rsidP="00CA67C0">
      <w:pPr>
        <w:pStyle w:val="FootnoteText"/>
      </w:pPr>
      <w:r>
        <w:rPr>
          <w:rStyle w:val="FootnoteReference"/>
        </w:rPr>
        <w:footnoteRef/>
      </w:r>
      <w:r>
        <w:t xml:space="preserve"> </w:t>
      </w:r>
      <w:r>
        <w:tab/>
        <w:t xml:space="preserve">NER, cll. </w:t>
      </w:r>
      <w:r w:rsidRPr="001E5B06">
        <w:t>6.5.2(n)</w:t>
      </w:r>
      <w:r>
        <w:t>(2), 6.A.6.2(n)(2); NGR, r. 87(14)(b).</w:t>
      </w:r>
    </w:p>
  </w:footnote>
  <w:footnote w:id="65">
    <w:p w:rsidR="008E314E" w:rsidRDefault="008E314E" w:rsidP="00CA67C0">
      <w:pPr>
        <w:pStyle w:val="FootnoteText"/>
      </w:pPr>
      <w:r>
        <w:rPr>
          <w:rStyle w:val="FootnoteReference"/>
        </w:rPr>
        <w:footnoteRef/>
      </w:r>
      <w:r>
        <w:t xml:space="preserve"> </w:t>
      </w:r>
      <w:r>
        <w:tab/>
        <w:t>NER, cll. 6.2.8(c), 6A.2.3(c); NGR, r. 87(18).</w:t>
      </w:r>
    </w:p>
  </w:footnote>
  <w:footnote w:id="66">
    <w:p w:rsidR="008E314E" w:rsidRDefault="008E314E" w:rsidP="00CA67C0">
      <w:pPr>
        <w:pStyle w:val="FootnoteText"/>
      </w:pPr>
      <w:r>
        <w:rPr>
          <w:rStyle w:val="FootnoteReference"/>
        </w:rPr>
        <w:footnoteRef/>
      </w:r>
      <w:r>
        <w:t xml:space="preserve"> </w:t>
      </w:r>
      <w:r>
        <w:tab/>
        <w:t xml:space="preserve">NER, ss. </w:t>
      </w:r>
      <w:r w:rsidRPr="00A609E3">
        <w:t>S6.1.3</w:t>
      </w:r>
      <w:r>
        <w:t>(9)–(9B), S6A.1.3(4)(vi),(4A)–(4C); NGR, r. 72(1)(g).</w:t>
      </w:r>
    </w:p>
  </w:footnote>
  <w:footnote w:id="67">
    <w:p w:rsidR="008E314E" w:rsidRDefault="008E314E" w:rsidP="00CA67C0">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68">
    <w:p w:rsidR="008E314E" w:rsidRDefault="008E314E" w:rsidP="00CA67C0">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69">
    <w:p w:rsidR="008E314E" w:rsidRDefault="008E314E" w:rsidP="00CA67C0">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70">
    <w:p w:rsidR="008E314E" w:rsidRDefault="008E314E" w:rsidP="00CA67C0">
      <w:pPr>
        <w:pStyle w:val="FootnoteText"/>
      </w:pPr>
      <w:r>
        <w:rPr>
          <w:rStyle w:val="FootnoteReference"/>
        </w:rPr>
        <w:footnoteRef/>
      </w:r>
      <w:r>
        <w:t xml:space="preserve"> </w:t>
      </w:r>
      <w:r>
        <w:tab/>
        <w:t>NER, cll. 6.5.2(d)(2), 6A.6.2(d)(2); NGR, r. 87(4)(b).</w:t>
      </w:r>
    </w:p>
  </w:footnote>
  <w:footnote w:id="71">
    <w:p w:rsidR="008E314E" w:rsidRDefault="008E314E" w:rsidP="00CA67C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72">
    <w:p w:rsidR="008E314E" w:rsidRDefault="008E314E" w:rsidP="00CA67C0">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xml:space="preserve">, 20 May 2015. Lally, </w:t>
      </w:r>
      <w:r w:rsidRPr="00583683">
        <w:rPr>
          <w:rStyle w:val="AERtextitalic"/>
        </w:rPr>
        <w:t>Gamma and the ACT decision</w:t>
      </w:r>
      <w:r w:rsidRPr="005764F6">
        <w:t>, May 2016.</w:t>
      </w:r>
    </w:p>
  </w:footnote>
  <w:footnote w:id="73">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January 2016.</w:t>
      </w:r>
    </w:p>
  </w:footnote>
  <w:footnote w:id="74">
    <w:p w:rsidR="008E314E" w:rsidRDefault="008E314E" w:rsidP="00CA67C0">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75">
    <w:p w:rsidR="008E314E" w:rsidRDefault="008E314E" w:rsidP="00CA67C0">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76">
    <w:p w:rsidR="008E314E" w:rsidRDefault="008E314E" w:rsidP="00CA67C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77">
    <w:p w:rsidR="008E314E" w:rsidRDefault="008E314E" w:rsidP="00CA67C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8">
    <w:p w:rsidR="008E314E" w:rsidRDefault="008E314E" w:rsidP="00CA67C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9">
    <w:p w:rsidR="008E314E" w:rsidRDefault="008E314E" w:rsidP="00CA67C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rsidR="007261FC">
        <w:t>A.1</w:t>
      </w:r>
      <w:r>
        <w:fldChar w:fldCharType="end"/>
      </w:r>
      <w:r>
        <w:t xml:space="preserve"> and </w:t>
      </w:r>
      <w:r>
        <w:fldChar w:fldCharType="begin"/>
      </w:r>
      <w:r>
        <w:instrText xml:space="preserve"> REF _Ref414621875 \r \h </w:instrText>
      </w:r>
      <w:r>
        <w:fldChar w:fldCharType="separate"/>
      </w:r>
      <w:r w:rsidR="007261FC">
        <w:t>A.2</w:t>
      </w:r>
      <w:r>
        <w:fldChar w:fldCharType="end"/>
      </w:r>
      <w:r>
        <w:t xml:space="preserve"> of appendix A.</w:t>
      </w:r>
    </w:p>
  </w:footnote>
  <w:footnote w:id="80">
    <w:p w:rsidR="008E314E" w:rsidRDefault="008E314E" w:rsidP="00CA67C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rsidR="007261FC">
        <w:t>A.5</w:t>
      </w:r>
      <w:r>
        <w:fldChar w:fldCharType="end"/>
      </w:r>
      <w:r>
        <w:t xml:space="preserve"> of appendix A.</w:t>
      </w:r>
    </w:p>
  </w:footnote>
  <w:footnote w:id="81">
    <w:p w:rsidR="008E314E" w:rsidRDefault="008E314E" w:rsidP="00CA67C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rsidR="007261FC">
        <w:t>4.3.1</w:t>
      </w:r>
      <w:r>
        <w:fldChar w:fldCharType="end"/>
      </w:r>
      <w:r>
        <w:t xml:space="preserve"> and </w:t>
      </w:r>
      <w:r>
        <w:fldChar w:fldCharType="begin"/>
      </w:r>
      <w:r>
        <w:instrText xml:space="preserve"> REF _Ref400965182 \r \h </w:instrText>
      </w:r>
      <w:r>
        <w:fldChar w:fldCharType="separate"/>
      </w:r>
      <w:r w:rsidR="007261FC">
        <w:t>A.6</w:t>
      </w:r>
      <w:r>
        <w:fldChar w:fldCharType="end"/>
      </w:r>
      <w:r>
        <w:t xml:space="preserve"> of appendix A. </w:t>
      </w:r>
    </w:p>
  </w:footnote>
  <w:footnote w:id="82">
    <w:p w:rsidR="008E314E" w:rsidRDefault="008E314E" w:rsidP="00CA67C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rsidR="007261FC">
        <w:t>A.6</w:t>
      </w:r>
      <w:r>
        <w:fldChar w:fldCharType="end"/>
      </w:r>
      <w:r>
        <w:t xml:space="preserve"> of appendix A.</w:t>
      </w:r>
    </w:p>
  </w:footnote>
  <w:footnote w:id="83">
    <w:p w:rsidR="008E314E" w:rsidRDefault="008E314E" w:rsidP="00CA67C0">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r w:rsidRPr="00AB4156">
        <w:t>.</w:t>
      </w:r>
    </w:p>
  </w:footnote>
  <w:footnote w:id="84">
    <w:p w:rsidR="008E314E" w:rsidRDefault="008E314E" w:rsidP="00CA67C0">
      <w:pPr>
        <w:pStyle w:val="FootnoteText"/>
      </w:pPr>
      <w:r>
        <w:rPr>
          <w:rStyle w:val="FootnoteReference"/>
        </w:rPr>
        <w:footnoteRef/>
      </w:r>
      <w:r>
        <w:t xml:space="preserve"> </w:t>
      </w:r>
      <w:r>
        <w:tab/>
        <w:t xml:space="preserve">See section </w:t>
      </w:r>
      <w:r>
        <w:fldChar w:fldCharType="begin"/>
      </w:r>
      <w:r>
        <w:instrText xml:space="preserve"> REF _Ref451240526 \r \h </w:instrText>
      </w:r>
      <w:r>
        <w:fldChar w:fldCharType="separate"/>
      </w:r>
      <w:r w:rsidR="007261FC">
        <w:t>4.4</w:t>
      </w:r>
      <w:r>
        <w:fldChar w:fldCharType="end"/>
      </w:r>
      <w:r>
        <w:t>.</w:t>
      </w:r>
    </w:p>
  </w:footnote>
  <w:footnote w:id="85">
    <w:p w:rsidR="008E314E" w:rsidRDefault="008E314E" w:rsidP="00CA67C0">
      <w:pPr>
        <w:pStyle w:val="FootnoteText"/>
      </w:pPr>
      <w:r>
        <w:rPr>
          <w:rStyle w:val="FootnoteReference"/>
        </w:rPr>
        <w:footnoteRef/>
      </w:r>
      <w:r>
        <w:t xml:space="preserve"> </w:t>
      </w:r>
      <w:r>
        <w:tab/>
        <w:t xml:space="preserve">See section </w:t>
      </w:r>
      <w:r>
        <w:fldChar w:fldCharType="begin"/>
      </w:r>
      <w:r>
        <w:instrText xml:space="preserve"> REF _Ref451240541 \r \h </w:instrText>
      </w:r>
      <w:r>
        <w:fldChar w:fldCharType="separate"/>
      </w:r>
      <w:r w:rsidR="007261FC">
        <w:t>4.4</w:t>
      </w:r>
      <w:r>
        <w:fldChar w:fldCharType="end"/>
      </w:r>
      <w:r>
        <w:t>.</w:t>
      </w:r>
    </w:p>
  </w:footnote>
  <w:footnote w:id="86">
    <w:p w:rsidR="008E314E" w:rsidRDefault="008E314E" w:rsidP="00CA67C0">
      <w:pPr>
        <w:pStyle w:val="FootnoteText"/>
      </w:pPr>
      <w:r>
        <w:rPr>
          <w:rStyle w:val="FootnoteReference"/>
        </w:rPr>
        <w:footnoteRef/>
      </w:r>
      <w:r>
        <w:t xml:space="preserve"> </w:t>
      </w:r>
      <w:r>
        <w:tab/>
        <w:t xml:space="preserve">See section </w:t>
      </w:r>
      <w:r>
        <w:fldChar w:fldCharType="begin"/>
      </w:r>
      <w:r>
        <w:instrText xml:space="preserve"> REF _Ref451240553 \r \h </w:instrText>
      </w:r>
      <w:r>
        <w:fldChar w:fldCharType="separate"/>
      </w:r>
      <w:r w:rsidR="007261FC">
        <w:t>4.4</w:t>
      </w:r>
      <w:r>
        <w:fldChar w:fldCharType="end"/>
      </w:r>
      <w:r>
        <w:t>.</w:t>
      </w:r>
    </w:p>
  </w:footnote>
  <w:footnote w:id="87">
    <w:p w:rsidR="008E314E" w:rsidRDefault="008E314E" w:rsidP="00CA67C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88">
    <w:p w:rsidR="008E314E" w:rsidRDefault="008E314E" w:rsidP="00CA67C0">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89">
    <w:p w:rsidR="008E314E" w:rsidRDefault="008E314E" w:rsidP="00CA67C0">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rsidR="007261FC">
        <w:t>A.9.1</w:t>
      </w:r>
      <w:r>
        <w:fldChar w:fldCharType="end"/>
      </w:r>
      <w:r>
        <w:t xml:space="preserve"> of appendix A for more discussion. </w:t>
      </w:r>
    </w:p>
  </w:footnote>
  <w:footnote w:id="90">
    <w:p w:rsidR="008E314E" w:rsidRDefault="008E314E" w:rsidP="00CA67C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91">
    <w:p w:rsidR="008E314E" w:rsidRDefault="008E314E" w:rsidP="00CA67C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92">
    <w:p w:rsidR="008E314E" w:rsidRDefault="008E314E" w:rsidP="00CA67C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93">
    <w:p w:rsidR="008E314E" w:rsidRDefault="008E314E" w:rsidP="00CA67C0">
      <w:pPr>
        <w:pStyle w:val="FootnoteText"/>
      </w:pPr>
      <w:r>
        <w:rPr>
          <w:rStyle w:val="FootnoteReference"/>
        </w:rPr>
        <w:footnoteRef/>
      </w:r>
      <w:r>
        <w:t xml:space="preserve"> </w:t>
      </w:r>
      <w:r>
        <w:tab/>
      </w:r>
      <w:r w:rsidRPr="005942A6">
        <w:t xml:space="preserve">Lally, </w:t>
      </w:r>
      <w:r w:rsidRPr="005764F6">
        <w:rPr>
          <w:rStyle w:val="AERtextitalic"/>
        </w:rPr>
        <w:t>Gamma and the ACT Decision</w:t>
      </w:r>
      <w:r w:rsidRPr="005942A6">
        <w:t xml:space="preserve">, </w:t>
      </w:r>
      <w:r>
        <w:t>May 2016, pp. 3–6</w:t>
      </w:r>
      <w:r w:rsidRPr="005942A6">
        <w:t>.</w:t>
      </w:r>
    </w:p>
  </w:footnote>
  <w:footnote w:id="94">
    <w:p w:rsidR="008E314E" w:rsidRDefault="008E314E" w:rsidP="00CA67C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rsidR="007261FC">
        <w:t>A.1</w:t>
      </w:r>
      <w:r>
        <w:fldChar w:fldCharType="end"/>
      </w:r>
      <w:r>
        <w:t xml:space="preserve"> of appendix A.</w:t>
      </w:r>
    </w:p>
  </w:footnote>
  <w:footnote w:id="95">
    <w:p w:rsidR="008E314E" w:rsidRDefault="008E314E" w:rsidP="00CA67C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96">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24–25, 28.</w:t>
      </w:r>
    </w:p>
  </w:footnote>
  <w:footnote w:id="97">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98">
    <w:p w:rsidR="008E314E" w:rsidRDefault="008E314E" w:rsidP="00CA67C0">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99">
    <w:p w:rsidR="008E314E" w:rsidRDefault="008E314E" w:rsidP="00CA67C0">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100">
    <w:p w:rsidR="008E314E" w:rsidRDefault="008E314E" w:rsidP="00CA67C0">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101">
    <w:p w:rsidR="008E314E" w:rsidRDefault="008E314E" w:rsidP="00CA67C0">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rsidR="007261FC">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102">
    <w:p w:rsidR="008E314E" w:rsidRDefault="008E314E" w:rsidP="00CA67C0">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103">
    <w:p w:rsidR="008E314E" w:rsidRDefault="008E314E" w:rsidP="00CA67C0">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104">
    <w:p w:rsidR="008E314E" w:rsidRDefault="008E314E" w:rsidP="00CA67C0">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rsidR="007261FC">
        <w:t>A.8.3</w:t>
      </w:r>
      <w:r>
        <w:fldChar w:fldCharType="end"/>
      </w:r>
      <w:r>
        <w:t>.</w:t>
      </w:r>
    </w:p>
  </w:footnote>
  <w:footnote w:id="105">
    <w:p w:rsidR="008E314E" w:rsidRDefault="008E314E" w:rsidP="00CA67C0">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06">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07">
    <w:p w:rsidR="008E314E" w:rsidRDefault="008E314E" w:rsidP="00CA67C0">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rsidR="007261FC">
        <w:t>A.10</w:t>
      </w:r>
      <w:r>
        <w:fldChar w:fldCharType="end"/>
      </w:r>
      <w:r w:rsidRPr="007F4E38">
        <w:t xml:space="preserve"> of </w:t>
      </w:r>
      <w:r>
        <w:t>appendix A.</w:t>
      </w:r>
    </w:p>
  </w:footnote>
  <w:footnote w:id="108">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09">
    <w:p w:rsidR="008E314E" w:rsidRDefault="008E314E" w:rsidP="00CA67C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10">
    <w:p w:rsidR="008E314E" w:rsidRDefault="008E314E" w:rsidP="00CA67C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11">
    <w:p w:rsidR="008E314E" w:rsidRDefault="008E314E" w:rsidP="00CA67C0">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7261FC">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112">
    <w:p w:rsidR="008E314E" w:rsidRDefault="008E314E" w:rsidP="00CA67C0">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13">
    <w:p w:rsidR="008E314E" w:rsidRDefault="008E314E" w:rsidP="00CA67C0">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14">
    <w:p w:rsidR="008E314E" w:rsidRDefault="008E314E" w:rsidP="00CA67C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15">
    <w:p w:rsidR="008E314E" w:rsidRDefault="008E314E" w:rsidP="00CA67C0">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rsidR="007261FC">
        <w:t>A.10</w:t>
      </w:r>
      <w:r>
        <w:fldChar w:fldCharType="end"/>
      </w:r>
      <w:r>
        <w:t xml:space="preserve"> for more detail.</w:t>
      </w:r>
    </w:p>
  </w:footnote>
  <w:footnote w:id="116">
    <w:p w:rsidR="008E314E" w:rsidRDefault="008E314E" w:rsidP="00CA67C0">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7261FC">
        <w:t>A.10</w:t>
      </w:r>
      <w:r>
        <w:fldChar w:fldCharType="end"/>
      </w:r>
      <w:r>
        <w:t xml:space="preserve"> of appendix A. </w:t>
      </w:r>
    </w:p>
  </w:footnote>
  <w:footnote w:id="117">
    <w:p w:rsidR="008E314E" w:rsidRDefault="008E314E" w:rsidP="00CA67C0">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18">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19">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120">
    <w:p w:rsidR="008E314E" w:rsidRDefault="008E314E" w:rsidP="00CA67C0">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21">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22">
    <w:p w:rsidR="008E314E" w:rsidRDefault="008E314E" w:rsidP="00CA67C0">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23">
    <w:p w:rsidR="008E314E" w:rsidRDefault="008E314E" w:rsidP="00CA67C0">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rsidR="007261FC">
        <w:t>A.8.1</w:t>
      </w:r>
      <w:r>
        <w:fldChar w:fldCharType="end"/>
      </w:r>
      <w:r>
        <w:t xml:space="preserve"> of appendix A.</w:t>
      </w:r>
    </w:p>
  </w:footnote>
  <w:footnote w:id="124">
    <w:p w:rsidR="008E314E" w:rsidRDefault="008E314E" w:rsidP="00CA67C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25">
    <w:p w:rsidR="008E314E" w:rsidRDefault="008E314E" w:rsidP="00CA67C0">
      <w:pPr>
        <w:pStyle w:val="FootnoteText"/>
      </w:pPr>
      <w:r>
        <w:rPr>
          <w:rStyle w:val="FootnoteReference"/>
        </w:rPr>
        <w:footnoteRef/>
      </w:r>
      <w:r>
        <w:t xml:space="preserve"> </w:t>
      </w:r>
      <w:r>
        <w:tab/>
        <w:t>Personal tax is levied on the gross dividend which is the sum of the face value of the franked dividend and the face value of the imputation credit.</w:t>
      </w:r>
    </w:p>
  </w:footnote>
  <w:footnote w:id="126">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27">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28">
    <w:p w:rsidR="008E314E" w:rsidRDefault="008E314E" w:rsidP="00CA67C0">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rsidR="007261FC">
        <w:t>A.11</w:t>
      </w:r>
      <w:r>
        <w:fldChar w:fldCharType="end"/>
      </w:r>
      <w:r>
        <w:t xml:space="preserve"> of appendix A.</w:t>
      </w:r>
    </w:p>
  </w:footnote>
  <w:footnote w:id="129">
    <w:p w:rsidR="008E314E" w:rsidRDefault="008E314E" w:rsidP="00CA67C0">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30">
    <w:p w:rsidR="008E314E" w:rsidRDefault="008E314E" w:rsidP="00CA67C0">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31">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32">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33">
    <w:p w:rsidR="008E314E" w:rsidRDefault="008E314E" w:rsidP="00CA67C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34">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35">
    <w:p w:rsidR="008E314E" w:rsidRDefault="008E314E" w:rsidP="00CA67C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36">
    <w:p w:rsidR="008E314E" w:rsidRDefault="008E314E" w:rsidP="00CA67C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37">
    <w:p w:rsidR="008E314E" w:rsidRDefault="008E314E" w:rsidP="00CA67C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38">
    <w:p w:rsidR="008E314E" w:rsidRDefault="008E314E" w:rsidP="00CA67C0">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39">
    <w:p w:rsidR="008E314E" w:rsidRDefault="008E314E" w:rsidP="00CA67C0">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rsidR="007261FC">
        <w:t>A.9.1</w:t>
      </w:r>
      <w:r>
        <w:fldChar w:fldCharType="end"/>
      </w:r>
      <w:r>
        <w:t xml:space="preserve"> of appendix A.</w:t>
      </w:r>
    </w:p>
  </w:footnote>
  <w:footnote w:id="140">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41">
    <w:p w:rsidR="008E314E" w:rsidRDefault="008E314E" w:rsidP="00CA67C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42">
    <w:p w:rsidR="008E314E" w:rsidRDefault="008E314E" w:rsidP="00CA67C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43">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44">
    <w:p w:rsidR="008E314E" w:rsidRDefault="008E314E" w:rsidP="00CA67C0">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45">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46">
    <w:p w:rsidR="008E314E" w:rsidRDefault="008E314E" w:rsidP="00CA67C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147">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48">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9">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50">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51">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52">
    <w:p w:rsidR="008E314E" w:rsidRDefault="008E314E" w:rsidP="00CA67C0">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53">
    <w:p w:rsidR="008E314E" w:rsidRDefault="008E314E" w:rsidP="00CA67C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54">
    <w:p w:rsidR="008E314E" w:rsidRDefault="008E314E" w:rsidP="00CA67C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155">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56">
    <w:p w:rsidR="008E314E" w:rsidRDefault="008E314E" w:rsidP="00CA67C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57">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8">
    <w:p w:rsidR="008E314E" w:rsidRDefault="008E314E" w:rsidP="00CA67C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59">
    <w:p w:rsidR="008E314E" w:rsidRDefault="008E314E" w:rsidP="00CA67C0">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60">
    <w:p w:rsidR="008E314E" w:rsidRDefault="008E314E" w:rsidP="00CA67C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61">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62">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33.</w:t>
      </w:r>
    </w:p>
  </w:footnote>
  <w:footnote w:id="163">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64">
    <w:p w:rsidR="008E314E" w:rsidRDefault="008E314E" w:rsidP="00E43EA2">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CitiPower and Powercor, </w:t>
      </w:r>
      <w:r w:rsidRPr="00E82D06">
        <w:rPr>
          <w:rStyle w:val="AERtextitalic"/>
        </w:rPr>
        <w:t>CitiPower and Powercor 2016-2020 distribution determinations—Submission on implications of recent Australian Competition Tribunal decisions</w:t>
      </w:r>
      <w:r>
        <w:t>, 18 April 2016.</w:t>
      </w:r>
    </w:p>
  </w:footnote>
  <w:footnote w:id="165">
    <w:p w:rsidR="008E314E" w:rsidRDefault="008E314E" w:rsidP="00CA67C0">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66">
    <w:p w:rsidR="008E314E" w:rsidRDefault="008E314E" w:rsidP="00CA67C0">
      <w:pPr>
        <w:pStyle w:val="FootnoteText"/>
      </w:pPr>
      <w:r>
        <w:rPr>
          <w:rStyle w:val="FootnoteReference"/>
        </w:rPr>
        <w:footnoteRef/>
      </w:r>
      <w:r>
        <w:t xml:space="preserve"> </w:t>
      </w:r>
      <w:r>
        <w:tab/>
      </w:r>
      <w:r w:rsidRPr="005764F6">
        <w:t xml:space="preserve">United Energy, </w:t>
      </w:r>
      <w:r w:rsidRPr="00CE62A1">
        <w:rPr>
          <w:rStyle w:val="AERtextitalic"/>
        </w:rPr>
        <w:t>Submission on AER preliminary determination - Submission on gamma</w:t>
      </w:r>
      <w:r w:rsidRPr="005764F6">
        <w:t xml:space="preserve">, 26 April 2016; CitiPower/Powercor, </w:t>
      </w:r>
      <w:r w:rsidRPr="00CE62A1">
        <w:rPr>
          <w:rStyle w:val="AERtextitalic"/>
        </w:rPr>
        <w:t>Submission on implications of recent Australian Competition Tribunal Decision</w:t>
      </w:r>
      <w:r w:rsidRPr="005764F6">
        <w:t xml:space="preserve">, 18 April 2016; ActewAGL, </w:t>
      </w:r>
      <w:r w:rsidRPr="00CE62A1">
        <w:rPr>
          <w:rStyle w:val="AERtextitalic"/>
        </w:rPr>
        <w:t>Implication of recent Tribunal decisions for final decision and updates to the allowed rate of return and forecast inflation estimate</w:t>
      </w:r>
      <w:r w:rsidRPr="005764F6">
        <w:t>, 12 May 2016.</w:t>
      </w:r>
    </w:p>
  </w:footnote>
  <w:footnote w:id="167">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288 and 289;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168">
    <w:p w:rsidR="008E314E" w:rsidRDefault="008E314E" w:rsidP="00CA67C0">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69">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January 2016, pp. 353-354.</w:t>
      </w:r>
    </w:p>
  </w:footnote>
  <w:footnote w:id="170">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292;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35.</w:t>
      </w:r>
    </w:p>
  </w:footnote>
  <w:footnote w:id="171">
    <w:p w:rsidR="008E314E"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72">
    <w:p w:rsidR="008E314E" w:rsidRDefault="008E314E" w:rsidP="00CA67C0">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354, 368</w:t>
      </w:r>
      <w:r w:rsidRPr="00CC0A37">
        <w:t>.</w:t>
      </w:r>
    </w:p>
  </w:footnote>
  <w:footnote w:id="173">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and 288;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74">
    <w:p w:rsidR="008E314E" w:rsidRDefault="008E314E" w:rsidP="00CA67C0">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75">
    <w:p w:rsidR="008E314E" w:rsidRDefault="008E314E" w:rsidP="00CA67C0">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76">
    <w:p w:rsidR="008E314E" w:rsidRDefault="008E314E" w:rsidP="00CA67C0">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177">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294, 296, 298;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 356.</w:t>
      </w:r>
    </w:p>
  </w:footnote>
  <w:footnote w:id="178">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288; </w:t>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p>
  </w:footnote>
  <w:footnote w:id="179">
    <w:p w:rsidR="008E314E" w:rsidRDefault="008E314E" w:rsidP="00CA67C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180">
    <w:p w:rsidR="008E314E" w:rsidRDefault="008E314E" w:rsidP="00CA67C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January 2016, pp. 364-365.</w:t>
      </w:r>
    </w:p>
  </w:footnote>
  <w:footnote w:id="181">
    <w:p w:rsidR="008E314E" w:rsidRDefault="008E314E" w:rsidP="00CA67C0">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182">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294;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183">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288, 305;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w:t>
      </w:r>
    </w:p>
  </w:footnote>
  <w:footnote w:id="184">
    <w:p w:rsidR="008E314E" w:rsidRDefault="008E314E" w:rsidP="00CA67C0">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p171. </w:t>
      </w:r>
    </w:p>
  </w:footnote>
  <w:footnote w:id="185">
    <w:p w:rsidR="008E314E" w:rsidRDefault="008E314E" w:rsidP="00CA67C0">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186">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January 2016, p. 93.</w:t>
      </w:r>
    </w:p>
  </w:footnote>
  <w:footnote w:id="187">
    <w:p w:rsidR="008E314E" w:rsidRDefault="008E314E" w:rsidP="00CA67C0">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188">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June 2015, p. 33.</w:t>
      </w:r>
    </w:p>
  </w:footnote>
  <w:footnote w:id="189">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300; Australian Gas Networks, </w:t>
      </w:r>
      <w:r>
        <w:rPr>
          <w:rStyle w:val="AERtextitalic"/>
        </w:rPr>
        <w:t>Attachment 11 Response to Draft Decision: Cost of Tax</w:t>
      </w:r>
      <w:r>
        <w:t xml:space="preserve">, January 2016, p. 13; ActewAGL, </w:t>
      </w:r>
      <w:r w:rsidRPr="00C3341F">
        <w:rPr>
          <w:rStyle w:val="AERtextitalic"/>
        </w:rPr>
        <w:t>Appendix 5.01 Detailed response to rate of return, gamma and inflation</w:t>
      </w:r>
      <w:r>
        <w:t xml:space="preserve">, January 2016, p. 117; AusNet Electricity Services, </w:t>
      </w:r>
      <w:r w:rsidRPr="00C3341F">
        <w:rPr>
          <w:rStyle w:val="AERtextitalic"/>
        </w:rPr>
        <w:t>Revised Regulatory Proposal</w:t>
      </w:r>
      <w:r>
        <w:t>, January 2016, p. 7-85; United Energy, Re</w:t>
      </w:r>
      <w:r w:rsidRPr="00C3341F">
        <w:rPr>
          <w:rStyle w:val="AERtextitalic"/>
        </w:rPr>
        <w:t>sponse to AER Preliminary Determination Re: Rate of return and gamma</w:t>
      </w:r>
      <w:r>
        <w:t xml:space="preserve">, January 2016, p. 87; CitiPower, </w:t>
      </w:r>
      <w:r w:rsidRPr="00C3341F">
        <w:rPr>
          <w:rStyle w:val="AERtextitalic"/>
        </w:rPr>
        <w:t>Revised Regulatory Proposal 2016-2020</w:t>
      </w:r>
      <w:r>
        <w:t xml:space="preserve">; January 2016, p. 365; Jemena Electricity Networks, </w:t>
      </w:r>
      <w:r w:rsidRPr="00C3341F">
        <w:rPr>
          <w:rStyle w:val="AERtextitalic"/>
        </w:rPr>
        <w:t>Attachment 6-1 Rate of return, gamma, forecast inflation, and debt and equity raising costs</w:t>
      </w:r>
      <w:r>
        <w:t xml:space="preserve">, January 2016, p. 93; Powercor, </w:t>
      </w:r>
      <w:r w:rsidRPr="00C3341F">
        <w:rPr>
          <w:rStyle w:val="AERtextitalic"/>
        </w:rPr>
        <w:t>Revised Regulatory Proposal 2016-2020</w:t>
      </w:r>
      <w:r>
        <w:t>, January 2016, p. 359.</w:t>
      </w:r>
    </w:p>
  </w:footnote>
  <w:footnote w:id="190">
    <w:p w:rsidR="008E314E" w:rsidRDefault="008E314E" w:rsidP="00CA67C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191">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192">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37–38.</w:t>
      </w:r>
    </w:p>
  </w:footnote>
  <w:footnote w:id="193">
    <w:p w:rsidR="008E314E" w:rsidRDefault="008E314E" w:rsidP="00CA67C0">
      <w:pPr>
        <w:pStyle w:val="FootnoteText"/>
      </w:pPr>
      <w:r>
        <w:rPr>
          <w:rStyle w:val="FootnoteReference"/>
        </w:rPr>
        <w:footnoteRef/>
      </w:r>
      <w:r>
        <w:t xml:space="preserve"> </w:t>
      </w:r>
      <w:r>
        <w:tab/>
      </w:r>
      <w:r w:rsidRPr="008F5D24">
        <w:t>HoustonKemp, A response to the Australian Energy Regulator Draft Decision on Australian Gas Networks AA2016 Revenue Reset, February 2016, p. 35.</w:t>
      </w:r>
    </w:p>
  </w:footnote>
  <w:footnote w:id="194">
    <w:p w:rsidR="008E314E" w:rsidRDefault="008E314E" w:rsidP="00CA67C0">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195">
    <w:p w:rsidR="008E314E" w:rsidRPr="001966E3" w:rsidRDefault="008E314E" w:rsidP="00CA67C0">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196">
    <w:p w:rsidR="008E314E" w:rsidRDefault="008E314E" w:rsidP="00CA67C0">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197">
    <w:p w:rsidR="008E314E" w:rsidRDefault="008E314E" w:rsidP="00CA67C0">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198">
    <w:p w:rsidR="008E314E" w:rsidRDefault="008E314E" w:rsidP="00CA67C0">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199">
    <w:p w:rsidR="008E314E" w:rsidRDefault="008E314E" w:rsidP="00CA67C0">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200">
    <w:p w:rsidR="008E314E" w:rsidRDefault="008E314E" w:rsidP="00CA67C0">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201">
    <w:p w:rsidR="008E314E" w:rsidRDefault="008E314E" w:rsidP="00CA67C0">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202">
    <w:p w:rsidR="008E314E" w:rsidRDefault="008E314E" w:rsidP="00CA67C0">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203">
    <w:p w:rsidR="008E314E" w:rsidRDefault="008E314E" w:rsidP="00CA67C0">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204">
    <w:p w:rsidR="008E314E" w:rsidRDefault="008E314E" w:rsidP="00CA67C0">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05">
    <w:p w:rsidR="008E314E" w:rsidRDefault="008E314E" w:rsidP="00CA67C0">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06">
    <w:p w:rsidR="008E314E" w:rsidRDefault="008E314E" w:rsidP="00CA67C0">
      <w:pPr>
        <w:pStyle w:val="FootnoteText"/>
      </w:pPr>
      <w:r>
        <w:rPr>
          <w:rStyle w:val="FootnoteReference"/>
        </w:rPr>
        <w:footnoteRef/>
      </w:r>
      <w:r>
        <w:t xml:space="preserve"> </w:t>
      </w:r>
      <w:r>
        <w:tab/>
      </w:r>
      <w:r w:rsidRPr="009A6FC1">
        <w:t>ECCSA, A response to the Australian Energy Regulator Draft Decision on Australian Gas Networks AA2016 Revenue Reset, February 2016, p. 35.</w:t>
      </w:r>
    </w:p>
  </w:footnote>
  <w:footnote w:id="207">
    <w:p w:rsidR="008E314E" w:rsidRDefault="008E314E" w:rsidP="00CA67C0">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08">
    <w:p w:rsidR="008E314E" w:rsidRDefault="008E314E" w:rsidP="00CA67C0">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09">
    <w:p w:rsidR="008E314E" w:rsidRDefault="008E314E" w:rsidP="00CA67C0">
      <w:pPr>
        <w:pStyle w:val="FootnoteText"/>
      </w:pPr>
      <w:r>
        <w:rPr>
          <w:rStyle w:val="FootnoteReference"/>
        </w:rPr>
        <w:footnoteRef/>
      </w:r>
      <w:r>
        <w:t xml:space="preserve"> </w:t>
      </w:r>
      <w:r>
        <w:tab/>
        <w:t xml:space="preserve">Uniting Care Australia, </w:t>
      </w:r>
      <w:r w:rsidRPr="00B239C6">
        <w:t>Submission to the Australian Energy Regulator -Response to Electricity Distribution Business Revised Regulatory Proposal from 2015</w:t>
      </w:r>
      <w:r>
        <w:t>–</w:t>
      </w:r>
      <w:r w:rsidRPr="00B239C6">
        <w:t>20 from SA Power Networks, and AER Preliminary Determination, July 2015, p. 29.</w:t>
      </w:r>
    </w:p>
  </w:footnote>
  <w:footnote w:id="210">
    <w:p w:rsidR="008E314E" w:rsidRDefault="008E314E">
      <w:pPr>
        <w:pStyle w:val="FootnoteText"/>
      </w:pPr>
      <w:r>
        <w:rPr>
          <w:rStyle w:val="FootnoteReference"/>
        </w:rPr>
        <w:footnoteRef/>
      </w:r>
      <w:r>
        <w:t xml:space="preserve"> </w:t>
      </w:r>
      <w:r>
        <w:tab/>
        <w:t xml:space="preserve">CCP, </w:t>
      </w:r>
      <w:r>
        <w:rPr>
          <w:rStyle w:val="AERtextitalic"/>
        </w:rPr>
        <w:t>Transmission for the Generators</w:t>
      </w:r>
      <w:r>
        <w:t>, February 2016, pp. 6, 43.</w:t>
      </w:r>
    </w:p>
  </w:footnote>
  <w:footnote w:id="211">
    <w:p w:rsidR="008E314E" w:rsidRDefault="008E314E" w:rsidP="00261FEE">
      <w:pPr>
        <w:pStyle w:val="FootnoteText"/>
      </w:pPr>
      <w:r>
        <w:rPr>
          <w:rStyle w:val="FootnoteReference"/>
        </w:rPr>
        <w:footnoteRef/>
      </w:r>
      <w:r>
        <w:t xml:space="preserve"> </w:t>
      </w:r>
      <w:r>
        <w:tab/>
        <w:t xml:space="preserve">CCP, </w:t>
      </w:r>
      <w:r>
        <w:rPr>
          <w:rStyle w:val="AERtextitalic"/>
        </w:rPr>
        <w:t>Transmission for the Generators</w:t>
      </w:r>
      <w:r>
        <w:t>, February 2016, p. 43.</w:t>
      </w:r>
    </w:p>
  </w:footnote>
  <w:footnote w:id="212">
    <w:p w:rsidR="008E314E" w:rsidRPr="003C12DE" w:rsidRDefault="008E314E" w:rsidP="00CA67C0">
      <w:pPr>
        <w:pStyle w:val="FootnoteText"/>
      </w:pPr>
      <w:r>
        <w:rPr>
          <w:rStyle w:val="FootnoteReference"/>
        </w:rPr>
        <w:footnoteRef/>
      </w:r>
      <w:r>
        <w:t xml:space="preserve"> </w:t>
      </w:r>
      <w:r>
        <w:tab/>
      </w:r>
      <w:r w:rsidRPr="008F5D2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w:t>
      </w:r>
    </w:p>
  </w:footnote>
  <w:footnote w:id="213">
    <w:p w:rsidR="008E314E" w:rsidRDefault="008E314E" w:rsidP="001F278D">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January 2016.</w:t>
      </w:r>
    </w:p>
  </w:footnote>
  <w:footnote w:id="214">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15">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216">
    <w:p w:rsidR="008E314E" w:rsidRDefault="008E314E" w:rsidP="00CA67C0">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17">
    <w:p w:rsidR="008E314E" w:rsidRDefault="008E314E" w:rsidP="00CA67C0">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18">
    <w:p w:rsidR="008E314E" w:rsidRDefault="008E314E" w:rsidP="00CA67C0">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19">
    <w:p w:rsidR="008E314E" w:rsidRPr="00EB47DF" w:rsidRDefault="008E314E" w:rsidP="00CA67C0">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20">
    <w:p w:rsidR="008E314E" w:rsidRDefault="008E314E" w:rsidP="00CA67C0">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21">
    <w:p w:rsidR="008E314E" w:rsidRDefault="008E314E" w:rsidP="00CA67C0">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222">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January 2016.</w:t>
      </w:r>
    </w:p>
  </w:footnote>
  <w:footnote w:id="223">
    <w:p w:rsidR="008E314E" w:rsidRDefault="008E314E" w:rsidP="00CA67C0">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xml:space="preserve">, March 2012. </w:t>
      </w:r>
      <w:r w:rsidRPr="00000FA2">
        <w:t xml:space="preserve">In the February 2016 IPART WACC update, IPART continues to use a gamma estimate of 0.25. See: </w:t>
      </w:r>
      <w:r>
        <w:t>&lt;</w:t>
      </w:r>
      <w:r w:rsidRPr="00000FA2">
        <w:t>http://www.ipart.nsw.gov.au/Home/Industries/Research/Market_Update/Spreadsheet_-_WACC_calculator_-_February_2016</w:t>
      </w:r>
      <w:r>
        <w:t>&gt;.</w:t>
      </w:r>
    </w:p>
  </w:footnote>
  <w:footnote w:id="224">
    <w:p w:rsidR="008E314E" w:rsidRDefault="008E314E" w:rsidP="00CA67C0">
      <w:pPr>
        <w:pStyle w:val="FootnoteText"/>
      </w:pPr>
      <w:r>
        <w:rPr>
          <w:rStyle w:val="FootnoteReference"/>
        </w:rPr>
        <w:footnoteRef/>
      </w:r>
      <w:r>
        <w:t xml:space="preserve"> </w:t>
      </w:r>
      <w:r>
        <w:tab/>
        <w:t>Essential Services Commission</w:t>
      </w:r>
      <w:r w:rsidRPr="00922C37">
        <w:t xml:space="preserve">, </w:t>
      </w:r>
      <w:r>
        <w:rPr>
          <w:rStyle w:val="AERtextitalic"/>
        </w:rPr>
        <w:t xml:space="preserve">Goulburn-Murray Water Price Review 2016, Draft </w:t>
      </w:r>
      <w:r w:rsidRPr="00922C37">
        <w:rPr>
          <w:rStyle w:val="AERtextitalic"/>
        </w:rPr>
        <w:t>decision</w:t>
      </w:r>
      <w:r w:rsidRPr="00922C37">
        <w:t xml:space="preserve">, </w:t>
      </w:r>
      <w:r>
        <w:t>February 2016, p. 65</w:t>
      </w:r>
      <w:r w:rsidRPr="00922C37">
        <w:t>.</w:t>
      </w:r>
    </w:p>
  </w:footnote>
  <w:footnote w:id="225">
    <w:p w:rsidR="008E314E" w:rsidRDefault="008E314E" w:rsidP="00CA67C0">
      <w:pPr>
        <w:pStyle w:val="FootnoteText"/>
      </w:pPr>
      <w:r>
        <w:rPr>
          <w:rStyle w:val="FootnoteReference"/>
        </w:rPr>
        <w:footnoteRef/>
      </w:r>
      <w:r>
        <w:t xml:space="preserve"> </w:t>
      </w:r>
      <w:r>
        <w:tab/>
        <w:t xml:space="preserve">Queensland Competition Authority, </w:t>
      </w:r>
      <w:r>
        <w:rPr>
          <w:rStyle w:val="AERtextitalic"/>
        </w:rPr>
        <w:t>Aurizon Network 2014 Access Undertaking - Volume IV - Maximum Allowable Revenue</w:t>
      </w:r>
      <w:r>
        <w:t>, April 2016, pp. 282-283.</w:t>
      </w:r>
    </w:p>
  </w:footnote>
  <w:footnote w:id="226">
    <w:p w:rsidR="008E314E" w:rsidRDefault="008E314E" w:rsidP="00CA67C0">
      <w:pPr>
        <w:pStyle w:val="FootnoteText"/>
      </w:pPr>
      <w:r>
        <w:rPr>
          <w:rStyle w:val="FootnoteReference"/>
        </w:rPr>
        <w:footnoteRef/>
      </w:r>
      <w:r>
        <w:t xml:space="preserve"> </w:t>
      </w:r>
      <w:r>
        <w:tab/>
        <w:t xml:space="preserve">Economic Regulation Authority, </w:t>
      </w:r>
      <w:r>
        <w:rPr>
          <w:rStyle w:val="AERtextitalic"/>
        </w:rPr>
        <w:t>Appendix 5 - Gamma: Proposed Revisions to the Access Arrangement for the Dampier to Bunbury Natural Gas pipeline 2016-2020, Final decision</w:t>
      </w:r>
      <w:r>
        <w:t>, 30 June 2016, p. 48</w:t>
      </w:r>
    </w:p>
  </w:footnote>
  <w:footnote w:id="227">
    <w:p w:rsidR="008E314E" w:rsidRDefault="008E314E" w:rsidP="00CA67C0">
      <w:pPr>
        <w:pStyle w:val="FootnoteText"/>
      </w:pPr>
      <w:r>
        <w:rPr>
          <w:rStyle w:val="FootnoteReference"/>
        </w:rPr>
        <w:footnoteRef/>
      </w:r>
      <w:r>
        <w:t xml:space="preserve"> </w:t>
      </w:r>
      <w:r>
        <w:tab/>
      </w:r>
      <w:r w:rsidRPr="009777EC">
        <w:t xml:space="preserve">Australian Competition and Consumer Commission, </w:t>
      </w:r>
      <w:r>
        <w:rPr>
          <w:rStyle w:val="AERtextitalic"/>
        </w:rPr>
        <w:t xml:space="preserve">Decision on Australian Postal Corporation 2015 price notification, </w:t>
      </w:r>
      <w:r>
        <w:t>December 2015, p. 30.</w:t>
      </w:r>
    </w:p>
  </w:footnote>
  <w:footnote w:id="228">
    <w:p w:rsidR="008E314E" w:rsidRDefault="008E314E" w:rsidP="00CA67C0">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29">
    <w:p w:rsidR="008E314E"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30">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31">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232">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233">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234">
    <w:p w:rsidR="008E314E" w:rsidRDefault="008E314E" w:rsidP="00CA67C0">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235">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236">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237">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238">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239">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240">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241">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242">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43">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244">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245">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246">
    <w:p w:rsidR="008E314E" w:rsidRPr="00395D01" w:rsidRDefault="008E314E" w:rsidP="00CA67C0">
      <w:pPr>
        <w:pStyle w:val="FootnoteText"/>
      </w:pPr>
      <w:r>
        <w:rPr>
          <w:rStyle w:val="FootnoteReference"/>
        </w:rPr>
        <w:footnoteRef/>
      </w:r>
      <w:r>
        <w:t xml:space="preserve"> </w:t>
      </w:r>
      <w:r>
        <w:tab/>
      </w:r>
      <w:r w:rsidRPr="008F5D24">
        <w:t>Australian Competition Tribunal, Application by Public Interest Advocacy Centre Ltd and Ausgrid [2016] ACompT 1, 26 February 2016, paras. 1048, 1090 and 1095.</w:t>
      </w:r>
    </w:p>
  </w:footnote>
  <w:footnote w:id="247">
    <w:p w:rsidR="008E314E"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8">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9">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50">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51">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252">
    <w:p w:rsidR="008E314E"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253">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254">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255">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256">
    <w:p w:rsidR="008E314E"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257">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258">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259">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60">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61">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262">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263">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264">
    <w:p w:rsidR="008E314E" w:rsidRPr="00395D01"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265">
    <w:p w:rsidR="008E314E" w:rsidRDefault="008E314E" w:rsidP="00CA67C0">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266">
    <w:p w:rsidR="008E314E"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267">
    <w:p w:rsidR="008E314E" w:rsidRDefault="008E314E" w:rsidP="00CA67C0">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268">
    <w:p w:rsidR="008E314E" w:rsidRDefault="008E314E" w:rsidP="00CA67C0">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269">
    <w:p w:rsidR="008E314E" w:rsidRDefault="008E314E" w:rsidP="00CA67C0">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270">
    <w:p w:rsidR="008E314E" w:rsidRDefault="008E314E" w:rsidP="00CA67C0">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271">
    <w:p w:rsidR="008E314E" w:rsidRDefault="008E314E" w:rsidP="00CA67C0">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272">
    <w:p w:rsidR="008E314E" w:rsidRDefault="008E314E" w:rsidP="00CA67C0">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273">
    <w:p w:rsidR="008E314E" w:rsidRDefault="008E314E" w:rsidP="00CA67C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274">
    <w:p w:rsidR="008E314E" w:rsidRDefault="008E314E" w:rsidP="00CA67C0">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275">
    <w:p w:rsidR="008E314E" w:rsidRDefault="008E314E" w:rsidP="00CA67C0">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276">
    <w:p w:rsidR="008E314E" w:rsidRDefault="008E314E" w:rsidP="00CA67C0">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pp. 1–2;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77">
    <w:p w:rsidR="008E314E" w:rsidRDefault="008E314E" w:rsidP="00CA67C0">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278">
    <w:p w:rsidR="008E314E" w:rsidRDefault="008E314E" w:rsidP="00CA67C0">
      <w:pPr>
        <w:pStyle w:val="FootnoteText"/>
      </w:pPr>
      <w:r>
        <w:rPr>
          <w:rStyle w:val="FootnoteReference"/>
        </w:rPr>
        <w:footnoteRef/>
      </w:r>
      <w:r>
        <w:t xml:space="preserve"> </w:t>
      </w:r>
      <w:r>
        <w:tab/>
        <w:t xml:space="preserve">SA Power Networks, </w:t>
      </w:r>
      <w:r>
        <w:rPr>
          <w:rStyle w:val="AERtextitalic"/>
        </w:rPr>
        <w:t>Revised regulatory proposal 2015-20</w:t>
      </w:r>
      <w:r>
        <w:t>, July 2015, pp. 370–371; Ergon, Submission on value of imputation credits (gamma), July 2015, p. 7; Frontier Economics, An appropriate regulatory estimate of gamma, p. 8, June 2015; Australian Gas Networks, Attachment 11.2 Value of Imputation Credits, p. 3, July 2015:  ActewAGL Distribution, Attachment 8 Detailed gamma proposal, pp. 2-3.</w:t>
      </w:r>
    </w:p>
  </w:footnote>
  <w:footnote w:id="279">
    <w:p w:rsidR="008E314E" w:rsidRDefault="008E314E" w:rsidP="00CA67C0">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Submission on value of imputation credits (gamma), July 2015, p. 7; Frontier Economics, </w:t>
      </w:r>
      <w:r w:rsidRPr="00596AF9">
        <w:rPr>
          <w:i/>
        </w:rPr>
        <w:t>An appropriate regulatory estimate of gamma, pp. 2</w:t>
      </w:r>
      <w:r>
        <w:rPr>
          <w:i/>
        </w:rPr>
        <w:t>6–</w:t>
      </w:r>
      <w:r w:rsidRPr="00596AF9">
        <w:rPr>
          <w:i/>
        </w:rPr>
        <w:t>30, June 2015; Australian Gas Networks, Attachment 11.2 Value of Imputation Credits</w:t>
      </w:r>
      <w:r>
        <w:t>, July 2015, p. 3.</w:t>
      </w:r>
    </w:p>
  </w:footnote>
  <w:footnote w:id="280">
    <w:p w:rsidR="008E314E" w:rsidRDefault="008E314E" w:rsidP="00CA67C0">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281">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282">
    <w:p w:rsidR="008E314E" w:rsidRDefault="008E314E" w:rsidP="001F278D">
      <w:pPr>
        <w:pStyle w:val="FootnoteText"/>
      </w:pPr>
      <w:r>
        <w:rPr>
          <w:rStyle w:val="FootnoteReference"/>
        </w:rPr>
        <w:footnoteRef/>
      </w:r>
      <w:r>
        <w:t xml:space="preserve"> </w:t>
      </w:r>
      <w:r>
        <w:tab/>
      </w:r>
      <w:r w:rsidRPr="0014229D">
        <w:t xml:space="preserve">AusNet Transmission, </w:t>
      </w:r>
      <w:r w:rsidRPr="0014229D">
        <w:rPr>
          <w:rStyle w:val="AERtextitalic"/>
        </w:rPr>
        <w:t>Transmission Revenue Review 2017-2022</w:t>
      </w:r>
      <w:r w:rsidRPr="0014229D">
        <w:t>, October 2015</w:t>
      </w:r>
      <w:r>
        <w:t>, p</w:t>
      </w:r>
      <w:r w:rsidRPr="0014229D">
        <w:t>. </w:t>
      </w:r>
      <w:r>
        <w:t xml:space="preserve">285; 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283">
    <w:p w:rsidR="008E314E" w:rsidRDefault="008E314E" w:rsidP="001F278D">
      <w:pPr>
        <w:pStyle w:val="FootnoteText"/>
      </w:pPr>
      <w:r>
        <w:rPr>
          <w:rStyle w:val="FootnoteReference"/>
        </w:rPr>
        <w:footnoteRef/>
      </w:r>
      <w:r>
        <w:t xml:space="preserve"> </w:t>
      </w:r>
      <w:r>
        <w:tab/>
      </w:r>
      <w:r w:rsidRPr="00406D6C">
        <w:t xml:space="preserve">AusNet Transmission, </w:t>
      </w:r>
      <w:r w:rsidRPr="00406D6C">
        <w:rPr>
          <w:rStyle w:val="AERtextitalic"/>
        </w:rPr>
        <w:t>Transmission Revenue Review 2017-2022</w:t>
      </w:r>
      <w:r w:rsidRPr="00406D6C">
        <w:t>, October 2015, p.</w:t>
      </w:r>
      <w:r>
        <w:t> 284.</w:t>
      </w:r>
    </w:p>
  </w:footnote>
  <w:footnote w:id="284">
    <w:p w:rsidR="008E314E" w:rsidRDefault="008E314E" w:rsidP="001F278D">
      <w:pPr>
        <w:pStyle w:val="FootnoteText"/>
      </w:pPr>
      <w:r>
        <w:rPr>
          <w:rStyle w:val="FootnoteReference"/>
        </w:rPr>
        <w:footnoteRef/>
      </w:r>
      <w:r>
        <w:t xml:space="preserve"> </w:t>
      </w:r>
      <w:r>
        <w:tab/>
      </w:r>
      <w:r w:rsidRPr="00406D6C">
        <w:t xml:space="preserve">AusNet Transmission, </w:t>
      </w:r>
      <w:r w:rsidRPr="00406D6C">
        <w:rPr>
          <w:rStyle w:val="AERtextitalic"/>
        </w:rPr>
        <w:t>Transmission Revenue Review 2017-2022</w:t>
      </w:r>
      <w:r w:rsidRPr="00406D6C">
        <w:t>, October 2015, p.</w:t>
      </w:r>
      <w:r>
        <w:t> 284.</w:t>
      </w:r>
    </w:p>
  </w:footnote>
  <w:footnote w:id="285">
    <w:p w:rsidR="008E314E" w:rsidRDefault="008E314E" w:rsidP="001F278D">
      <w:pPr>
        <w:pStyle w:val="FootnoteText"/>
      </w:pPr>
      <w:r>
        <w:rPr>
          <w:rStyle w:val="FootnoteReference"/>
        </w:rPr>
        <w:footnoteRef/>
      </w:r>
      <w:r>
        <w:t xml:space="preserve"> </w:t>
      </w:r>
      <w:r>
        <w:tab/>
      </w:r>
      <w:r w:rsidRPr="00406D6C">
        <w:t xml:space="preserve">AusNet Transmission, </w:t>
      </w:r>
      <w:r w:rsidRPr="00406D6C">
        <w:rPr>
          <w:rStyle w:val="AERtextitalic"/>
        </w:rPr>
        <w:t>Transmission Revenue Review 2017-2022</w:t>
      </w:r>
      <w:r w:rsidRPr="00406D6C">
        <w:t>, October 2015, p.</w:t>
      </w:r>
      <w:r>
        <w:t> 286.</w:t>
      </w:r>
    </w:p>
  </w:footnote>
  <w:footnote w:id="286">
    <w:p w:rsidR="008E314E" w:rsidRDefault="008E314E" w:rsidP="001F278D">
      <w:pPr>
        <w:pStyle w:val="FootnoteText"/>
      </w:pPr>
      <w:r>
        <w:rPr>
          <w:rStyle w:val="FootnoteReference"/>
        </w:rPr>
        <w:footnoteRef/>
      </w:r>
      <w:r>
        <w:t xml:space="preserve"> </w:t>
      </w:r>
      <w:r>
        <w:tab/>
      </w:r>
      <w:r w:rsidRPr="00406D6C">
        <w:t xml:space="preserve">AusNet Transmission, </w:t>
      </w:r>
      <w:r w:rsidRPr="00406D6C">
        <w:rPr>
          <w:rStyle w:val="AERtextitalic"/>
        </w:rPr>
        <w:t>Transmission Revenue Review 2017-2022</w:t>
      </w:r>
      <w:r w:rsidRPr="00406D6C">
        <w:t>, October 2015, p.</w:t>
      </w:r>
      <w:r>
        <w:t> 286.</w:t>
      </w:r>
    </w:p>
  </w:footnote>
  <w:footnote w:id="287">
    <w:p w:rsidR="008E314E" w:rsidRDefault="008E314E" w:rsidP="001F278D">
      <w:pPr>
        <w:pStyle w:val="FootnoteText"/>
      </w:pPr>
      <w:r>
        <w:rPr>
          <w:rStyle w:val="FootnoteReference"/>
        </w:rPr>
        <w:footnoteRef/>
      </w:r>
      <w:r>
        <w:t xml:space="preserve"> </w:t>
      </w:r>
      <w:r>
        <w:tab/>
      </w:r>
      <w:r w:rsidRPr="002D3FCF">
        <w:t xml:space="preserve">AusNet Transmission, </w:t>
      </w:r>
      <w:r w:rsidRPr="002D3FCF">
        <w:rPr>
          <w:rStyle w:val="AERtextitalic"/>
        </w:rPr>
        <w:t>Transmission Revenue Review 2017-2022</w:t>
      </w:r>
      <w:r w:rsidRPr="002D3FCF">
        <w:t>, October 2015, p.</w:t>
      </w:r>
      <w:r>
        <w:t> 286.</w:t>
      </w:r>
    </w:p>
  </w:footnote>
  <w:footnote w:id="288">
    <w:p w:rsidR="008E314E" w:rsidRDefault="008E314E" w:rsidP="001F278D">
      <w:pPr>
        <w:pStyle w:val="FootnoteText"/>
      </w:pPr>
      <w:r>
        <w:rPr>
          <w:rStyle w:val="FootnoteReference"/>
        </w:rPr>
        <w:footnoteRef/>
      </w:r>
      <w:r>
        <w:t xml:space="preserve"> </w:t>
      </w:r>
      <w:r>
        <w:tab/>
      </w:r>
      <w:r w:rsidRPr="002D3FCF">
        <w:t xml:space="preserve">AusNet Transmission, </w:t>
      </w:r>
      <w:r w:rsidRPr="002D3FCF">
        <w:rPr>
          <w:rStyle w:val="AERtextitalic"/>
        </w:rPr>
        <w:t>Transmission Revenue Review 2017-2022</w:t>
      </w:r>
      <w:r w:rsidRPr="002D3FCF">
        <w:t>, October 2015, p.</w:t>
      </w:r>
      <w:r>
        <w:t> 286.</w:t>
      </w:r>
    </w:p>
  </w:footnote>
  <w:footnote w:id="289">
    <w:p w:rsidR="008E314E" w:rsidRDefault="008E314E" w:rsidP="00CA67C0">
      <w:pPr>
        <w:pStyle w:val="FootnoteText"/>
      </w:pPr>
      <w:r>
        <w:rPr>
          <w:rStyle w:val="FootnoteReference"/>
        </w:rPr>
        <w:footnoteRef/>
      </w:r>
      <w:r>
        <w:t xml:space="preserve"> </w:t>
      </w:r>
      <w:r>
        <w:tab/>
      </w:r>
      <w:r w:rsidRPr="00FF5DB5">
        <w:t>NER, cl</w:t>
      </w:r>
      <w:r>
        <w:t xml:space="preserve">l. 6.4.3, </w:t>
      </w:r>
      <w:r w:rsidRPr="00FF5DB5">
        <w:t>6A.5.4; NGR, r. 76.</w:t>
      </w:r>
    </w:p>
  </w:footnote>
  <w:footnote w:id="290">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291">
    <w:p w:rsidR="008E314E" w:rsidRDefault="008E314E" w:rsidP="00CA67C0">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292">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293">
    <w:p w:rsidR="008E314E" w:rsidRDefault="008E314E" w:rsidP="00CA67C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7.</w:t>
      </w:r>
    </w:p>
  </w:footnote>
  <w:footnote w:id="294">
    <w:p w:rsidR="008E314E" w:rsidRDefault="008E314E" w:rsidP="00CA67C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6.</w:t>
      </w:r>
    </w:p>
  </w:footnote>
  <w:footnote w:id="295">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296">
    <w:p w:rsidR="008E314E" w:rsidRDefault="008E314E" w:rsidP="00CA67C0">
      <w:pPr>
        <w:pStyle w:val="FootnoteText"/>
      </w:pPr>
      <w:r>
        <w:rPr>
          <w:rStyle w:val="FootnoteReference"/>
        </w:rPr>
        <w:footnoteRef/>
      </w:r>
      <w:r>
        <w:t xml:space="preserve"> </w:t>
      </w:r>
      <w:r>
        <w:tab/>
        <w:t>NER, cll. 6.5.2, 6A.6.2;</w:t>
      </w:r>
      <w:r w:rsidRPr="0042735A">
        <w:t xml:space="preserve"> </w:t>
      </w:r>
      <w:r>
        <w:t>NGR, r. 87.</w:t>
      </w:r>
    </w:p>
  </w:footnote>
  <w:footnote w:id="297">
    <w:p w:rsidR="008E314E" w:rsidRDefault="008E314E" w:rsidP="00CA67C0">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298">
    <w:p w:rsidR="008E314E" w:rsidRDefault="008E314E" w:rsidP="00CA67C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299">
    <w:p w:rsidR="008E314E" w:rsidRDefault="008E314E" w:rsidP="00CA67C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300">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301">
    <w:p w:rsidR="008E314E" w:rsidRDefault="008E314E" w:rsidP="00CA67C0">
      <w:pPr>
        <w:pStyle w:val="FootnoteText"/>
      </w:pPr>
      <w:r>
        <w:rPr>
          <w:rStyle w:val="FootnoteReference"/>
        </w:rPr>
        <w:footnoteRef/>
      </w:r>
      <w:r>
        <w:t xml:space="preserve"> </w:t>
      </w:r>
      <w:r>
        <w:tab/>
        <w:t>NER, cll. 6.5.2, 6A.6.2;</w:t>
      </w:r>
      <w:r w:rsidRPr="0042735A">
        <w:t xml:space="preserve"> </w:t>
      </w:r>
      <w:r>
        <w:t>NGR, r. 87.</w:t>
      </w:r>
    </w:p>
  </w:footnote>
  <w:footnote w:id="302">
    <w:p w:rsidR="008E314E" w:rsidRDefault="008E314E" w:rsidP="00CA67C0">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303">
    <w:p w:rsidR="008E314E" w:rsidRDefault="008E314E" w:rsidP="00CA67C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4">
    <w:p w:rsidR="008E314E" w:rsidRDefault="008E314E" w:rsidP="00CA67C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5">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06">
    <w:p w:rsidR="008E314E" w:rsidRDefault="008E314E" w:rsidP="00CA67C0">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307">
    <w:p w:rsidR="008E314E" w:rsidRDefault="008E314E" w:rsidP="00CA67C0">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308">
    <w:p w:rsidR="008E314E" w:rsidRPr="00CD707C" w:rsidRDefault="008E314E" w:rsidP="00CA67C0">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309">
    <w:p w:rsidR="008E314E" w:rsidRDefault="008E314E" w:rsidP="00CA67C0">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rsidR="007261FC">
        <w:t>A.8.3</w:t>
      </w:r>
      <w:r>
        <w:fldChar w:fldCharType="end"/>
      </w:r>
    </w:p>
  </w:footnote>
  <w:footnote w:id="310">
    <w:p w:rsidR="008E314E" w:rsidRDefault="008E314E" w:rsidP="00CA67C0">
      <w:pPr>
        <w:pStyle w:val="FootnoteText"/>
      </w:pPr>
      <w:r>
        <w:rPr>
          <w:rStyle w:val="FootnoteReference"/>
        </w:rPr>
        <w:footnoteRef/>
      </w:r>
      <w:r>
        <w:t xml:space="preserve"> </w:t>
      </w:r>
      <w:r>
        <w:tab/>
        <w:t>This is evident in companies having positive franking account balances in aggregate.</w:t>
      </w:r>
    </w:p>
  </w:footnote>
  <w:footnote w:id="311">
    <w:p w:rsidR="008E314E" w:rsidRDefault="008E314E" w:rsidP="00CA67C0">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312">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313">
    <w:p w:rsidR="008E314E" w:rsidRDefault="008E314E" w:rsidP="00CA67C0">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314">
    <w:p w:rsidR="008E314E" w:rsidRDefault="008E314E" w:rsidP="00CA67C0">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rsidR="007261FC">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315">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316">
    <w:p w:rsidR="008E314E" w:rsidRDefault="008E314E" w:rsidP="00CA67C0">
      <w:pPr>
        <w:pStyle w:val="FootnoteText"/>
      </w:pPr>
      <w:r>
        <w:rPr>
          <w:rStyle w:val="FootnoteReference"/>
        </w:rPr>
        <w:footnoteRef/>
      </w:r>
      <w:r>
        <w:t xml:space="preserve"> </w:t>
      </w:r>
      <w:r>
        <w:tab/>
      </w:r>
      <w:r w:rsidRPr="003B4589">
        <w:t>L. Gitman, R. Juchau and J. Flanagan, Principles of Manageria</w:t>
      </w:r>
      <w:r>
        <w:t>l Finance, 6th Edition, 2011, p</w:t>
      </w:r>
      <w:r w:rsidRPr="003B4589">
        <w:t xml:space="preserve">. </w:t>
      </w:r>
      <w:r>
        <w:t>475</w:t>
      </w:r>
      <w:r w:rsidRPr="003B4589">
        <w:t>.</w:t>
      </w:r>
      <w:r>
        <w:t xml:space="preserve"> </w:t>
      </w:r>
    </w:p>
  </w:footnote>
  <w:footnote w:id="317">
    <w:p w:rsidR="008E314E" w:rsidRDefault="008E314E" w:rsidP="00CA67C0">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318">
    <w:p w:rsidR="008E314E" w:rsidRDefault="008E314E" w:rsidP="00CA67C0">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319">
    <w:p w:rsidR="008E314E" w:rsidRDefault="008E314E" w:rsidP="00CA67C0">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320">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21">
    <w:p w:rsidR="008E314E" w:rsidRPr="00CD707C" w:rsidRDefault="008E314E" w:rsidP="00CA67C0">
      <w:pPr>
        <w:pStyle w:val="FootnoteText"/>
      </w:pPr>
      <w:r>
        <w:rPr>
          <w:rStyle w:val="FootnoteReference"/>
        </w:rPr>
        <w:footnoteRef/>
      </w:r>
      <w:r>
        <w:t xml:space="preserve"> </w:t>
      </w:r>
      <w:r>
        <w:tab/>
      </w:r>
      <w:r w:rsidRPr="006D49F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 Australian Competition Tribunal, Application by Public Interest Advocacy Centre Ltd and Ausgrid [2016] ACompT 1, 26 February 2016, para. 1073.</w:t>
      </w:r>
    </w:p>
  </w:footnote>
  <w:footnote w:id="322">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23">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324">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325">
    <w:p w:rsidR="008E314E" w:rsidRDefault="008E314E" w:rsidP="00CA67C0">
      <w:pPr>
        <w:pStyle w:val="FootnoteText"/>
      </w:pPr>
      <w:r>
        <w:rPr>
          <w:rStyle w:val="FootnoteReference"/>
        </w:rPr>
        <w:footnoteRef/>
      </w:r>
      <w:r>
        <w:t xml:space="preserve"> </w:t>
      </w:r>
      <w:r>
        <w:tab/>
        <w:t>See section A.6.1 of the draft decisions.</w:t>
      </w:r>
    </w:p>
  </w:footnote>
  <w:footnote w:id="326">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327">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328">
    <w:p w:rsidR="008E314E" w:rsidRDefault="008E314E" w:rsidP="00CA67C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329">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330">
    <w:p w:rsidR="008E314E" w:rsidRDefault="008E314E" w:rsidP="00CA67C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31">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332">
    <w:p w:rsidR="008E314E" w:rsidRDefault="008E314E" w:rsidP="00CA67C0">
      <w:pPr>
        <w:pStyle w:val="FootnoteText"/>
      </w:pPr>
      <w:r>
        <w:rPr>
          <w:rStyle w:val="FootnoteReference"/>
        </w:rPr>
        <w:footnoteRef/>
      </w:r>
      <w:r>
        <w:t xml:space="preserve"> </w:t>
      </w:r>
      <w:r>
        <w:tab/>
        <w:t>Recall that the utilisation rate equals gamma under Officer's perpetuity framework.</w:t>
      </w:r>
    </w:p>
  </w:footnote>
  <w:footnote w:id="333">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334">
    <w:p w:rsidR="008E314E" w:rsidRDefault="008E314E" w:rsidP="00CA67C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335">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336">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37">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8">
    <w:p w:rsidR="008E314E" w:rsidRDefault="008E314E" w:rsidP="00CA67C0">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339">
    <w:p w:rsidR="008E314E" w:rsidRDefault="008E314E" w:rsidP="00CA67C0">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340">
    <w:p w:rsidR="008E314E" w:rsidRDefault="008E314E" w:rsidP="00CA67C0">
      <w:pPr>
        <w:pStyle w:val="FootnoteText"/>
      </w:pPr>
      <w:r>
        <w:rPr>
          <w:rStyle w:val="FootnoteReference"/>
        </w:rPr>
        <w:footnoteRef/>
      </w:r>
      <w:r>
        <w:t xml:space="preserve"> </w:t>
      </w:r>
      <w:r>
        <w:tab/>
        <w:t>L. Gitman, R. Juchau and J. Flanagan, Principles of Managerial Finance, 6th Edition, 2011, pp. 543 and 546.</w:t>
      </w:r>
    </w:p>
  </w:footnote>
  <w:footnote w:id="341">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42">
    <w:p w:rsidR="008E314E" w:rsidRDefault="008E314E" w:rsidP="00CA67C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343">
    <w:p w:rsidR="008E314E" w:rsidRDefault="008E314E" w:rsidP="00CA67C0">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344">
    <w:p w:rsidR="008E314E" w:rsidRDefault="008E314E" w:rsidP="00CA67C0">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345">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6">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7">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348">
    <w:p w:rsidR="008E314E" w:rsidRDefault="008E314E" w:rsidP="00CA67C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349">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45–48.</w:t>
      </w:r>
    </w:p>
  </w:footnote>
  <w:footnote w:id="350">
    <w:p w:rsidR="008E314E" w:rsidRDefault="008E314E" w:rsidP="00CA67C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351">
    <w:p w:rsidR="008E314E" w:rsidRDefault="008E314E" w:rsidP="00CA67C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352">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353">
    <w:p w:rsidR="008E314E" w:rsidRDefault="008E314E" w:rsidP="00CA67C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4">
    <w:p w:rsidR="008E314E" w:rsidRDefault="008E314E" w:rsidP="00CA67C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5">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356">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357">
    <w:p w:rsidR="008E314E" w:rsidRDefault="008E314E" w:rsidP="00CA67C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8">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359">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360">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361">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362">
    <w:p w:rsidR="008E314E" w:rsidRDefault="008E314E" w:rsidP="00CA67C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63">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364">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365">
    <w:p w:rsidR="008E314E" w:rsidRDefault="008E314E" w:rsidP="00CA67C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366">
    <w:p w:rsidR="008E314E" w:rsidRDefault="008E314E" w:rsidP="00CA67C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67">
    <w:p w:rsidR="008E314E" w:rsidRDefault="008E314E" w:rsidP="00CA67C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w:t>
      </w:r>
    </w:p>
  </w:footnote>
  <w:footnote w:id="368">
    <w:p w:rsidR="008E314E" w:rsidRDefault="008E314E" w:rsidP="00CA67C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 xml:space="preserve">June 2015, p. 7. </w:t>
      </w:r>
    </w:p>
  </w:footnote>
  <w:footnote w:id="369">
    <w:p w:rsidR="008E314E" w:rsidRDefault="008E314E" w:rsidP="001F278D">
      <w:pPr>
        <w:pStyle w:val="FootnoteText"/>
      </w:pPr>
      <w:r>
        <w:rPr>
          <w:rStyle w:val="FootnoteReference"/>
        </w:rPr>
        <w:footnoteRef/>
      </w:r>
      <w:r>
        <w:t xml:space="preserve"> </w:t>
      </w:r>
      <w:r>
        <w:tab/>
      </w:r>
      <w:r w:rsidRPr="00775316">
        <w:t xml:space="preserve">AusNet Transmission, </w:t>
      </w:r>
      <w:r w:rsidRPr="00775316">
        <w:rPr>
          <w:rStyle w:val="AERtextitalic"/>
        </w:rPr>
        <w:t>Transmission Revenue Review 2017-2022</w:t>
      </w:r>
      <w:r w:rsidRPr="00775316">
        <w:t>, October 2015, p.</w:t>
      </w:r>
      <w:r>
        <w:t> 296.</w:t>
      </w:r>
    </w:p>
  </w:footnote>
  <w:footnote w:id="370">
    <w:p w:rsidR="008E314E" w:rsidRDefault="008E314E" w:rsidP="001F278D">
      <w:pPr>
        <w:pStyle w:val="FootnoteText"/>
      </w:pPr>
      <w:r>
        <w:rPr>
          <w:rStyle w:val="FootnoteReference"/>
        </w:rPr>
        <w:footnoteRef/>
      </w:r>
      <w:r>
        <w:t xml:space="preserve"> </w:t>
      </w:r>
      <w:r>
        <w:tab/>
      </w:r>
      <w:r w:rsidRPr="00775316">
        <w:t xml:space="preserve">AusNet Transmission, </w:t>
      </w:r>
      <w:r w:rsidRPr="00775316">
        <w:rPr>
          <w:rStyle w:val="AERtextitalic"/>
        </w:rPr>
        <w:t>Transmission Revenue Review 2017-2022</w:t>
      </w:r>
      <w:r w:rsidRPr="00775316">
        <w:t>, October 2015, p.</w:t>
      </w:r>
      <w:r>
        <w:t> 300.</w:t>
      </w:r>
    </w:p>
  </w:footnote>
  <w:footnote w:id="371">
    <w:p w:rsidR="008E314E" w:rsidRDefault="008E314E" w:rsidP="00CA67C0">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372">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373">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374">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75">
    <w:p w:rsidR="008E314E" w:rsidRDefault="008E314E" w:rsidP="00CA67C0">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376">
    <w:p w:rsidR="008E314E" w:rsidRDefault="008E314E" w:rsidP="00CA67C0">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377">
    <w:p w:rsidR="008E314E" w:rsidRDefault="008E314E" w:rsidP="00CA67C0">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378">
    <w:p w:rsidR="008E314E"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379">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380">
    <w:p w:rsidR="008E314E" w:rsidRDefault="008E314E">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 300.</w:t>
      </w:r>
    </w:p>
  </w:footnote>
  <w:footnote w:id="381">
    <w:p w:rsidR="008E314E" w:rsidRDefault="008E314E" w:rsidP="00CA67C0">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 xml:space="preserve"> 294; 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82">
    <w:p w:rsidR="008E314E" w:rsidRDefault="008E314E" w:rsidP="00CA67C0">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w:t>
      </w:r>
      <w:r>
        <w:t xml:space="preserve"> 296, 298;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83">
    <w:p w:rsidR="008E314E" w:rsidRDefault="008E314E" w:rsidP="00B51819">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 298.</w:t>
      </w:r>
    </w:p>
  </w:footnote>
  <w:footnote w:id="384">
    <w:p w:rsidR="008E314E" w:rsidRDefault="008E314E" w:rsidP="00B51819">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 294.</w:t>
      </w:r>
    </w:p>
  </w:footnote>
  <w:footnote w:id="385">
    <w:p w:rsidR="008E314E" w:rsidRDefault="008E314E" w:rsidP="00CA67C0">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298-299, 305;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386">
    <w:p w:rsidR="008E314E" w:rsidRDefault="008E314E" w:rsidP="00CA67C0">
      <w:pPr>
        <w:pStyle w:val="FootnoteText"/>
      </w:pPr>
      <w:r>
        <w:rPr>
          <w:rStyle w:val="FootnoteReference"/>
        </w:rPr>
        <w:footnoteRef/>
      </w:r>
      <w:r>
        <w:t xml:space="preserve"> </w:t>
      </w:r>
      <w:r>
        <w:tab/>
        <w:t>Frontier Economics, The appropriate use of tax statistics when estimating gamma, January 2016, p. 7.</w:t>
      </w:r>
    </w:p>
  </w:footnote>
  <w:footnote w:id="387">
    <w:p w:rsidR="008E314E" w:rsidRDefault="008E314E" w:rsidP="00CA67C0">
      <w:pPr>
        <w:pStyle w:val="FootnoteText"/>
      </w:pPr>
      <w:r>
        <w:rPr>
          <w:rStyle w:val="FootnoteReference"/>
        </w:rPr>
        <w:footnoteRef/>
      </w:r>
      <w:r>
        <w:t xml:space="preserve"> </w:t>
      </w:r>
      <w:r>
        <w:tab/>
        <w:t>Frontier Economics, The appropriate use of tax statistics when estimating gamma, January 2016, p. 7.</w:t>
      </w:r>
    </w:p>
  </w:footnote>
  <w:footnote w:id="388">
    <w:p w:rsidR="008E314E" w:rsidRDefault="008E314E" w:rsidP="00CA67C0">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389">
    <w:p w:rsidR="008E314E" w:rsidRDefault="008E314E" w:rsidP="00CA67C0">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390">
    <w:p w:rsidR="008E314E" w:rsidRDefault="008E314E" w:rsidP="00CA67C0">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91">
    <w:p w:rsidR="008E314E" w:rsidRDefault="008E314E" w:rsidP="00CA67C0">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92">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393">
    <w:p w:rsidR="008E314E"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394">
    <w:p w:rsidR="008E314E" w:rsidRPr="00590D86"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395">
    <w:p w:rsidR="008E314E" w:rsidRDefault="008E314E" w:rsidP="00CA67C0">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396">
    <w:p w:rsidR="008E314E" w:rsidRDefault="008E314E" w:rsidP="00CA67C0">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397">
    <w:p w:rsidR="008E314E" w:rsidRDefault="008E314E" w:rsidP="00CA67C0">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_Ref451288073 \r \h </w:instrText>
      </w:r>
      <w:r>
        <w:fldChar w:fldCharType="separate"/>
      </w:r>
      <w:r w:rsidR="007261FC">
        <w:t>4.4</w:t>
      </w:r>
      <w:r>
        <w:fldChar w:fldCharType="end"/>
      </w:r>
      <w:r>
        <w:t xml:space="preserve">of attachment 4.  </w:t>
      </w:r>
    </w:p>
  </w:footnote>
  <w:footnote w:id="398">
    <w:p w:rsidR="008E314E" w:rsidRDefault="008E314E" w:rsidP="00CA67C0">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288; 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January 2016, p. 356.</w:t>
      </w:r>
    </w:p>
  </w:footnote>
  <w:footnote w:id="399">
    <w:p w:rsidR="008E314E" w:rsidRDefault="008E314E" w:rsidP="00CA67C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400">
    <w:p w:rsidR="008E314E" w:rsidRDefault="008E314E" w:rsidP="00CA67C0">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01">
    <w:p w:rsidR="008E314E" w:rsidRDefault="008E314E" w:rsidP="00CA67C0">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286, 288, 305; 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2">
    <w:p w:rsidR="008E314E" w:rsidRDefault="008E314E" w:rsidP="00CA67C0">
      <w:pPr>
        <w:pStyle w:val="FootnoteText"/>
      </w:pPr>
      <w:r>
        <w:rPr>
          <w:rStyle w:val="FootnoteReference"/>
        </w:rPr>
        <w:footnoteRef/>
      </w:r>
      <w:r>
        <w:t xml:space="preserve"> </w:t>
      </w:r>
      <w:r>
        <w:tab/>
        <w:t xml:space="preserve">Frontier Economics, The appropriate use of tax statistics when estimating gamma, January 2016, </w:t>
      </w:r>
      <w:r w:rsidRPr="006D49F4">
        <w:t>p. 28.</w:t>
      </w:r>
    </w:p>
  </w:footnote>
  <w:footnote w:id="403">
    <w:p w:rsidR="008E314E" w:rsidRDefault="008E314E" w:rsidP="00CA67C0">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404">
    <w:p w:rsidR="008E314E" w:rsidRDefault="008E314E" w:rsidP="00CA67C0">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405">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406">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407">
    <w:p w:rsidR="008E314E" w:rsidRDefault="008E314E" w:rsidP="00CA67C0">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8">
    <w:p w:rsidR="008E314E" w:rsidRDefault="008E314E" w:rsidP="00CA67C0">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297, 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9">
    <w:p w:rsidR="008E314E" w:rsidRDefault="008E314E" w:rsidP="00CA67C0">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10">
    <w:p w:rsidR="008E314E" w:rsidRDefault="008E314E" w:rsidP="00CA67C0">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11">
    <w:p w:rsidR="008E314E" w:rsidRDefault="008E314E" w:rsidP="00CA67C0">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412">
    <w:p w:rsidR="008E314E" w:rsidRDefault="008E314E" w:rsidP="00CA67C0">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413">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9-10.</w:t>
      </w:r>
    </w:p>
  </w:footnote>
  <w:footnote w:id="414">
    <w:p w:rsidR="008E314E" w:rsidRDefault="008E314E" w:rsidP="00CA67C0">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15">
    <w:p w:rsidR="008E314E" w:rsidRDefault="008E314E" w:rsidP="00CA67C0">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16">
    <w:p w:rsidR="008E314E" w:rsidRDefault="008E314E" w:rsidP="00CA67C0">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417">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418">
    <w:p w:rsidR="008E314E" w:rsidRDefault="008E314E" w:rsidP="00CA67C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419">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20">
    <w:p w:rsidR="008E314E" w:rsidRDefault="008E314E" w:rsidP="00CA67C0">
      <w:pPr>
        <w:pStyle w:val="FootnoteText"/>
      </w:pPr>
      <w:r>
        <w:rPr>
          <w:rStyle w:val="FootnoteReference"/>
        </w:rPr>
        <w:footnoteRef/>
      </w:r>
      <w:r>
        <w:t xml:space="preserve"> </w:t>
      </w:r>
      <w:r>
        <w:tab/>
        <w:t>The refined foreign ownership share of all equity between June 2001 and December 2012 was 0.39 on average.</w:t>
      </w:r>
    </w:p>
  </w:footnote>
  <w:footnote w:id="421">
    <w:p w:rsidR="008E314E" w:rsidRDefault="008E314E" w:rsidP="00CA67C0">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22">
    <w:p w:rsidR="008E314E" w:rsidRDefault="008E314E" w:rsidP="00CA67C0">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423">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424">
    <w:p w:rsidR="008E314E" w:rsidRDefault="008E314E" w:rsidP="00CA67C0">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425">
    <w:p w:rsidR="008E314E" w:rsidRDefault="008E314E" w:rsidP="00CA67C0">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426">
    <w:p w:rsidR="008E314E" w:rsidRDefault="008E314E" w:rsidP="00CA67C0">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427">
    <w:p w:rsidR="008E314E" w:rsidRDefault="008E314E" w:rsidP="00CA67C0">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428">
    <w:p w:rsidR="008E314E" w:rsidRDefault="008E314E" w:rsidP="00CA67C0">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429">
    <w:p w:rsidR="008E314E" w:rsidRDefault="008E314E" w:rsidP="00CA67C0">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30">
    <w:p w:rsidR="008E314E" w:rsidRDefault="008E314E" w:rsidP="00CA67C0">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431">
    <w:p w:rsidR="008E314E" w:rsidRDefault="008E314E" w:rsidP="00CA67C0">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32">
    <w:p w:rsidR="008E314E" w:rsidRDefault="008E314E" w:rsidP="00CA67C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433">
    <w:p w:rsidR="008E314E" w:rsidRDefault="008E314E" w:rsidP="00CA67C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434">
    <w:p w:rsidR="008E314E" w:rsidRDefault="008E314E" w:rsidP="00CA67C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435">
    <w:p w:rsidR="008E314E" w:rsidRDefault="008E314E" w:rsidP="00CA67C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36">
    <w:p w:rsidR="008E314E" w:rsidRDefault="008E314E" w:rsidP="00CA67C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437">
    <w:p w:rsidR="008E314E" w:rsidRDefault="008E314E" w:rsidP="00CA67C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438">
    <w:p w:rsidR="008E314E" w:rsidRDefault="008E314E" w:rsidP="00CA67C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39">
    <w:p w:rsidR="008E314E" w:rsidRDefault="008E314E" w:rsidP="00CA67C0">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440">
    <w:p w:rsidR="008E314E" w:rsidRDefault="008E314E" w:rsidP="00CA67C0">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41">
    <w:p w:rsidR="008E314E" w:rsidRDefault="008E314E" w:rsidP="00CA67C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442">
    <w:p w:rsidR="008E314E" w:rsidRDefault="008E314E" w:rsidP="00CA67C0">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43">
    <w:p w:rsidR="008E314E" w:rsidRDefault="008E314E" w:rsidP="00CA67C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444">
    <w:p w:rsidR="008E314E" w:rsidRDefault="008E314E" w:rsidP="00CA67C0">
      <w:pPr>
        <w:pStyle w:val="FootnoteText"/>
      </w:pPr>
      <w:r>
        <w:rPr>
          <w:rStyle w:val="FootnoteReference"/>
        </w:rPr>
        <w:footnoteRef/>
      </w:r>
      <w:r>
        <w:t xml:space="preserve"> </w:t>
      </w:r>
      <w:r>
        <w:tab/>
        <w:t xml:space="preserve">Lally, </w:t>
      </w:r>
      <w:r w:rsidRPr="00CD376D">
        <w:rPr>
          <w:rStyle w:val="AERtextitalic"/>
        </w:rPr>
        <w:t>The estimation of gamma</w:t>
      </w:r>
      <w:r>
        <w:t>, November 2013, pp. 39–43.</w:t>
      </w:r>
    </w:p>
  </w:footnote>
  <w:footnote w:id="445">
    <w:p w:rsidR="008E314E" w:rsidRDefault="008E314E" w:rsidP="00CA67C0">
      <w:pPr>
        <w:pStyle w:val="FootnoteText"/>
      </w:pPr>
      <w:r>
        <w:rPr>
          <w:rStyle w:val="FootnoteReference"/>
        </w:rPr>
        <w:footnoteRef/>
      </w:r>
      <w:r>
        <w:t xml:space="preserve"> </w:t>
      </w:r>
      <w:r>
        <w:tab/>
      </w:r>
      <w:r w:rsidRPr="006D49F4">
        <w:t xml:space="preserve">United Energy, </w:t>
      </w:r>
      <w:r w:rsidRPr="00CD376D">
        <w:rPr>
          <w:rStyle w:val="AERtextitalic"/>
        </w:rPr>
        <w:t>Submission on AER preliminary determination - Submission on gamma</w:t>
      </w:r>
      <w:r w:rsidRPr="006D49F4">
        <w:t>, 26 April 2016.</w:t>
      </w:r>
    </w:p>
  </w:footnote>
  <w:footnote w:id="446">
    <w:p w:rsidR="008E314E" w:rsidRPr="00B27BE5" w:rsidRDefault="008E314E" w:rsidP="00CA67C0">
      <w:pPr>
        <w:pStyle w:val="FootnoteText"/>
        <w:rPr>
          <w:rStyle w:val="AERtexthighlight"/>
        </w:rPr>
      </w:pPr>
      <w:r>
        <w:rPr>
          <w:rStyle w:val="FootnoteReference"/>
        </w:rPr>
        <w:footnoteRef/>
      </w:r>
      <w:r>
        <w:t xml:space="preserve"> </w:t>
      </w:r>
      <w:r>
        <w:tab/>
      </w:r>
      <w:r w:rsidRPr="006D49F4">
        <w:t xml:space="preserve">Australian Competition Tribunal, </w:t>
      </w:r>
      <w:r w:rsidRPr="00CD376D">
        <w:rPr>
          <w:rStyle w:val="AERtextitalic"/>
        </w:rPr>
        <w:t>Application by Public Interest Advocacy Centre Ltd and Ausgrid [2016] ACompT 1</w:t>
      </w:r>
      <w:r w:rsidRPr="006D49F4">
        <w:t>, 26 February 2016, para. 1106.</w:t>
      </w:r>
    </w:p>
  </w:footnote>
  <w:footnote w:id="447">
    <w:p w:rsidR="008E314E" w:rsidRDefault="008E314E" w:rsidP="00CA67C0">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448">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18.</w:t>
      </w:r>
    </w:p>
  </w:footnote>
  <w:footnote w:id="449">
    <w:p w:rsidR="008E314E" w:rsidRDefault="008E314E" w:rsidP="00CA67C0">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450">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451">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52">
    <w:p w:rsidR="008E314E" w:rsidRDefault="008E314E" w:rsidP="00CA67C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453">
    <w:p w:rsidR="008E314E" w:rsidRDefault="008E314E" w:rsidP="00CA67C0">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284; 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454">
    <w:p w:rsidR="008E314E" w:rsidRDefault="008E314E" w:rsidP="00CA67C0">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455">
    <w:p w:rsidR="008E314E" w:rsidRDefault="008E314E" w:rsidP="00CA67C0">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r w:rsidRPr="00727BE0">
        <w:t>.</w:t>
      </w:r>
    </w:p>
  </w:footnote>
  <w:footnote w:id="456">
    <w:p w:rsidR="008E314E" w:rsidRDefault="008E314E" w:rsidP="00CA67C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457">
    <w:p w:rsidR="008E314E" w:rsidRDefault="008E314E" w:rsidP="00CA67C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 354, 363, 368.</w:t>
      </w:r>
    </w:p>
  </w:footnote>
  <w:footnote w:id="458">
    <w:p w:rsidR="008E314E" w:rsidRDefault="008E314E">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292.</w:t>
      </w:r>
    </w:p>
  </w:footnote>
  <w:footnote w:id="459">
    <w:p w:rsidR="008E314E" w:rsidRDefault="008E314E" w:rsidP="00CA67C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460">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461">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462">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463">
    <w:p w:rsidR="008E314E" w:rsidRDefault="008E314E" w:rsidP="00CA67C0">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464">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65">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466">
    <w:p w:rsidR="008E314E" w:rsidRDefault="008E314E" w:rsidP="00CA67C0">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467">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468">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469">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70">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71">
    <w:p w:rsidR="008E314E" w:rsidRDefault="008E314E" w:rsidP="00CA67C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72">
    <w:p w:rsidR="008E314E" w:rsidRDefault="008E314E" w:rsidP="00CA67C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73">
    <w:p w:rsidR="008E314E" w:rsidRDefault="008E314E" w:rsidP="00CA67C0">
      <w:pPr>
        <w:pStyle w:val="FootnoteText"/>
      </w:pPr>
      <w:r>
        <w:rPr>
          <w:rStyle w:val="FootnoteReference"/>
        </w:rPr>
        <w:footnoteRef/>
      </w:r>
      <w:r>
        <w:t xml:space="preserve"> </w:t>
      </w:r>
      <w:r>
        <w:tab/>
        <w:t>Frontier, The appropriate use of tax statistics when estimating gamma, January 2016, p. 15.</w:t>
      </w:r>
    </w:p>
  </w:footnote>
  <w:footnote w:id="474">
    <w:p w:rsidR="008E314E" w:rsidRDefault="008E314E" w:rsidP="00CA67C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75">
    <w:p w:rsidR="008E314E" w:rsidRDefault="008E314E" w:rsidP="00CA67C0">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476">
    <w:p w:rsidR="008E314E" w:rsidRDefault="008E314E" w:rsidP="00CA67C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477">
    <w:p w:rsidR="008E314E" w:rsidRDefault="008E314E" w:rsidP="00CA67C0">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rsidR="007261FC">
        <w:t>A.13</w:t>
      </w:r>
      <w:r>
        <w:fldChar w:fldCharType="end"/>
      </w:r>
      <w:r>
        <w:t xml:space="preserve">, we have regard to </w:t>
      </w:r>
      <w:r w:rsidRPr="007938F1">
        <w:t>Hathaway's finding that the ATO statistics are subject to a number of issues prior to 2004</w:t>
      </w:r>
      <w:r>
        <w:t>.</w:t>
      </w:r>
    </w:p>
  </w:footnote>
  <w:footnote w:id="478">
    <w:p w:rsidR="008E314E" w:rsidRDefault="008E314E" w:rsidP="00CA67C0">
      <w:pPr>
        <w:pStyle w:val="FootnoteText"/>
      </w:pPr>
      <w:r>
        <w:rPr>
          <w:rStyle w:val="FootnoteReference"/>
        </w:rPr>
        <w:footnoteRef/>
      </w:r>
      <w:r>
        <w:t xml:space="preserve"> </w:t>
      </w:r>
      <w:r>
        <w:tab/>
        <w:t>Frontier, The appropriate use of tax statistics when estimating gamma, January 2016, p. 20.</w:t>
      </w:r>
    </w:p>
  </w:footnote>
  <w:footnote w:id="479">
    <w:p w:rsidR="008E314E" w:rsidRDefault="008E314E" w:rsidP="00CA67C0">
      <w:pPr>
        <w:pStyle w:val="FootnoteText"/>
      </w:pPr>
      <w:r>
        <w:rPr>
          <w:rStyle w:val="FootnoteReference"/>
        </w:rPr>
        <w:footnoteRef/>
      </w:r>
      <w:r>
        <w:t xml:space="preserve"> </w:t>
      </w:r>
      <w:r>
        <w:tab/>
        <w:t>Frontier, The appropriate use of tax statistics when estimating gamma, January 2016, p. 20.</w:t>
      </w:r>
    </w:p>
  </w:footnote>
  <w:footnote w:id="480">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81">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482">
    <w:p w:rsidR="008E314E" w:rsidRDefault="008E314E" w:rsidP="00CA67C0">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92.</w:t>
      </w:r>
    </w:p>
  </w:footnote>
  <w:footnote w:id="483">
    <w:p w:rsidR="008E314E" w:rsidRDefault="008E314E" w:rsidP="00432228">
      <w:pPr>
        <w:pStyle w:val="FootnoteText"/>
      </w:pPr>
      <w:r>
        <w:rPr>
          <w:rStyle w:val="FootnoteReference"/>
        </w:rPr>
        <w:footnoteRef/>
      </w:r>
      <w:r>
        <w:t xml:space="preserve"> </w:t>
      </w:r>
      <w:r>
        <w:tab/>
      </w:r>
      <w:r w:rsidRPr="006D49F4">
        <w:t xml:space="preserve">United Energy, </w:t>
      </w:r>
      <w:r w:rsidRPr="00C3341F">
        <w:rPr>
          <w:rStyle w:val="AERtextitalic"/>
        </w:rPr>
        <w:t>Submission on AER preliminary determination - Submission on gamma</w:t>
      </w:r>
      <w:r w:rsidRPr="006D49F4">
        <w:t>, 26 April 2016.</w:t>
      </w:r>
    </w:p>
  </w:footnote>
  <w:footnote w:id="484">
    <w:p w:rsidR="008E314E" w:rsidRDefault="008E314E" w:rsidP="00CA67C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485">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486">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87">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and 217–218; </w:t>
      </w:r>
      <w:r w:rsidRPr="003168FF">
        <w:t>Frontier, The appropriate use of tax statistics when estimating gamma, January 2016, p. </w:t>
      </w:r>
      <w:r>
        <w:t>6.</w:t>
      </w:r>
    </w:p>
  </w:footnote>
  <w:footnote w:id="488">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Frontier, The appropriate use of tax statistics when estimating gamma, January 2016, p. </w:t>
      </w:r>
      <w:r>
        <w:t>6.</w:t>
      </w:r>
    </w:p>
  </w:footnote>
  <w:footnote w:id="489">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90">
    <w:p w:rsidR="008E314E" w:rsidRDefault="008E314E" w:rsidP="00CA67C0">
      <w:pPr>
        <w:pStyle w:val="FootnoteText"/>
      </w:pPr>
      <w:r>
        <w:rPr>
          <w:rStyle w:val="FootnoteReference"/>
        </w:rPr>
        <w:footnoteRef/>
      </w:r>
      <w:r>
        <w:t xml:space="preserve"> </w:t>
      </w:r>
      <w:r>
        <w:tab/>
      </w:r>
      <w:r w:rsidRPr="003168FF">
        <w:t>Frontier, The appropriate use of tax statistics when estimating gamma, January 2016, p. </w:t>
      </w:r>
      <w:r>
        <w:t>12.</w:t>
      </w:r>
    </w:p>
  </w:footnote>
  <w:footnote w:id="491">
    <w:p w:rsidR="008E314E" w:rsidRDefault="008E314E" w:rsidP="00CA67C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492">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493">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494">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495">
    <w:p w:rsidR="008E314E" w:rsidRDefault="008E314E" w:rsidP="00CA67C0">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496">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497">
    <w:p w:rsidR="008E314E" w:rsidRDefault="008E314E" w:rsidP="00CA67C0">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498">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499">
    <w:p w:rsidR="008E314E" w:rsidRDefault="008E314E" w:rsidP="00CA67C0">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91.</w:t>
      </w:r>
    </w:p>
  </w:footnote>
  <w:footnote w:id="500">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501">
    <w:p w:rsidR="008E314E" w:rsidRDefault="008E314E" w:rsidP="00CA67C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502">
    <w:p w:rsidR="008E314E" w:rsidRDefault="008E314E" w:rsidP="00CA67C0">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288, 292; AusNet Services, 2016-20 Regulatory Proposal, April 2015, pp. 353-354; United Energy, Assessment of the Value of Imputation Credits - Gamma, Proposal for 2016 to 2020, April 2015, pp. 1–4; CitiPower, </w:t>
      </w:r>
      <w:r w:rsidRPr="00596AF9">
        <w:rPr>
          <w:i/>
        </w:rPr>
        <w:t>Appendix J - Gamma</w:t>
      </w:r>
      <w:r>
        <w:t>, April 2015, pp. 4–7; Powercor, Appendix J - Gamma, April 2015, pp. 4–7; Jemena Electricity, Attachment 06-06 Gamma proposal, April 2015, pp. 6–8;</w:t>
      </w:r>
      <w:r w:rsidRPr="00A427FF">
        <w:t xml:space="preserve"> </w:t>
      </w:r>
      <w:r>
        <w:t xml:space="preserve">SA Power Networks, </w:t>
      </w:r>
      <w:r>
        <w:rPr>
          <w:rStyle w:val="AERtextitalic"/>
        </w:rPr>
        <w:t>Revised regulatory proposal 2015-20</w:t>
      </w:r>
      <w:r>
        <w:t xml:space="preserve">, July 2015, p. 378; Energex, Revised Regulatory Proposal, July 2015, pp. 124–125; Ergon, </w:t>
      </w:r>
      <w:r w:rsidRPr="00596AF9">
        <w:rPr>
          <w:i/>
        </w:rPr>
        <w:t>Revised Regulatory Proposal</w:t>
      </w:r>
      <w:r>
        <w:t xml:space="preserve">, July 2015, p. 153; ActewAGL Distribution, Attachment 8 Detailed gamma proposal,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January 2016, p. 355.</w:t>
      </w:r>
    </w:p>
  </w:footnote>
  <w:footnote w:id="503">
    <w:p w:rsidR="008E314E" w:rsidRDefault="008E314E" w:rsidP="00CA67C0">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504">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505">
    <w:p w:rsidR="008E314E" w:rsidRDefault="008E314E" w:rsidP="00CA67C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506">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507">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08">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509">
    <w:p w:rsidR="008E314E" w:rsidRDefault="008E314E" w:rsidP="00CA67C0">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510">
    <w:p w:rsidR="008E314E" w:rsidRDefault="008E314E" w:rsidP="00CA67C0">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511">
    <w:p w:rsidR="008E314E" w:rsidRDefault="008E314E" w:rsidP="00CA67C0">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512">
    <w:p w:rsidR="008E314E" w:rsidRDefault="008E314E" w:rsidP="00CA67C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13">
    <w:p w:rsidR="008E314E" w:rsidRDefault="008E314E" w:rsidP="00CA67C0">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14">
    <w:p w:rsidR="008E314E" w:rsidRDefault="008E314E" w:rsidP="00CA67C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515">
    <w:p w:rsidR="008E314E" w:rsidRDefault="008E314E" w:rsidP="00CA67C0">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r w:rsidRPr="000921FF">
        <w:t xml:space="preserve"> </w:t>
      </w:r>
      <w:r w:rsidRPr="00712BC2">
        <w:t xml:space="preserve">M. Lally, </w:t>
      </w:r>
      <w:r>
        <w:rPr>
          <w:rStyle w:val="AERtextitalic"/>
        </w:rPr>
        <w:t>Gamma and the ACT Decision</w:t>
      </w:r>
      <w:r>
        <w:t>, May 2016, p. 26.</w:t>
      </w:r>
    </w:p>
  </w:footnote>
  <w:footnote w:id="516">
    <w:p w:rsidR="008E314E" w:rsidRDefault="008E314E" w:rsidP="00CA67C0">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17">
    <w:p w:rsidR="008E314E" w:rsidRDefault="008E314E" w:rsidP="00CA67C0">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18">
    <w:p w:rsidR="008E314E" w:rsidRDefault="008E314E" w:rsidP="00CA67C0">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519">
    <w:p w:rsidR="008E314E" w:rsidRDefault="008E314E" w:rsidP="00CA67C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520">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21">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22">
    <w:p w:rsidR="008E314E" w:rsidRDefault="008E314E" w:rsidP="00CA67C0">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523">
    <w:p w:rsidR="008E314E" w:rsidRDefault="008E314E" w:rsidP="00CA67C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524">
    <w:p w:rsidR="008E314E" w:rsidRDefault="008E314E" w:rsidP="00CA67C0">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525">
    <w:p w:rsidR="008E314E" w:rsidRDefault="008E314E" w:rsidP="00CA67C0">
      <w:pPr>
        <w:pStyle w:val="FootnoteText"/>
      </w:pPr>
      <w:r>
        <w:rPr>
          <w:rStyle w:val="FootnoteReference"/>
        </w:rPr>
        <w:footnoteRef/>
      </w:r>
      <w:r>
        <w:t xml:space="preserve"> </w:t>
      </w:r>
      <w:r>
        <w:tab/>
      </w:r>
      <w:r w:rsidRPr="005F06A5">
        <w:t>Frontier, The appropriate use of tax statistics when estimating gamma, January 2016, p. </w:t>
      </w:r>
      <w:r>
        <w:t>7</w:t>
      </w:r>
      <w:r w:rsidRPr="005F06A5">
        <w:t>.</w:t>
      </w:r>
    </w:p>
  </w:footnote>
  <w:footnote w:id="526">
    <w:p w:rsidR="008E314E" w:rsidRDefault="008E314E" w:rsidP="00CA67C0">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xml:space="preserve">, April 2015, pp. 19–20.  </w:t>
      </w:r>
    </w:p>
  </w:footnote>
  <w:footnote w:id="527">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528">
    <w:p w:rsidR="008E314E" w:rsidRDefault="008E314E" w:rsidP="00CA67C0">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304-305; 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January 2016, pp. 362, 364.</w:t>
      </w:r>
    </w:p>
  </w:footnote>
  <w:footnote w:id="529">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530">
    <w:p w:rsidR="008E314E" w:rsidRDefault="008E314E" w:rsidP="00432228">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304.</w:t>
      </w:r>
    </w:p>
  </w:footnote>
  <w:footnote w:id="531">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32">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33">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534">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535">
    <w:p w:rsidR="008E314E" w:rsidRDefault="008E314E" w:rsidP="00CA67C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536">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537">
    <w:p w:rsidR="008E314E" w:rsidRDefault="008E314E" w:rsidP="00E268EE">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1093.</w:t>
      </w:r>
    </w:p>
  </w:footnote>
  <w:footnote w:id="538">
    <w:p w:rsidR="008E314E" w:rsidRDefault="008E314E" w:rsidP="00E268E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539">
    <w:p w:rsidR="008E314E" w:rsidRDefault="008E314E" w:rsidP="00E268EE">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40">
    <w:p w:rsidR="008E314E" w:rsidRDefault="008E314E" w:rsidP="00E268EE">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1100.</w:t>
      </w:r>
    </w:p>
  </w:footnote>
  <w:footnote w:id="541">
    <w:p w:rsidR="008E314E" w:rsidRDefault="008E314E" w:rsidP="00CA67C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542">
    <w:p w:rsidR="008E314E" w:rsidRDefault="008E314E" w:rsidP="00CA67C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543">
    <w:p w:rsidR="008E314E" w:rsidRDefault="008E314E" w:rsidP="00CA67C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544">
    <w:p w:rsidR="008E314E" w:rsidRDefault="008E314E" w:rsidP="00CA67C0">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545">
    <w:p w:rsidR="008E314E" w:rsidRDefault="008E314E" w:rsidP="00CA67C0">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546">
    <w:p w:rsidR="008E314E" w:rsidRDefault="008E314E" w:rsidP="00CA67C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31.</w:t>
      </w:r>
    </w:p>
  </w:footnote>
  <w:footnote w:id="547">
    <w:p w:rsidR="008E314E" w:rsidRDefault="008E314E" w:rsidP="00E268EE">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paras. 1048, 1090 and 1095.</w:t>
      </w:r>
    </w:p>
  </w:footnote>
  <w:footnote w:id="548">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49">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50">
    <w:p w:rsidR="008E314E" w:rsidRDefault="008E314E" w:rsidP="00CA67C0">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551">
    <w:p w:rsidR="008E314E" w:rsidRDefault="008E314E" w:rsidP="00E268E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552">
    <w:p w:rsidR="008E314E"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53">
    <w:p w:rsidR="008E314E" w:rsidRDefault="008E314E">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297.</w:t>
      </w:r>
    </w:p>
  </w:footnote>
  <w:footnote w:id="554">
    <w:p w:rsidR="008E314E" w:rsidRDefault="008E314E">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 </w:t>
      </w:r>
      <w:r>
        <w:t>297.</w:t>
      </w:r>
    </w:p>
  </w:footnote>
  <w:footnote w:id="555">
    <w:p w:rsidR="008E314E" w:rsidRPr="00EB7A6C"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56">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57">
    <w:p w:rsidR="008E314E" w:rsidRDefault="008E314E" w:rsidP="00CA67C0">
      <w:pPr>
        <w:pStyle w:val="FootnoteText"/>
      </w:pPr>
      <w:r>
        <w:rPr>
          <w:rStyle w:val="FootnoteReference"/>
        </w:rPr>
        <w:footnoteRef/>
      </w:r>
      <w:r>
        <w:t xml:space="preserve"> </w:t>
      </w:r>
      <w:r>
        <w:tab/>
      </w:r>
      <w:r w:rsidRPr="00645287">
        <w:t xml:space="preserve">Lally, </w:t>
      </w:r>
      <w:r w:rsidRPr="00E64E9B">
        <w:rPr>
          <w:rStyle w:val="AERtextitalic"/>
        </w:rPr>
        <w:t>Gamma and the ACT Decision</w:t>
      </w:r>
      <w:r w:rsidRPr="00645287">
        <w:t>, May 2016, p. 5.</w:t>
      </w:r>
    </w:p>
  </w:footnote>
  <w:footnote w:id="558">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59">
    <w:p w:rsidR="008E314E" w:rsidRPr="00EB7A6C"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60">
    <w:p w:rsidR="008E314E" w:rsidRDefault="008E314E" w:rsidP="00CA67C0">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61">
    <w:p w:rsidR="008E314E" w:rsidRDefault="008E314E" w:rsidP="00CA67C0">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562">
    <w:p w:rsidR="008E314E" w:rsidRDefault="008E314E" w:rsidP="00CA67C0">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563">
    <w:p w:rsidR="008E314E" w:rsidRDefault="008E314E" w:rsidP="00CA67C0">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564">
    <w:p w:rsidR="008E314E" w:rsidRDefault="008E314E" w:rsidP="00CA67C0">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565">
    <w:p w:rsidR="008E314E" w:rsidRDefault="008E314E" w:rsidP="00CA67C0">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566">
    <w:p w:rsidR="008E314E" w:rsidRDefault="008E314E" w:rsidP="00CA67C0">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567">
    <w:p w:rsidR="008E314E" w:rsidRDefault="008E314E" w:rsidP="00CA67C0">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568">
    <w:p w:rsidR="008E314E" w:rsidRDefault="008E314E" w:rsidP="00CA67C0">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569">
    <w:p w:rsidR="008E314E" w:rsidRDefault="008E314E" w:rsidP="00CA67C0">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70">
    <w:p w:rsidR="008E314E" w:rsidRDefault="008E314E" w:rsidP="00CA67C0">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571">
    <w:p w:rsidR="008E314E" w:rsidRDefault="008E314E" w:rsidP="00CA67C0">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572">
    <w:p w:rsidR="008E314E" w:rsidRDefault="008E314E" w:rsidP="00CA67C0">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73">
    <w:p w:rsidR="008E314E" w:rsidRDefault="008E314E" w:rsidP="00CA67C0">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574">
    <w:p w:rsidR="008E314E" w:rsidRDefault="008E314E" w:rsidP="00CA67C0">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575">
    <w:p w:rsidR="008E314E" w:rsidRDefault="008E314E" w:rsidP="00CA67C0">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576">
    <w:p w:rsidR="008E314E" w:rsidRDefault="008E314E" w:rsidP="00CA67C0">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77">
    <w:p w:rsidR="008E314E" w:rsidRDefault="008E314E" w:rsidP="00CA67C0">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578">
    <w:p w:rsidR="008E314E" w:rsidRDefault="008E314E" w:rsidP="00CA67C0">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79">
    <w:p w:rsidR="008E314E" w:rsidRDefault="008E314E" w:rsidP="00CA67C0">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580">
    <w:p w:rsidR="008E314E" w:rsidRDefault="008E314E" w:rsidP="00CA67C0">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581">
    <w:p w:rsidR="008E314E" w:rsidRDefault="008E314E" w:rsidP="00CA67C0">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 </w:t>
      </w:r>
      <w:r>
        <w:t xml:space="preserve">306; 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582">
    <w:p w:rsidR="008E314E" w:rsidRDefault="008E314E" w:rsidP="00CA67C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583">
    <w:p w:rsidR="008E314E" w:rsidRDefault="008E314E" w:rsidP="00CA67C0">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84">
    <w:p w:rsidR="008E314E" w:rsidRDefault="008E314E" w:rsidP="00CA67C0">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585">
    <w:p w:rsidR="008E314E" w:rsidRDefault="008E314E" w:rsidP="00CA67C0">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586">
    <w:p w:rsidR="008E314E" w:rsidRDefault="008E314E" w:rsidP="00CA67C0">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587">
    <w:p w:rsidR="008E314E" w:rsidRDefault="008E314E" w:rsidP="00CA67C0">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588">
    <w:p w:rsidR="008E314E" w:rsidRDefault="008E314E" w:rsidP="00CA67C0">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589">
    <w:p w:rsidR="008E314E" w:rsidRDefault="008E314E" w:rsidP="00CA67C0">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590">
    <w:p w:rsidR="008E314E" w:rsidRDefault="008E314E" w:rsidP="00CA67C0">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591">
    <w:p w:rsidR="008E314E" w:rsidRDefault="008E314E" w:rsidP="00CA67C0">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592">
    <w:p w:rsidR="008E314E" w:rsidRDefault="008E314E" w:rsidP="00CA67C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593">
    <w:p w:rsidR="008E314E" w:rsidRDefault="008E314E" w:rsidP="00CA67C0">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94">
    <w:p w:rsidR="008E314E" w:rsidRDefault="008E314E" w:rsidP="00CA67C0">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595">
    <w:p w:rsidR="008E314E" w:rsidRDefault="008E314E" w:rsidP="00CA67C0">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596">
    <w:p w:rsidR="008E314E" w:rsidRDefault="008E314E" w:rsidP="00CA67C0">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97">
    <w:p w:rsidR="008E314E" w:rsidRDefault="008E314E" w:rsidP="00CA67C0">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598">
    <w:p w:rsidR="008E314E" w:rsidRDefault="008E314E" w:rsidP="00CA67C0">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599">
    <w:p w:rsidR="008E314E" w:rsidRDefault="008E314E" w:rsidP="00CA67C0">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600">
    <w:p w:rsidR="008E314E" w:rsidRDefault="008E314E" w:rsidP="00CA67C0">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601">
    <w:p w:rsidR="008E314E" w:rsidRDefault="008E314E" w:rsidP="00CA67C0">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21,23.</w:t>
      </w:r>
    </w:p>
  </w:footnote>
  <w:footnote w:id="602">
    <w:p w:rsidR="008E314E" w:rsidRDefault="008E314E" w:rsidP="00CA67C0">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603">
    <w:p w:rsidR="008E314E" w:rsidRDefault="008E314E" w:rsidP="00CA67C0">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604">
    <w:p w:rsidR="008E314E" w:rsidRDefault="008E314E" w:rsidP="00CA67C0">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605">
    <w:p w:rsidR="008E314E" w:rsidRDefault="008E314E" w:rsidP="00CA67C0">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606">
    <w:p w:rsidR="008E314E" w:rsidRDefault="008E314E" w:rsidP="00CA67C0">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607">
    <w:p w:rsidR="008E314E" w:rsidRDefault="008E314E" w:rsidP="00CA67C0">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608">
    <w:p w:rsidR="008E314E" w:rsidRDefault="008E314E" w:rsidP="00CA67C0">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final decision.</w:t>
      </w:r>
    </w:p>
  </w:footnote>
  <w:footnote w:id="609">
    <w:p w:rsidR="008E314E" w:rsidRDefault="008E314E" w:rsidP="00CA67C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610">
    <w:p w:rsidR="008E314E" w:rsidRDefault="008E314E" w:rsidP="00CA67C0">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288, 300;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January 2016, p. 93.</w:t>
      </w:r>
    </w:p>
  </w:footnote>
  <w:footnote w:id="611">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612">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613">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614">
    <w:p w:rsidR="008E314E" w:rsidRDefault="008E314E" w:rsidP="00CA67C0">
      <w:pPr>
        <w:pStyle w:val="FootnoteText"/>
      </w:pPr>
      <w:r>
        <w:rPr>
          <w:rStyle w:val="FootnoteReference"/>
        </w:rPr>
        <w:footnoteRef/>
      </w:r>
      <w:r>
        <w:t xml:space="preserve"> </w:t>
      </w:r>
      <w:r>
        <w:tab/>
        <w:t>SFG</w:t>
      </w:r>
      <w:r w:rsidRPr="007C38AD">
        <w:rPr>
          <w:rStyle w:val="AERtextitalic"/>
        </w:rPr>
        <w:t>, Equity beta</w:t>
      </w:r>
      <w:r>
        <w:t>, 12 May 2014, para. 15.</w:t>
      </w:r>
    </w:p>
  </w:footnote>
  <w:footnote w:id="615">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616">
    <w:p w:rsidR="008E314E" w:rsidRDefault="008E314E" w:rsidP="00CA67C0">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294, 300;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617">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618">
    <w:p w:rsidR="008E314E" w:rsidRDefault="008E314E" w:rsidP="00CA67C0">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619">
    <w:p w:rsidR="008E314E" w:rsidRDefault="008E314E" w:rsidP="00CA67C0">
      <w:pPr>
        <w:pStyle w:val="FootnoteText"/>
      </w:pPr>
      <w:r>
        <w:rPr>
          <w:rStyle w:val="FootnoteReference"/>
        </w:rPr>
        <w:footnoteRef/>
      </w:r>
      <w:r>
        <w:t xml:space="preserve"> </w:t>
      </w:r>
      <w:r>
        <w:tab/>
        <w:t>Defined as 20 minus 0.6928.</w:t>
      </w:r>
    </w:p>
  </w:footnote>
  <w:footnote w:id="620">
    <w:p w:rsidR="008E314E" w:rsidRDefault="008E314E" w:rsidP="00CA67C0">
      <w:pPr>
        <w:pStyle w:val="FootnoteText"/>
      </w:pPr>
      <w:r>
        <w:rPr>
          <w:rStyle w:val="FootnoteReference"/>
        </w:rPr>
        <w:footnoteRef/>
      </w:r>
      <w:r>
        <w:t xml:space="preserve"> </w:t>
      </w:r>
      <w:r>
        <w:tab/>
        <w:t>We also note distributed dividends are directly observable.</w:t>
      </w:r>
    </w:p>
  </w:footnote>
  <w:footnote w:id="621">
    <w:p w:rsidR="008E314E" w:rsidRDefault="008E314E" w:rsidP="00CA67C0">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pp. 68-74, pin point ref: 69.</w:t>
      </w:r>
    </w:p>
  </w:footnote>
  <w:footnote w:id="622">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23">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24">
    <w:p w:rsidR="008E314E" w:rsidRDefault="008E314E" w:rsidP="00CA67C0">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625">
    <w:p w:rsidR="008E314E" w:rsidRDefault="008E314E" w:rsidP="00CA67C0">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 6.</w:t>
      </w:r>
    </w:p>
  </w:footnote>
  <w:footnote w:id="626">
    <w:p w:rsidR="008E314E" w:rsidRPr="00F267EC" w:rsidRDefault="008E314E" w:rsidP="00CA67C0">
      <w:pPr>
        <w:pStyle w:val="FootnoteText"/>
      </w:pPr>
      <w:r>
        <w:rPr>
          <w:rStyle w:val="FootnoteReference"/>
        </w:rPr>
        <w:footnoteRef/>
      </w:r>
      <w:r>
        <w:t xml:space="preserve"> </w:t>
      </w:r>
      <w:r>
        <w:tab/>
      </w:r>
      <w:r w:rsidRPr="005764F6">
        <w:rPr>
          <w:rStyle w:val="FootnoteReference"/>
          <w:vertAlign w:val="baseline"/>
        </w:rPr>
        <w:t>Ainsworth A, K Fong, D Gallagher, and G Partington (2015),’Institutional Trading around the ex-dividend day’, Australian Journal of Management, January, pp. 1-25.</w:t>
      </w:r>
      <w:r w:rsidRPr="00F267EC">
        <w:t xml:space="preserve"> </w:t>
      </w:r>
    </w:p>
    <w:p w:rsidR="008E314E" w:rsidRDefault="008E314E" w:rsidP="00CA67C0">
      <w:pPr>
        <w:pStyle w:val="FootnoteText"/>
      </w:pPr>
    </w:p>
  </w:footnote>
  <w:footnote w:id="627">
    <w:p w:rsidR="008E314E" w:rsidRDefault="008E314E" w:rsidP="00E268E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628">
    <w:p w:rsidR="008E314E" w:rsidRDefault="008E314E" w:rsidP="00E268EE">
      <w:pPr>
        <w:pStyle w:val="FootnoteText"/>
      </w:pPr>
      <w:r>
        <w:rPr>
          <w:rStyle w:val="FootnoteReference"/>
        </w:rPr>
        <w:footnoteRef/>
      </w:r>
      <w:r>
        <w:t xml:space="preserve"> </w:t>
      </w:r>
      <w:r>
        <w:tab/>
      </w:r>
      <w:r w:rsidRPr="0015337C">
        <w:t xml:space="preserve">AusNet Transmission, </w:t>
      </w:r>
      <w:r w:rsidRPr="0015337C">
        <w:rPr>
          <w:rStyle w:val="AERtextitalic"/>
        </w:rPr>
        <w:t>Transmission Revenue Review 2017-2022</w:t>
      </w:r>
      <w:r w:rsidRPr="0015337C">
        <w:t>, October 2015, p. </w:t>
      </w:r>
      <w:r>
        <w:t xml:space="preserve">307; 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January 2016, p. 94.</w:t>
      </w:r>
    </w:p>
  </w:footnote>
  <w:footnote w:id="629">
    <w:p w:rsidR="008E314E" w:rsidRDefault="008E314E" w:rsidP="00E268EE">
      <w:pPr>
        <w:pStyle w:val="FootnoteText"/>
      </w:pPr>
      <w:r>
        <w:rPr>
          <w:rStyle w:val="FootnoteReference"/>
        </w:rPr>
        <w:footnoteRef/>
      </w:r>
      <w:r>
        <w:t xml:space="preserve"> </w:t>
      </w:r>
      <w:r>
        <w:tab/>
      </w:r>
      <w:r w:rsidRPr="00CD1FB0">
        <w:t xml:space="preserve">AusNet Transmission, </w:t>
      </w:r>
      <w:r w:rsidRPr="00CD1FB0">
        <w:rPr>
          <w:rStyle w:val="AERtextitalic"/>
        </w:rPr>
        <w:t>Transmission Revenue Review 2017-2022</w:t>
      </w:r>
      <w:r w:rsidRPr="00CD1FB0">
        <w:t>, October 2015, p. </w:t>
      </w:r>
      <w:r>
        <w:t>307.</w:t>
      </w:r>
    </w:p>
  </w:footnote>
  <w:footnote w:id="630">
    <w:p w:rsidR="008E314E" w:rsidRDefault="008E314E" w:rsidP="00E268EE">
      <w:pPr>
        <w:pStyle w:val="FootnoteText"/>
      </w:pPr>
      <w:r>
        <w:rPr>
          <w:rStyle w:val="FootnoteReference"/>
        </w:rPr>
        <w:footnoteRef/>
      </w:r>
      <w:r>
        <w:t xml:space="preserve"> </w:t>
      </w:r>
      <w:r>
        <w:tab/>
      </w:r>
      <w:r w:rsidRPr="00CD1FB0">
        <w:t xml:space="preserve">AusNet Transmission, </w:t>
      </w:r>
      <w:r w:rsidRPr="00CD1FB0">
        <w:rPr>
          <w:rStyle w:val="AERtextitalic"/>
        </w:rPr>
        <w:t>Transmission Revenue Review 2017-2022</w:t>
      </w:r>
      <w:r w:rsidRPr="00CD1FB0">
        <w:t>, October 2015, p. </w:t>
      </w:r>
      <w:r>
        <w:t>307.</w:t>
      </w:r>
    </w:p>
  </w:footnote>
  <w:footnote w:id="631">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632">
    <w:p w:rsidR="008E314E" w:rsidRDefault="008E314E" w:rsidP="00CA67C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633">
    <w:p w:rsidR="008E314E" w:rsidRDefault="008E314E" w:rsidP="00CA67C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34">
    <w:p w:rsidR="008E314E" w:rsidRDefault="008E314E" w:rsidP="00CA67C0">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w:t>
      </w:r>
      <w:r>
        <w:t>p</w:t>
      </w:r>
      <w:r w:rsidRPr="003A52B7">
        <w:t>. </w:t>
      </w:r>
      <w:r>
        <w:t xml:space="preserve">301, 303, 306; 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635">
    <w:p w:rsidR="008E314E" w:rsidRDefault="008E314E" w:rsidP="00CA67C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359-360</w:t>
      </w:r>
      <w:r w:rsidRPr="00511278">
        <w:t>.</w:t>
      </w:r>
    </w:p>
  </w:footnote>
  <w:footnote w:id="636">
    <w:p w:rsidR="008E314E" w:rsidRDefault="008E314E" w:rsidP="00CA67C0">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286, 303; 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637">
    <w:p w:rsidR="008E314E" w:rsidRDefault="008E314E" w:rsidP="00CA67C0">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638">
    <w:p w:rsidR="008E314E" w:rsidRDefault="008E314E" w:rsidP="00CA67C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639">
    <w:p w:rsidR="008E314E" w:rsidRDefault="008E314E" w:rsidP="00CA67C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640">
    <w:p w:rsidR="008E314E" w:rsidRDefault="008E314E" w:rsidP="00CA67C0">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641">
    <w:p w:rsidR="008E314E" w:rsidRDefault="008E314E" w:rsidP="00CA67C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642">
    <w:p w:rsidR="008E314E" w:rsidRDefault="008E314E" w:rsidP="00CA67C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643">
    <w:p w:rsidR="008E314E" w:rsidRDefault="008E314E" w:rsidP="00CA67C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644">
    <w:p w:rsidR="008E314E" w:rsidRDefault="008E314E" w:rsidP="00CA67C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645">
    <w:p w:rsidR="008E314E" w:rsidRDefault="008E314E" w:rsidP="00CA67C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646">
    <w:p w:rsidR="008E314E" w:rsidRDefault="008E314E" w:rsidP="00CA67C0">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647">
    <w:p w:rsidR="008E314E" w:rsidRDefault="008E314E" w:rsidP="00CA67C0">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648">
    <w:p w:rsidR="008E314E" w:rsidRDefault="008E314E" w:rsidP="00CA67C0">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303; 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649">
    <w:p w:rsidR="008E314E" w:rsidRDefault="008E314E" w:rsidP="00CA67C0">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650">
    <w:p w:rsidR="008E314E" w:rsidRDefault="008E314E" w:rsidP="00CA67C0">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651">
    <w:p w:rsidR="008E314E" w:rsidRDefault="008E314E" w:rsidP="00CA67C0">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652">
    <w:p w:rsidR="008E314E" w:rsidRDefault="008E314E" w:rsidP="00CA67C0">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653">
    <w:p w:rsidR="008E314E" w:rsidRDefault="008E314E" w:rsidP="00CA67C0">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654">
    <w:p w:rsidR="008E314E" w:rsidRDefault="008E314E" w:rsidP="00CA67C0">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655">
    <w:p w:rsidR="008E314E" w:rsidRDefault="008E314E" w:rsidP="00CA67C0">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656">
    <w:p w:rsidR="008E314E" w:rsidRDefault="008E314E" w:rsidP="00CA67C0">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657">
    <w:p w:rsidR="008E314E" w:rsidRDefault="008E314E" w:rsidP="00CA67C0">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658">
    <w:p w:rsidR="008E314E" w:rsidRDefault="008E314E" w:rsidP="00CA67C0">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659">
    <w:p w:rsidR="008E314E" w:rsidRDefault="008E314E" w:rsidP="00CA67C0">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660">
    <w:p w:rsidR="008E314E" w:rsidRDefault="008E314E" w:rsidP="00CA67C0">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661">
    <w:p w:rsidR="008E314E" w:rsidRDefault="008E314E" w:rsidP="00CA67C0">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662">
    <w:p w:rsidR="008E314E" w:rsidRDefault="008E314E" w:rsidP="00CA67C0">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663">
    <w:p w:rsidR="008E314E" w:rsidRDefault="008E314E" w:rsidP="00CA67C0">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664">
    <w:p w:rsidR="008E314E" w:rsidRDefault="008E314E" w:rsidP="00CA67C0">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665">
    <w:p w:rsidR="008E314E" w:rsidRDefault="008E314E" w:rsidP="00CA67C0">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666">
    <w:p w:rsidR="008E314E" w:rsidRDefault="008E314E" w:rsidP="00CA67C0">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667">
    <w:p w:rsidR="008E314E" w:rsidRDefault="008E314E" w:rsidP="00CA67C0">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668">
    <w:p w:rsidR="008E314E" w:rsidRDefault="008E314E" w:rsidP="00CA67C0">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669">
    <w:p w:rsidR="008E314E" w:rsidRDefault="008E314E" w:rsidP="00CA67C0">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670">
    <w:p w:rsidR="008E314E" w:rsidRDefault="008E314E" w:rsidP="00CA67C0">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10" w:rsidRDefault="007E7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10" w:rsidRDefault="007E7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10" w:rsidRDefault="007E7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82F42BC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1"/>
  </w:num>
  <w:num w:numId="15">
    <w:abstractNumId w:val="13"/>
  </w:num>
  <w:num w:numId="16">
    <w:abstractNumId w:val="19"/>
  </w:num>
  <w:num w:numId="17">
    <w:abstractNumId w:val="10"/>
  </w:num>
  <w:num w:numId="18">
    <w:abstractNumId w:val="15"/>
  </w:num>
  <w:num w:numId="19">
    <w:abstractNumId w:val="20"/>
  </w:num>
  <w:num w:numId="20">
    <w:abstractNumId w:val="26"/>
  </w:num>
  <w:num w:numId="21">
    <w:abstractNumId w:val="23"/>
  </w:num>
  <w:num w:numId="22">
    <w:abstractNumId w:val="21"/>
  </w:num>
  <w:num w:numId="23">
    <w:abstractNumId w:val="16"/>
  </w:num>
  <w:num w:numId="24">
    <w:abstractNumId w:val="22"/>
  </w:num>
  <w:num w:numId="25">
    <w:abstractNumId w:val="24"/>
  </w:num>
  <w:num w:numId="26">
    <w:abstractNumId w:val="17"/>
  </w:num>
  <w:num w:numId="27">
    <w:abstractNumId w:val="14"/>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m53agdti9V1fGiJQpyKIerGDHJTT5imorzkYzpXAAA=" w:saltValue="tpcwIH/Ac2cObPKhblD6pQ==" w:algorithmName="SHA-256"/>
  <w:defaultTabStop w:val="34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usnet services 2017-22 - draft decision - attachment 4 - value of imputation credits (AER2015-004426).docx"/>
  </w:docVars>
  <w:rsids>
    <w:rsidRoot w:val="00961A4A"/>
    <w:rsid w:val="00000FA2"/>
    <w:rsid w:val="000035FC"/>
    <w:rsid w:val="00005540"/>
    <w:rsid w:val="000179E7"/>
    <w:rsid w:val="00021202"/>
    <w:rsid w:val="00021C2B"/>
    <w:rsid w:val="00022087"/>
    <w:rsid w:val="0002517F"/>
    <w:rsid w:val="0003578C"/>
    <w:rsid w:val="00053674"/>
    <w:rsid w:val="00057C3E"/>
    <w:rsid w:val="00061E1B"/>
    <w:rsid w:val="00063247"/>
    <w:rsid w:val="00066538"/>
    <w:rsid w:val="00070F9F"/>
    <w:rsid w:val="0007137B"/>
    <w:rsid w:val="00077389"/>
    <w:rsid w:val="00085663"/>
    <w:rsid w:val="00085EBF"/>
    <w:rsid w:val="00086871"/>
    <w:rsid w:val="000A181E"/>
    <w:rsid w:val="000A3020"/>
    <w:rsid w:val="000A6C7B"/>
    <w:rsid w:val="000B321F"/>
    <w:rsid w:val="000C2279"/>
    <w:rsid w:val="000C2B40"/>
    <w:rsid w:val="000D122C"/>
    <w:rsid w:val="000E1819"/>
    <w:rsid w:val="000E4821"/>
    <w:rsid w:val="000E6C72"/>
    <w:rsid w:val="000F1E4F"/>
    <w:rsid w:val="001135B9"/>
    <w:rsid w:val="00114D57"/>
    <w:rsid w:val="00116EB2"/>
    <w:rsid w:val="001203C4"/>
    <w:rsid w:val="00124609"/>
    <w:rsid w:val="00126A4C"/>
    <w:rsid w:val="0014229D"/>
    <w:rsid w:val="0014573B"/>
    <w:rsid w:val="0015337C"/>
    <w:rsid w:val="001573E4"/>
    <w:rsid w:val="00160756"/>
    <w:rsid w:val="0017232E"/>
    <w:rsid w:val="00173D04"/>
    <w:rsid w:val="00174102"/>
    <w:rsid w:val="001754EE"/>
    <w:rsid w:val="00180157"/>
    <w:rsid w:val="00185C55"/>
    <w:rsid w:val="00185CB9"/>
    <w:rsid w:val="00186F77"/>
    <w:rsid w:val="00187BB8"/>
    <w:rsid w:val="001921F2"/>
    <w:rsid w:val="001926A4"/>
    <w:rsid w:val="00192AD5"/>
    <w:rsid w:val="001945A3"/>
    <w:rsid w:val="001B45A0"/>
    <w:rsid w:val="001D055E"/>
    <w:rsid w:val="001F278D"/>
    <w:rsid w:val="001F492E"/>
    <w:rsid w:val="001F6DA3"/>
    <w:rsid w:val="002010BC"/>
    <w:rsid w:val="002016E7"/>
    <w:rsid w:val="00202E03"/>
    <w:rsid w:val="0020492C"/>
    <w:rsid w:val="00224DB9"/>
    <w:rsid w:val="00233775"/>
    <w:rsid w:val="00234800"/>
    <w:rsid w:val="00251745"/>
    <w:rsid w:val="00261FEE"/>
    <w:rsid w:val="00263AC0"/>
    <w:rsid w:val="00264264"/>
    <w:rsid w:val="0026772D"/>
    <w:rsid w:val="002716D3"/>
    <w:rsid w:val="00286874"/>
    <w:rsid w:val="002876B3"/>
    <w:rsid w:val="00290C63"/>
    <w:rsid w:val="0029435B"/>
    <w:rsid w:val="00296B65"/>
    <w:rsid w:val="00297C2E"/>
    <w:rsid w:val="002A0C23"/>
    <w:rsid w:val="002A7DEF"/>
    <w:rsid w:val="002C233C"/>
    <w:rsid w:val="002D3FCF"/>
    <w:rsid w:val="002D72E8"/>
    <w:rsid w:val="002E7B22"/>
    <w:rsid w:val="002F7986"/>
    <w:rsid w:val="00301B40"/>
    <w:rsid w:val="003029EE"/>
    <w:rsid w:val="00305CC8"/>
    <w:rsid w:val="00307F6D"/>
    <w:rsid w:val="003177A2"/>
    <w:rsid w:val="003271B5"/>
    <w:rsid w:val="00327A1E"/>
    <w:rsid w:val="00331264"/>
    <w:rsid w:val="00334C8D"/>
    <w:rsid w:val="00343A18"/>
    <w:rsid w:val="003518B3"/>
    <w:rsid w:val="00370091"/>
    <w:rsid w:val="003712FD"/>
    <w:rsid w:val="00372C51"/>
    <w:rsid w:val="003846F1"/>
    <w:rsid w:val="003903F6"/>
    <w:rsid w:val="003A52B7"/>
    <w:rsid w:val="003B484F"/>
    <w:rsid w:val="003B59E7"/>
    <w:rsid w:val="003B7FBA"/>
    <w:rsid w:val="003C303F"/>
    <w:rsid w:val="003C3A9C"/>
    <w:rsid w:val="003E1CE7"/>
    <w:rsid w:val="003E675B"/>
    <w:rsid w:val="003F174D"/>
    <w:rsid w:val="00400514"/>
    <w:rsid w:val="00406D6C"/>
    <w:rsid w:val="00415F31"/>
    <w:rsid w:val="00423A77"/>
    <w:rsid w:val="00432228"/>
    <w:rsid w:val="0045777E"/>
    <w:rsid w:val="00471129"/>
    <w:rsid w:val="004730E0"/>
    <w:rsid w:val="00476368"/>
    <w:rsid w:val="00480B4B"/>
    <w:rsid w:val="00482A56"/>
    <w:rsid w:val="00485DC4"/>
    <w:rsid w:val="00491349"/>
    <w:rsid w:val="00492389"/>
    <w:rsid w:val="004A43D1"/>
    <w:rsid w:val="004B144E"/>
    <w:rsid w:val="004B1EF7"/>
    <w:rsid w:val="004B4412"/>
    <w:rsid w:val="004B54E1"/>
    <w:rsid w:val="004C348C"/>
    <w:rsid w:val="004D4888"/>
    <w:rsid w:val="004D55BA"/>
    <w:rsid w:val="004E22EC"/>
    <w:rsid w:val="004F6A0E"/>
    <w:rsid w:val="00530128"/>
    <w:rsid w:val="00532467"/>
    <w:rsid w:val="00540418"/>
    <w:rsid w:val="00544C12"/>
    <w:rsid w:val="00553342"/>
    <w:rsid w:val="00564A4D"/>
    <w:rsid w:val="00567BA5"/>
    <w:rsid w:val="00571B35"/>
    <w:rsid w:val="00571D57"/>
    <w:rsid w:val="00577A09"/>
    <w:rsid w:val="005829C2"/>
    <w:rsid w:val="00584D8F"/>
    <w:rsid w:val="005A404D"/>
    <w:rsid w:val="005B044D"/>
    <w:rsid w:val="005B1E3C"/>
    <w:rsid w:val="005B704A"/>
    <w:rsid w:val="005C26CC"/>
    <w:rsid w:val="005D7BA2"/>
    <w:rsid w:val="005E1C36"/>
    <w:rsid w:val="005E36C2"/>
    <w:rsid w:val="005E79B7"/>
    <w:rsid w:val="005F3CA6"/>
    <w:rsid w:val="00605D8A"/>
    <w:rsid w:val="00605F50"/>
    <w:rsid w:val="00606A85"/>
    <w:rsid w:val="00612F4F"/>
    <w:rsid w:val="006134E1"/>
    <w:rsid w:val="00615C6B"/>
    <w:rsid w:val="00616A0E"/>
    <w:rsid w:val="00621DCE"/>
    <w:rsid w:val="0062572C"/>
    <w:rsid w:val="00632D6D"/>
    <w:rsid w:val="00642C3E"/>
    <w:rsid w:val="00647A1B"/>
    <w:rsid w:val="006537AA"/>
    <w:rsid w:val="0066104A"/>
    <w:rsid w:val="00663DAD"/>
    <w:rsid w:val="00675E20"/>
    <w:rsid w:val="00676679"/>
    <w:rsid w:val="00681C1E"/>
    <w:rsid w:val="00683C89"/>
    <w:rsid w:val="00690CAC"/>
    <w:rsid w:val="00697093"/>
    <w:rsid w:val="006A08A8"/>
    <w:rsid w:val="006B2395"/>
    <w:rsid w:val="006B4CF9"/>
    <w:rsid w:val="006B7AC8"/>
    <w:rsid w:val="006C1736"/>
    <w:rsid w:val="006D3F63"/>
    <w:rsid w:val="006D5008"/>
    <w:rsid w:val="006D550F"/>
    <w:rsid w:val="006D5F9E"/>
    <w:rsid w:val="006F6621"/>
    <w:rsid w:val="00701CAB"/>
    <w:rsid w:val="00707563"/>
    <w:rsid w:val="00713956"/>
    <w:rsid w:val="0072348C"/>
    <w:rsid w:val="00724A37"/>
    <w:rsid w:val="007261FC"/>
    <w:rsid w:val="007303C3"/>
    <w:rsid w:val="007306A8"/>
    <w:rsid w:val="00731756"/>
    <w:rsid w:val="007429BE"/>
    <w:rsid w:val="00743223"/>
    <w:rsid w:val="00744B81"/>
    <w:rsid w:val="00746513"/>
    <w:rsid w:val="00746E01"/>
    <w:rsid w:val="00757364"/>
    <w:rsid w:val="00757BDF"/>
    <w:rsid w:val="007609D0"/>
    <w:rsid w:val="00763E5D"/>
    <w:rsid w:val="00764AB1"/>
    <w:rsid w:val="00767740"/>
    <w:rsid w:val="00773A2C"/>
    <w:rsid w:val="00775316"/>
    <w:rsid w:val="00777EE6"/>
    <w:rsid w:val="00782EEA"/>
    <w:rsid w:val="00796270"/>
    <w:rsid w:val="007B186E"/>
    <w:rsid w:val="007B2C72"/>
    <w:rsid w:val="007B6836"/>
    <w:rsid w:val="007C1C53"/>
    <w:rsid w:val="007C74BB"/>
    <w:rsid w:val="007D456E"/>
    <w:rsid w:val="007E4904"/>
    <w:rsid w:val="007E4CB5"/>
    <w:rsid w:val="007E7A10"/>
    <w:rsid w:val="007F066B"/>
    <w:rsid w:val="007F26CE"/>
    <w:rsid w:val="00800A30"/>
    <w:rsid w:val="00800CCB"/>
    <w:rsid w:val="008033C4"/>
    <w:rsid w:val="00805EE0"/>
    <w:rsid w:val="00806C88"/>
    <w:rsid w:val="0081034E"/>
    <w:rsid w:val="008344F6"/>
    <w:rsid w:val="0083510F"/>
    <w:rsid w:val="00842AFA"/>
    <w:rsid w:val="00851209"/>
    <w:rsid w:val="0085172B"/>
    <w:rsid w:val="008644FE"/>
    <w:rsid w:val="008837AC"/>
    <w:rsid w:val="008A56CB"/>
    <w:rsid w:val="008A587D"/>
    <w:rsid w:val="008B35CD"/>
    <w:rsid w:val="008B5FCC"/>
    <w:rsid w:val="008C5486"/>
    <w:rsid w:val="008D1661"/>
    <w:rsid w:val="008E314E"/>
    <w:rsid w:val="008E7031"/>
    <w:rsid w:val="008E77DE"/>
    <w:rsid w:val="008F07A3"/>
    <w:rsid w:val="008F15E8"/>
    <w:rsid w:val="009001B6"/>
    <w:rsid w:val="00900E1B"/>
    <w:rsid w:val="0090431C"/>
    <w:rsid w:val="009233EE"/>
    <w:rsid w:val="00930B57"/>
    <w:rsid w:val="00934BBB"/>
    <w:rsid w:val="009460AA"/>
    <w:rsid w:val="00951978"/>
    <w:rsid w:val="009601A0"/>
    <w:rsid w:val="00961A4A"/>
    <w:rsid w:val="009661DE"/>
    <w:rsid w:val="00983C25"/>
    <w:rsid w:val="009856B7"/>
    <w:rsid w:val="00985C86"/>
    <w:rsid w:val="00996349"/>
    <w:rsid w:val="00996A8E"/>
    <w:rsid w:val="009A5FC3"/>
    <w:rsid w:val="009A7D9D"/>
    <w:rsid w:val="009B090B"/>
    <w:rsid w:val="009B74B0"/>
    <w:rsid w:val="009C0D47"/>
    <w:rsid w:val="009D3906"/>
    <w:rsid w:val="009D6B46"/>
    <w:rsid w:val="009F4940"/>
    <w:rsid w:val="009F5BA1"/>
    <w:rsid w:val="00A009DC"/>
    <w:rsid w:val="00A02A88"/>
    <w:rsid w:val="00A05218"/>
    <w:rsid w:val="00A0562E"/>
    <w:rsid w:val="00A0726D"/>
    <w:rsid w:val="00A11AE1"/>
    <w:rsid w:val="00A32FBB"/>
    <w:rsid w:val="00A344D3"/>
    <w:rsid w:val="00A428EE"/>
    <w:rsid w:val="00A4478A"/>
    <w:rsid w:val="00A44852"/>
    <w:rsid w:val="00A5507E"/>
    <w:rsid w:val="00A57D04"/>
    <w:rsid w:val="00A60A26"/>
    <w:rsid w:val="00A61598"/>
    <w:rsid w:val="00A63EDD"/>
    <w:rsid w:val="00A704B2"/>
    <w:rsid w:val="00A84A99"/>
    <w:rsid w:val="00A84F46"/>
    <w:rsid w:val="00A85544"/>
    <w:rsid w:val="00A871F4"/>
    <w:rsid w:val="00A94F84"/>
    <w:rsid w:val="00AA3B8E"/>
    <w:rsid w:val="00AB4D90"/>
    <w:rsid w:val="00AC0C43"/>
    <w:rsid w:val="00AC1B2C"/>
    <w:rsid w:val="00AC3264"/>
    <w:rsid w:val="00AC4546"/>
    <w:rsid w:val="00AE1BF1"/>
    <w:rsid w:val="00AF0DD2"/>
    <w:rsid w:val="00AF128A"/>
    <w:rsid w:val="00B06C2F"/>
    <w:rsid w:val="00B13048"/>
    <w:rsid w:val="00B133CE"/>
    <w:rsid w:val="00B166E1"/>
    <w:rsid w:val="00B1716D"/>
    <w:rsid w:val="00B17A1D"/>
    <w:rsid w:val="00B207A0"/>
    <w:rsid w:val="00B217BD"/>
    <w:rsid w:val="00B2303F"/>
    <w:rsid w:val="00B514DD"/>
    <w:rsid w:val="00B51819"/>
    <w:rsid w:val="00B52AF0"/>
    <w:rsid w:val="00B561BD"/>
    <w:rsid w:val="00B56E03"/>
    <w:rsid w:val="00B8080B"/>
    <w:rsid w:val="00B82223"/>
    <w:rsid w:val="00B86119"/>
    <w:rsid w:val="00B87BA5"/>
    <w:rsid w:val="00B87C39"/>
    <w:rsid w:val="00B9562D"/>
    <w:rsid w:val="00B9733D"/>
    <w:rsid w:val="00BA4665"/>
    <w:rsid w:val="00BB13AB"/>
    <w:rsid w:val="00BB2FB2"/>
    <w:rsid w:val="00BB3304"/>
    <w:rsid w:val="00BC775F"/>
    <w:rsid w:val="00BD3446"/>
    <w:rsid w:val="00BD5D87"/>
    <w:rsid w:val="00BE1F1B"/>
    <w:rsid w:val="00BE47B5"/>
    <w:rsid w:val="00C25FA6"/>
    <w:rsid w:val="00C26737"/>
    <w:rsid w:val="00C420BC"/>
    <w:rsid w:val="00C538A9"/>
    <w:rsid w:val="00C53B5A"/>
    <w:rsid w:val="00C54F5A"/>
    <w:rsid w:val="00C569B4"/>
    <w:rsid w:val="00C67A92"/>
    <w:rsid w:val="00C73A21"/>
    <w:rsid w:val="00C81758"/>
    <w:rsid w:val="00C84560"/>
    <w:rsid w:val="00C85408"/>
    <w:rsid w:val="00C86679"/>
    <w:rsid w:val="00C8739E"/>
    <w:rsid w:val="00CA489E"/>
    <w:rsid w:val="00CA67C0"/>
    <w:rsid w:val="00CA67ED"/>
    <w:rsid w:val="00CB0279"/>
    <w:rsid w:val="00CB1153"/>
    <w:rsid w:val="00CB19B5"/>
    <w:rsid w:val="00CB666B"/>
    <w:rsid w:val="00CC7F1D"/>
    <w:rsid w:val="00CD1FB0"/>
    <w:rsid w:val="00CD376D"/>
    <w:rsid w:val="00CE2E00"/>
    <w:rsid w:val="00CE484B"/>
    <w:rsid w:val="00CF6177"/>
    <w:rsid w:val="00D006AE"/>
    <w:rsid w:val="00D01CF0"/>
    <w:rsid w:val="00D0442A"/>
    <w:rsid w:val="00D064B9"/>
    <w:rsid w:val="00D1563D"/>
    <w:rsid w:val="00D1668A"/>
    <w:rsid w:val="00D17061"/>
    <w:rsid w:val="00D25A27"/>
    <w:rsid w:val="00D27530"/>
    <w:rsid w:val="00D325B8"/>
    <w:rsid w:val="00D35F17"/>
    <w:rsid w:val="00D455DE"/>
    <w:rsid w:val="00D4793A"/>
    <w:rsid w:val="00D54DFC"/>
    <w:rsid w:val="00D61388"/>
    <w:rsid w:val="00D61A54"/>
    <w:rsid w:val="00D64DEA"/>
    <w:rsid w:val="00D7168E"/>
    <w:rsid w:val="00D71E57"/>
    <w:rsid w:val="00D80893"/>
    <w:rsid w:val="00D83064"/>
    <w:rsid w:val="00D84854"/>
    <w:rsid w:val="00D92CF1"/>
    <w:rsid w:val="00D92D38"/>
    <w:rsid w:val="00D950F5"/>
    <w:rsid w:val="00DA4752"/>
    <w:rsid w:val="00DA61F3"/>
    <w:rsid w:val="00DA6A65"/>
    <w:rsid w:val="00DB0F93"/>
    <w:rsid w:val="00DB1A67"/>
    <w:rsid w:val="00DB2758"/>
    <w:rsid w:val="00DB48C6"/>
    <w:rsid w:val="00DB5074"/>
    <w:rsid w:val="00DC5D3C"/>
    <w:rsid w:val="00DC7981"/>
    <w:rsid w:val="00DD047E"/>
    <w:rsid w:val="00DD218F"/>
    <w:rsid w:val="00DE1093"/>
    <w:rsid w:val="00DE3695"/>
    <w:rsid w:val="00DE4EFA"/>
    <w:rsid w:val="00DE5520"/>
    <w:rsid w:val="00DE563D"/>
    <w:rsid w:val="00DF4788"/>
    <w:rsid w:val="00E04818"/>
    <w:rsid w:val="00E05B6A"/>
    <w:rsid w:val="00E06442"/>
    <w:rsid w:val="00E14A44"/>
    <w:rsid w:val="00E23993"/>
    <w:rsid w:val="00E25B8C"/>
    <w:rsid w:val="00E268EE"/>
    <w:rsid w:val="00E43C30"/>
    <w:rsid w:val="00E43EA2"/>
    <w:rsid w:val="00E54534"/>
    <w:rsid w:val="00E56997"/>
    <w:rsid w:val="00E628E5"/>
    <w:rsid w:val="00E65C85"/>
    <w:rsid w:val="00E66199"/>
    <w:rsid w:val="00E733ED"/>
    <w:rsid w:val="00E755EC"/>
    <w:rsid w:val="00E7624D"/>
    <w:rsid w:val="00E97452"/>
    <w:rsid w:val="00E97DF4"/>
    <w:rsid w:val="00EA3D42"/>
    <w:rsid w:val="00EA6B1B"/>
    <w:rsid w:val="00EC04F1"/>
    <w:rsid w:val="00EC559A"/>
    <w:rsid w:val="00ED2A57"/>
    <w:rsid w:val="00ED527E"/>
    <w:rsid w:val="00ED7323"/>
    <w:rsid w:val="00EE28F3"/>
    <w:rsid w:val="00EE50D1"/>
    <w:rsid w:val="00EF5110"/>
    <w:rsid w:val="00EF6D51"/>
    <w:rsid w:val="00F0689C"/>
    <w:rsid w:val="00F10411"/>
    <w:rsid w:val="00F15882"/>
    <w:rsid w:val="00F15ADC"/>
    <w:rsid w:val="00F171E0"/>
    <w:rsid w:val="00F20BD3"/>
    <w:rsid w:val="00F33D1C"/>
    <w:rsid w:val="00F373A5"/>
    <w:rsid w:val="00F47559"/>
    <w:rsid w:val="00F64C7B"/>
    <w:rsid w:val="00F676DD"/>
    <w:rsid w:val="00F73143"/>
    <w:rsid w:val="00F75A26"/>
    <w:rsid w:val="00F76706"/>
    <w:rsid w:val="00F83FAD"/>
    <w:rsid w:val="00F950C9"/>
    <w:rsid w:val="00F952A0"/>
    <w:rsid w:val="00FA3C7F"/>
    <w:rsid w:val="00FB60FE"/>
    <w:rsid w:val="00FB74E2"/>
    <w:rsid w:val="00FC10E0"/>
    <w:rsid w:val="00FD387A"/>
    <w:rsid w:val="00FD43CA"/>
    <w:rsid w:val="00FD5614"/>
    <w:rsid w:val="00FD5E78"/>
    <w:rsid w:val="00FE0BE1"/>
    <w:rsid w:val="00FE1DE9"/>
    <w:rsid w:val="00FE36AF"/>
    <w:rsid w:val="00FE39C2"/>
    <w:rsid w:val="00FE3C32"/>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0" w:unhideWhenUsed="0"/>
    <w:lsdException w:name="toc 6" w:semiHidden="0" w:uiPriority="0"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A67C0"/>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CA67C0"/>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CA67C0"/>
    <w:rPr>
      <w:rFonts w:ascii="Verdana" w:eastAsia="Times New Roman" w:hAnsi="Verdana" w:cs="Times New Roman"/>
      <w:sz w:val="24"/>
      <w:szCs w:val="24"/>
      <w:lang w:eastAsia="en-AU"/>
    </w:rPr>
  </w:style>
  <w:style w:type="paragraph" w:styleId="BodyText">
    <w:name w:val="Body Text"/>
    <w:basedOn w:val="Normal"/>
    <w:link w:val="BodyTextChar"/>
    <w:unhideWhenUsed/>
    <w:rsid w:val="00CA67C0"/>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rsid w:val="00CA67C0"/>
    <w:rPr>
      <w:rFonts w:ascii="Gautami" w:eastAsia="Calibri" w:hAnsi="Gautami" w:cs="Times New Roman"/>
      <w:sz w:val="20"/>
      <w:szCs w:val="20"/>
    </w:rPr>
  </w:style>
  <w:style w:type="paragraph" w:styleId="BodyTextIndent3">
    <w:name w:val="Body Text Indent 3"/>
    <w:basedOn w:val="Normal"/>
    <w:link w:val="BodyTextIndent3Char"/>
    <w:rsid w:val="00CA67C0"/>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A67C0"/>
    <w:rPr>
      <w:rFonts w:ascii="Arial Narrow" w:eastAsia="Times New Roman" w:hAnsi="Arial Narrow" w:cs="Times New Roman"/>
      <w:sz w:val="24"/>
      <w:szCs w:val="20"/>
      <w:lang w:val="en-US" w:eastAsia="en-AU"/>
    </w:rPr>
  </w:style>
  <w:style w:type="numbering" w:styleId="ArticleSection">
    <w:name w:val="Outline List 3"/>
    <w:basedOn w:val="NoList"/>
    <w:semiHidden/>
    <w:rsid w:val="00CA67C0"/>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0" w:unhideWhenUsed="0"/>
    <w:lsdException w:name="toc 6" w:semiHidden="0" w:uiPriority="0"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A67C0"/>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CA67C0"/>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CA67C0"/>
    <w:rPr>
      <w:rFonts w:ascii="Verdana" w:eastAsia="Times New Roman" w:hAnsi="Verdana" w:cs="Times New Roman"/>
      <w:sz w:val="24"/>
      <w:szCs w:val="24"/>
      <w:lang w:eastAsia="en-AU"/>
    </w:rPr>
  </w:style>
  <w:style w:type="paragraph" w:styleId="BodyText">
    <w:name w:val="Body Text"/>
    <w:basedOn w:val="Normal"/>
    <w:link w:val="BodyTextChar"/>
    <w:unhideWhenUsed/>
    <w:rsid w:val="00CA67C0"/>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rsid w:val="00CA67C0"/>
    <w:rPr>
      <w:rFonts w:ascii="Gautami" w:eastAsia="Calibri" w:hAnsi="Gautami" w:cs="Times New Roman"/>
      <w:sz w:val="20"/>
      <w:szCs w:val="20"/>
    </w:rPr>
  </w:style>
  <w:style w:type="paragraph" w:styleId="BodyTextIndent3">
    <w:name w:val="Body Text Indent 3"/>
    <w:basedOn w:val="Normal"/>
    <w:link w:val="BodyTextIndent3Char"/>
    <w:rsid w:val="00CA67C0"/>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A67C0"/>
    <w:rPr>
      <w:rFonts w:ascii="Arial Narrow" w:eastAsia="Times New Roman" w:hAnsi="Arial Narrow" w:cs="Times New Roman"/>
      <w:sz w:val="24"/>
      <w:szCs w:val="20"/>
      <w:lang w:val="en-US" w:eastAsia="en-AU"/>
    </w:rPr>
  </w:style>
  <w:style w:type="numbering" w:styleId="ArticleSection">
    <w:name w:val="Outline List 3"/>
    <w:basedOn w:val="NoList"/>
    <w:semiHidden/>
    <w:rsid w:val="00CA67C0"/>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2015_final.xlsx]Listed_byownership'!$AY$26:$DH$26</c:f>
              <c:numCache>
                <c:formatCode>0.000</c:formatCode>
                <c:ptCount val="62"/>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0.40725904966997734</c:v>
                </c:pt>
                <c:pt idx="49">
                  <c:v>0.41704727575059758</c:v>
                </c:pt>
                <c:pt idx="50">
                  <c:v>0.43167592705827418</c:v>
                </c:pt>
                <c:pt idx="51">
                  <c:v>0.41920787609111326</c:v>
                </c:pt>
                <c:pt idx="52">
                  <c:v>0.44430963220828112</c:v>
                </c:pt>
                <c:pt idx="53">
                  <c:v>0.45249814720650611</c:v>
                </c:pt>
                <c:pt idx="54">
                  <c:v>0.45263727434433881</c:v>
                </c:pt>
                <c:pt idx="55">
                  <c:v>0.45734709600266771</c:v>
                </c:pt>
                <c:pt idx="56">
                  <c:v>0.44580911277835844</c:v>
                </c:pt>
                <c:pt idx="57">
                  <c:v>0.45884872337610794</c:v>
                </c:pt>
                <c:pt idx="58">
                  <c:v>0.47037516224552661</c:v>
                </c:pt>
                <c:pt idx="59">
                  <c:v>0.45228304751021392</c:v>
                </c:pt>
                <c:pt idx="60">
                  <c:v>0.44637540341855242</c:v>
                </c:pt>
                <c:pt idx="61">
                  <c:v>0.46688489512706266</c:v>
                </c:pt>
              </c:numCache>
            </c:numRef>
          </c:val>
          <c:smooth val="0"/>
        </c:ser>
        <c:ser>
          <c:idx val="1"/>
          <c:order val="1"/>
          <c:tx>
            <c:v>Total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2015_final.xlsx]Total_byownership'!$AY$26:$DH$26</c:f>
              <c:numCache>
                <c:formatCode>0.000</c:formatCode>
                <c:ptCount val="62"/>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0.58178023265492662</c:v>
                </c:pt>
                <c:pt idx="49">
                  <c:v>0.58892609723211853</c:v>
                </c:pt>
                <c:pt idx="50">
                  <c:v>0.59434860972347159</c:v>
                </c:pt>
                <c:pt idx="51">
                  <c:v>0.59468550643131446</c:v>
                </c:pt>
                <c:pt idx="52">
                  <c:v>0.60202898917035941</c:v>
                </c:pt>
                <c:pt idx="53">
                  <c:v>0.61326745671333549</c:v>
                </c:pt>
                <c:pt idx="54">
                  <c:v>0.6112989503971592</c:v>
                </c:pt>
                <c:pt idx="55">
                  <c:v>0.61423966958422771</c:v>
                </c:pt>
                <c:pt idx="56">
                  <c:v>0.61006228785386851</c:v>
                </c:pt>
                <c:pt idx="57">
                  <c:v>0.615877741945138</c:v>
                </c:pt>
                <c:pt idx="58">
                  <c:v>0.61864746156337391</c:v>
                </c:pt>
                <c:pt idx="59">
                  <c:v>0.61404019966608048</c:v>
                </c:pt>
                <c:pt idx="60">
                  <c:v>0.61357941309484532</c:v>
                </c:pt>
                <c:pt idx="61">
                  <c:v>0.62011794036813961</c:v>
                </c:pt>
              </c:numCache>
            </c:numRef>
          </c:val>
          <c:smooth val="0"/>
        </c:ser>
        <c:dLbls>
          <c:showLegendKey val="0"/>
          <c:showVal val="0"/>
          <c:showCatName val="0"/>
          <c:showSerName val="0"/>
          <c:showPercent val="0"/>
          <c:showBubbleSize val="0"/>
        </c:dLbls>
        <c:marker val="1"/>
        <c:smooth val="0"/>
        <c:axId val="331251072"/>
        <c:axId val="361998976"/>
      </c:lineChart>
      <c:dateAx>
        <c:axId val="331251072"/>
        <c:scaling>
          <c:orientation val="minMax"/>
        </c:scaling>
        <c:delete val="0"/>
        <c:axPos val="b"/>
        <c:numFmt formatCode="mmm\-yyyy" sourceLinked="1"/>
        <c:majorTickMark val="out"/>
        <c:minorTickMark val="none"/>
        <c:tickLblPos val="nextTo"/>
        <c:crossAx val="361998976"/>
        <c:crosses val="autoZero"/>
        <c:auto val="0"/>
        <c:lblOffset val="100"/>
        <c:baseTimeUnit val="months"/>
        <c:majorUnit val="12"/>
        <c:majorTimeUnit val="months"/>
      </c:dateAx>
      <c:valAx>
        <c:axId val="361998976"/>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layout/>
          <c:overlay val="0"/>
        </c:title>
        <c:numFmt formatCode="0.000" sourceLinked="1"/>
        <c:majorTickMark val="out"/>
        <c:minorTickMark val="none"/>
        <c:tickLblPos val="nextTo"/>
        <c:crossAx val="331251072"/>
        <c:crossesAt val="36770"/>
        <c:crossBetween val="midCat"/>
        <c:majorUnit val="5.000000000000001E-2"/>
        <c:minorUnit val="4.000000000000001E-3"/>
      </c:valAx>
    </c:plotArea>
    <c:legend>
      <c:legendPos val="b"/>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B1FF5E-CC98-4E1E-9471-C01941CA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BA141423</Template>
  <TotalTime>0</TotalTime>
  <Pages>187</Pages>
  <Words>60338</Words>
  <Characters>343931</Characters>
  <Application>Microsoft Office Word</Application>
  <DocSecurity>0</DocSecurity>
  <Lines>2866</Lines>
  <Paragraphs>806</Paragraphs>
  <ScaleCrop>false</ScaleCrop>
  <HeadingPairs>
    <vt:vector size="2" baseType="variant">
      <vt:variant>
        <vt:lpstr>Title</vt:lpstr>
      </vt:variant>
      <vt:variant>
        <vt:i4>1</vt:i4>
      </vt:variant>
    </vt:vector>
  </HeadingPairs>
  <TitlesOfParts>
    <vt:vector size="1" baseType="lpstr">
      <vt:lpstr>AusNet Services 2017-22 - Draft decision - Attachment 4 - Value of imputation credits</vt:lpstr>
    </vt:vector>
  </TitlesOfParts>
  <LinksUpToDate>false</LinksUpToDate>
  <CharactersWithSpaces>403463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AusNet Services 2017-22 - Draft decision - Attachment 4 - Value of imputation credits</dc:title>
  <dc:creator/>
  <cp:lastModifiedBy/>
  <cp:revision>1</cp:revision>
  <dcterms:created xsi:type="dcterms:W3CDTF">2016-07-18T04:13:00Z</dcterms:created>
  <dcterms:modified xsi:type="dcterms:W3CDTF">2016-07-18T04:47:00Z</dcterms:modified>
</cp:coreProperties>
</file>