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6DD" w:rsidRDefault="00341B42" w:rsidP="00290C63">
      <w:pPr>
        <w:rPr>
          <w:rFonts w:eastAsiaTheme="majorEastAsia" w:cstheme="majorBidi"/>
          <w:noProof/>
          <w:sz w:val="36"/>
          <w:szCs w:val="36"/>
          <w:lang w:eastAsia="en-AU"/>
        </w:rPr>
      </w:pPr>
      <w:r w:rsidRPr="00167E1D">
        <w:rPr>
          <w:noProof/>
          <w:lang w:eastAsia="en-AU"/>
        </w:rPr>
        <w:drawing>
          <wp:anchor distT="0" distB="0" distL="114300" distR="114300" simplePos="0" relativeHeight="251659264" behindDoc="1" locked="0" layoutInCell="1" allowOverlap="1" wp14:anchorId="13F9AEA9" wp14:editId="6CAE37D9">
            <wp:simplePos x="0" y="0"/>
            <wp:positionH relativeFrom="column">
              <wp:posOffset>-1097915</wp:posOffset>
            </wp:positionH>
            <wp:positionV relativeFrom="paragraph">
              <wp:posOffset>-911225</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r w:rsidR="000476DD">
        <w:t xml:space="preserve"> </w:t>
      </w:r>
    </w:p>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B9733D">
            <w:t>DRAFT</w:t>
          </w:r>
          <w:r w:rsidR="00DA4752">
            <w:t xml:space="preserve"> DECISION</w:t>
          </w:r>
        </w:p>
        <w:p w:rsidR="00415F31" w:rsidRDefault="00B9733D" w:rsidP="008F07A3">
          <w:pPr>
            <w:pStyle w:val="ReportSubtitle"/>
          </w:pPr>
          <w:r>
            <w:t>AusNet Services</w:t>
          </w:r>
          <w:r w:rsidR="00415F31">
            <w:t xml:space="preserve"> transmission </w:t>
          </w:r>
          <w:r w:rsidR="00DA4752">
            <w:t>determination</w:t>
          </w:r>
        </w:p>
        <w:p w:rsidR="00167E1D" w:rsidRDefault="00167E1D" w:rsidP="008F07A3">
          <w:pPr>
            <w:pStyle w:val="ReportSubtitle"/>
          </w:pPr>
          <w:r>
            <w:t>2017–18 to 2021–22</w:t>
          </w:r>
        </w:p>
        <w:p w:rsidR="008F07A3" w:rsidRPr="000A6C7B" w:rsidRDefault="008F07A3" w:rsidP="008F07A3">
          <w:pPr>
            <w:pStyle w:val="ReportSubtitle"/>
          </w:pPr>
        </w:p>
        <w:p w:rsidR="000A6C7B" w:rsidRPr="000A6C7B" w:rsidRDefault="00DA4752" w:rsidP="008F07A3">
          <w:pPr>
            <w:pStyle w:val="ReportSubtitle"/>
          </w:pPr>
          <w:r>
            <w:t>Attachment 1</w:t>
          </w:r>
          <w:r w:rsidR="006D3F5D">
            <w:t>2</w:t>
          </w:r>
          <w:r>
            <w:t xml:space="preserve"> </w:t>
          </w:r>
          <w:r w:rsidR="00415F31">
            <w:rPr>
              <w:rFonts w:cs="Arial"/>
            </w:rPr>
            <w:t>–</w:t>
          </w:r>
          <w:r>
            <w:t xml:space="preserve"> </w:t>
          </w:r>
          <w:r w:rsidR="006D3F5D">
            <w:t>Pricing methodology</w:t>
          </w:r>
        </w:p>
        <w:p w:rsidR="00B9733D" w:rsidRDefault="00B9733D" w:rsidP="00327A1E">
          <w:pPr>
            <w:pStyle w:val="ReportDate"/>
          </w:pPr>
        </w:p>
        <w:p w:rsidR="000A6C7B" w:rsidRPr="00327A1E" w:rsidRDefault="00167E1D" w:rsidP="00327A1E">
          <w:pPr>
            <w:pStyle w:val="ReportDate"/>
          </w:pPr>
          <w:r>
            <w:t xml:space="preserve">July </w:t>
          </w:r>
          <w:r w:rsidR="00DA4752">
            <w:t>201</w:t>
          </w:r>
          <w:r w:rsidR="00B9733D">
            <w:t>6</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B9562D" w:rsidRDefault="000A6C7B" w:rsidP="00B9562D">
      <w:pPr>
        <w:pStyle w:val="Copyright"/>
      </w:pPr>
      <w:r>
        <w:t xml:space="preserve">Tel: </w:t>
      </w:r>
      <w:r w:rsidR="00DA4B64">
        <w:t>1300 585 165</w:t>
      </w:r>
      <w:r w:rsidR="00951978">
        <w:br/>
      </w:r>
      <w:r>
        <w:t xml:space="preserve">Email: </w:t>
      </w:r>
      <w:hyperlink r:id="rId11" w:history="1">
        <w:r w:rsidRPr="00D64888">
          <w:rPr>
            <w:rStyle w:val="Hyperlink"/>
          </w:rPr>
          <w:t>AERInquiry@aer.gov.au</w:t>
        </w:r>
      </w:hyperlink>
      <w:r w:rsidR="00951978">
        <w:rPr>
          <w:rStyle w:val="Hyperlink"/>
        </w:rPr>
        <w:br/>
      </w:r>
    </w:p>
    <w:p w:rsidR="008F07A3" w:rsidRPr="009D3906" w:rsidRDefault="00415F31" w:rsidP="00B9562D">
      <w:pPr>
        <w:pStyle w:val="Copyright"/>
      </w:pPr>
      <w:r w:rsidRPr="009D3906">
        <w:t>AER reference:</w:t>
      </w:r>
      <w:r w:rsidRPr="009D3906">
        <w:tab/>
        <w:t>53444</w:t>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8F07A3">
      <w:pPr>
        <w:pStyle w:val="UnnumberedHeading"/>
        <w:numPr>
          <w:ilvl w:val="0"/>
          <w:numId w:val="24"/>
        </w:numPr>
      </w:pPr>
      <w:bookmarkStart w:id="4" w:name="_Toc456603086"/>
      <w:r>
        <w:lastRenderedPageBreak/>
        <w:t>N</w:t>
      </w:r>
      <w:r w:rsidR="008F07A3">
        <w:t>ote</w:t>
      </w:r>
      <w:bookmarkEnd w:id="0"/>
      <w:bookmarkEnd w:id="1"/>
      <w:bookmarkEnd w:id="2"/>
      <w:bookmarkEnd w:id="3"/>
      <w:bookmarkEnd w:id="4"/>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w:t>
      </w:r>
      <w:r w:rsidR="000B321F">
        <w:t>draft</w:t>
      </w:r>
      <w:r w:rsidR="00415F31">
        <w:t xml:space="preserve"> decision on </w:t>
      </w:r>
      <w:r w:rsidR="000B321F">
        <w:t>AusNet Services’</w:t>
      </w:r>
      <w:r w:rsidR="00415F31">
        <w:t xml:space="preserve"> revenue proposal 201</w:t>
      </w:r>
      <w:r w:rsidR="000B321F">
        <w:t>7</w:t>
      </w:r>
      <w:r w:rsidR="00415F31" w:rsidRPr="00D904FA">
        <w:t>–</w:t>
      </w:r>
      <w:r w:rsidR="000B321F">
        <w:t>22</w:t>
      </w:r>
      <w:r w:rsidR="00415F31">
        <w:t xml:space="preserve">. It should be read with other parts of the </w:t>
      </w:r>
      <w:r w:rsidR="000B321F">
        <w:t>draft</w:t>
      </w:r>
      <w:r w:rsidR="00415F31">
        <w:t xml:space="preserve"> decision.</w:t>
      </w:r>
    </w:p>
    <w:p w:rsidR="00415F31" w:rsidRDefault="00415F31" w:rsidP="00415F31">
      <w:pPr>
        <w:numPr>
          <w:ilvl w:val="0"/>
          <w:numId w:val="25"/>
        </w:numPr>
        <w:spacing w:before="0" w:after="240" w:line="288" w:lineRule="auto"/>
        <w:jc w:val="both"/>
      </w:pPr>
      <w:r>
        <w:t xml:space="preserve">The </w:t>
      </w:r>
      <w:r w:rsidR="000B321F">
        <w:t>draft</w:t>
      </w:r>
      <w:r>
        <w:t xml:space="preserve"> decision includes the following documents:</w:t>
      </w:r>
    </w:p>
    <w:p w:rsidR="00415F31" w:rsidRDefault="00415F31" w:rsidP="00415F31">
      <w:pPr>
        <w:numPr>
          <w:ilvl w:val="0"/>
          <w:numId w:val="25"/>
        </w:numPr>
        <w:spacing w:before="0" w:after="240" w:line="288" w:lineRule="auto"/>
        <w:jc w:val="both"/>
      </w:pPr>
      <w:r>
        <w:t>Overview</w:t>
      </w:r>
    </w:p>
    <w:p w:rsidR="00415F31" w:rsidRDefault="00415F31" w:rsidP="00415F31">
      <w:pPr>
        <w:numPr>
          <w:ilvl w:val="0"/>
          <w:numId w:val="25"/>
        </w:numPr>
        <w:spacing w:before="0" w:after="240" w:line="288" w:lineRule="auto"/>
        <w:jc w:val="both"/>
      </w:pPr>
      <w:r>
        <w:t>Attachment 1 – maximum allowed revenue</w:t>
      </w:r>
    </w:p>
    <w:p w:rsidR="00415F31" w:rsidRDefault="00415F31" w:rsidP="00415F31">
      <w:pPr>
        <w:numPr>
          <w:ilvl w:val="0"/>
          <w:numId w:val="25"/>
        </w:numPr>
        <w:spacing w:before="0" w:after="240" w:line="288" w:lineRule="auto"/>
        <w:jc w:val="both"/>
      </w:pPr>
      <w:r>
        <w:t>Attachment 2 – regulatory asset base</w:t>
      </w:r>
    </w:p>
    <w:p w:rsidR="00415F31" w:rsidRDefault="00415F31" w:rsidP="00415F31">
      <w:pPr>
        <w:numPr>
          <w:ilvl w:val="0"/>
          <w:numId w:val="25"/>
        </w:numPr>
        <w:spacing w:before="0" w:after="240" w:line="288" w:lineRule="auto"/>
        <w:jc w:val="both"/>
      </w:pPr>
      <w:r>
        <w:t>Attachment 3 – rate of return</w:t>
      </w:r>
    </w:p>
    <w:p w:rsidR="00415F31" w:rsidRDefault="00415F31" w:rsidP="00415F31">
      <w:pPr>
        <w:numPr>
          <w:ilvl w:val="0"/>
          <w:numId w:val="25"/>
        </w:numPr>
        <w:spacing w:before="0" w:after="240" w:line="288" w:lineRule="auto"/>
        <w:jc w:val="both"/>
      </w:pPr>
      <w:r>
        <w:t>Attachment 4 – value of imputation credits</w:t>
      </w:r>
    </w:p>
    <w:p w:rsidR="00415F31" w:rsidRDefault="00415F31" w:rsidP="00415F31">
      <w:pPr>
        <w:numPr>
          <w:ilvl w:val="0"/>
          <w:numId w:val="25"/>
        </w:numPr>
        <w:spacing w:before="0" w:after="240" w:line="288" w:lineRule="auto"/>
        <w:jc w:val="both"/>
      </w:pPr>
      <w:r>
        <w:t>Attachment 5 – regulatory depreciation</w:t>
      </w:r>
    </w:p>
    <w:p w:rsidR="00415F31" w:rsidRDefault="00415F31" w:rsidP="00415F31">
      <w:pPr>
        <w:numPr>
          <w:ilvl w:val="0"/>
          <w:numId w:val="25"/>
        </w:numPr>
        <w:spacing w:before="0" w:after="240" w:line="288" w:lineRule="auto"/>
        <w:jc w:val="both"/>
      </w:pPr>
      <w:r>
        <w:t xml:space="preserve">Attachment 6 – capital expenditure </w:t>
      </w:r>
    </w:p>
    <w:p w:rsidR="00415F31" w:rsidRDefault="00415F31" w:rsidP="00415F31">
      <w:pPr>
        <w:numPr>
          <w:ilvl w:val="0"/>
          <w:numId w:val="25"/>
        </w:numPr>
        <w:spacing w:before="0" w:after="240" w:line="288" w:lineRule="auto"/>
        <w:jc w:val="both"/>
      </w:pPr>
      <w:r>
        <w:t>Attachment 7 – operating expenditure</w:t>
      </w:r>
    </w:p>
    <w:p w:rsidR="00415F31" w:rsidRDefault="00415F31" w:rsidP="00415F31">
      <w:pPr>
        <w:numPr>
          <w:ilvl w:val="0"/>
          <w:numId w:val="25"/>
        </w:numPr>
        <w:spacing w:before="0" w:after="240" w:line="288" w:lineRule="auto"/>
        <w:jc w:val="both"/>
      </w:pPr>
      <w:r>
        <w:t>Attachment 8 – corporate income tax</w:t>
      </w:r>
    </w:p>
    <w:p w:rsidR="00415F31" w:rsidRDefault="00415F31" w:rsidP="00415F31">
      <w:pPr>
        <w:numPr>
          <w:ilvl w:val="0"/>
          <w:numId w:val="25"/>
        </w:numPr>
        <w:spacing w:before="0" w:after="240" w:line="288" w:lineRule="auto"/>
        <w:jc w:val="both"/>
      </w:pPr>
      <w:r>
        <w:t>Attachment 9 – efficiency benefit sharing scheme</w:t>
      </w:r>
    </w:p>
    <w:p w:rsidR="00415F31" w:rsidRDefault="00415F31" w:rsidP="00415F31">
      <w:pPr>
        <w:numPr>
          <w:ilvl w:val="0"/>
          <w:numId w:val="25"/>
        </w:numPr>
        <w:spacing w:before="0" w:after="240" w:line="288" w:lineRule="auto"/>
        <w:jc w:val="both"/>
      </w:pPr>
      <w:r>
        <w:t>Attachment 10 – capital expenditure sharing scheme</w:t>
      </w:r>
    </w:p>
    <w:p w:rsidR="00415F31" w:rsidRDefault="00415F31" w:rsidP="00415F31">
      <w:pPr>
        <w:numPr>
          <w:ilvl w:val="0"/>
          <w:numId w:val="25"/>
        </w:numPr>
        <w:spacing w:before="0" w:after="240" w:line="288" w:lineRule="auto"/>
        <w:jc w:val="both"/>
      </w:pPr>
      <w:r>
        <w:t>Attachment 11 – service target performance incentive scheme</w:t>
      </w:r>
    </w:p>
    <w:p w:rsidR="00415F31" w:rsidRPr="00D904FA" w:rsidRDefault="00415F31" w:rsidP="00415F31">
      <w:pPr>
        <w:numPr>
          <w:ilvl w:val="0"/>
          <w:numId w:val="25"/>
        </w:numPr>
        <w:spacing w:before="0" w:after="240" w:line="288" w:lineRule="auto"/>
        <w:jc w:val="both"/>
      </w:pPr>
      <w:r>
        <w:t xml:space="preserve">Attachment 12 – </w:t>
      </w:r>
      <w:r w:rsidRPr="00D904FA">
        <w:t>pricing methodology</w:t>
      </w:r>
    </w:p>
    <w:p w:rsidR="00415F31" w:rsidRPr="00D904FA" w:rsidRDefault="00415F31" w:rsidP="00415F31">
      <w:pPr>
        <w:numPr>
          <w:ilvl w:val="0"/>
          <w:numId w:val="25"/>
        </w:numPr>
        <w:spacing w:before="0" w:after="240" w:line="288" w:lineRule="auto"/>
        <w:jc w:val="both"/>
      </w:pPr>
      <w:r>
        <w:t xml:space="preserve">Attachment 13 </w:t>
      </w:r>
      <w:r w:rsidRPr="00D904FA">
        <w:t>– pass through events</w:t>
      </w:r>
    </w:p>
    <w:p w:rsidR="00415F31" w:rsidRDefault="00415F31" w:rsidP="00415F31">
      <w:r w:rsidRPr="00D904FA">
        <w:t>Attachment 14 – negotiated services</w:t>
      </w:r>
    </w:p>
    <w:p w:rsidR="008F07A3" w:rsidRPr="008F07A3" w:rsidRDefault="008F07A3" w:rsidP="00415F31">
      <w:pPr>
        <w:numPr>
          <w:ilvl w:val="0"/>
          <w:numId w:val="25"/>
        </w:numPr>
        <w:sectPr w:rsidR="008F07A3" w:rsidRPr="008F07A3" w:rsidSect="001754EE">
          <w:headerReference w:type="even" r:id="rId12"/>
          <w:headerReference w:type="default" r:id="rId13"/>
          <w:footerReference w:type="even" r:id="rId14"/>
          <w:footerReference w:type="default" r:id="rId15"/>
          <w:headerReference w:type="first" r:id="rId16"/>
          <w:footerReference w:type="first" r:id="rId17"/>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5" w:name="_Toc403144133"/>
      <w:bookmarkStart w:id="6" w:name="_Toc456603087"/>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bookmarkStart w:id="7" w:name="_GoBack" w:displacedByCustomXml="prev"/>
        <w:bookmarkEnd w:id="7" w:displacedByCustomXml="prev"/>
        <w:p w:rsidR="00B00AEF"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56603086" w:history="1">
            <w:r w:rsidR="00B00AEF" w:rsidRPr="000116E7">
              <w:rPr>
                <w:rStyle w:val="Hyperlink"/>
              </w:rPr>
              <w:t>Note</w:t>
            </w:r>
            <w:r w:rsidR="00B00AEF">
              <w:rPr>
                <w:webHidden/>
              </w:rPr>
              <w:tab/>
            </w:r>
            <w:r w:rsidR="00B00AEF">
              <w:rPr>
                <w:webHidden/>
              </w:rPr>
              <w:fldChar w:fldCharType="begin"/>
            </w:r>
            <w:r w:rsidR="00B00AEF">
              <w:rPr>
                <w:webHidden/>
              </w:rPr>
              <w:instrText xml:space="preserve"> PAGEREF _Toc456603086 \h </w:instrText>
            </w:r>
            <w:r w:rsidR="00B00AEF">
              <w:rPr>
                <w:webHidden/>
              </w:rPr>
            </w:r>
            <w:r w:rsidR="00B00AEF">
              <w:rPr>
                <w:webHidden/>
              </w:rPr>
              <w:fldChar w:fldCharType="separate"/>
            </w:r>
            <w:r w:rsidR="00B00AEF">
              <w:rPr>
                <w:webHidden/>
              </w:rPr>
              <w:t>12-2</w:t>
            </w:r>
            <w:r w:rsidR="00B00AEF">
              <w:rPr>
                <w:webHidden/>
              </w:rPr>
              <w:fldChar w:fldCharType="end"/>
            </w:r>
          </w:hyperlink>
        </w:p>
        <w:p w:rsidR="00B00AEF" w:rsidRDefault="00947BAA">
          <w:pPr>
            <w:pStyle w:val="TOC1"/>
            <w:rPr>
              <w:rFonts w:asciiTheme="minorHAnsi" w:eastAsiaTheme="minorEastAsia" w:hAnsiTheme="minorHAnsi"/>
              <w:b w:val="0"/>
              <w:color w:val="auto"/>
              <w:sz w:val="22"/>
              <w:lang w:val="en-AU" w:eastAsia="en-AU"/>
            </w:rPr>
          </w:pPr>
          <w:hyperlink w:anchor="_Toc456603087" w:history="1">
            <w:r w:rsidR="00B00AEF" w:rsidRPr="000116E7">
              <w:rPr>
                <w:rStyle w:val="Hyperlink"/>
              </w:rPr>
              <w:t>Contents</w:t>
            </w:r>
            <w:r w:rsidR="00B00AEF">
              <w:rPr>
                <w:webHidden/>
              </w:rPr>
              <w:tab/>
            </w:r>
            <w:r w:rsidR="00B00AEF">
              <w:rPr>
                <w:webHidden/>
              </w:rPr>
              <w:fldChar w:fldCharType="begin"/>
            </w:r>
            <w:r w:rsidR="00B00AEF">
              <w:rPr>
                <w:webHidden/>
              </w:rPr>
              <w:instrText xml:space="preserve"> PAGEREF _Toc456603087 \h </w:instrText>
            </w:r>
            <w:r w:rsidR="00B00AEF">
              <w:rPr>
                <w:webHidden/>
              </w:rPr>
            </w:r>
            <w:r w:rsidR="00B00AEF">
              <w:rPr>
                <w:webHidden/>
              </w:rPr>
              <w:fldChar w:fldCharType="separate"/>
            </w:r>
            <w:r w:rsidR="00B00AEF">
              <w:rPr>
                <w:webHidden/>
              </w:rPr>
              <w:t>12-3</w:t>
            </w:r>
            <w:r w:rsidR="00B00AEF">
              <w:rPr>
                <w:webHidden/>
              </w:rPr>
              <w:fldChar w:fldCharType="end"/>
            </w:r>
          </w:hyperlink>
        </w:p>
        <w:p w:rsidR="00B00AEF" w:rsidRDefault="00947BAA">
          <w:pPr>
            <w:pStyle w:val="TOC1"/>
            <w:rPr>
              <w:rFonts w:asciiTheme="minorHAnsi" w:eastAsiaTheme="minorEastAsia" w:hAnsiTheme="minorHAnsi"/>
              <w:b w:val="0"/>
              <w:color w:val="auto"/>
              <w:sz w:val="22"/>
              <w:lang w:val="en-AU" w:eastAsia="en-AU"/>
            </w:rPr>
          </w:pPr>
          <w:hyperlink w:anchor="_Toc456603088" w:history="1">
            <w:r w:rsidR="00B00AEF" w:rsidRPr="000116E7">
              <w:rPr>
                <w:rStyle w:val="Hyperlink"/>
              </w:rPr>
              <w:t>Shortened forms</w:t>
            </w:r>
            <w:r w:rsidR="00B00AEF">
              <w:rPr>
                <w:webHidden/>
              </w:rPr>
              <w:tab/>
            </w:r>
            <w:r w:rsidR="00B00AEF">
              <w:rPr>
                <w:webHidden/>
              </w:rPr>
              <w:fldChar w:fldCharType="begin"/>
            </w:r>
            <w:r w:rsidR="00B00AEF">
              <w:rPr>
                <w:webHidden/>
              </w:rPr>
              <w:instrText xml:space="preserve"> PAGEREF _Toc456603088 \h </w:instrText>
            </w:r>
            <w:r w:rsidR="00B00AEF">
              <w:rPr>
                <w:webHidden/>
              </w:rPr>
            </w:r>
            <w:r w:rsidR="00B00AEF">
              <w:rPr>
                <w:webHidden/>
              </w:rPr>
              <w:fldChar w:fldCharType="separate"/>
            </w:r>
            <w:r w:rsidR="00B00AEF">
              <w:rPr>
                <w:webHidden/>
              </w:rPr>
              <w:t>12-4</w:t>
            </w:r>
            <w:r w:rsidR="00B00AEF">
              <w:rPr>
                <w:webHidden/>
              </w:rPr>
              <w:fldChar w:fldCharType="end"/>
            </w:r>
          </w:hyperlink>
        </w:p>
        <w:p w:rsidR="00B00AEF" w:rsidRDefault="00947BAA">
          <w:pPr>
            <w:pStyle w:val="TOC1"/>
            <w:rPr>
              <w:rFonts w:asciiTheme="minorHAnsi" w:eastAsiaTheme="minorEastAsia" w:hAnsiTheme="minorHAnsi"/>
              <w:b w:val="0"/>
              <w:color w:val="auto"/>
              <w:sz w:val="22"/>
              <w:lang w:val="en-AU" w:eastAsia="en-AU"/>
            </w:rPr>
          </w:pPr>
          <w:hyperlink w:anchor="_Toc456603089" w:history="1">
            <w:r w:rsidR="00B00AEF" w:rsidRPr="000116E7">
              <w:rPr>
                <w:rStyle w:val="Hyperlink"/>
              </w:rPr>
              <w:t>12</w:t>
            </w:r>
            <w:r w:rsidR="00B00AEF">
              <w:rPr>
                <w:rFonts w:asciiTheme="minorHAnsi" w:eastAsiaTheme="minorEastAsia" w:hAnsiTheme="minorHAnsi"/>
                <w:b w:val="0"/>
                <w:color w:val="auto"/>
                <w:sz w:val="22"/>
                <w:lang w:val="en-AU" w:eastAsia="en-AU"/>
              </w:rPr>
              <w:tab/>
            </w:r>
            <w:r w:rsidR="00B00AEF" w:rsidRPr="000116E7">
              <w:rPr>
                <w:rStyle w:val="Hyperlink"/>
              </w:rPr>
              <w:t>Pricing methodology</w:t>
            </w:r>
            <w:r w:rsidR="00B00AEF">
              <w:rPr>
                <w:webHidden/>
              </w:rPr>
              <w:tab/>
            </w:r>
            <w:r w:rsidR="00B00AEF">
              <w:rPr>
                <w:webHidden/>
              </w:rPr>
              <w:fldChar w:fldCharType="begin"/>
            </w:r>
            <w:r w:rsidR="00B00AEF">
              <w:rPr>
                <w:webHidden/>
              </w:rPr>
              <w:instrText xml:space="preserve"> PAGEREF _Toc456603089 \h </w:instrText>
            </w:r>
            <w:r w:rsidR="00B00AEF">
              <w:rPr>
                <w:webHidden/>
              </w:rPr>
            </w:r>
            <w:r w:rsidR="00B00AEF">
              <w:rPr>
                <w:webHidden/>
              </w:rPr>
              <w:fldChar w:fldCharType="separate"/>
            </w:r>
            <w:r w:rsidR="00B00AEF">
              <w:rPr>
                <w:webHidden/>
              </w:rPr>
              <w:t>12-6</w:t>
            </w:r>
            <w:r w:rsidR="00B00AEF">
              <w:rPr>
                <w:webHidden/>
              </w:rPr>
              <w:fldChar w:fldCharType="end"/>
            </w:r>
          </w:hyperlink>
        </w:p>
        <w:p w:rsidR="00B00AEF" w:rsidRDefault="00947BAA">
          <w:pPr>
            <w:pStyle w:val="TOC2"/>
            <w:tabs>
              <w:tab w:val="left" w:pos="1276"/>
            </w:tabs>
            <w:rPr>
              <w:rFonts w:asciiTheme="minorHAnsi" w:eastAsiaTheme="minorEastAsia" w:hAnsiTheme="minorHAnsi"/>
              <w:b w:val="0"/>
              <w:color w:val="auto"/>
              <w:sz w:val="22"/>
              <w:lang w:eastAsia="en-AU"/>
            </w:rPr>
          </w:pPr>
          <w:hyperlink w:anchor="_Toc456603090" w:history="1">
            <w:r w:rsidR="00B00AEF" w:rsidRPr="000116E7">
              <w:rPr>
                <w:rStyle w:val="Hyperlink"/>
              </w:rPr>
              <w:t>12.1</w:t>
            </w:r>
            <w:r w:rsidR="00B00AEF">
              <w:rPr>
                <w:rFonts w:asciiTheme="minorHAnsi" w:eastAsiaTheme="minorEastAsia" w:hAnsiTheme="minorHAnsi"/>
                <w:b w:val="0"/>
                <w:color w:val="auto"/>
                <w:sz w:val="22"/>
                <w:lang w:eastAsia="en-AU"/>
              </w:rPr>
              <w:tab/>
            </w:r>
            <w:r w:rsidR="00B00AEF" w:rsidRPr="000116E7">
              <w:rPr>
                <w:rStyle w:val="Hyperlink"/>
              </w:rPr>
              <w:t>Draft decision</w:t>
            </w:r>
            <w:r w:rsidR="00B00AEF">
              <w:rPr>
                <w:webHidden/>
              </w:rPr>
              <w:tab/>
            </w:r>
            <w:r w:rsidR="00B00AEF">
              <w:rPr>
                <w:webHidden/>
              </w:rPr>
              <w:fldChar w:fldCharType="begin"/>
            </w:r>
            <w:r w:rsidR="00B00AEF">
              <w:rPr>
                <w:webHidden/>
              </w:rPr>
              <w:instrText xml:space="preserve"> PAGEREF _Toc456603090 \h </w:instrText>
            </w:r>
            <w:r w:rsidR="00B00AEF">
              <w:rPr>
                <w:webHidden/>
              </w:rPr>
            </w:r>
            <w:r w:rsidR="00B00AEF">
              <w:rPr>
                <w:webHidden/>
              </w:rPr>
              <w:fldChar w:fldCharType="separate"/>
            </w:r>
            <w:r w:rsidR="00B00AEF">
              <w:rPr>
                <w:webHidden/>
              </w:rPr>
              <w:t>12-6</w:t>
            </w:r>
            <w:r w:rsidR="00B00AEF">
              <w:rPr>
                <w:webHidden/>
              </w:rPr>
              <w:fldChar w:fldCharType="end"/>
            </w:r>
          </w:hyperlink>
        </w:p>
        <w:p w:rsidR="00B00AEF" w:rsidRDefault="00947BAA">
          <w:pPr>
            <w:pStyle w:val="TOC2"/>
            <w:tabs>
              <w:tab w:val="left" w:pos="1276"/>
            </w:tabs>
            <w:rPr>
              <w:rFonts w:asciiTheme="minorHAnsi" w:eastAsiaTheme="minorEastAsia" w:hAnsiTheme="minorHAnsi"/>
              <w:b w:val="0"/>
              <w:color w:val="auto"/>
              <w:sz w:val="22"/>
              <w:lang w:eastAsia="en-AU"/>
            </w:rPr>
          </w:pPr>
          <w:hyperlink w:anchor="_Toc456603091" w:history="1">
            <w:r w:rsidR="00B00AEF" w:rsidRPr="000116E7">
              <w:rPr>
                <w:rStyle w:val="Hyperlink"/>
              </w:rPr>
              <w:t>12.2</w:t>
            </w:r>
            <w:r w:rsidR="00B00AEF">
              <w:rPr>
                <w:rFonts w:asciiTheme="minorHAnsi" w:eastAsiaTheme="minorEastAsia" w:hAnsiTheme="minorHAnsi"/>
                <w:b w:val="0"/>
                <w:color w:val="auto"/>
                <w:sz w:val="22"/>
                <w:lang w:eastAsia="en-AU"/>
              </w:rPr>
              <w:tab/>
            </w:r>
            <w:r w:rsidR="00B00AEF" w:rsidRPr="000116E7">
              <w:rPr>
                <w:rStyle w:val="Hyperlink"/>
              </w:rPr>
              <w:t>AusNet Services’ proposal</w:t>
            </w:r>
            <w:r w:rsidR="00B00AEF">
              <w:rPr>
                <w:webHidden/>
              </w:rPr>
              <w:tab/>
            </w:r>
            <w:r w:rsidR="00B00AEF">
              <w:rPr>
                <w:webHidden/>
              </w:rPr>
              <w:fldChar w:fldCharType="begin"/>
            </w:r>
            <w:r w:rsidR="00B00AEF">
              <w:rPr>
                <w:webHidden/>
              </w:rPr>
              <w:instrText xml:space="preserve"> PAGEREF _Toc456603091 \h </w:instrText>
            </w:r>
            <w:r w:rsidR="00B00AEF">
              <w:rPr>
                <w:webHidden/>
              </w:rPr>
            </w:r>
            <w:r w:rsidR="00B00AEF">
              <w:rPr>
                <w:webHidden/>
              </w:rPr>
              <w:fldChar w:fldCharType="separate"/>
            </w:r>
            <w:r w:rsidR="00B00AEF">
              <w:rPr>
                <w:webHidden/>
              </w:rPr>
              <w:t>12-7</w:t>
            </w:r>
            <w:r w:rsidR="00B00AEF">
              <w:rPr>
                <w:webHidden/>
              </w:rPr>
              <w:fldChar w:fldCharType="end"/>
            </w:r>
          </w:hyperlink>
        </w:p>
        <w:p w:rsidR="00B00AEF" w:rsidRDefault="00947BAA">
          <w:pPr>
            <w:pStyle w:val="TOC2"/>
            <w:tabs>
              <w:tab w:val="left" w:pos="1276"/>
            </w:tabs>
            <w:rPr>
              <w:rFonts w:asciiTheme="minorHAnsi" w:eastAsiaTheme="minorEastAsia" w:hAnsiTheme="minorHAnsi"/>
              <w:b w:val="0"/>
              <w:color w:val="auto"/>
              <w:sz w:val="22"/>
              <w:lang w:eastAsia="en-AU"/>
            </w:rPr>
          </w:pPr>
          <w:hyperlink w:anchor="_Toc456603092" w:history="1">
            <w:r w:rsidR="00B00AEF" w:rsidRPr="000116E7">
              <w:rPr>
                <w:rStyle w:val="Hyperlink"/>
              </w:rPr>
              <w:t>12.3</w:t>
            </w:r>
            <w:r w:rsidR="00B00AEF">
              <w:rPr>
                <w:rFonts w:asciiTheme="minorHAnsi" w:eastAsiaTheme="minorEastAsia" w:hAnsiTheme="minorHAnsi"/>
                <w:b w:val="0"/>
                <w:color w:val="auto"/>
                <w:sz w:val="22"/>
                <w:lang w:eastAsia="en-AU"/>
              </w:rPr>
              <w:tab/>
            </w:r>
            <w:r w:rsidR="00B00AEF" w:rsidRPr="000116E7">
              <w:rPr>
                <w:rStyle w:val="Hyperlink"/>
              </w:rPr>
              <w:t>AER’s assessment approach</w:t>
            </w:r>
            <w:r w:rsidR="00B00AEF">
              <w:rPr>
                <w:webHidden/>
              </w:rPr>
              <w:tab/>
            </w:r>
            <w:r w:rsidR="00B00AEF">
              <w:rPr>
                <w:webHidden/>
              </w:rPr>
              <w:fldChar w:fldCharType="begin"/>
            </w:r>
            <w:r w:rsidR="00B00AEF">
              <w:rPr>
                <w:webHidden/>
              </w:rPr>
              <w:instrText xml:space="preserve"> PAGEREF _Toc456603092 \h </w:instrText>
            </w:r>
            <w:r w:rsidR="00B00AEF">
              <w:rPr>
                <w:webHidden/>
              </w:rPr>
            </w:r>
            <w:r w:rsidR="00B00AEF">
              <w:rPr>
                <w:webHidden/>
              </w:rPr>
              <w:fldChar w:fldCharType="separate"/>
            </w:r>
            <w:r w:rsidR="00B00AEF">
              <w:rPr>
                <w:webHidden/>
              </w:rPr>
              <w:t>12-7</w:t>
            </w:r>
            <w:r w:rsidR="00B00AEF">
              <w:rPr>
                <w:webHidden/>
              </w:rPr>
              <w:fldChar w:fldCharType="end"/>
            </w:r>
          </w:hyperlink>
        </w:p>
        <w:p w:rsidR="00B00AEF" w:rsidRDefault="00947BAA">
          <w:pPr>
            <w:pStyle w:val="TOC2"/>
            <w:tabs>
              <w:tab w:val="left" w:pos="1276"/>
            </w:tabs>
            <w:rPr>
              <w:rFonts w:asciiTheme="minorHAnsi" w:eastAsiaTheme="minorEastAsia" w:hAnsiTheme="minorHAnsi"/>
              <w:b w:val="0"/>
              <w:color w:val="auto"/>
              <w:sz w:val="22"/>
              <w:lang w:eastAsia="en-AU"/>
            </w:rPr>
          </w:pPr>
          <w:hyperlink w:anchor="_Toc456603093" w:history="1">
            <w:r w:rsidR="00B00AEF" w:rsidRPr="000116E7">
              <w:rPr>
                <w:rStyle w:val="Hyperlink"/>
              </w:rPr>
              <w:t>12.4</w:t>
            </w:r>
            <w:r w:rsidR="00B00AEF">
              <w:rPr>
                <w:rFonts w:asciiTheme="minorHAnsi" w:eastAsiaTheme="minorEastAsia" w:hAnsiTheme="minorHAnsi"/>
                <w:b w:val="0"/>
                <w:color w:val="auto"/>
                <w:sz w:val="22"/>
                <w:lang w:eastAsia="en-AU"/>
              </w:rPr>
              <w:tab/>
            </w:r>
            <w:r w:rsidR="00B00AEF" w:rsidRPr="000116E7">
              <w:rPr>
                <w:rStyle w:val="Hyperlink"/>
              </w:rPr>
              <w:t>Reasons for draft decision</w:t>
            </w:r>
            <w:r w:rsidR="00B00AEF">
              <w:rPr>
                <w:webHidden/>
              </w:rPr>
              <w:tab/>
            </w:r>
            <w:r w:rsidR="00B00AEF">
              <w:rPr>
                <w:webHidden/>
              </w:rPr>
              <w:fldChar w:fldCharType="begin"/>
            </w:r>
            <w:r w:rsidR="00B00AEF">
              <w:rPr>
                <w:webHidden/>
              </w:rPr>
              <w:instrText xml:space="preserve"> PAGEREF _Toc456603093 \h </w:instrText>
            </w:r>
            <w:r w:rsidR="00B00AEF">
              <w:rPr>
                <w:webHidden/>
              </w:rPr>
            </w:r>
            <w:r w:rsidR="00B00AEF">
              <w:rPr>
                <w:webHidden/>
              </w:rPr>
              <w:fldChar w:fldCharType="separate"/>
            </w:r>
            <w:r w:rsidR="00B00AEF">
              <w:rPr>
                <w:webHidden/>
              </w:rPr>
              <w:t>12-9</w:t>
            </w:r>
            <w:r w:rsidR="00B00AEF">
              <w:rPr>
                <w:webHidden/>
              </w:rPr>
              <w:fldChar w:fldCharType="end"/>
            </w:r>
          </w:hyperlink>
        </w:p>
        <w:p w:rsidR="00B00AEF" w:rsidRDefault="00947BAA">
          <w:pPr>
            <w:pStyle w:val="TOC3"/>
            <w:rPr>
              <w:rFonts w:asciiTheme="minorHAnsi" w:eastAsiaTheme="minorEastAsia" w:hAnsiTheme="minorHAnsi"/>
              <w:lang w:eastAsia="en-AU"/>
            </w:rPr>
          </w:pPr>
          <w:hyperlink w:anchor="_Toc456603094" w:history="1">
            <w:r w:rsidR="00B00AEF" w:rsidRPr="000116E7">
              <w:rPr>
                <w:rStyle w:val="Hyperlink"/>
                <w14:scene3d>
                  <w14:camera w14:prst="orthographicFront"/>
                  <w14:lightRig w14:rig="threePt" w14:dir="t">
                    <w14:rot w14:lat="0" w14:lon="0" w14:rev="0"/>
                  </w14:lightRig>
                </w14:scene3d>
              </w:rPr>
              <w:t>12.4.1</w:t>
            </w:r>
            <w:r w:rsidR="00B00AEF">
              <w:rPr>
                <w:rFonts w:asciiTheme="minorHAnsi" w:eastAsiaTheme="minorEastAsia" w:hAnsiTheme="minorHAnsi"/>
                <w:lang w:eastAsia="en-AU"/>
              </w:rPr>
              <w:tab/>
            </w:r>
            <w:r w:rsidR="00B00AEF" w:rsidRPr="000116E7">
              <w:rPr>
                <w:rStyle w:val="Hyperlink"/>
              </w:rPr>
              <w:t>Assessment against the pricing principles</w:t>
            </w:r>
            <w:r w:rsidR="00B00AEF">
              <w:rPr>
                <w:webHidden/>
              </w:rPr>
              <w:tab/>
            </w:r>
            <w:r w:rsidR="00B00AEF">
              <w:rPr>
                <w:webHidden/>
              </w:rPr>
              <w:fldChar w:fldCharType="begin"/>
            </w:r>
            <w:r w:rsidR="00B00AEF">
              <w:rPr>
                <w:webHidden/>
              </w:rPr>
              <w:instrText xml:space="preserve"> PAGEREF _Toc456603094 \h </w:instrText>
            </w:r>
            <w:r w:rsidR="00B00AEF">
              <w:rPr>
                <w:webHidden/>
              </w:rPr>
            </w:r>
            <w:r w:rsidR="00B00AEF">
              <w:rPr>
                <w:webHidden/>
              </w:rPr>
              <w:fldChar w:fldCharType="separate"/>
            </w:r>
            <w:r w:rsidR="00B00AEF">
              <w:rPr>
                <w:webHidden/>
              </w:rPr>
              <w:t>12-9</w:t>
            </w:r>
            <w:r w:rsidR="00B00AEF">
              <w:rPr>
                <w:webHidden/>
              </w:rPr>
              <w:fldChar w:fldCharType="end"/>
            </w:r>
          </w:hyperlink>
        </w:p>
        <w:p w:rsidR="00B00AEF" w:rsidRDefault="00947BAA">
          <w:pPr>
            <w:pStyle w:val="TOC3"/>
            <w:rPr>
              <w:rFonts w:asciiTheme="minorHAnsi" w:eastAsiaTheme="minorEastAsia" w:hAnsiTheme="minorHAnsi"/>
              <w:lang w:eastAsia="en-AU"/>
            </w:rPr>
          </w:pPr>
          <w:hyperlink w:anchor="_Toc456603095" w:history="1">
            <w:r w:rsidR="00B00AEF" w:rsidRPr="000116E7">
              <w:rPr>
                <w:rStyle w:val="Hyperlink"/>
              </w:rPr>
              <w:t>Calculation and allocation of annual revenue</w:t>
            </w:r>
            <w:r w:rsidR="00B00AEF">
              <w:rPr>
                <w:webHidden/>
              </w:rPr>
              <w:tab/>
            </w:r>
            <w:r w:rsidR="00B00AEF">
              <w:rPr>
                <w:webHidden/>
              </w:rPr>
              <w:fldChar w:fldCharType="begin"/>
            </w:r>
            <w:r w:rsidR="00B00AEF">
              <w:rPr>
                <w:webHidden/>
              </w:rPr>
              <w:instrText xml:space="preserve"> PAGEREF _Toc456603095 \h </w:instrText>
            </w:r>
            <w:r w:rsidR="00B00AEF">
              <w:rPr>
                <w:webHidden/>
              </w:rPr>
            </w:r>
            <w:r w:rsidR="00B00AEF">
              <w:rPr>
                <w:webHidden/>
              </w:rPr>
              <w:fldChar w:fldCharType="separate"/>
            </w:r>
            <w:r w:rsidR="00B00AEF">
              <w:rPr>
                <w:webHidden/>
              </w:rPr>
              <w:t>12-9</w:t>
            </w:r>
            <w:r w:rsidR="00B00AEF">
              <w:rPr>
                <w:webHidden/>
              </w:rPr>
              <w:fldChar w:fldCharType="end"/>
            </w:r>
          </w:hyperlink>
        </w:p>
        <w:p w:rsidR="00B00AEF" w:rsidRDefault="00947BAA">
          <w:pPr>
            <w:pStyle w:val="TOC3"/>
            <w:rPr>
              <w:rFonts w:asciiTheme="minorHAnsi" w:eastAsiaTheme="minorEastAsia" w:hAnsiTheme="minorHAnsi"/>
              <w:lang w:eastAsia="en-AU"/>
            </w:rPr>
          </w:pPr>
          <w:hyperlink w:anchor="_Toc456603096" w:history="1">
            <w:r w:rsidR="00B00AEF" w:rsidRPr="000116E7">
              <w:rPr>
                <w:rStyle w:val="Hyperlink"/>
              </w:rPr>
              <w:t>Allocation of annual service revenue to network connection points</w:t>
            </w:r>
            <w:r w:rsidR="00B00AEF">
              <w:rPr>
                <w:webHidden/>
              </w:rPr>
              <w:tab/>
            </w:r>
            <w:r w:rsidR="00B00AEF">
              <w:rPr>
                <w:webHidden/>
              </w:rPr>
              <w:fldChar w:fldCharType="begin"/>
            </w:r>
            <w:r w:rsidR="00B00AEF">
              <w:rPr>
                <w:webHidden/>
              </w:rPr>
              <w:instrText xml:space="preserve"> PAGEREF _Toc456603096 \h </w:instrText>
            </w:r>
            <w:r w:rsidR="00B00AEF">
              <w:rPr>
                <w:webHidden/>
              </w:rPr>
            </w:r>
            <w:r w:rsidR="00B00AEF">
              <w:rPr>
                <w:webHidden/>
              </w:rPr>
              <w:fldChar w:fldCharType="separate"/>
            </w:r>
            <w:r w:rsidR="00B00AEF">
              <w:rPr>
                <w:webHidden/>
              </w:rPr>
              <w:t>12-10</w:t>
            </w:r>
            <w:r w:rsidR="00B00AEF">
              <w:rPr>
                <w:webHidden/>
              </w:rPr>
              <w:fldChar w:fldCharType="end"/>
            </w:r>
          </w:hyperlink>
        </w:p>
        <w:p w:rsidR="00B00AEF" w:rsidRDefault="00947BAA">
          <w:pPr>
            <w:pStyle w:val="TOC3"/>
            <w:rPr>
              <w:rFonts w:asciiTheme="minorHAnsi" w:eastAsiaTheme="minorEastAsia" w:hAnsiTheme="minorHAnsi"/>
              <w:lang w:eastAsia="en-AU"/>
            </w:rPr>
          </w:pPr>
          <w:hyperlink w:anchor="_Toc456603097" w:history="1">
            <w:r w:rsidR="00B00AEF" w:rsidRPr="000116E7">
              <w:rPr>
                <w:rStyle w:val="Hyperlink"/>
              </w:rPr>
              <w:t>Development of price structure</w:t>
            </w:r>
            <w:r w:rsidR="00B00AEF">
              <w:rPr>
                <w:webHidden/>
              </w:rPr>
              <w:tab/>
            </w:r>
            <w:r w:rsidR="00B00AEF">
              <w:rPr>
                <w:webHidden/>
              </w:rPr>
              <w:fldChar w:fldCharType="begin"/>
            </w:r>
            <w:r w:rsidR="00B00AEF">
              <w:rPr>
                <w:webHidden/>
              </w:rPr>
              <w:instrText xml:space="preserve"> PAGEREF _Toc456603097 \h </w:instrText>
            </w:r>
            <w:r w:rsidR="00B00AEF">
              <w:rPr>
                <w:webHidden/>
              </w:rPr>
            </w:r>
            <w:r w:rsidR="00B00AEF">
              <w:rPr>
                <w:webHidden/>
              </w:rPr>
              <w:fldChar w:fldCharType="separate"/>
            </w:r>
            <w:r w:rsidR="00B00AEF">
              <w:rPr>
                <w:webHidden/>
              </w:rPr>
              <w:t>12-11</w:t>
            </w:r>
            <w:r w:rsidR="00B00AEF">
              <w:rPr>
                <w:webHidden/>
              </w:rPr>
              <w:fldChar w:fldCharType="end"/>
            </w:r>
          </w:hyperlink>
        </w:p>
        <w:p w:rsidR="00B00AEF" w:rsidRDefault="00947BAA">
          <w:pPr>
            <w:pStyle w:val="TOC3"/>
            <w:rPr>
              <w:rFonts w:asciiTheme="minorHAnsi" w:eastAsiaTheme="minorEastAsia" w:hAnsiTheme="minorHAnsi"/>
              <w:lang w:eastAsia="en-AU"/>
            </w:rPr>
          </w:pPr>
          <w:hyperlink w:anchor="_Toc456603098" w:history="1">
            <w:r w:rsidR="00B00AEF" w:rsidRPr="000116E7">
              <w:rPr>
                <w:rStyle w:val="Hyperlink"/>
                <w14:scene3d>
                  <w14:camera w14:prst="orthographicFront"/>
                  <w14:lightRig w14:rig="threePt" w14:dir="t">
                    <w14:rot w14:lat="0" w14:lon="0" w14:rev="0"/>
                  </w14:lightRig>
                </w14:scene3d>
              </w:rPr>
              <w:t>12.4.2</w:t>
            </w:r>
            <w:r w:rsidR="00B00AEF">
              <w:rPr>
                <w:rFonts w:asciiTheme="minorHAnsi" w:eastAsiaTheme="minorEastAsia" w:hAnsiTheme="minorHAnsi"/>
                <w:lang w:eastAsia="en-AU"/>
              </w:rPr>
              <w:tab/>
            </w:r>
            <w:r w:rsidR="00B00AEF" w:rsidRPr="000116E7">
              <w:rPr>
                <w:rStyle w:val="Hyperlink"/>
              </w:rPr>
              <w:t>Assessment against the pricing methodology guidelines</w:t>
            </w:r>
            <w:r w:rsidR="00B00AEF">
              <w:rPr>
                <w:webHidden/>
              </w:rPr>
              <w:tab/>
            </w:r>
            <w:r w:rsidR="00B00AEF">
              <w:rPr>
                <w:webHidden/>
              </w:rPr>
              <w:fldChar w:fldCharType="begin"/>
            </w:r>
            <w:r w:rsidR="00B00AEF">
              <w:rPr>
                <w:webHidden/>
              </w:rPr>
              <w:instrText xml:space="preserve"> PAGEREF _Toc456603098 \h </w:instrText>
            </w:r>
            <w:r w:rsidR="00B00AEF">
              <w:rPr>
                <w:webHidden/>
              </w:rPr>
            </w:r>
            <w:r w:rsidR="00B00AEF">
              <w:rPr>
                <w:webHidden/>
              </w:rPr>
              <w:fldChar w:fldCharType="separate"/>
            </w:r>
            <w:r w:rsidR="00B00AEF">
              <w:rPr>
                <w:webHidden/>
              </w:rPr>
              <w:t>12-12</w:t>
            </w:r>
            <w:r w:rsidR="00B00AEF">
              <w:rPr>
                <w:webHidden/>
              </w:rPr>
              <w:fldChar w:fldCharType="end"/>
            </w:r>
          </w:hyperlink>
        </w:p>
        <w:p w:rsidR="00DE563D" w:rsidRDefault="00DE563D">
          <w:pPr>
            <w:spacing w:line="240" w:lineRule="auto"/>
          </w:pPr>
          <w:r>
            <w:fldChar w:fldCharType="end"/>
          </w:r>
        </w:p>
      </w:sdtContent>
    </w:sdt>
    <w:p w:rsidR="00DE563D" w:rsidRDefault="00C84560">
      <w:pPr>
        <w:spacing w:line="240" w:lineRule="auto"/>
      </w:pPr>
      <w:r>
        <w:t xml:space="preserve"> </w:t>
      </w:r>
    </w:p>
    <w:p w:rsidR="00DE563D" w:rsidRDefault="00DE563D" w:rsidP="00DE563D">
      <w:pPr>
        <w:pStyle w:val="UnnumberedHeading"/>
        <w:numPr>
          <w:ilvl w:val="0"/>
          <w:numId w:val="24"/>
        </w:numPr>
      </w:pPr>
      <w:bookmarkStart w:id="8" w:name="_Toc404700925"/>
      <w:bookmarkStart w:id="9" w:name="_Toc456603088"/>
      <w:r>
        <w:lastRenderedPageBreak/>
        <w:t>Shortened forms</w:t>
      </w:r>
      <w:bookmarkEnd w:id="8"/>
      <w:bookmarkEnd w:id="9"/>
    </w:p>
    <w:p w:rsidR="00DE563D" w:rsidRDefault="00DE563D" w:rsidP="00415F31"/>
    <w:tbl>
      <w:tblPr>
        <w:tblStyle w:val="AERtable-numbers"/>
        <w:tblW w:w="0" w:type="auto"/>
        <w:tblLook w:val="04A0" w:firstRow="1" w:lastRow="0" w:firstColumn="1" w:lastColumn="0" w:noHBand="0" w:noVBand="1"/>
      </w:tblPr>
      <w:tblGrid>
        <w:gridCol w:w="4340"/>
        <w:gridCol w:w="4353"/>
      </w:tblGrid>
      <w:tr w:rsidR="00415F31" w:rsidTr="00BD5D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Shortened form</w:t>
            </w:r>
          </w:p>
        </w:tc>
        <w:tc>
          <w:tcPr>
            <w:tcW w:w="4621" w:type="dxa"/>
          </w:tcPr>
          <w:p w:rsidR="00415F31" w:rsidRDefault="00415F31" w:rsidP="00415F31">
            <w:pPr>
              <w:numPr>
                <w:ilvl w:val="0"/>
                <w:numId w:val="25"/>
              </w:numPr>
              <w:spacing w:after="240" w:line="288" w:lineRule="auto"/>
              <w:jc w:val="both"/>
              <w:cnfStyle w:val="100000000000" w:firstRow="1" w:lastRow="0" w:firstColumn="0" w:lastColumn="0" w:oddVBand="0" w:evenVBand="0" w:oddHBand="0" w:evenHBand="0" w:firstRowFirstColumn="0" w:firstRowLastColumn="0" w:lastRowFirstColumn="0" w:lastRowLastColumn="0"/>
            </w:pPr>
            <w:r>
              <w:t>Extended form</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AARR</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AEMC</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AEMO</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Australian Energy Market Operator</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AER</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Regulator</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ASRR</w:t>
            </w:r>
          </w:p>
        </w:tc>
        <w:tc>
          <w:tcPr>
            <w:tcW w:w="4621" w:type="dxa"/>
          </w:tcPr>
          <w:p w:rsidR="00415F31" w:rsidRDefault="009D3906"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annual</w:t>
            </w:r>
            <w:r w:rsidR="00415F31">
              <w:t xml:space="preserve"> service revenue requirement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augex</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augmentation expenditure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capex</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CCP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Challenge Panel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CESS</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 sharing scheme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CPI</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price index</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DRP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debt risk premium</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EBSS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efficiency benefit sharing scheme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ERP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equity risk premium</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MAR</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maximum allowed revenue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MRP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market risk premium</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NEL</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law</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NEM</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market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NEO</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objective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NER</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rules</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NSP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network service provider</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lastRenderedPageBreak/>
              <w:t>NTSC</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negotiated transmission service criteria</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opex</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operating expenditure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PPI</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partial performance indicators</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PTRM</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post-tax revenue model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RAB</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asset base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RBA</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Reserve Bank of Australia</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repex</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replacement expenditure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RFM</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roll forward model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RIN</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information notice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RPP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 xml:space="preserve">revenue </w:t>
            </w:r>
            <w:r w:rsidR="002D72E8">
              <w:t xml:space="preserve">and </w:t>
            </w:r>
            <w:r>
              <w:t>pricing principles</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SLCAPM</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STPIS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TNSP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transmission network service provider</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TUoS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transmission use of system</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WACC</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415F31" w:rsidRPr="00271F7C" w:rsidRDefault="00415F31" w:rsidP="00415F31"/>
    <w:p w:rsidR="00DE563D" w:rsidRPr="00436A39" w:rsidRDefault="00DE563D" w:rsidP="00DE563D">
      <w:pPr>
        <w:numPr>
          <w:ilvl w:val="0"/>
          <w:numId w:val="25"/>
        </w:numPr>
      </w:pPr>
    </w:p>
    <w:p w:rsidR="00DE563D" w:rsidRDefault="00DE563D" w:rsidP="00DE563D"/>
    <w:p w:rsidR="00DE563D" w:rsidRDefault="006D3F5D" w:rsidP="006D3F5D">
      <w:pPr>
        <w:pStyle w:val="Heading1"/>
      </w:pPr>
      <w:bookmarkStart w:id="10" w:name="_Toc456603089"/>
      <w:r>
        <w:lastRenderedPageBreak/>
        <w:t>Pricing methodology</w:t>
      </w:r>
      <w:bookmarkEnd w:id="10"/>
    </w:p>
    <w:p w:rsidR="00D83FC7" w:rsidRPr="00073C7B" w:rsidRDefault="00D83FC7" w:rsidP="00D83FC7">
      <w:bookmarkStart w:id="11" w:name="_Toc403144136"/>
      <w:r w:rsidRPr="00073C7B">
        <w:t xml:space="preserve">This attachment is our </w:t>
      </w:r>
      <w:r>
        <w:t>draft</w:t>
      </w:r>
      <w:r w:rsidRPr="00073C7B">
        <w:t xml:space="preserve"> </w:t>
      </w:r>
      <w:r>
        <w:t>decision</w:t>
      </w:r>
      <w:r w:rsidRPr="00073C7B">
        <w:t xml:space="preserve"> on </w:t>
      </w:r>
      <w:r>
        <w:t>AusNet Services'</w:t>
      </w:r>
      <w:r w:rsidRPr="00073C7B">
        <w:t xml:space="preserve"> </w:t>
      </w:r>
      <w:r>
        <w:t>proposed</w:t>
      </w:r>
      <w:r w:rsidRPr="00073C7B">
        <w:t xml:space="preserve"> </w:t>
      </w:r>
      <w:r>
        <w:t>pricing methodology for the 2017–22</w:t>
      </w:r>
      <w:r w:rsidRPr="00073C7B">
        <w:t xml:space="preserve"> regulatory control period. </w:t>
      </w:r>
    </w:p>
    <w:p w:rsidR="00D83FC7" w:rsidRPr="00073C7B" w:rsidRDefault="00D83FC7" w:rsidP="00D83FC7">
      <w:r w:rsidRPr="00073C7B">
        <w:t>A pricing methodology must be specified as part of our transmission determination</w:t>
      </w:r>
      <w:r w:rsidRPr="00DE5D6D">
        <w:rPr>
          <w:rStyle w:val="FootnoteReference"/>
        </w:rPr>
        <w:footnoteReference w:id="1"/>
      </w:r>
      <w:r w:rsidRPr="00DE5D6D">
        <w:rPr>
          <w:rStyle w:val="FootnoteReference"/>
        </w:rPr>
        <w:t xml:space="preserve"> </w:t>
      </w:r>
      <w:r w:rsidRPr="00073C7B">
        <w:t>and answers the question ‘who should pay how much'</w:t>
      </w:r>
      <w:r w:rsidRPr="00DE5D6D">
        <w:rPr>
          <w:rStyle w:val="FootnoteReference"/>
        </w:rPr>
        <w:footnoteReference w:id="2"/>
      </w:r>
      <w:r w:rsidRPr="00DE5D6D">
        <w:rPr>
          <w:rStyle w:val="FootnoteReference"/>
        </w:rPr>
        <w:t xml:space="preserve"> </w:t>
      </w:r>
      <w:r w:rsidRPr="00073C7B">
        <w:t>in order for a transmission business to recover its</w:t>
      </w:r>
      <w:r w:rsidR="0056707A">
        <w:t xml:space="preserve"> efficient</w:t>
      </w:r>
      <w:r w:rsidRPr="00073C7B">
        <w:t xml:space="preserve"> costs. To do this, </w:t>
      </w:r>
      <w:r w:rsidR="0056707A">
        <w:t>the</w:t>
      </w:r>
      <w:r w:rsidR="0056707A" w:rsidRPr="00612E56">
        <w:t xml:space="preserve"> National</w:t>
      </w:r>
      <w:r w:rsidR="0056707A" w:rsidRPr="00D83FC7">
        <w:t xml:space="preserve"> </w:t>
      </w:r>
      <w:r w:rsidR="0056707A" w:rsidRPr="00612E56">
        <w:t xml:space="preserve">Electricity Rules (NER) </w:t>
      </w:r>
      <w:r w:rsidR="0056707A">
        <w:t xml:space="preserve">sets out that </w:t>
      </w:r>
      <w:r w:rsidRPr="00073C7B">
        <w:t>it must provide a 'methodology, formula, process or approach'</w:t>
      </w:r>
      <w:r w:rsidRPr="00DE5D6D">
        <w:rPr>
          <w:rStyle w:val="FootnoteReference"/>
        </w:rPr>
        <w:footnoteReference w:id="3"/>
      </w:r>
      <w:r w:rsidRPr="00DE5D6D">
        <w:rPr>
          <w:rStyle w:val="FootnoteReference"/>
        </w:rPr>
        <w:t xml:space="preserve"> </w:t>
      </w:r>
      <w:r w:rsidRPr="00073C7B">
        <w:t>that when applied:</w:t>
      </w:r>
    </w:p>
    <w:p w:rsidR="00D83FC7" w:rsidRDefault="00D83FC7" w:rsidP="00D83FC7">
      <w:pPr>
        <w:pStyle w:val="AERbulletlistfirststyle"/>
      </w:pPr>
      <w:r w:rsidRPr="00073C7B">
        <w:t>allocates the aggregate annual revenue requirement to the categories of prescribed transmission services</w:t>
      </w:r>
      <w:r>
        <w:t xml:space="preserve"> provided by the transmission business</w:t>
      </w:r>
      <w:r w:rsidRPr="00DE5D6D">
        <w:rPr>
          <w:rStyle w:val="FootnoteReference"/>
        </w:rPr>
        <w:footnoteReference w:id="4"/>
      </w:r>
    </w:p>
    <w:p w:rsidR="00D83FC7" w:rsidRPr="00073C7B" w:rsidRDefault="00D83FC7" w:rsidP="00D83FC7">
      <w:pPr>
        <w:pStyle w:val="AERbulletlistfirststyle"/>
      </w:pPr>
      <w:r>
        <w:t>provides the manner and sequence of adjustments to the annual service revenue requirement</w:t>
      </w:r>
      <w:r>
        <w:rPr>
          <w:rStyle w:val="FootnoteReference"/>
        </w:rPr>
        <w:footnoteReference w:id="5"/>
      </w:r>
      <w:r>
        <w:t xml:space="preserve"> and allocates that requirement to transmission connection points</w:t>
      </w:r>
      <w:r>
        <w:rPr>
          <w:rStyle w:val="FootnoteReference"/>
        </w:rPr>
        <w:footnoteReference w:id="6"/>
      </w:r>
      <w:r w:rsidRPr="00DE5D6D">
        <w:rPr>
          <w:rStyle w:val="FootnoteReference"/>
        </w:rPr>
        <w:t xml:space="preserve"> </w:t>
      </w:r>
    </w:p>
    <w:p w:rsidR="00D83FC7" w:rsidRPr="00073C7B" w:rsidRDefault="00D83FC7" w:rsidP="00D83FC7">
      <w:pPr>
        <w:pStyle w:val="AERbulletlistfirststyle"/>
      </w:pPr>
      <w:r w:rsidRPr="00073C7B">
        <w:t>determines the structure of prices that a transmission business may charge for each category of prescribed transmission services.</w:t>
      </w:r>
      <w:r w:rsidRPr="00DE5D6D">
        <w:rPr>
          <w:rStyle w:val="FootnoteReference"/>
        </w:rPr>
        <w:footnoteReference w:id="7"/>
      </w:r>
      <w:r w:rsidRPr="00DE5D6D">
        <w:rPr>
          <w:rStyle w:val="FootnoteReference"/>
        </w:rPr>
        <w:t xml:space="preserve">  </w:t>
      </w:r>
    </w:p>
    <w:p w:rsidR="00D83FC7" w:rsidRPr="00D83FC7" w:rsidRDefault="00D83FC7" w:rsidP="00D83FC7">
      <w:pPr>
        <w:pStyle w:val="AERbulletlistfirststyle"/>
        <w:numPr>
          <w:ilvl w:val="0"/>
          <w:numId w:val="0"/>
        </w:numPr>
      </w:pPr>
      <w:r>
        <w:t>AusNet Services</w:t>
      </w:r>
      <w:r w:rsidR="00081185">
        <w:t>'</w:t>
      </w:r>
      <w:r w:rsidRPr="00D83FC7">
        <w:t xml:space="preserve"> proposed pricing methodology addresses only the pricing matters for which it has responsibility.</w:t>
      </w:r>
      <w:r w:rsidRPr="00D83FC7">
        <w:rPr>
          <w:rStyle w:val="FootnoteReference"/>
        </w:rPr>
        <w:footnoteReference w:id="8"/>
      </w:r>
      <w:r w:rsidRPr="00D83FC7">
        <w:t xml:space="preserve"> These are prescribed entry and exit services. In Victoria, the pricing of all other prescribed transmission services is the responsibility of the Australian Energy Market Operator (AEMO).</w:t>
      </w:r>
      <w:r w:rsidRPr="00D83FC7">
        <w:rPr>
          <w:rStyle w:val="FootnoteReference"/>
        </w:rPr>
        <w:footnoteReference w:id="9"/>
      </w:r>
      <w:r w:rsidRPr="00D83FC7">
        <w:t xml:space="preserve"> AEMO is also the co-ordinating network service provider in Victoria. It is therefore responsible for allocating the aggregate annual revenue requirement (AARR) for all transmission businesses in the region including AusNet Services.</w:t>
      </w:r>
      <w:r w:rsidRPr="00D83FC7">
        <w:rPr>
          <w:rStyle w:val="FootnoteReference"/>
        </w:rPr>
        <w:footnoteReference w:id="10"/>
      </w:r>
    </w:p>
    <w:p w:rsidR="00DE563D" w:rsidRPr="001754EE" w:rsidRDefault="00D83FC7" w:rsidP="001754EE">
      <w:pPr>
        <w:pStyle w:val="Heading2"/>
      </w:pPr>
      <w:bookmarkStart w:id="12" w:name="_Toc456603090"/>
      <w:r>
        <w:t>Draft</w:t>
      </w:r>
      <w:r w:rsidR="00DE563D" w:rsidRPr="001754EE">
        <w:t xml:space="preserve"> decision</w:t>
      </w:r>
      <w:bookmarkEnd w:id="11"/>
      <w:bookmarkEnd w:id="12"/>
    </w:p>
    <w:p w:rsidR="00D83FC7" w:rsidRPr="00D83FC7" w:rsidRDefault="00D83FC7" w:rsidP="00D83FC7">
      <w:pPr>
        <w:rPr>
          <w:lang w:val="en-US"/>
        </w:rPr>
      </w:pPr>
      <w:bookmarkStart w:id="13" w:name="_Toc403144137"/>
      <w:r w:rsidRPr="00D83FC7">
        <w:rPr>
          <w:lang w:val="en-US"/>
        </w:rPr>
        <w:t xml:space="preserve">We approve </w:t>
      </w:r>
      <w:r w:rsidRPr="00D83FC7">
        <w:t>AusNet Services' proposed</w:t>
      </w:r>
      <w:r w:rsidRPr="00D83FC7">
        <w:rPr>
          <w:lang w:val="en-US"/>
        </w:rPr>
        <w:t xml:space="preserve"> pricing methodology for the 201</w:t>
      </w:r>
      <w:r w:rsidRPr="00D83FC7">
        <w:t>7</w:t>
      </w:r>
      <w:r w:rsidRPr="00D83FC7">
        <w:rPr>
          <w:lang w:val="en-US"/>
        </w:rPr>
        <w:t>–</w:t>
      </w:r>
      <w:r w:rsidRPr="00D83FC7">
        <w:t>22</w:t>
      </w:r>
      <w:r w:rsidRPr="00D83FC7">
        <w:rPr>
          <w:lang w:val="en-US"/>
        </w:rPr>
        <w:t xml:space="preserve"> regulatory control</w:t>
      </w:r>
      <w:r w:rsidRPr="00D83FC7">
        <w:t xml:space="preserve"> </w:t>
      </w:r>
      <w:r w:rsidRPr="00D83FC7">
        <w:rPr>
          <w:lang w:val="en-US"/>
        </w:rPr>
        <w:t>period. As required, the proposed methodology gives effect to the pricing principles in the NER and complies with the requirements of the pricing methodology</w:t>
      </w:r>
      <w:r w:rsidRPr="00D83FC7">
        <w:t xml:space="preserve"> </w:t>
      </w:r>
      <w:r w:rsidRPr="00D83FC7">
        <w:rPr>
          <w:lang w:val="en-US"/>
        </w:rPr>
        <w:t>guidelines.</w:t>
      </w:r>
      <w:r w:rsidRPr="00D83FC7">
        <w:rPr>
          <w:rStyle w:val="FootnoteReference"/>
          <w:lang w:val="en-US"/>
        </w:rPr>
        <w:footnoteReference w:id="11"/>
      </w:r>
    </w:p>
    <w:p w:rsidR="00492389" w:rsidRDefault="00492389" w:rsidP="00C26737">
      <w:pPr>
        <w:pStyle w:val="AERtablesource"/>
      </w:pPr>
    </w:p>
    <w:p w:rsidR="00DE563D" w:rsidRPr="001754EE" w:rsidRDefault="000B321F" w:rsidP="001754EE">
      <w:pPr>
        <w:pStyle w:val="Heading2"/>
      </w:pPr>
      <w:bookmarkStart w:id="14" w:name="_Toc456603091"/>
      <w:r>
        <w:lastRenderedPageBreak/>
        <w:t>AusNet Services</w:t>
      </w:r>
      <w:r w:rsidR="00415F31" w:rsidRPr="001754EE">
        <w:t>’</w:t>
      </w:r>
      <w:r w:rsidR="00DE563D" w:rsidRPr="001754EE">
        <w:t xml:space="preserve"> proposal</w:t>
      </w:r>
      <w:bookmarkEnd w:id="13"/>
      <w:bookmarkEnd w:id="14"/>
    </w:p>
    <w:p w:rsidR="00D83FC7" w:rsidRDefault="00D83FC7" w:rsidP="00FE55BF">
      <w:r w:rsidRPr="00D83FC7">
        <w:t xml:space="preserve">On </w:t>
      </w:r>
      <w:r>
        <w:t>30</w:t>
      </w:r>
      <w:r w:rsidRPr="00D83FC7">
        <w:t xml:space="preserve"> </w:t>
      </w:r>
      <w:r>
        <w:t>October 2015</w:t>
      </w:r>
      <w:r w:rsidRPr="00D83FC7">
        <w:t xml:space="preserve">, </w:t>
      </w:r>
      <w:r>
        <w:t>AusNet Services</w:t>
      </w:r>
      <w:r w:rsidRPr="00D83FC7">
        <w:t xml:space="preserve"> submitted its proposed pricing methodology. </w:t>
      </w:r>
    </w:p>
    <w:p w:rsidR="00D83FC7" w:rsidRDefault="00D83FC7" w:rsidP="00FE55BF">
      <w:r>
        <w:t>AusNet Services stated that its</w:t>
      </w:r>
      <w:r w:rsidR="00316761">
        <w:t xml:space="preserve"> proposal</w:t>
      </w:r>
      <w:r>
        <w:t xml:space="preserve"> is 'identical to that approved for the current regulatory control period'.</w:t>
      </w:r>
      <w:r>
        <w:rPr>
          <w:rStyle w:val="FootnoteReference"/>
        </w:rPr>
        <w:footnoteReference w:id="12"/>
      </w:r>
      <w:r>
        <w:t xml:space="preserve"> That is, </w:t>
      </w:r>
      <w:r w:rsidR="00770D19">
        <w:t>AusNet Services</w:t>
      </w:r>
      <w:r>
        <w:t xml:space="preserve"> </w:t>
      </w:r>
      <w:r w:rsidR="00770D19">
        <w:t>is not proposing to introduce any new or amended pricing arrangements in the 2017–22 regulatory control period.</w:t>
      </w:r>
    </w:p>
    <w:p w:rsidR="000B321F" w:rsidRDefault="00770D19" w:rsidP="00FE55BF">
      <w:r>
        <w:t>When considering its proposed pricing methodology, AusNet Services stated that it is important to note that the transmission arrangements in Victoria differ from those in other states.</w:t>
      </w:r>
      <w:r w:rsidR="00081185">
        <w:rPr>
          <w:rStyle w:val="FootnoteReference"/>
        </w:rPr>
        <w:footnoteReference w:id="13"/>
      </w:r>
      <w:r>
        <w:t xml:space="preserve"> </w:t>
      </w:r>
      <w:r w:rsidR="00D83FC7" w:rsidRPr="00D83FC7">
        <w:t xml:space="preserve">Under these arrangements, </w:t>
      </w:r>
      <w:r>
        <w:t>AusNet Services</w:t>
      </w:r>
      <w:r w:rsidR="00D83FC7" w:rsidRPr="00D83FC7">
        <w:t xml:space="preserve"> owns and operates the majority of the declared shared transmission network. But, unlike other similar network operators in the</w:t>
      </w:r>
      <w:r>
        <w:t xml:space="preserve"> </w:t>
      </w:r>
      <w:r w:rsidR="0056707A">
        <w:t>N</w:t>
      </w:r>
      <w:r>
        <w:t xml:space="preserve">ational </w:t>
      </w:r>
      <w:r w:rsidR="0056707A">
        <w:t>E</w:t>
      </w:r>
      <w:r>
        <w:t xml:space="preserve">lectricity </w:t>
      </w:r>
      <w:r w:rsidR="0056707A">
        <w:t>M</w:t>
      </w:r>
      <w:r>
        <w:t>arket</w:t>
      </w:r>
      <w:r w:rsidR="00D83FC7" w:rsidRPr="00D83FC7">
        <w:t xml:space="preserve"> </w:t>
      </w:r>
      <w:r>
        <w:t>(</w:t>
      </w:r>
      <w:r w:rsidR="00D83FC7" w:rsidRPr="00D83FC7">
        <w:t>NEM</w:t>
      </w:r>
      <w:r>
        <w:t>), AusNet Services</w:t>
      </w:r>
      <w:r w:rsidR="00D83FC7" w:rsidRPr="00D83FC7">
        <w:t xml:space="preserve"> does not have pricing responsibility for all transmission services in the region. Given this, </w:t>
      </w:r>
      <w:r>
        <w:t>AusNet Services</w:t>
      </w:r>
      <w:r w:rsidR="00D83FC7" w:rsidRPr="00D83FC7">
        <w:t xml:space="preserve"> proposed its pricing methodology should address only the pricing matters for which it has responsibility.  These are prescribed entry services and prescribed exit services.</w:t>
      </w:r>
      <w:r>
        <w:t xml:space="preserve"> This is the same approach which was taken with respect to AusNet Services' approved 2014–17 pricing methodology.</w:t>
      </w:r>
    </w:p>
    <w:p w:rsidR="00DE563D" w:rsidRDefault="00DE563D" w:rsidP="001754EE">
      <w:pPr>
        <w:pStyle w:val="Heading2"/>
      </w:pPr>
      <w:bookmarkStart w:id="15" w:name="_Toc403144138"/>
      <w:bookmarkStart w:id="16" w:name="_Toc456603092"/>
      <w:r w:rsidRPr="001754EE">
        <w:t>AER’s</w:t>
      </w:r>
      <w:r>
        <w:t xml:space="preserve"> assessment approach</w:t>
      </w:r>
      <w:bookmarkEnd w:id="15"/>
      <w:bookmarkEnd w:id="16"/>
    </w:p>
    <w:p w:rsidR="00770D19" w:rsidRPr="00770D19" w:rsidRDefault="00770D19" w:rsidP="00770D19">
      <w:r w:rsidRPr="00D10CD6">
        <w:t>We must approve a proposed pricing method</w:t>
      </w:r>
      <w:r w:rsidRPr="00770D19">
        <w:t>ology if satisfied that it:</w:t>
      </w:r>
    </w:p>
    <w:p w:rsidR="00770D19" w:rsidRPr="00770D19" w:rsidRDefault="00770D19" w:rsidP="00770D19">
      <w:pPr>
        <w:pStyle w:val="AERbulletlistfirststyle"/>
      </w:pPr>
      <w:r w:rsidRPr="00D10CD6">
        <w:t>gives effect to, and complies with, the pricing principles for prescribed transmission services</w:t>
      </w:r>
      <w:r w:rsidRPr="00770D19">
        <w:rPr>
          <w:rStyle w:val="FootnoteReference"/>
        </w:rPr>
        <w:footnoteReference w:id="14"/>
      </w:r>
    </w:p>
    <w:p w:rsidR="00770D19" w:rsidRPr="00770D19" w:rsidRDefault="00770D19" w:rsidP="00770D19">
      <w:pPr>
        <w:pStyle w:val="AERbulletlistfirststyle"/>
      </w:pPr>
      <w:r w:rsidRPr="00D10CD6">
        <w:t xml:space="preserve">complies with the information requirements of the pricing method </w:t>
      </w:r>
      <w:r w:rsidRPr="00770D19">
        <w:t>guidelines.</w:t>
      </w:r>
      <w:r w:rsidRPr="00770D19">
        <w:rPr>
          <w:rStyle w:val="FootnoteReference"/>
        </w:rPr>
        <w:footnoteReference w:id="15"/>
      </w:r>
      <w:r w:rsidRPr="00770D19">
        <w:t xml:space="preserve"> </w:t>
      </w:r>
    </w:p>
    <w:p w:rsidR="00770D19" w:rsidRPr="00A646F8" w:rsidRDefault="00770D19" w:rsidP="00770D19">
      <w:r w:rsidRPr="00D10CD6">
        <w:t>In making our assessment</w:t>
      </w:r>
      <w:r w:rsidRPr="00C32C71">
        <w:t>, we agree the transmission arrangements in Victoria need to be considered.</w:t>
      </w:r>
      <w:r>
        <w:t xml:space="preserve"> </w:t>
      </w:r>
      <w:r w:rsidRPr="00A646F8">
        <w:t xml:space="preserve">In Victoria, ownership and planning of the electricity transmission network is split. Ownership rests with </w:t>
      </w:r>
      <w:r>
        <w:t xml:space="preserve">the </w:t>
      </w:r>
      <w:r w:rsidRPr="00A646F8">
        <w:t>declared transmission system operators (DTSOs</w:t>
      </w:r>
      <w:r>
        <w:t xml:space="preserve">). Of these, </w:t>
      </w:r>
      <w:r w:rsidR="00DD03BA">
        <w:t>AusNet Services</w:t>
      </w:r>
      <w:r>
        <w:t xml:space="preserve"> is the largest.</w:t>
      </w:r>
      <w:r w:rsidR="00956C6E">
        <w:rPr>
          <w:rStyle w:val="FootnoteReference"/>
        </w:rPr>
        <w:footnoteReference w:id="16"/>
      </w:r>
      <w:r>
        <w:t xml:space="preserve"> Planning </w:t>
      </w:r>
      <w:r w:rsidRPr="00A646F8">
        <w:t>is</w:t>
      </w:r>
      <w:r>
        <w:t xml:space="preserve"> the responsibility of </w:t>
      </w:r>
      <w:r w:rsidR="00316761">
        <w:t>AEMO.</w:t>
      </w:r>
      <w:r w:rsidRPr="00A646F8">
        <w:t xml:space="preserve"> </w:t>
      </w:r>
      <w:r w:rsidR="00316761">
        <w:t>Its</w:t>
      </w:r>
      <w:r w:rsidRPr="00A646F8">
        <w:t xml:space="preserve"> objective</w:t>
      </w:r>
      <w:r>
        <w:t xml:space="preserve"> </w:t>
      </w:r>
      <w:r w:rsidRPr="00A646F8">
        <w:t>as a planner is to ensure that the transmission network operate</w:t>
      </w:r>
      <w:r>
        <w:t>s</w:t>
      </w:r>
      <w:r w:rsidRPr="00A646F8">
        <w:t xml:space="preserve"> within the security and performance obligations set out in schedules 5.1a and 5.1 of the NER. AEMO bases its investment decisions on cost benefit analysis and considers the long term interests of electricity consumers.</w:t>
      </w:r>
      <w:r>
        <w:rPr>
          <w:rStyle w:val="FootnoteReference"/>
        </w:rPr>
        <w:footnoteReference w:id="17"/>
      </w:r>
    </w:p>
    <w:p w:rsidR="000B321F" w:rsidRDefault="00770D19" w:rsidP="002C233C">
      <w:r w:rsidRPr="00A646F8">
        <w:t xml:space="preserve">In addition to its role as planner, AEMO is responsible for managing certain services in Victoria. Prescribed transmission services consist of four types. </w:t>
      </w:r>
      <w:r w:rsidR="002C2B65">
        <w:fldChar w:fldCharType="begin"/>
      </w:r>
      <w:r w:rsidR="002C2B65">
        <w:instrText xml:space="preserve"> REF _Ref452459691 \h </w:instrText>
      </w:r>
      <w:r w:rsidR="002C2B65">
        <w:fldChar w:fldCharType="separate"/>
      </w:r>
      <w:r w:rsidR="006A189F">
        <w:t xml:space="preserve">Figure </w:t>
      </w:r>
      <w:r w:rsidR="006A189F">
        <w:rPr>
          <w:noProof/>
        </w:rPr>
        <w:t>12</w:t>
      </w:r>
      <w:r w:rsidR="006A189F">
        <w:t>.</w:t>
      </w:r>
      <w:r w:rsidR="006A189F">
        <w:rPr>
          <w:noProof/>
        </w:rPr>
        <w:t>1</w:t>
      </w:r>
      <w:r w:rsidR="002C2B65">
        <w:fldChar w:fldCharType="end"/>
      </w:r>
      <w:r w:rsidR="002C2B65">
        <w:t xml:space="preserve"> </w:t>
      </w:r>
      <w:r w:rsidRPr="00A646F8">
        <w:t xml:space="preserve">shows each of these and </w:t>
      </w:r>
      <w:r w:rsidR="00CB362B">
        <w:t xml:space="preserve">the </w:t>
      </w:r>
      <w:r w:rsidRPr="00A646F8">
        <w:t xml:space="preserve">delineation between the services </w:t>
      </w:r>
      <w:r w:rsidR="002C2B65">
        <w:t>AusNet Services</w:t>
      </w:r>
      <w:r w:rsidRPr="00A646F8">
        <w:t xml:space="preserve"> and AEMO manage. </w:t>
      </w:r>
      <w:r w:rsidR="002C2B65">
        <w:t>AusNet Services</w:t>
      </w:r>
      <w:r w:rsidRPr="00A646F8">
        <w:t xml:space="preserve"> manages connection services. </w:t>
      </w:r>
      <w:r w:rsidR="0056707A">
        <w:t>As mentioned, these</w:t>
      </w:r>
      <w:r w:rsidR="0056707A" w:rsidRPr="00A646F8">
        <w:t xml:space="preserve"> </w:t>
      </w:r>
      <w:r w:rsidRPr="00A646F8">
        <w:t xml:space="preserve">are </w:t>
      </w:r>
      <w:r w:rsidRPr="00A646F8">
        <w:lastRenderedPageBreak/>
        <w:t>prescribed entry services and prescribed exit services.  AEMO is responsible for shared transmission services, nam</w:t>
      </w:r>
      <w:r w:rsidR="008E2CBF">
        <w:t>ely TUOS</w:t>
      </w:r>
      <w:r w:rsidRPr="00A646F8">
        <w:t xml:space="preserve"> services and common transmission services. Prescribed TUOS services provide different benefits to transmission customers depending on their location within the transmission system.</w:t>
      </w:r>
      <w:r>
        <w:rPr>
          <w:rStyle w:val="FootnoteReference"/>
        </w:rPr>
        <w:footnoteReference w:id="18"/>
      </w:r>
      <w:r w:rsidRPr="00A646F8">
        <w:t xml:space="preserve"> Prescribed common transmission services provide equivalent benefits to all transmission customers without any differ</w:t>
      </w:r>
      <w:r>
        <w:t xml:space="preserve">entiation based on </w:t>
      </w:r>
      <w:r w:rsidRPr="00A646F8">
        <w:t>their location.</w:t>
      </w:r>
      <w:r>
        <w:rPr>
          <w:rStyle w:val="FootnoteReference"/>
        </w:rPr>
        <w:footnoteReference w:id="19"/>
      </w:r>
    </w:p>
    <w:p w:rsidR="002C2B65" w:rsidRDefault="002C2B65" w:rsidP="002C2B65">
      <w:pPr>
        <w:pStyle w:val="Caption"/>
      </w:pPr>
      <w:bookmarkStart w:id="17" w:name="_Ref452459691"/>
      <w:r>
        <w:t xml:space="preserve">Figure </w:t>
      </w:r>
      <w:fldSimple w:instr=" STYLEREF 1 \s ">
        <w:r w:rsidR="006A189F">
          <w:rPr>
            <w:noProof/>
          </w:rPr>
          <w:t>12</w:t>
        </w:r>
      </w:fldSimple>
      <w:r>
        <w:t>.</w:t>
      </w:r>
      <w:fldSimple w:instr=" SEQ Figure \* ARABIC \s 1 ">
        <w:r w:rsidR="006A189F">
          <w:rPr>
            <w:noProof/>
          </w:rPr>
          <w:t>1</w:t>
        </w:r>
      </w:fldSimple>
      <w:bookmarkEnd w:id="17"/>
      <w:r>
        <w:tab/>
        <w:t>Transmission pricing responsibilities in Victoria</w:t>
      </w:r>
    </w:p>
    <w:p w:rsidR="005B05B6" w:rsidRDefault="00855630" w:rsidP="002C233C">
      <w:r w:rsidRPr="00855630">
        <w:rPr>
          <w:noProof/>
          <w:lang w:eastAsia="en-AU"/>
        </w:rPr>
        <w:drawing>
          <wp:inline distT="0" distB="0" distL="0" distR="0" wp14:anchorId="3BE56DAA" wp14:editId="6BACEF38">
            <wp:extent cx="5381625" cy="58483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9477F1.tmp"/>
                    <pic:cNvPicPr/>
                  </pic:nvPicPr>
                  <pic:blipFill>
                    <a:blip r:embed="rId18">
                      <a:extLst>
                        <a:ext uri="{28A0092B-C50C-407E-A947-70E740481C1C}">
                          <a14:useLocalDpi xmlns:a14="http://schemas.microsoft.com/office/drawing/2010/main" val="0"/>
                        </a:ext>
                      </a:extLst>
                    </a:blip>
                    <a:stretch>
                      <a:fillRect/>
                    </a:stretch>
                  </pic:blipFill>
                  <pic:spPr>
                    <a:xfrm>
                      <a:off x="0" y="0"/>
                      <a:ext cx="5382895" cy="5849730"/>
                    </a:xfrm>
                    <a:prstGeom prst="rect">
                      <a:avLst/>
                    </a:prstGeom>
                  </pic:spPr>
                </pic:pic>
              </a:graphicData>
            </a:graphic>
          </wp:inline>
        </w:drawing>
      </w:r>
    </w:p>
    <w:p w:rsidR="002C2B65" w:rsidRDefault="002C2B65" w:rsidP="002C2B65">
      <w:pPr>
        <w:pStyle w:val="AERtablesource"/>
      </w:pPr>
      <w:bookmarkStart w:id="18" w:name="_Toc403144140"/>
      <w:r>
        <w:lastRenderedPageBreak/>
        <w:t xml:space="preserve">Source: </w:t>
      </w:r>
      <w:r>
        <w:tab/>
        <w:t xml:space="preserve">AER analysis; </w:t>
      </w:r>
      <w:r w:rsidR="00943764">
        <w:t xml:space="preserve">AusNet Services, </w:t>
      </w:r>
      <w:r w:rsidR="00943764" w:rsidRPr="00943764">
        <w:rPr>
          <w:rStyle w:val="AERtextitalic"/>
        </w:rPr>
        <w:t>Revenue proposal, Appendix 14A: Pricing methodology</w:t>
      </w:r>
      <w:r w:rsidR="00943764">
        <w:t>, October 2015</w:t>
      </w:r>
      <w:r w:rsidRPr="002C2B65">
        <w:t xml:space="preserve">, p. </w:t>
      </w:r>
      <w:r>
        <w:t>17</w:t>
      </w:r>
      <w:r w:rsidRPr="002C2B65">
        <w:t>.</w:t>
      </w:r>
    </w:p>
    <w:p w:rsidR="00523C2A" w:rsidRPr="00523C2A" w:rsidRDefault="00523C2A" w:rsidP="00523C2A">
      <w:pPr>
        <w:numPr>
          <w:ilvl w:val="0"/>
          <w:numId w:val="24"/>
        </w:numPr>
      </w:pPr>
      <w:r w:rsidRPr="00523C2A">
        <w:t xml:space="preserve">The transmission arrangements in Victoria affect </w:t>
      </w:r>
      <w:r w:rsidR="00BA581C">
        <w:t>AusNet Services'</w:t>
      </w:r>
      <w:r w:rsidRPr="00523C2A">
        <w:t xml:space="preserve"> pricing responsibilities. </w:t>
      </w:r>
      <w:r w:rsidR="00BA581C">
        <w:t>AusNet Services</w:t>
      </w:r>
      <w:r w:rsidRPr="00523C2A">
        <w:t xml:space="preserve"> has pricing responsibility for prescribed entry services and prescribed exit services only. Taking this into account we determined that </w:t>
      </w:r>
      <w:r w:rsidR="00BA581C">
        <w:t>AusNet Services</w:t>
      </w:r>
      <w:r w:rsidRPr="00523C2A">
        <w:t xml:space="preserve"> proposed pricing methodology could be approved if it only addressed those connection services. </w:t>
      </w:r>
      <w:r w:rsidR="00BA581C">
        <w:t xml:space="preserve">This is consistent with our assessment of AusNet Services current 2014–17 pricing methodology. </w:t>
      </w:r>
      <w:r w:rsidRPr="00523C2A">
        <w:t xml:space="preserve">The services for which </w:t>
      </w:r>
      <w:r w:rsidR="00BA581C">
        <w:t xml:space="preserve">AusNet Services </w:t>
      </w:r>
      <w:r w:rsidRPr="00523C2A">
        <w:t>does not have pricing responsibility—TUOS services and common transmission services—</w:t>
      </w:r>
      <w:r w:rsidR="00BA581C">
        <w:t>are</w:t>
      </w:r>
      <w:r w:rsidRPr="00523C2A">
        <w:t xml:space="preserve"> addressed by A</w:t>
      </w:r>
      <w:r w:rsidR="00BA581C">
        <w:t>EMO's 2014–19 pricing methodology.</w:t>
      </w:r>
      <w:r w:rsidR="00BA581C">
        <w:rPr>
          <w:rStyle w:val="FootnoteReference"/>
        </w:rPr>
        <w:footnoteReference w:id="20"/>
      </w:r>
    </w:p>
    <w:p w:rsidR="00DE563D" w:rsidRDefault="00DE563D" w:rsidP="001754EE">
      <w:pPr>
        <w:pStyle w:val="Heading2"/>
      </w:pPr>
      <w:bookmarkStart w:id="19" w:name="_Toc456603093"/>
      <w:r w:rsidRPr="001754EE">
        <w:t>Reasons</w:t>
      </w:r>
      <w:r>
        <w:t xml:space="preserve"> for </w:t>
      </w:r>
      <w:r w:rsidR="000B321F">
        <w:t>draft</w:t>
      </w:r>
      <w:r>
        <w:t xml:space="preserve"> decision</w:t>
      </w:r>
      <w:bookmarkEnd w:id="18"/>
      <w:bookmarkEnd w:id="19"/>
      <w:r>
        <w:t xml:space="preserve"> </w:t>
      </w:r>
    </w:p>
    <w:p w:rsidR="000B321F" w:rsidRDefault="00BA581C" w:rsidP="00540418">
      <w:pPr>
        <w:rPr>
          <w:rStyle w:val="AERbody"/>
        </w:rPr>
      </w:pPr>
      <w:r>
        <w:rPr>
          <w:rStyle w:val="AERbody"/>
        </w:rPr>
        <w:t xml:space="preserve">We accept AusNet Services proposed pricing methodology. It is the same pricing methodology </w:t>
      </w:r>
      <w:r w:rsidR="00210BDC">
        <w:rPr>
          <w:rStyle w:val="AERbody"/>
        </w:rPr>
        <w:t xml:space="preserve">we approved for AusNet Services' </w:t>
      </w:r>
      <w:r>
        <w:rPr>
          <w:rStyle w:val="AERbody"/>
        </w:rPr>
        <w:t>2014–17 regulatory control period. We also determine that AusNet Services' proposal meets each of the pricing principles and pricing methodology guidelines requirements that are relevant to its responsibility for connection services.</w:t>
      </w:r>
    </w:p>
    <w:p w:rsidR="00210BDC" w:rsidRPr="00210BDC" w:rsidRDefault="00210BDC" w:rsidP="00210BDC">
      <w:pPr>
        <w:pStyle w:val="Heading3"/>
      </w:pPr>
      <w:bookmarkStart w:id="20" w:name="_Toc456603094"/>
      <w:r w:rsidRPr="00210BDC">
        <w:rPr>
          <w:rStyle w:val="AERbody"/>
          <w:color w:val="70635A" w:themeColor="text2"/>
          <w:sz w:val="28"/>
        </w:rPr>
        <w:t>Assessment against the pricing principles</w:t>
      </w:r>
      <w:bookmarkEnd w:id="20"/>
    </w:p>
    <w:p w:rsidR="00210BDC" w:rsidRPr="00210BDC" w:rsidRDefault="00210BDC" w:rsidP="00210BDC">
      <w:r w:rsidRPr="00210BDC">
        <w:t xml:space="preserve">In considering </w:t>
      </w:r>
      <w:r>
        <w:t xml:space="preserve">AusNet Services' </w:t>
      </w:r>
      <w:r w:rsidRPr="00210BDC">
        <w:t xml:space="preserve">proposed pricing methodology against the requirements of the pricing principles, we addressed only those principles that are relevant to </w:t>
      </w:r>
      <w:r>
        <w:t>its</w:t>
      </w:r>
      <w:r w:rsidRPr="00210BDC">
        <w:t xml:space="preserve"> transmission pricing responsibilities. We consider this approach is appropriate, because the pricing principles are intended to provide scope for TNSPs to develop pricing arrangements that address their operating circumstances.</w:t>
      </w:r>
      <w:r w:rsidRPr="00210BDC">
        <w:rPr>
          <w:rStyle w:val="FootnoteReference"/>
        </w:rPr>
        <w:footnoteReference w:id="21"/>
      </w:r>
      <w:r w:rsidRPr="00210BDC">
        <w:t xml:space="preserve"> </w:t>
      </w:r>
    </w:p>
    <w:p w:rsidR="00210BDC" w:rsidRPr="00210BDC" w:rsidRDefault="00210BDC" w:rsidP="00210BDC">
      <w:pPr>
        <w:pStyle w:val="HeadingBoldBlue"/>
      </w:pPr>
      <w:bookmarkStart w:id="21" w:name="_Toc456603095"/>
      <w:r w:rsidRPr="00210BDC">
        <w:t>Calculation and allocation of annual revenue</w:t>
      </w:r>
      <w:bookmarkEnd w:id="21"/>
    </w:p>
    <w:p w:rsidR="00210BDC" w:rsidRDefault="00210BDC" w:rsidP="00210BDC">
      <w:r w:rsidRPr="00210BDC">
        <w:t xml:space="preserve">We assessed how </w:t>
      </w:r>
      <w:r w:rsidR="004E1F95">
        <w:t>AusNet Services'</w:t>
      </w:r>
      <w:r w:rsidRPr="00210BDC">
        <w:t xml:space="preserve"> proposed pricing methodology calculates and allocates its aggregate annual revenue requirement (AARR). The AARR is derived from an adjustment </w:t>
      </w:r>
      <w:r w:rsidR="004E1F95">
        <w:t xml:space="preserve">made </w:t>
      </w:r>
      <w:r w:rsidRPr="00210BDC">
        <w:t xml:space="preserve">to the maximum allowed revenue (MAR) that we approve in </w:t>
      </w:r>
      <w:r w:rsidR="004E1F95">
        <w:t>AusNet Services'</w:t>
      </w:r>
      <w:r w:rsidRPr="00210BDC">
        <w:t xml:space="preserve"> transmission determination. That adjustment must accord with the method prescribed under clause 6A.3.2 of the NER</w:t>
      </w:r>
      <w:r w:rsidR="00316761">
        <w:t xml:space="preserve">. </w:t>
      </w:r>
      <w:r w:rsidR="00316761">
        <w:fldChar w:fldCharType="begin"/>
      </w:r>
      <w:r w:rsidR="00316761">
        <w:instrText xml:space="preserve"> REF _Ref452468104 \h </w:instrText>
      </w:r>
      <w:r w:rsidR="00316761">
        <w:fldChar w:fldCharType="separate"/>
      </w:r>
      <w:r w:rsidR="006A189F">
        <w:t xml:space="preserve">Table </w:t>
      </w:r>
      <w:r w:rsidR="006A189F">
        <w:rPr>
          <w:noProof/>
        </w:rPr>
        <w:t>12</w:t>
      </w:r>
      <w:r w:rsidR="006A189F">
        <w:t>.</w:t>
      </w:r>
      <w:r w:rsidR="006A189F">
        <w:rPr>
          <w:noProof/>
        </w:rPr>
        <w:t>1</w:t>
      </w:r>
      <w:r w:rsidR="00316761">
        <w:fldChar w:fldCharType="end"/>
      </w:r>
      <w:r w:rsidR="00316761">
        <w:t xml:space="preserve"> </w:t>
      </w:r>
      <w:r w:rsidRPr="00210BDC">
        <w:t xml:space="preserve">summarises our assessment </w:t>
      </w:r>
      <w:r w:rsidR="009634C7">
        <w:t xml:space="preserve">in </w:t>
      </w:r>
      <w:r w:rsidRPr="00210BDC">
        <w:t>which</w:t>
      </w:r>
      <w:r w:rsidR="009634C7">
        <w:t xml:space="preserve"> we</w:t>
      </w:r>
      <w:r w:rsidRPr="00210BDC">
        <w:t xml:space="preserve"> found that </w:t>
      </w:r>
      <w:r w:rsidR="004E1F95">
        <w:t>AusNet Services'</w:t>
      </w:r>
      <w:r w:rsidRPr="00210BDC">
        <w:t xml:space="preserve"> proposal satisfactorily addresses the pricing principles.</w:t>
      </w:r>
    </w:p>
    <w:p w:rsidR="00341B42" w:rsidRPr="00210BDC" w:rsidRDefault="00341B42" w:rsidP="00210BDC"/>
    <w:p w:rsidR="00210BDC" w:rsidRPr="00210BDC" w:rsidRDefault="00210BDC" w:rsidP="00210BDC">
      <w:pPr>
        <w:pStyle w:val="Caption"/>
      </w:pPr>
      <w:bookmarkStart w:id="22" w:name="_Ref452468104"/>
      <w:r>
        <w:lastRenderedPageBreak/>
        <w:t xml:space="preserve">Table </w:t>
      </w:r>
      <w:fldSimple w:instr=" STYLEREF 1 \s ">
        <w:r w:rsidR="006A189F">
          <w:rPr>
            <w:noProof/>
          </w:rPr>
          <w:t>12</w:t>
        </w:r>
      </w:fldSimple>
      <w:r w:rsidR="004E1F95">
        <w:t>.</w:t>
      </w:r>
      <w:fldSimple w:instr=" SEQ Table \* ARABIC \s 1 ">
        <w:r w:rsidR="006A189F">
          <w:rPr>
            <w:noProof/>
          </w:rPr>
          <w:t>1</w:t>
        </w:r>
      </w:fldSimple>
      <w:bookmarkEnd w:id="22"/>
      <w:r>
        <w:tab/>
      </w:r>
      <w:r w:rsidRPr="00210BDC">
        <w:t xml:space="preserve">AER's assessment of </w:t>
      </w:r>
      <w:r>
        <w:t>AusNet Services'</w:t>
      </w:r>
      <w:r w:rsidRPr="00210BDC">
        <w:t xml:space="preserve"> proposed calculation and allocation of the AARR</w:t>
      </w:r>
    </w:p>
    <w:tbl>
      <w:tblPr>
        <w:tblStyle w:val="AERtable-text0"/>
        <w:tblW w:w="0" w:type="auto"/>
        <w:tblLook w:val="04A0" w:firstRow="1" w:lastRow="0" w:firstColumn="1" w:lastColumn="0" w:noHBand="0" w:noVBand="1"/>
      </w:tblPr>
      <w:tblGrid>
        <w:gridCol w:w="4350"/>
        <w:gridCol w:w="4343"/>
      </w:tblGrid>
      <w:tr w:rsidR="00210BDC" w:rsidTr="00210BDC">
        <w:trPr>
          <w:cnfStyle w:val="100000000000" w:firstRow="1" w:lastRow="0" w:firstColumn="0" w:lastColumn="0" w:oddVBand="0" w:evenVBand="0" w:oddHBand="0" w:evenHBand="0" w:firstRowFirstColumn="0" w:firstRowLastColumn="0" w:lastRowFirstColumn="0" w:lastRowLastColumn="0"/>
        </w:trPr>
        <w:tc>
          <w:tcPr>
            <w:tcW w:w="4621" w:type="dxa"/>
          </w:tcPr>
          <w:p w:rsidR="00210BDC" w:rsidRPr="00210BDC" w:rsidRDefault="00210BDC" w:rsidP="00210BDC">
            <w:r w:rsidRPr="00210BDC">
              <w:t>NER requirements</w:t>
            </w:r>
          </w:p>
        </w:tc>
        <w:tc>
          <w:tcPr>
            <w:tcW w:w="4621" w:type="dxa"/>
          </w:tcPr>
          <w:p w:rsidR="00210BDC" w:rsidRPr="00210BDC" w:rsidRDefault="00210BDC" w:rsidP="00210BDC">
            <w:r w:rsidRPr="00210BDC">
              <w:t>AER assessment</w:t>
            </w:r>
          </w:p>
        </w:tc>
      </w:tr>
      <w:tr w:rsidR="00210BDC" w:rsidTr="00210BDC">
        <w:tc>
          <w:tcPr>
            <w:tcW w:w="4621" w:type="dxa"/>
          </w:tcPr>
          <w:p w:rsidR="00210BDC" w:rsidRPr="00210BDC" w:rsidRDefault="00210BDC" w:rsidP="00210BDC">
            <w:r w:rsidRPr="00210BDC">
              <w:t>Requirement for the AARR to be calculated as defined in the NER—clause 6A.22.1</w:t>
            </w:r>
          </w:p>
        </w:tc>
        <w:tc>
          <w:tcPr>
            <w:tcW w:w="4621" w:type="dxa"/>
          </w:tcPr>
          <w:p w:rsidR="00210BDC" w:rsidRPr="00210BDC" w:rsidRDefault="00210BDC" w:rsidP="004E1F95">
            <w:r w:rsidRPr="00210BDC">
              <w:t xml:space="preserve">Clause 3 of </w:t>
            </w:r>
            <w:r w:rsidR="004E1F95">
              <w:t>AusNet Services'</w:t>
            </w:r>
            <w:r w:rsidRPr="00210BDC">
              <w:t xml:space="preserve"> proposed pricing methodology satisfies this requirement.</w:t>
            </w:r>
          </w:p>
        </w:tc>
      </w:tr>
      <w:tr w:rsidR="00210BDC" w:rsidTr="00210BDC">
        <w:trPr>
          <w:cnfStyle w:val="000000010000" w:firstRow="0" w:lastRow="0" w:firstColumn="0" w:lastColumn="0" w:oddVBand="0" w:evenVBand="0" w:oddHBand="0" w:evenHBand="1" w:firstRowFirstColumn="0" w:firstRowLastColumn="0" w:lastRowFirstColumn="0" w:lastRowLastColumn="0"/>
        </w:trPr>
        <w:tc>
          <w:tcPr>
            <w:tcW w:w="4621" w:type="dxa"/>
          </w:tcPr>
          <w:p w:rsidR="00210BDC" w:rsidRPr="00210BDC" w:rsidRDefault="00210BDC" w:rsidP="00210BDC">
            <w:r w:rsidRPr="00210BDC">
              <w:t>Requirement for the AARR to be allocated to each category of prescribed transmission services in accordance with the attributable cost share for each such category of service—clause 6A.2</w:t>
            </w:r>
            <w:r>
              <w:t>2.2</w:t>
            </w:r>
          </w:p>
        </w:tc>
        <w:tc>
          <w:tcPr>
            <w:tcW w:w="4621" w:type="dxa"/>
          </w:tcPr>
          <w:p w:rsidR="00210BDC" w:rsidRPr="00210BDC" w:rsidRDefault="00210BDC" w:rsidP="004E1F95">
            <w:r w:rsidRPr="00210BDC">
              <w:t xml:space="preserve">Clause 4.1 and appendix B of </w:t>
            </w:r>
            <w:r w:rsidR="004E1F95">
              <w:t>AusNet Services'</w:t>
            </w:r>
            <w:r w:rsidRPr="00210BDC">
              <w:t xml:space="preserve"> proposed pricing methodology satisfies this requirement.</w:t>
            </w:r>
          </w:p>
        </w:tc>
      </w:tr>
      <w:tr w:rsidR="00210BDC" w:rsidTr="00210BDC">
        <w:tc>
          <w:tcPr>
            <w:tcW w:w="4621" w:type="dxa"/>
          </w:tcPr>
          <w:p w:rsidR="00210BDC" w:rsidRPr="00210BDC" w:rsidRDefault="00210BDC" w:rsidP="00210BDC">
            <w:r w:rsidRPr="00210BDC">
              <w:t>Requirement for every portion of the AARR to be allocated and for the same portion of AARR to be allocated more than once—clause 6A.23.2(c)</w:t>
            </w:r>
          </w:p>
        </w:tc>
        <w:tc>
          <w:tcPr>
            <w:tcW w:w="4621" w:type="dxa"/>
          </w:tcPr>
          <w:p w:rsidR="00210BDC" w:rsidRPr="00210BDC" w:rsidRDefault="00210BDC" w:rsidP="004E1F95">
            <w:r w:rsidRPr="00210BDC">
              <w:t xml:space="preserve">Clause 4.1 and appendix B of </w:t>
            </w:r>
            <w:r w:rsidR="004E1F95">
              <w:t>AusNet Services'</w:t>
            </w:r>
            <w:r w:rsidRPr="00210BDC">
              <w:t xml:space="preserve"> proposed pricing methodology satisfies this requirement.</w:t>
            </w:r>
          </w:p>
        </w:tc>
      </w:tr>
      <w:tr w:rsidR="00210BDC" w:rsidTr="00210BDC">
        <w:trPr>
          <w:cnfStyle w:val="000000010000" w:firstRow="0" w:lastRow="0" w:firstColumn="0" w:lastColumn="0" w:oddVBand="0" w:evenVBand="0" w:oddHBand="0" w:evenHBand="1" w:firstRowFirstColumn="0" w:firstRowLastColumn="0" w:lastRowFirstColumn="0" w:lastRowLastColumn="0"/>
        </w:trPr>
        <w:tc>
          <w:tcPr>
            <w:tcW w:w="4621" w:type="dxa"/>
          </w:tcPr>
          <w:p w:rsidR="00210BDC" w:rsidRPr="00210BDC" w:rsidRDefault="00210BDC" w:rsidP="00210BDC">
            <w:r w:rsidRPr="00210BDC">
              <w:t>Subject to clause 11.6.11 of the NER, requirement for adjusting the attributable cost share and priority ordering approach to asset costs that would otherwise be attributed to the provision of more than one other category of prescribed transmission service—clause 6A.23.2(d)</w:t>
            </w:r>
          </w:p>
        </w:tc>
        <w:tc>
          <w:tcPr>
            <w:tcW w:w="4621" w:type="dxa"/>
          </w:tcPr>
          <w:p w:rsidR="00210BDC" w:rsidRPr="00210BDC" w:rsidRDefault="00210BDC" w:rsidP="004E1F95">
            <w:r w:rsidRPr="00210BDC">
              <w:t xml:space="preserve">Clause 4.2 and appendix B of </w:t>
            </w:r>
            <w:r w:rsidR="004E1F95">
              <w:t>AusNet Services'</w:t>
            </w:r>
            <w:r w:rsidRPr="00210BDC">
              <w:t xml:space="preserve"> proposed pricing methodology satisfies this requirement.</w:t>
            </w:r>
          </w:p>
        </w:tc>
      </w:tr>
    </w:tbl>
    <w:p w:rsidR="00210BDC" w:rsidRPr="00210BDC" w:rsidRDefault="004E1F95" w:rsidP="004E1F95">
      <w:pPr>
        <w:pStyle w:val="AERtablesource"/>
      </w:pPr>
      <w:r>
        <w:t>Source:</w:t>
      </w:r>
      <w:r>
        <w:tab/>
        <w:t>AER analysis.</w:t>
      </w:r>
    </w:p>
    <w:p w:rsidR="00210BDC" w:rsidRPr="00210BDC" w:rsidRDefault="00210BDC" w:rsidP="00210BDC">
      <w:pPr>
        <w:pStyle w:val="HeadingBoldBlue"/>
      </w:pPr>
      <w:bookmarkStart w:id="23" w:name="_Toc456603096"/>
      <w:r w:rsidRPr="00210BDC">
        <w:t>Allocation of annual service revenue to network connection points</w:t>
      </w:r>
      <w:bookmarkEnd w:id="23"/>
    </w:p>
    <w:p w:rsidR="00210BDC" w:rsidRPr="00210BDC" w:rsidRDefault="00210BDC" w:rsidP="00210BDC">
      <w:r w:rsidRPr="00210BDC">
        <w:t xml:space="preserve">We assessed how </w:t>
      </w:r>
      <w:r w:rsidR="004E1F95">
        <w:t>AusNet Services'</w:t>
      </w:r>
      <w:r w:rsidRPr="00210BDC">
        <w:t xml:space="preserve"> proposed pricing methodology allocates the annual service revenue requirement (ASRR). The ASRR is derived from allocating a </w:t>
      </w:r>
      <w:r w:rsidR="004E1F95">
        <w:t>transmission business's</w:t>
      </w:r>
      <w:r w:rsidRPr="00210BDC">
        <w:t xml:space="preserve"> AARR to each category of prescribed transmission services in accordance with each category's attributable cost share.</w:t>
      </w:r>
      <w:r w:rsidRPr="00210BDC">
        <w:rPr>
          <w:rStyle w:val="FootnoteReference"/>
        </w:rPr>
        <w:footnoteReference w:id="22"/>
      </w:r>
      <w:r w:rsidR="00797FAB">
        <w:t xml:space="preserve"> </w:t>
      </w:r>
      <w:r w:rsidR="00797FAB">
        <w:fldChar w:fldCharType="begin"/>
      </w:r>
      <w:r w:rsidR="00797FAB">
        <w:instrText xml:space="preserve"> REF _Ref452466354 \h </w:instrText>
      </w:r>
      <w:r w:rsidR="00797FAB">
        <w:fldChar w:fldCharType="separate"/>
      </w:r>
      <w:r w:rsidR="006A189F">
        <w:t xml:space="preserve">Table </w:t>
      </w:r>
      <w:r w:rsidR="006A189F">
        <w:rPr>
          <w:noProof/>
        </w:rPr>
        <w:t>12</w:t>
      </w:r>
      <w:r w:rsidR="006A189F">
        <w:t>.</w:t>
      </w:r>
      <w:r w:rsidR="006A189F">
        <w:rPr>
          <w:noProof/>
        </w:rPr>
        <w:t>2</w:t>
      </w:r>
      <w:r w:rsidR="00797FAB">
        <w:fldChar w:fldCharType="end"/>
      </w:r>
      <w:r w:rsidRPr="00210BDC">
        <w:t xml:space="preserve"> summarises our assessment which found that </w:t>
      </w:r>
      <w:r w:rsidR="004E1F95">
        <w:t>AusNet Services'</w:t>
      </w:r>
      <w:r w:rsidRPr="00210BDC">
        <w:t xml:space="preserve"> proposal satisfactorily addresses the pricing principles.</w:t>
      </w:r>
    </w:p>
    <w:p w:rsidR="00210BDC" w:rsidRPr="00210BDC" w:rsidRDefault="004E1F95" w:rsidP="004E1F95">
      <w:pPr>
        <w:pStyle w:val="Caption"/>
      </w:pPr>
      <w:bookmarkStart w:id="24" w:name="_Ref452466354"/>
      <w:r>
        <w:t xml:space="preserve">Table </w:t>
      </w:r>
      <w:fldSimple w:instr=" STYLEREF 1 \s ">
        <w:r w:rsidR="006A189F">
          <w:rPr>
            <w:noProof/>
          </w:rPr>
          <w:t>12</w:t>
        </w:r>
      </w:fldSimple>
      <w:r>
        <w:t>.</w:t>
      </w:r>
      <w:fldSimple w:instr=" SEQ Table \* ARABIC \s 1 ">
        <w:r w:rsidR="006A189F">
          <w:rPr>
            <w:noProof/>
          </w:rPr>
          <w:t>2</w:t>
        </w:r>
      </w:fldSimple>
      <w:bookmarkEnd w:id="24"/>
      <w:r w:rsidR="00210BDC" w:rsidRPr="00210BDC">
        <w:tab/>
        <w:t xml:space="preserve">AER's assessment of </w:t>
      </w:r>
      <w:r>
        <w:t>AusNet Services'</w:t>
      </w:r>
      <w:r w:rsidR="00210BDC" w:rsidRPr="00210BDC">
        <w:t xml:space="preserve"> proposed allocation of the ASRR</w:t>
      </w:r>
    </w:p>
    <w:tbl>
      <w:tblPr>
        <w:tblStyle w:val="AERtable-text0"/>
        <w:tblW w:w="0" w:type="auto"/>
        <w:tblLook w:val="04A0" w:firstRow="1" w:lastRow="0" w:firstColumn="1" w:lastColumn="0" w:noHBand="0" w:noVBand="1"/>
      </w:tblPr>
      <w:tblGrid>
        <w:gridCol w:w="4351"/>
        <w:gridCol w:w="4342"/>
      </w:tblGrid>
      <w:tr w:rsidR="00210BDC" w:rsidTr="008E0098">
        <w:trPr>
          <w:cnfStyle w:val="100000000000" w:firstRow="1" w:lastRow="0" w:firstColumn="0" w:lastColumn="0" w:oddVBand="0" w:evenVBand="0" w:oddHBand="0" w:evenHBand="0" w:firstRowFirstColumn="0" w:firstRowLastColumn="0" w:lastRowFirstColumn="0" w:lastRowLastColumn="0"/>
        </w:trPr>
        <w:tc>
          <w:tcPr>
            <w:tcW w:w="4351" w:type="dxa"/>
          </w:tcPr>
          <w:p w:rsidR="00210BDC" w:rsidRPr="00210BDC" w:rsidRDefault="00210BDC" w:rsidP="00210BDC">
            <w:r w:rsidRPr="00210BDC">
              <w:t>NER requirements</w:t>
            </w:r>
          </w:p>
        </w:tc>
        <w:tc>
          <w:tcPr>
            <w:tcW w:w="4342" w:type="dxa"/>
          </w:tcPr>
          <w:p w:rsidR="00210BDC" w:rsidRPr="00210BDC" w:rsidRDefault="00210BDC" w:rsidP="00210BDC">
            <w:r w:rsidRPr="00210BDC">
              <w:t>AER assessment</w:t>
            </w:r>
          </w:p>
        </w:tc>
      </w:tr>
      <w:tr w:rsidR="00210BDC" w:rsidTr="008E0098">
        <w:tc>
          <w:tcPr>
            <w:tcW w:w="4351" w:type="dxa"/>
          </w:tcPr>
          <w:p w:rsidR="00210BDC" w:rsidRPr="00210BDC" w:rsidRDefault="00210BDC" w:rsidP="00210BDC">
            <w:r w:rsidRPr="00210BDC">
              <w:t>Requirement for the whole ASRR for prescribed entry services to be allocated to transmission network connection points in accordance with the attributable connection point cost share for prescribed entry services that are provided by the TNSP at that connection point—clause 6A.23.3(</w:t>
            </w:r>
            <w:r w:rsidR="00797FAB">
              <w:t>i)</w:t>
            </w:r>
          </w:p>
        </w:tc>
        <w:tc>
          <w:tcPr>
            <w:tcW w:w="4342" w:type="dxa"/>
          </w:tcPr>
          <w:p w:rsidR="00210BDC" w:rsidRPr="00210BDC" w:rsidRDefault="00210BDC" w:rsidP="00D90B80">
            <w:r w:rsidRPr="00210BDC">
              <w:t xml:space="preserve">Clause 5.1 of </w:t>
            </w:r>
            <w:r w:rsidR="00D90B80">
              <w:t>AusNet Services'</w:t>
            </w:r>
            <w:r w:rsidRPr="00210BDC">
              <w:t xml:space="preserve"> proposed pricing methodology satisfies this requirement.</w:t>
            </w:r>
          </w:p>
        </w:tc>
      </w:tr>
      <w:tr w:rsidR="00210BDC" w:rsidTr="008E0098">
        <w:trPr>
          <w:cnfStyle w:val="000000010000" w:firstRow="0" w:lastRow="0" w:firstColumn="0" w:lastColumn="0" w:oddVBand="0" w:evenVBand="0" w:oddHBand="0" w:evenHBand="1" w:firstRowFirstColumn="0" w:firstRowLastColumn="0" w:lastRowFirstColumn="0" w:lastRowLastColumn="0"/>
        </w:trPr>
        <w:tc>
          <w:tcPr>
            <w:tcW w:w="4351" w:type="dxa"/>
          </w:tcPr>
          <w:p w:rsidR="00210BDC" w:rsidRPr="00210BDC" w:rsidRDefault="00210BDC" w:rsidP="00210BDC">
            <w:r w:rsidRPr="00210BDC">
              <w:t>Requirement for the whole ASRR prescribed exit services to be allocated to transmission network connection points in accordance with the attributable connection point cost share for prescribed exit services that are provided by the TNSP at that connection point—clause 6A.23.3(</w:t>
            </w:r>
            <w:r w:rsidR="00797FAB">
              <w:t>j)</w:t>
            </w:r>
          </w:p>
        </w:tc>
        <w:tc>
          <w:tcPr>
            <w:tcW w:w="4342" w:type="dxa"/>
          </w:tcPr>
          <w:p w:rsidR="00210BDC" w:rsidRPr="00210BDC" w:rsidRDefault="00210BDC" w:rsidP="00D90B80">
            <w:r w:rsidRPr="00210BDC">
              <w:t xml:space="preserve">Clause 5.1 of </w:t>
            </w:r>
            <w:r w:rsidR="00D90B80">
              <w:t>AusNet Services'</w:t>
            </w:r>
            <w:r w:rsidRPr="00210BDC">
              <w:t xml:space="preserve"> proposed pricing methodology satisfies this requirement.</w:t>
            </w:r>
          </w:p>
        </w:tc>
      </w:tr>
      <w:tr w:rsidR="00210BDC" w:rsidTr="008E0098">
        <w:tc>
          <w:tcPr>
            <w:tcW w:w="4351" w:type="dxa"/>
          </w:tcPr>
          <w:p w:rsidR="00210BDC" w:rsidRPr="00210BDC" w:rsidRDefault="00210BDC" w:rsidP="00210BDC">
            <w:r w:rsidRPr="00210BDC">
              <w:lastRenderedPageBreak/>
              <w:t>Requirement for the ASRR to be allocated for prescribed TUOS services locational components and pre-adjusted non locational components—clause 6A.23.3(</w:t>
            </w:r>
            <w:r w:rsidR="008E0098">
              <w:t>a)</w:t>
            </w:r>
          </w:p>
        </w:tc>
        <w:tc>
          <w:tcPr>
            <w:tcW w:w="4342" w:type="dxa"/>
          </w:tcPr>
          <w:p w:rsidR="00210BDC" w:rsidRPr="00210BDC" w:rsidRDefault="00210BDC" w:rsidP="00D90B80">
            <w:r w:rsidRPr="00210BDC">
              <w:t xml:space="preserve">Not addressed, since AEMO (not </w:t>
            </w:r>
            <w:r w:rsidR="00D90B80">
              <w:t>AusNet Services</w:t>
            </w:r>
            <w:r w:rsidRPr="00210BDC">
              <w:t>) is responsible for the pricing of prescribed TUOS services.</w:t>
            </w:r>
          </w:p>
        </w:tc>
      </w:tr>
      <w:tr w:rsidR="00210BDC" w:rsidTr="008E0098">
        <w:trPr>
          <w:cnfStyle w:val="000000010000" w:firstRow="0" w:lastRow="0" w:firstColumn="0" w:lastColumn="0" w:oddVBand="0" w:evenVBand="0" w:oddHBand="0" w:evenHBand="1" w:firstRowFirstColumn="0" w:firstRowLastColumn="0" w:lastRowFirstColumn="0" w:lastRowLastColumn="0"/>
        </w:trPr>
        <w:tc>
          <w:tcPr>
            <w:tcW w:w="4351" w:type="dxa"/>
          </w:tcPr>
          <w:p w:rsidR="00210BDC" w:rsidRPr="00210BDC" w:rsidRDefault="00210BDC" w:rsidP="00210BDC">
            <w:r w:rsidRPr="00210BDC">
              <w:t>Requirement for the recovery of the ASRR for prescribed common transmission services and the operating and maintenance costs incurred in the provision of those services to be recovered through prices charged to transmission customers and network service provider transmission connection points set in accordance with price structure principles set out in clause 6A.2</w:t>
            </w:r>
            <w:r w:rsidR="008E0098">
              <w:t>3.4—clause 6A.23.3(h</w:t>
            </w:r>
            <w:r w:rsidRPr="00210BDC">
              <w:t>)</w:t>
            </w:r>
          </w:p>
        </w:tc>
        <w:tc>
          <w:tcPr>
            <w:tcW w:w="4342" w:type="dxa"/>
          </w:tcPr>
          <w:p w:rsidR="00210BDC" w:rsidRPr="00210BDC" w:rsidRDefault="00210BDC" w:rsidP="00210BDC">
            <w:r w:rsidRPr="00210BDC">
              <w:t xml:space="preserve">Not addressed, since AEMO (not </w:t>
            </w:r>
            <w:r w:rsidR="00D90B80">
              <w:t>AusNet Services</w:t>
            </w:r>
            <w:r w:rsidRPr="00210BDC">
              <w:t>) is responsible for the pricing of prescribed common transmission services.</w:t>
            </w:r>
          </w:p>
          <w:p w:rsidR="00210BDC" w:rsidRPr="00210BDC" w:rsidRDefault="00210BDC" w:rsidP="00210BDC"/>
        </w:tc>
      </w:tr>
    </w:tbl>
    <w:p w:rsidR="00210BDC" w:rsidRPr="00210BDC" w:rsidRDefault="004E1F95" w:rsidP="004E1F95">
      <w:pPr>
        <w:pStyle w:val="AERtablesource"/>
      </w:pPr>
      <w:r>
        <w:t>Source:</w:t>
      </w:r>
      <w:r>
        <w:tab/>
        <w:t>AER analysis.</w:t>
      </w:r>
    </w:p>
    <w:p w:rsidR="00210BDC" w:rsidRPr="00210BDC" w:rsidRDefault="00210BDC" w:rsidP="00210BDC">
      <w:pPr>
        <w:pStyle w:val="HeadingBoldBlue"/>
      </w:pPr>
      <w:bookmarkStart w:id="25" w:name="_Toc456603097"/>
      <w:r w:rsidRPr="00210BDC">
        <w:t>Development of price structure</w:t>
      </w:r>
      <w:bookmarkEnd w:id="25"/>
    </w:p>
    <w:p w:rsidR="00210BDC" w:rsidRPr="00210BDC" w:rsidRDefault="00383A22" w:rsidP="00210BDC">
      <w:r>
        <w:t>AusNet Services'</w:t>
      </w:r>
      <w:r w:rsidR="00210BDC" w:rsidRPr="00210BDC">
        <w:t xml:space="preserve"> proposed pricing methodology must develop different prices for recovering the ASRR. We are satisfied that this requirement is met. </w:t>
      </w:r>
      <w:r w:rsidR="00210BDC" w:rsidRPr="00210BDC">
        <w:fldChar w:fldCharType="begin"/>
      </w:r>
      <w:r w:rsidR="00210BDC" w:rsidRPr="00210BDC">
        <w:instrText xml:space="preserve"> REF _Ref359849207 \h </w:instrText>
      </w:r>
      <w:r w:rsidR="00210BDC" w:rsidRPr="00210BDC">
        <w:fldChar w:fldCharType="separate"/>
      </w:r>
      <w:r w:rsidR="006A189F" w:rsidRPr="00210BDC">
        <w:t xml:space="preserve">Table </w:t>
      </w:r>
      <w:r w:rsidR="006A189F">
        <w:rPr>
          <w:noProof/>
        </w:rPr>
        <w:t>12</w:t>
      </w:r>
      <w:r w:rsidR="006A189F">
        <w:t>.</w:t>
      </w:r>
      <w:r w:rsidR="006A189F">
        <w:rPr>
          <w:noProof/>
        </w:rPr>
        <w:t>3</w:t>
      </w:r>
      <w:r w:rsidR="00210BDC" w:rsidRPr="00210BDC">
        <w:fldChar w:fldCharType="end"/>
      </w:r>
      <w:r w:rsidR="00210BDC" w:rsidRPr="00210BDC">
        <w:t xml:space="preserve"> summarises our assessment against the pricing principles.</w:t>
      </w:r>
    </w:p>
    <w:p w:rsidR="00210BDC" w:rsidRPr="00210BDC" w:rsidRDefault="00210BDC" w:rsidP="00210BDC">
      <w:pPr>
        <w:pStyle w:val="Caption"/>
      </w:pPr>
      <w:bookmarkStart w:id="26" w:name="_Ref359849207"/>
      <w:r w:rsidRPr="00210BDC">
        <w:t xml:space="preserve">Table </w:t>
      </w:r>
      <w:fldSimple w:instr=" STYLEREF 1 \s ">
        <w:r w:rsidR="006A189F">
          <w:rPr>
            <w:noProof/>
          </w:rPr>
          <w:t>12</w:t>
        </w:r>
      </w:fldSimple>
      <w:r w:rsidR="004E1F95">
        <w:t>.</w:t>
      </w:r>
      <w:fldSimple w:instr=" SEQ Table \* ARABIC \s 1 ">
        <w:r w:rsidR="006A189F">
          <w:rPr>
            <w:noProof/>
          </w:rPr>
          <w:t>3</w:t>
        </w:r>
      </w:fldSimple>
      <w:bookmarkEnd w:id="26"/>
      <w:r w:rsidRPr="00210BDC">
        <w:tab/>
        <w:t xml:space="preserve">AER's assessment of </w:t>
      </w:r>
      <w:r w:rsidR="004E1F95">
        <w:t>AusNet Services'</w:t>
      </w:r>
      <w:r w:rsidRPr="00210BDC">
        <w:t xml:space="preserve"> proposed pricing structure</w:t>
      </w:r>
    </w:p>
    <w:tbl>
      <w:tblPr>
        <w:tblStyle w:val="AERtable-text0"/>
        <w:tblW w:w="0" w:type="auto"/>
        <w:tblLook w:val="04A0" w:firstRow="1" w:lastRow="0" w:firstColumn="1" w:lastColumn="0" w:noHBand="0" w:noVBand="1"/>
      </w:tblPr>
      <w:tblGrid>
        <w:gridCol w:w="4345"/>
        <w:gridCol w:w="4348"/>
      </w:tblGrid>
      <w:tr w:rsidR="00210BDC" w:rsidTr="00D90B80">
        <w:trPr>
          <w:cnfStyle w:val="100000000000" w:firstRow="1" w:lastRow="0" w:firstColumn="0" w:lastColumn="0" w:oddVBand="0" w:evenVBand="0" w:oddHBand="0" w:evenHBand="0" w:firstRowFirstColumn="0" w:firstRowLastColumn="0" w:lastRowFirstColumn="0" w:lastRowLastColumn="0"/>
        </w:trPr>
        <w:tc>
          <w:tcPr>
            <w:tcW w:w="4345" w:type="dxa"/>
          </w:tcPr>
          <w:p w:rsidR="00210BDC" w:rsidRPr="00210BDC" w:rsidRDefault="00210BDC" w:rsidP="00210BDC">
            <w:r w:rsidRPr="00210BDC">
              <w:t>NER requirements</w:t>
            </w:r>
          </w:p>
        </w:tc>
        <w:tc>
          <w:tcPr>
            <w:tcW w:w="4348" w:type="dxa"/>
          </w:tcPr>
          <w:p w:rsidR="00210BDC" w:rsidRPr="00210BDC" w:rsidRDefault="00210BDC" w:rsidP="00210BDC">
            <w:r w:rsidRPr="00210BDC">
              <w:t>AER assessment</w:t>
            </w:r>
          </w:p>
        </w:tc>
      </w:tr>
      <w:tr w:rsidR="00210BDC" w:rsidTr="00D90B80">
        <w:tc>
          <w:tcPr>
            <w:tcW w:w="4345" w:type="dxa"/>
          </w:tcPr>
          <w:p w:rsidR="00210BDC" w:rsidRPr="00210BDC" w:rsidRDefault="00210BDC" w:rsidP="00210BDC">
            <w:r w:rsidRPr="00210BDC">
              <w:t>Requirement for separate prices for each category of prescribed transm</w:t>
            </w:r>
            <w:r w:rsidR="008E0098">
              <w:t>ission services—clause 6A.23.4(a</w:t>
            </w:r>
            <w:r w:rsidRPr="00210BDC">
              <w:t>)</w:t>
            </w:r>
          </w:p>
        </w:tc>
        <w:tc>
          <w:tcPr>
            <w:tcW w:w="4348" w:type="dxa"/>
          </w:tcPr>
          <w:p w:rsidR="00210BDC" w:rsidRPr="00D90B80" w:rsidRDefault="00210BDC" w:rsidP="00D90B80">
            <w:r w:rsidRPr="00D90B80">
              <w:t xml:space="preserve">Clause 6 of </w:t>
            </w:r>
            <w:r w:rsidR="00D90B80">
              <w:t>AusNet Services'</w:t>
            </w:r>
            <w:r w:rsidRPr="00D90B80">
              <w:t xml:space="preserve"> proposed pricing methodology satisfies this requirement for prescribed entry and prescribed exit services.</w:t>
            </w:r>
          </w:p>
        </w:tc>
      </w:tr>
      <w:tr w:rsidR="00210BDC" w:rsidTr="00D90B80">
        <w:trPr>
          <w:cnfStyle w:val="000000010000" w:firstRow="0" w:lastRow="0" w:firstColumn="0" w:lastColumn="0" w:oddVBand="0" w:evenVBand="0" w:oddHBand="0" w:evenHBand="1" w:firstRowFirstColumn="0" w:firstRowLastColumn="0" w:lastRowFirstColumn="0" w:lastRowLastColumn="0"/>
        </w:trPr>
        <w:tc>
          <w:tcPr>
            <w:tcW w:w="4345" w:type="dxa"/>
          </w:tcPr>
          <w:p w:rsidR="00210BDC" w:rsidRPr="00210BDC" w:rsidRDefault="00210BDC" w:rsidP="00210BDC">
            <w:r w:rsidRPr="00210BDC">
              <w:t>Requirement for fixed annual amount prices for prescribed entry an</w:t>
            </w:r>
            <w:r w:rsidR="008E0098">
              <w:t>d exit services—clause 6A.23.4(g</w:t>
            </w:r>
            <w:r w:rsidRPr="00210BDC">
              <w:t>)</w:t>
            </w:r>
          </w:p>
        </w:tc>
        <w:tc>
          <w:tcPr>
            <w:tcW w:w="4348" w:type="dxa"/>
          </w:tcPr>
          <w:p w:rsidR="00210BDC" w:rsidRPr="00210BDC" w:rsidRDefault="00210BDC" w:rsidP="00D90B80">
            <w:r w:rsidRPr="00210BDC">
              <w:t xml:space="preserve">Clause 6 of </w:t>
            </w:r>
            <w:r w:rsidR="00D90B80">
              <w:t>AusNet Services'</w:t>
            </w:r>
            <w:r w:rsidRPr="00210BDC">
              <w:t xml:space="preserve"> proposed pricing methodology satisfies this requirement.</w:t>
            </w:r>
          </w:p>
        </w:tc>
      </w:tr>
      <w:tr w:rsidR="00210BDC" w:rsidTr="00D90B80">
        <w:tc>
          <w:tcPr>
            <w:tcW w:w="4345" w:type="dxa"/>
          </w:tcPr>
          <w:p w:rsidR="00210BDC" w:rsidRPr="00210BDC" w:rsidRDefault="00210BDC" w:rsidP="00210BDC">
            <w:r w:rsidRPr="00210BDC">
              <w:t>Requirement for postage stamped prices for prescribed common transm</w:t>
            </w:r>
            <w:r w:rsidR="008E0098">
              <w:t>ission services—clause 6A.23.4(f</w:t>
            </w:r>
            <w:r w:rsidRPr="00210BDC">
              <w:t>)</w:t>
            </w:r>
          </w:p>
        </w:tc>
        <w:tc>
          <w:tcPr>
            <w:tcW w:w="4348" w:type="dxa"/>
          </w:tcPr>
          <w:p w:rsidR="00210BDC" w:rsidRPr="00D90B80" w:rsidRDefault="00210BDC" w:rsidP="00D90B80"/>
          <w:p w:rsidR="00210BDC" w:rsidRPr="00210BDC" w:rsidRDefault="00210BDC" w:rsidP="00D90B80">
            <w:r w:rsidRPr="00D90B80">
              <w:t xml:space="preserve">Not addressed, since AEMO (not </w:t>
            </w:r>
            <w:r w:rsidR="00D90B80">
              <w:t>AusNet Services</w:t>
            </w:r>
            <w:r w:rsidRPr="00D90B80">
              <w:t>) is responsible for the pricing of prescribed common transmission services.</w:t>
            </w:r>
          </w:p>
        </w:tc>
      </w:tr>
      <w:tr w:rsidR="00210BDC" w:rsidTr="00D90B80">
        <w:trPr>
          <w:cnfStyle w:val="000000010000" w:firstRow="0" w:lastRow="0" w:firstColumn="0" w:lastColumn="0" w:oddVBand="0" w:evenVBand="0" w:oddHBand="0" w:evenHBand="1" w:firstRowFirstColumn="0" w:firstRowLastColumn="0" w:lastRowFirstColumn="0" w:lastRowLastColumn="0"/>
        </w:trPr>
        <w:tc>
          <w:tcPr>
            <w:tcW w:w="4345" w:type="dxa"/>
          </w:tcPr>
          <w:p w:rsidR="00210BDC" w:rsidRPr="00210BDC" w:rsidRDefault="00210BDC" w:rsidP="00210BDC">
            <w:r w:rsidRPr="00210BDC">
              <w:t xml:space="preserve">Requirement for prices for locational component of prescribed TUOS services to be based on demand at times of greatest use of the transmission network and for which network investment is most likely to </w:t>
            </w:r>
            <w:r w:rsidR="008E0098">
              <w:t>be contemplated—clause 6A.23.4(b</w:t>
            </w:r>
            <w:r w:rsidRPr="00210BDC">
              <w:t>)</w:t>
            </w:r>
            <w:r w:rsidR="008E0098">
              <w:t>(1)</w:t>
            </w:r>
          </w:p>
        </w:tc>
        <w:tc>
          <w:tcPr>
            <w:tcW w:w="4348" w:type="dxa"/>
          </w:tcPr>
          <w:p w:rsidR="00210BDC" w:rsidRPr="00210BDC" w:rsidRDefault="00D90B80" w:rsidP="00D90B80">
            <w:r>
              <w:t>Not addressed, since AEMO (not AusNet Services</w:t>
            </w:r>
            <w:r w:rsidR="00210BDC" w:rsidRPr="00210BDC">
              <w:t>) is responsible for the pricing of prescribed TUOS services.</w:t>
            </w:r>
          </w:p>
        </w:tc>
      </w:tr>
      <w:tr w:rsidR="00210BDC" w:rsidTr="00D90B80">
        <w:tc>
          <w:tcPr>
            <w:tcW w:w="4345" w:type="dxa"/>
          </w:tcPr>
          <w:p w:rsidR="00210BDC" w:rsidRPr="00210BDC" w:rsidRDefault="00210BDC" w:rsidP="00210BDC">
            <w:r w:rsidRPr="00210BDC">
              <w:t>Requirement for prices for the locational component of the ASRR for prescribed TUOS services not to change by more than 2 per cent per year compared with the load weighted average price for this component for the relevant region</w:t>
            </w:r>
            <w:r w:rsidR="008E0098">
              <w:t>—clauses 6A.23.4– 6A.23.4(b</w:t>
            </w:r>
            <w:r w:rsidRPr="00210BDC">
              <w:t>)</w:t>
            </w:r>
            <w:r w:rsidR="008E0098">
              <w:t>(2)</w:t>
            </w:r>
          </w:p>
        </w:tc>
        <w:tc>
          <w:tcPr>
            <w:tcW w:w="4348" w:type="dxa"/>
          </w:tcPr>
          <w:p w:rsidR="00210BDC" w:rsidRPr="00210BDC" w:rsidRDefault="00210BDC" w:rsidP="00D90B80">
            <w:r w:rsidRPr="00210BDC">
              <w:t xml:space="preserve">Not addressed, since AEMO (not </w:t>
            </w:r>
            <w:r w:rsidR="00D90B80">
              <w:t>AusNet Services</w:t>
            </w:r>
            <w:r w:rsidRPr="00210BDC">
              <w:t>) is responsible for the pricing of prescribed TUOS services.</w:t>
            </w:r>
          </w:p>
        </w:tc>
      </w:tr>
      <w:tr w:rsidR="00210BDC" w:rsidTr="00D90B80">
        <w:trPr>
          <w:cnfStyle w:val="000000010000" w:firstRow="0" w:lastRow="0" w:firstColumn="0" w:lastColumn="0" w:oddVBand="0" w:evenVBand="0" w:oddHBand="0" w:evenHBand="1" w:firstRowFirstColumn="0" w:firstRowLastColumn="0" w:lastRowFirstColumn="0" w:lastRowLastColumn="0"/>
        </w:trPr>
        <w:tc>
          <w:tcPr>
            <w:tcW w:w="4345" w:type="dxa"/>
          </w:tcPr>
          <w:p w:rsidR="00210BDC" w:rsidRPr="00210BDC" w:rsidRDefault="00210BDC" w:rsidP="008E0098">
            <w:r w:rsidRPr="00210BDC">
              <w:t>Requirement for prices for the adjusted non</w:t>
            </w:r>
            <w:r w:rsidR="008E0098">
              <w:t>-l</w:t>
            </w:r>
            <w:r w:rsidRPr="00210BDC">
              <w:t>ocational component of prescribed TUOS services to be on a postage stamped basis</w:t>
            </w:r>
            <w:r w:rsidR="008E0098">
              <w:t>—clause 6A.23.4(e</w:t>
            </w:r>
            <w:r w:rsidRPr="00210BDC">
              <w:t>)</w:t>
            </w:r>
          </w:p>
        </w:tc>
        <w:tc>
          <w:tcPr>
            <w:tcW w:w="4348" w:type="dxa"/>
          </w:tcPr>
          <w:p w:rsidR="00210BDC" w:rsidRPr="00210BDC" w:rsidRDefault="00210BDC" w:rsidP="00D90B80">
            <w:r w:rsidRPr="00210BDC">
              <w:t xml:space="preserve">Not addressed, since AEMO (not </w:t>
            </w:r>
            <w:r w:rsidR="00D90B80">
              <w:t>AusNet Services</w:t>
            </w:r>
            <w:r w:rsidRPr="00210BDC">
              <w:t>) is responsible for the pricing of prescribed TUOS services.</w:t>
            </w:r>
          </w:p>
        </w:tc>
      </w:tr>
    </w:tbl>
    <w:p w:rsidR="004E1F95" w:rsidRPr="004E1F95" w:rsidRDefault="004E1F95" w:rsidP="004E1F95">
      <w:pPr>
        <w:pStyle w:val="AERtablesource"/>
      </w:pPr>
      <w:r w:rsidRPr="004E1F95">
        <w:t>Source:</w:t>
      </w:r>
      <w:r w:rsidRPr="004E1F95">
        <w:tab/>
        <w:t>AER analysis.</w:t>
      </w:r>
    </w:p>
    <w:p w:rsidR="00210BDC" w:rsidRDefault="008E0098" w:rsidP="008E0098">
      <w:pPr>
        <w:pStyle w:val="Heading3"/>
      </w:pPr>
      <w:bookmarkStart w:id="27" w:name="_Toc456603098"/>
      <w:r>
        <w:lastRenderedPageBreak/>
        <w:t>Assessment against the pricing methodology guidelines</w:t>
      </w:r>
      <w:bookmarkEnd w:id="27"/>
    </w:p>
    <w:p w:rsidR="008E0098" w:rsidRPr="008E0098" w:rsidRDefault="008E0098" w:rsidP="008E0098">
      <w:pPr>
        <w:rPr>
          <w:rStyle w:val="AERbody"/>
        </w:rPr>
      </w:pPr>
      <w:r>
        <w:rPr>
          <w:rStyle w:val="AERbody"/>
        </w:rPr>
        <w:t>We are</w:t>
      </w:r>
      <w:r w:rsidRPr="008E0098">
        <w:rPr>
          <w:rStyle w:val="AERbody"/>
        </w:rPr>
        <w:t xml:space="preserve"> satisfied </w:t>
      </w:r>
      <w:r>
        <w:rPr>
          <w:rStyle w:val="AERbody"/>
        </w:rPr>
        <w:t>AusNet Services'</w:t>
      </w:r>
      <w:r w:rsidRPr="008E0098">
        <w:rPr>
          <w:rStyle w:val="AERbody"/>
        </w:rPr>
        <w:t xml:space="preserve"> proposed pricing method complies with the information requirements of the pricing method guidelines. Features of the proposal that reflect the guideline requirements include: </w:t>
      </w:r>
    </w:p>
    <w:p w:rsidR="008E0098" w:rsidRPr="008E0098" w:rsidRDefault="008E0098" w:rsidP="008E0098">
      <w:pPr>
        <w:pStyle w:val="AERbulletlistfirststyle"/>
        <w:rPr>
          <w:rStyle w:val="AERbody"/>
        </w:rPr>
      </w:pPr>
      <w:r w:rsidRPr="00D10CD6">
        <w:rPr>
          <w:rStyle w:val="AERbody"/>
        </w:rPr>
        <w:t>acknowledging AEMO is the coordinating network service in Victoria</w:t>
      </w:r>
      <w:r w:rsidRPr="008E0098">
        <w:rPr>
          <w:rStyle w:val="FootnoteReference"/>
        </w:rPr>
        <w:footnoteReference w:id="23"/>
      </w:r>
    </w:p>
    <w:p w:rsidR="008E0098" w:rsidRPr="008E0098" w:rsidRDefault="008E0098" w:rsidP="008E0098">
      <w:pPr>
        <w:pStyle w:val="AERbulletlistfirststyle"/>
        <w:rPr>
          <w:rStyle w:val="AERbody"/>
        </w:rPr>
      </w:pPr>
      <w:r w:rsidRPr="00D10CD6">
        <w:rPr>
          <w:rStyle w:val="AERbody"/>
        </w:rPr>
        <w:t>using the priority ordering approach under clause 6A.23.3(d) of the NER to implement priority ordering</w:t>
      </w:r>
      <w:r w:rsidRPr="008E0098">
        <w:rPr>
          <w:rStyle w:val="FootnoteReference"/>
        </w:rPr>
        <w:footnoteReference w:id="24"/>
      </w:r>
    </w:p>
    <w:p w:rsidR="008E0098" w:rsidRPr="008E0098" w:rsidRDefault="008E0098" w:rsidP="008E0098">
      <w:pPr>
        <w:pStyle w:val="AERbulletlistfirststyle"/>
        <w:rPr>
          <w:rStyle w:val="AERbody"/>
        </w:rPr>
      </w:pPr>
      <w:r w:rsidRPr="00D10CD6">
        <w:rPr>
          <w:rStyle w:val="AERbody"/>
        </w:rPr>
        <w:t>describing how asset costs that may be attributable to both prescribed entry services and prescribed exit services will be allocated at a connection point</w:t>
      </w:r>
      <w:r w:rsidRPr="008E0098">
        <w:rPr>
          <w:rStyle w:val="FootnoteReference"/>
        </w:rPr>
        <w:footnoteReference w:id="25"/>
      </w:r>
    </w:p>
    <w:p w:rsidR="008E0098" w:rsidRPr="008E0098" w:rsidRDefault="008E0098" w:rsidP="008E0098">
      <w:pPr>
        <w:pStyle w:val="AERbulletlistfirststyle"/>
        <w:rPr>
          <w:rStyle w:val="AERbody"/>
        </w:rPr>
      </w:pPr>
      <w:r w:rsidRPr="00D10CD6">
        <w:rPr>
          <w:rStyle w:val="AERbody"/>
        </w:rPr>
        <w:t>describing billing arrangements as in clause 6A.27 of the NER</w:t>
      </w:r>
      <w:r w:rsidRPr="008E0098">
        <w:rPr>
          <w:rStyle w:val="FootnoteReference"/>
        </w:rPr>
        <w:footnoteReference w:id="26"/>
      </w:r>
    </w:p>
    <w:p w:rsidR="008E0098" w:rsidRPr="008E0098" w:rsidRDefault="008E0098" w:rsidP="008E0098">
      <w:pPr>
        <w:pStyle w:val="AERbulletlistfirststyle"/>
        <w:rPr>
          <w:rStyle w:val="AERbody"/>
        </w:rPr>
      </w:pPr>
      <w:r w:rsidRPr="00D10CD6">
        <w:rPr>
          <w:rStyle w:val="AERbody"/>
        </w:rPr>
        <w:t>describing prudential requirements as in clause 6A.28 of the NER</w:t>
      </w:r>
      <w:r w:rsidRPr="008E0098">
        <w:rPr>
          <w:rStyle w:val="FootnoteReference"/>
        </w:rPr>
        <w:footnoteReference w:id="27"/>
      </w:r>
    </w:p>
    <w:p w:rsidR="008E0098" w:rsidRPr="008E0098" w:rsidRDefault="008E0098" w:rsidP="008E0098">
      <w:pPr>
        <w:pStyle w:val="AERbulletlistfirststyle"/>
        <w:rPr>
          <w:rStyle w:val="AERbody"/>
        </w:rPr>
      </w:pPr>
      <w:r w:rsidRPr="00D10CD6">
        <w:rPr>
          <w:rStyle w:val="AERbody"/>
        </w:rPr>
        <w:t>including hypothetical examples</w:t>
      </w:r>
      <w:r w:rsidRPr="008E0098">
        <w:rPr>
          <w:rStyle w:val="FootnoteReference"/>
        </w:rPr>
        <w:footnoteReference w:id="28"/>
      </w:r>
    </w:p>
    <w:p w:rsidR="008E0098" w:rsidRPr="008E0098" w:rsidRDefault="008E0098" w:rsidP="008E0098">
      <w:pPr>
        <w:pStyle w:val="AERbulletlistfirststyle"/>
      </w:pPr>
      <w:r w:rsidRPr="00D10CD6">
        <w:rPr>
          <w:rStyle w:val="AERbody"/>
        </w:rPr>
        <w:t xml:space="preserve">describing how </w:t>
      </w:r>
      <w:r>
        <w:rPr>
          <w:rStyle w:val="AERbody"/>
        </w:rPr>
        <w:t>AusNet Services'</w:t>
      </w:r>
      <w:r w:rsidRPr="00D10CD6">
        <w:rPr>
          <w:rStyle w:val="AERbody"/>
        </w:rPr>
        <w:t xml:space="preserve"> intends to monitor and develop records of its compliance with its approved pricing method</w:t>
      </w:r>
      <w:r w:rsidRPr="008E0098">
        <w:rPr>
          <w:rStyle w:val="AERbody"/>
        </w:rPr>
        <w:t>ology.</w:t>
      </w:r>
      <w:r w:rsidRPr="008E0098">
        <w:rPr>
          <w:rStyle w:val="FootnoteReference"/>
        </w:rPr>
        <w:footnoteReference w:id="29"/>
      </w:r>
    </w:p>
    <w:p w:rsidR="008E0098" w:rsidRPr="008E0098" w:rsidRDefault="008E0098" w:rsidP="008E0098"/>
    <w:p w:rsidR="00210BDC" w:rsidRPr="00210BDC" w:rsidRDefault="00210BDC" w:rsidP="00210BDC"/>
    <w:sectPr w:rsidR="00210BDC" w:rsidRPr="00210BDC"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FAB" w:rsidRPr="00290C63" w:rsidRDefault="00797FAB" w:rsidP="00290C63">
      <w:r>
        <w:separator/>
      </w:r>
    </w:p>
    <w:p w:rsidR="00797FAB" w:rsidRDefault="00797FAB"/>
  </w:endnote>
  <w:endnote w:type="continuationSeparator" w:id="0">
    <w:p w:rsidR="00797FAB" w:rsidRPr="00290C63" w:rsidRDefault="00797FAB" w:rsidP="00290C63">
      <w:r>
        <w:continuationSeparator/>
      </w:r>
    </w:p>
    <w:p w:rsidR="00797FAB" w:rsidRDefault="00797F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FAB" w:rsidRPr="00290C63" w:rsidRDefault="00797FAB"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797FAB" w:rsidRDefault="00797FAB"/>
  <w:p w:rsidR="00797FAB" w:rsidRDefault="00797FAB"/>
  <w:p w:rsidR="00797FAB" w:rsidRDefault="00797FAB"/>
  <w:p w:rsidR="00797FAB" w:rsidRDefault="00797FAB"/>
  <w:p w:rsidR="00797FAB" w:rsidRDefault="00797FAB"/>
  <w:p w:rsidR="00797FAB" w:rsidRDefault="00797FAB"/>
  <w:p w:rsidR="00797FAB" w:rsidRDefault="00797FA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sz w:val="16"/>
        <w:szCs w:val="16"/>
      </w:rPr>
    </w:sdtEndPr>
    <w:sdtContent>
      <w:p w:rsidR="00797FAB" w:rsidRDefault="00797FAB">
        <w:pPr>
          <w:pStyle w:val="Footer"/>
        </w:pPr>
        <w:r>
          <w:fldChar w:fldCharType="begin"/>
        </w:r>
        <w:r>
          <w:instrText xml:space="preserve"> PAGE   \* MERGEFORMAT </w:instrText>
        </w:r>
        <w:r>
          <w:fldChar w:fldCharType="separate"/>
        </w:r>
        <w:r w:rsidR="00947BAA">
          <w:rPr>
            <w:noProof/>
          </w:rPr>
          <w:t>12-1</w:t>
        </w:r>
        <w:r>
          <w:rPr>
            <w:noProof/>
          </w:rPr>
          <w:fldChar w:fldCharType="end"/>
        </w:r>
        <w:r>
          <w:rPr>
            <w:noProof/>
          </w:rPr>
          <w:t xml:space="preserve">          </w:t>
        </w:r>
        <w:r w:rsidRPr="00FD5E78">
          <w:rPr>
            <w:noProof/>
            <w:sz w:val="16"/>
            <w:szCs w:val="16"/>
          </w:rPr>
          <w:t>Attachment 1</w:t>
        </w:r>
        <w:r>
          <w:rPr>
            <w:noProof/>
            <w:sz w:val="16"/>
            <w:szCs w:val="16"/>
          </w:rPr>
          <w:t>2</w:t>
        </w:r>
        <w:r w:rsidRPr="00FD5E78">
          <w:rPr>
            <w:noProof/>
            <w:sz w:val="16"/>
            <w:szCs w:val="16"/>
          </w:rPr>
          <w:t xml:space="preserve"> </w:t>
        </w:r>
        <w:r w:rsidRPr="00FD5E78">
          <w:rPr>
            <w:rFonts w:cs="Gautami"/>
            <w:noProof/>
            <w:sz w:val="16"/>
            <w:szCs w:val="16"/>
          </w:rPr>
          <w:t xml:space="preserve">– </w:t>
        </w:r>
        <w:r>
          <w:rPr>
            <w:sz w:val="16"/>
            <w:szCs w:val="16"/>
          </w:rPr>
          <w:t>Pricing methodology</w:t>
        </w:r>
        <w:r w:rsidRPr="00FD5E78">
          <w:rPr>
            <w:rFonts w:cs="Gautami"/>
            <w:noProof/>
            <w:sz w:val="16"/>
            <w:szCs w:val="16"/>
          </w:rPr>
          <w:t xml:space="preserve"> | </w:t>
        </w:r>
        <w:r>
          <w:rPr>
            <w:rFonts w:cs="Gautami"/>
            <w:noProof/>
            <w:sz w:val="16"/>
            <w:szCs w:val="16"/>
          </w:rPr>
          <w:t>Draft</w:t>
        </w:r>
        <w:r w:rsidRPr="00FD5E78">
          <w:rPr>
            <w:rFonts w:cs="Gautami"/>
            <w:noProof/>
            <w:sz w:val="16"/>
            <w:szCs w:val="16"/>
          </w:rPr>
          <w:t xml:space="preserve"> decision</w:t>
        </w:r>
        <w:r>
          <w:rPr>
            <w:rFonts w:cs="Gautami"/>
            <w:noProof/>
            <w:sz w:val="16"/>
            <w:szCs w:val="16"/>
          </w:rPr>
          <w:t>:</w:t>
        </w:r>
        <w:r w:rsidRPr="00FD5E78">
          <w:rPr>
            <w:rFonts w:cs="Gautami"/>
            <w:noProof/>
            <w:sz w:val="16"/>
            <w:szCs w:val="16"/>
          </w:rPr>
          <w:t xml:space="preserve"> </w:t>
        </w:r>
        <w:r>
          <w:rPr>
            <w:rFonts w:cs="Gautami"/>
            <w:noProof/>
            <w:sz w:val="16"/>
            <w:szCs w:val="16"/>
          </w:rPr>
          <w:t>AusNet Serices</w:t>
        </w:r>
        <w:r w:rsidRPr="00FD5E78">
          <w:rPr>
            <w:sz w:val="16"/>
            <w:szCs w:val="16"/>
          </w:rPr>
          <w:t xml:space="preserve"> transmission</w:t>
        </w:r>
        <w:r w:rsidRPr="00FD5E78">
          <w:rPr>
            <w:rFonts w:cs="Gautami"/>
            <w:noProof/>
            <w:sz w:val="16"/>
            <w:szCs w:val="16"/>
          </w:rPr>
          <w:t xml:space="preserve"> determination 201</w:t>
        </w:r>
        <w:r>
          <w:rPr>
            <w:rFonts w:cs="Gautami"/>
            <w:noProof/>
            <w:sz w:val="16"/>
            <w:szCs w:val="16"/>
          </w:rPr>
          <w:t>7</w:t>
        </w:r>
        <w:r w:rsidRPr="00FD5E78">
          <w:rPr>
            <w:rFonts w:cs="Gautami"/>
            <w:noProof/>
            <w:sz w:val="16"/>
            <w:szCs w:val="16"/>
          </w:rPr>
          <w:t>–</w:t>
        </w:r>
        <w:r>
          <w:rPr>
            <w:rFonts w:cs="Gautami"/>
            <w:noProof/>
            <w:sz w:val="16"/>
            <w:szCs w:val="16"/>
          </w:rPr>
          <w:t>22</w:t>
        </w:r>
      </w:p>
    </w:sdtContent>
  </w:sdt>
  <w:p w:rsidR="00797FAB" w:rsidRDefault="00797F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FAB" w:rsidRPr="00290C63" w:rsidRDefault="00797FAB"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797FAB" w:rsidRDefault="00797FAB">
    <w:pPr>
      <w:pStyle w:val="Footer"/>
    </w:pPr>
  </w:p>
  <w:p w:rsidR="00797FAB" w:rsidRDefault="00797FAB"/>
  <w:p w:rsidR="00797FAB" w:rsidRDefault="00797FAB"/>
  <w:p w:rsidR="00797FAB" w:rsidRDefault="00797FAB"/>
  <w:p w:rsidR="00797FAB" w:rsidRDefault="00797FAB"/>
  <w:p w:rsidR="00797FAB" w:rsidRDefault="00797FAB"/>
  <w:p w:rsidR="00797FAB" w:rsidRDefault="00797FAB"/>
  <w:p w:rsidR="00797FAB" w:rsidRDefault="00797F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FAB" w:rsidRPr="00290C63" w:rsidRDefault="00797FAB" w:rsidP="00290C63">
      <w:r>
        <w:separator/>
      </w:r>
    </w:p>
    <w:p w:rsidR="00797FAB" w:rsidRDefault="00797FAB"/>
  </w:footnote>
  <w:footnote w:type="continuationSeparator" w:id="0">
    <w:p w:rsidR="00797FAB" w:rsidRPr="00290C63" w:rsidRDefault="00797FAB" w:rsidP="00290C63">
      <w:r>
        <w:continuationSeparator/>
      </w:r>
    </w:p>
    <w:p w:rsidR="00797FAB" w:rsidRDefault="00797FAB"/>
  </w:footnote>
  <w:footnote w:id="1">
    <w:p w:rsidR="00797FAB" w:rsidRDefault="00797FAB" w:rsidP="00D83FC7">
      <w:pPr>
        <w:pStyle w:val="FootnoteText"/>
      </w:pPr>
      <w:r>
        <w:rPr>
          <w:rStyle w:val="FootnoteReference"/>
        </w:rPr>
        <w:footnoteRef/>
      </w:r>
      <w:r>
        <w:t xml:space="preserve"> </w:t>
      </w:r>
      <w:r>
        <w:tab/>
        <w:t>NER, cl. 6A.2.2(4).</w:t>
      </w:r>
    </w:p>
  </w:footnote>
  <w:footnote w:id="2">
    <w:p w:rsidR="00797FAB" w:rsidRPr="00C14EB0" w:rsidRDefault="00797FAB" w:rsidP="00D83FC7">
      <w:pPr>
        <w:pStyle w:val="FootnoteText"/>
        <w:rPr>
          <w:rStyle w:val="AERtextsize8"/>
        </w:rPr>
      </w:pPr>
      <w:r>
        <w:rPr>
          <w:rStyle w:val="FootnoteReference"/>
        </w:rPr>
        <w:footnoteRef/>
      </w:r>
      <w:r>
        <w:t xml:space="preserve"> </w:t>
      </w:r>
      <w:r>
        <w:tab/>
        <w:t xml:space="preserve">AEMC, </w:t>
      </w:r>
      <w:r>
        <w:rPr>
          <w:rStyle w:val="AERtextitalic"/>
        </w:rPr>
        <w:t xml:space="preserve">Rule determination: National Electricity Amendment (Pricing of Prescribed Transmission Services) Rule 2006 No. 22, </w:t>
      </w:r>
      <w:r>
        <w:rPr>
          <w:rStyle w:val="AERtextsize8"/>
        </w:rPr>
        <w:t>21 December 2006, p. 1.</w:t>
      </w:r>
    </w:p>
  </w:footnote>
  <w:footnote w:id="3">
    <w:p w:rsidR="00797FAB" w:rsidRDefault="00797FAB" w:rsidP="00D83FC7">
      <w:pPr>
        <w:pStyle w:val="FootnoteText"/>
      </w:pPr>
      <w:r>
        <w:rPr>
          <w:rStyle w:val="FootnoteReference"/>
        </w:rPr>
        <w:footnoteRef/>
      </w:r>
      <w:r>
        <w:t xml:space="preserve"> </w:t>
      </w:r>
      <w:r>
        <w:tab/>
        <w:t>NER, cl. 6A.24.1(b).</w:t>
      </w:r>
    </w:p>
  </w:footnote>
  <w:footnote w:id="4">
    <w:p w:rsidR="00797FAB" w:rsidRDefault="00797FAB" w:rsidP="00D83FC7">
      <w:pPr>
        <w:pStyle w:val="FootnoteText"/>
      </w:pPr>
      <w:r>
        <w:rPr>
          <w:rStyle w:val="FootnoteReference"/>
        </w:rPr>
        <w:footnoteRef/>
      </w:r>
      <w:r>
        <w:t xml:space="preserve"> </w:t>
      </w:r>
      <w:r>
        <w:tab/>
        <w:t>NER, cl. 6A.24.1(b)(1).</w:t>
      </w:r>
    </w:p>
  </w:footnote>
  <w:footnote w:id="5">
    <w:p w:rsidR="00797FAB" w:rsidRDefault="00797FAB" w:rsidP="00D83FC7">
      <w:pPr>
        <w:pStyle w:val="FootnoteText"/>
      </w:pPr>
      <w:r>
        <w:rPr>
          <w:rStyle w:val="FootnoteReference"/>
        </w:rPr>
        <w:footnoteRef/>
      </w:r>
      <w:r>
        <w:t xml:space="preserve"> </w:t>
      </w:r>
      <w:r>
        <w:tab/>
        <w:t>NER, cl. 6A.24.1(b)(2).</w:t>
      </w:r>
    </w:p>
  </w:footnote>
  <w:footnote w:id="6">
    <w:p w:rsidR="00797FAB" w:rsidRDefault="00797FAB" w:rsidP="00D83FC7">
      <w:pPr>
        <w:pStyle w:val="FootnoteText"/>
      </w:pPr>
      <w:r>
        <w:rPr>
          <w:rStyle w:val="FootnoteReference"/>
        </w:rPr>
        <w:footnoteRef/>
      </w:r>
      <w:r>
        <w:t xml:space="preserve"> </w:t>
      </w:r>
      <w:r>
        <w:tab/>
        <w:t>NER, cl. 6A.24.1(b)(3).</w:t>
      </w:r>
    </w:p>
  </w:footnote>
  <w:footnote w:id="7">
    <w:p w:rsidR="00797FAB" w:rsidRDefault="00797FAB" w:rsidP="00D83FC7">
      <w:pPr>
        <w:pStyle w:val="FootnoteText"/>
      </w:pPr>
      <w:r>
        <w:rPr>
          <w:rStyle w:val="FootnoteReference"/>
        </w:rPr>
        <w:footnoteRef/>
      </w:r>
      <w:r>
        <w:t xml:space="preserve"> </w:t>
      </w:r>
      <w:r>
        <w:tab/>
        <w:t>NER, cl. 6A.24.1(b)(4).</w:t>
      </w:r>
    </w:p>
  </w:footnote>
  <w:footnote w:id="8">
    <w:p w:rsidR="00797FAB" w:rsidRDefault="00797FAB" w:rsidP="00D83FC7">
      <w:pPr>
        <w:pStyle w:val="FootnoteText"/>
      </w:pPr>
      <w:r>
        <w:rPr>
          <w:rStyle w:val="FootnoteReference"/>
        </w:rPr>
        <w:footnoteRef/>
      </w:r>
      <w:r>
        <w:t xml:space="preserve"> </w:t>
      </w:r>
      <w:r>
        <w:tab/>
      </w:r>
      <w:r w:rsidR="00943764">
        <w:t xml:space="preserve">AusNet Services, </w:t>
      </w:r>
      <w:r w:rsidR="00943764" w:rsidRPr="00943764">
        <w:rPr>
          <w:rStyle w:val="AERtextitalic"/>
        </w:rPr>
        <w:t>Revenue proposal, Appendix 14A: Pricing methodology</w:t>
      </w:r>
      <w:r w:rsidR="00943764">
        <w:t>, October 2015</w:t>
      </w:r>
      <w:r>
        <w:t>, p. 4.</w:t>
      </w:r>
    </w:p>
  </w:footnote>
  <w:footnote w:id="9">
    <w:p w:rsidR="00797FAB" w:rsidRDefault="00797FAB" w:rsidP="00D83FC7">
      <w:pPr>
        <w:pStyle w:val="FootnoteText"/>
      </w:pPr>
      <w:r>
        <w:rPr>
          <w:rStyle w:val="FootnoteReference"/>
        </w:rPr>
        <w:footnoteRef/>
      </w:r>
      <w:r>
        <w:t xml:space="preserve"> </w:t>
      </w:r>
      <w:r>
        <w:tab/>
      </w:r>
      <w:r w:rsidR="00943764">
        <w:t xml:space="preserve">AusNet Services, </w:t>
      </w:r>
      <w:r w:rsidR="00943764" w:rsidRPr="00943764">
        <w:rPr>
          <w:rStyle w:val="AERtextitalic"/>
        </w:rPr>
        <w:t>Revenue proposal, Appendix 14A: Pricing methodology</w:t>
      </w:r>
      <w:r w:rsidR="00943764">
        <w:t>, October 2015</w:t>
      </w:r>
      <w:r>
        <w:t>, p. 4.</w:t>
      </w:r>
    </w:p>
  </w:footnote>
  <w:footnote w:id="10">
    <w:p w:rsidR="00797FAB" w:rsidRDefault="00797FAB" w:rsidP="00D83FC7">
      <w:pPr>
        <w:pStyle w:val="FootnoteText"/>
      </w:pPr>
      <w:r>
        <w:rPr>
          <w:rStyle w:val="FootnoteReference"/>
        </w:rPr>
        <w:footnoteRef/>
      </w:r>
      <w:r>
        <w:t xml:space="preserve"> </w:t>
      </w:r>
      <w:r>
        <w:tab/>
      </w:r>
      <w:r w:rsidR="00943764">
        <w:t xml:space="preserve">AusNet Services, </w:t>
      </w:r>
      <w:r w:rsidR="00943764" w:rsidRPr="00943764">
        <w:rPr>
          <w:rStyle w:val="AERtextitalic"/>
        </w:rPr>
        <w:t>Revenue proposal, Appendix 14A: Pricing methodology</w:t>
      </w:r>
      <w:r w:rsidR="00943764">
        <w:t>, October 2015</w:t>
      </w:r>
      <w:r>
        <w:t>, p. 4.</w:t>
      </w:r>
    </w:p>
  </w:footnote>
  <w:footnote w:id="11">
    <w:p w:rsidR="00797FAB" w:rsidRDefault="00797FAB" w:rsidP="00D83FC7">
      <w:pPr>
        <w:pStyle w:val="FootnoteText"/>
      </w:pPr>
      <w:r>
        <w:rPr>
          <w:rStyle w:val="FootnoteReference"/>
        </w:rPr>
        <w:footnoteRef/>
      </w:r>
      <w:r>
        <w:t xml:space="preserve"> </w:t>
      </w:r>
      <w:r>
        <w:tab/>
        <w:t>NER, cl. 6A.24.1(c).</w:t>
      </w:r>
    </w:p>
  </w:footnote>
  <w:footnote w:id="12">
    <w:p w:rsidR="00797FAB" w:rsidRDefault="00797FAB">
      <w:pPr>
        <w:pStyle w:val="FootnoteText"/>
      </w:pPr>
      <w:r>
        <w:rPr>
          <w:rStyle w:val="FootnoteReference"/>
        </w:rPr>
        <w:footnoteRef/>
      </w:r>
      <w:r>
        <w:t xml:space="preserve"> </w:t>
      </w:r>
      <w:r>
        <w:tab/>
      </w:r>
      <w:r w:rsidR="00943764">
        <w:t xml:space="preserve">AusNet Services, </w:t>
      </w:r>
      <w:r w:rsidR="00943764" w:rsidRPr="00943764">
        <w:rPr>
          <w:rStyle w:val="AERtextitalic"/>
        </w:rPr>
        <w:t>Revenue proposal, Appendix 14A: Pricing methodology</w:t>
      </w:r>
      <w:r w:rsidR="00943764">
        <w:t>, October 2015</w:t>
      </w:r>
      <w:r>
        <w:t>, p. 4.</w:t>
      </w:r>
    </w:p>
  </w:footnote>
  <w:footnote w:id="13">
    <w:p w:rsidR="00081185" w:rsidRDefault="00081185">
      <w:pPr>
        <w:pStyle w:val="FootnoteText"/>
      </w:pPr>
      <w:r>
        <w:rPr>
          <w:rStyle w:val="FootnoteReference"/>
        </w:rPr>
        <w:footnoteRef/>
      </w:r>
      <w:r>
        <w:t xml:space="preserve"> </w:t>
      </w:r>
      <w:r>
        <w:tab/>
      </w:r>
      <w:r w:rsidR="00943764">
        <w:t xml:space="preserve">AusNet Services, </w:t>
      </w:r>
      <w:r w:rsidR="00943764" w:rsidRPr="00943764">
        <w:rPr>
          <w:rStyle w:val="AERtextitalic"/>
        </w:rPr>
        <w:t>Revenue proposal, Appendix 14A: Pricing methodology</w:t>
      </w:r>
      <w:r w:rsidR="00943764">
        <w:t>, October 2015</w:t>
      </w:r>
      <w:r>
        <w:t>, p. 4.</w:t>
      </w:r>
    </w:p>
  </w:footnote>
  <w:footnote w:id="14">
    <w:p w:rsidR="00797FAB" w:rsidRDefault="00797FAB" w:rsidP="00770D19">
      <w:pPr>
        <w:pStyle w:val="FootnoteText"/>
      </w:pPr>
      <w:r>
        <w:rPr>
          <w:rStyle w:val="FootnoteReference"/>
        </w:rPr>
        <w:footnoteRef/>
      </w:r>
      <w:r>
        <w:t xml:space="preserve"> </w:t>
      </w:r>
      <w:r>
        <w:tab/>
        <w:t>NER, clause 6A.24.1(c)(1).</w:t>
      </w:r>
    </w:p>
  </w:footnote>
  <w:footnote w:id="15">
    <w:p w:rsidR="00797FAB" w:rsidRDefault="00797FAB" w:rsidP="00770D19">
      <w:pPr>
        <w:pStyle w:val="FootnoteText"/>
      </w:pPr>
      <w:r>
        <w:rPr>
          <w:rStyle w:val="FootnoteReference"/>
        </w:rPr>
        <w:footnoteRef/>
      </w:r>
      <w:r>
        <w:t xml:space="preserve"> </w:t>
      </w:r>
      <w:r>
        <w:tab/>
        <w:t>NER, clause 6A.24.1(c)(2).</w:t>
      </w:r>
    </w:p>
  </w:footnote>
  <w:footnote w:id="16">
    <w:p w:rsidR="00956C6E" w:rsidRDefault="00956C6E">
      <w:pPr>
        <w:pStyle w:val="FootnoteText"/>
      </w:pPr>
      <w:r>
        <w:rPr>
          <w:rStyle w:val="FootnoteReference"/>
        </w:rPr>
        <w:footnoteRef/>
      </w:r>
      <w:r>
        <w:t xml:space="preserve"> </w:t>
      </w:r>
      <w:r>
        <w:tab/>
        <w:t>Other DTSOs in Victoria include: Rowville Transmission Facility Pty Ltd; Transmission Operations Australia Pty Ltd; NSW Electricity Network Operations Pty Ltd; Transmission Operations Australia 2 Pty Ltd.</w:t>
      </w:r>
    </w:p>
  </w:footnote>
  <w:footnote w:id="17">
    <w:p w:rsidR="00797FAB" w:rsidRDefault="00797FAB" w:rsidP="00770D19">
      <w:pPr>
        <w:pStyle w:val="FootnoteText"/>
      </w:pPr>
      <w:r>
        <w:rPr>
          <w:rStyle w:val="FootnoteReference"/>
        </w:rPr>
        <w:footnoteRef/>
      </w:r>
      <w:r>
        <w:t xml:space="preserve"> </w:t>
      </w:r>
      <w:r>
        <w:tab/>
        <w:t>National Electricity Law, section 50F.</w:t>
      </w:r>
    </w:p>
  </w:footnote>
  <w:footnote w:id="18">
    <w:p w:rsidR="00797FAB" w:rsidRDefault="00797FAB" w:rsidP="00770D19">
      <w:pPr>
        <w:pStyle w:val="FootnoteText"/>
      </w:pPr>
      <w:r>
        <w:rPr>
          <w:rStyle w:val="FootnoteReference"/>
        </w:rPr>
        <w:footnoteRef/>
      </w:r>
      <w:r>
        <w:t xml:space="preserve"> </w:t>
      </w:r>
      <w:r>
        <w:tab/>
        <w:t>NER, Chapter 10.</w:t>
      </w:r>
    </w:p>
  </w:footnote>
  <w:footnote w:id="19">
    <w:p w:rsidR="00797FAB" w:rsidRDefault="00797FAB" w:rsidP="00770D19">
      <w:pPr>
        <w:pStyle w:val="FootnoteText"/>
      </w:pPr>
      <w:r>
        <w:rPr>
          <w:rStyle w:val="FootnoteReference"/>
        </w:rPr>
        <w:footnoteRef/>
      </w:r>
      <w:r>
        <w:t xml:space="preserve"> </w:t>
      </w:r>
      <w:r>
        <w:tab/>
        <w:t>NER, Chapter 10.</w:t>
      </w:r>
    </w:p>
  </w:footnote>
  <w:footnote w:id="20">
    <w:p w:rsidR="00797FAB" w:rsidRDefault="00797FAB">
      <w:pPr>
        <w:pStyle w:val="FootnoteText"/>
      </w:pPr>
      <w:r>
        <w:rPr>
          <w:rStyle w:val="FootnoteReference"/>
        </w:rPr>
        <w:footnoteRef/>
      </w:r>
      <w:r>
        <w:t xml:space="preserve"> </w:t>
      </w:r>
      <w:r w:rsidR="00081185">
        <w:tab/>
        <w:t xml:space="preserve">AEMO, </w:t>
      </w:r>
      <w:r w:rsidR="00D90B80" w:rsidRPr="00D90B80">
        <w:rPr>
          <w:rStyle w:val="AERtextitalic"/>
        </w:rPr>
        <w:t>Approved pricing methodology</w:t>
      </w:r>
      <w:r w:rsidR="00D90B80">
        <w:rPr>
          <w:rStyle w:val="AERtextitalic"/>
        </w:rPr>
        <w:t xml:space="preserve"> (2014–19)</w:t>
      </w:r>
      <w:r w:rsidR="00D90B80">
        <w:t>, April 2014</w:t>
      </w:r>
    </w:p>
  </w:footnote>
  <w:footnote w:id="21">
    <w:p w:rsidR="00797FAB" w:rsidRDefault="00797FAB" w:rsidP="00210BDC">
      <w:pPr>
        <w:pStyle w:val="FootnoteText"/>
      </w:pPr>
      <w:r>
        <w:rPr>
          <w:rStyle w:val="FootnoteReference"/>
        </w:rPr>
        <w:footnoteRef/>
      </w:r>
      <w:r>
        <w:t xml:space="preserve"> </w:t>
      </w:r>
      <w:r>
        <w:tab/>
        <w:t xml:space="preserve">AEMC, </w:t>
      </w:r>
      <w:r w:rsidRPr="006F6072">
        <w:rPr>
          <w:rStyle w:val="AERtextitalic"/>
        </w:rPr>
        <w:t>Rule Determination: National Electricity Amendment (Pricing of Prescribed Transmission Services) Rule 2006 No. 22</w:t>
      </w:r>
      <w:r>
        <w:t>, 21 December 2006, pp. 27–8.</w:t>
      </w:r>
    </w:p>
  </w:footnote>
  <w:footnote w:id="22">
    <w:p w:rsidR="00797FAB" w:rsidRDefault="00797FAB" w:rsidP="00210BDC">
      <w:pPr>
        <w:pStyle w:val="FootnoteText"/>
      </w:pPr>
      <w:r>
        <w:rPr>
          <w:rStyle w:val="FootnoteReference"/>
        </w:rPr>
        <w:footnoteRef/>
      </w:r>
      <w:r>
        <w:t xml:space="preserve"> </w:t>
      </w:r>
      <w:r>
        <w:tab/>
        <w:t>NER, clause 6A.22.3.</w:t>
      </w:r>
    </w:p>
  </w:footnote>
  <w:footnote w:id="23">
    <w:p w:rsidR="008E0098" w:rsidRDefault="008E0098" w:rsidP="008E0098">
      <w:pPr>
        <w:pStyle w:val="FootnoteText"/>
      </w:pPr>
      <w:r>
        <w:rPr>
          <w:rStyle w:val="FootnoteReference"/>
        </w:rPr>
        <w:footnoteRef/>
      </w:r>
      <w:r>
        <w:t xml:space="preserve"> </w:t>
      </w:r>
      <w:r>
        <w:tab/>
      </w:r>
      <w:r w:rsidR="00943764">
        <w:t>AusNet Services</w:t>
      </w:r>
      <w:r>
        <w:t xml:space="preserve">, </w:t>
      </w:r>
      <w:r w:rsidRPr="00943764">
        <w:rPr>
          <w:rStyle w:val="AERtextitalic"/>
        </w:rPr>
        <w:t>Revenue proposal</w:t>
      </w:r>
      <w:r w:rsidR="00943764" w:rsidRPr="00943764">
        <w:rPr>
          <w:rStyle w:val="AERtextitalic"/>
        </w:rPr>
        <w:t>, Appendix 14</w:t>
      </w:r>
      <w:r w:rsidRPr="00943764">
        <w:rPr>
          <w:rStyle w:val="AERtextitalic"/>
        </w:rPr>
        <w:t>A: Pricing methodology</w:t>
      </w:r>
      <w:r>
        <w:t>,</w:t>
      </w:r>
      <w:r w:rsidR="00943764">
        <w:t xml:space="preserve"> October 2015,</w:t>
      </w:r>
      <w:r>
        <w:t xml:space="preserve"> clause 1.</w:t>
      </w:r>
    </w:p>
  </w:footnote>
  <w:footnote w:id="24">
    <w:p w:rsidR="008E0098" w:rsidRDefault="008E0098" w:rsidP="008E0098">
      <w:pPr>
        <w:pStyle w:val="FootnoteText"/>
      </w:pPr>
      <w:r>
        <w:rPr>
          <w:rStyle w:val="FootnoteReference"/>
        </w:rPr>
        <w:footnoteRef/>
      </w:r>
      <w:r>
        <w:t xml:space="preserve"> </w:t>
      </w:r>
      <w:r>
        <w:tab/>
      </w:r>
      <w:r w:rsidR="00943764">
        <w:t xml:space="preserve">AusNet Services, </w:t>
      </w:r>
      <w:r w:rsidR="00943764" w:rsidRPr="00943764">
        <w:rPr>
          <w:rStyle w:val="AERtextitalic"/>
        </w:rPr>
        <w:t>Revenue proposal, Appendix 14A: Pricing methodology</w:t>
      </w:r>
      <w:r w:rsidR="00943764">
        <w:t>, October 2015</w:t>
      </w:r>
      <w:r>
        <w:t>, clause 4.1.</w:t>
      </w:r>
    </w:p>
  </w:footnote>
  <w:footnote w:id="25">
    <w:p w:rsidR="008E0098" w:rsidRDefault="008E0098" w:rsidP="008E0098">
      <w:pPr>
        <w:pStyle w:val="FootnoteText"/>
      </w:pPr>
      <w:r>
        <w:rPr>
          <w:rStyle w:val="FootnoteReference"/>
        </w:rPr>
        <w:footnoteRef/>
      </w:r>
      <w:r>
        <w:t xml:space="preserve"> </w:t>
      </w:r>
      <w:r w:rsidR="00943764">
        <w:tab/>
        <w:t xml:space="preserve">AusNet Services, </w:t>
      </w:r>
      <w:r w:rsidR="00943764" w:rsidRPr="00943764">
        <w:rPr>
          <w:rStyle w:val="AERtextitalic"/>
        </w:rPr>
        <w:t>Revenue proposal, Appendix 14A: Pricing methodology</w:t>
      </w:r>
      <w:r w:rsidR="00943764">
        <w:t>, October 2015</w:t>
      </w:r>
      <w:r>
        <w:t>, clause 5.</w:t>
      </w:r>
    </w:p>
  </w:footnote>
  <w:footnote w:id="26">
    <w:p w:rsidR="008E0098" w:rsidRDefault="008E0098" w:rsidP="008E0098">
      <w:pPr>
        <w:pStyle w:val="FootnoteText"/>
      </w:pPr>
      <w:r>
        <w:rPr>
          <w:rStyle w:val="FootnoteReference"/>
        </w:rPr>
        <w:footnoteRef/>
      </w:r>
      <w:r>
        <w:t xml:space="preserve"> </w:t>
      </w:r>
      <w:r>
        <w:tab/>
      </w:r>
      <w:r w:rsidR="00943764">
        <w:t xml:space="preserve">AusNet Services, </w:t>
      </w:r>
      <w:r w:rsidR="00943764" w:rsidRPr="00943764">
        <w:rPr>
          <w:rStyle w:val="AERtextitalic"/>
        </w:rPr>
        <w:t>Revenue proposal, Appendix 14A: Pricing methodology</w:t>
      </w:r>
      <w:r w:rsidR="00943764">
        <w:t>, October 2015</w:t>
      </w:r>
      <w:r>
        <w:t>, clause 7.</w:t>
      </w:r>
    </w:p>
  </w:footnote>
  <w:footnote w:id="27">
    <w:p w:rsidR="008E0098" w:rsidRDefault="008E0098" w:rsidP="008E0098">
      <w:pPr>
        <w:pStyle w:val="FootnoteText"/>
      </w:pPr>
      <w:r>
        <w:rPr>
          <w:rStyle w:val="FootnoteReference"/>
        </w:rPr>
        <w:footnoteRef/>
      </w:r>
      <w:r>
        <w:t xml:space="preserve"> </w:t>
      </w:r>
      <w:r>
        <w:tab/>
      </w:r>
      <w:r w:rsidR="00943764">
        <w:t xml:space="preserve">AusNet Services, </w:t>
      </w:r>
      <w:r w:rsidR="00943764" w:rsidRPr="00943764">
        <w:rPr>
          <w:rStyle w:val="AERtextitalic"/>
        </w:rPr>
        <w:t>Revenue proposal, Appendix 14A: Pricing methodology</w:t>
      </w:r>
      <w:r w:rsidR="00943764">
        <w:t>, October 2015</w:t>
      </w:r>
      <w:r>
        <w:t>, clause 8.</w:t>
      </w:r>
    </w:p>
  </w:footnote>
  <w:footnote w:id="28">
    <w:p w:rsidR="008E0098" w:rsidRDefault="008E0098" w:rsidP="008E0098">
      <w:pPr>
        <w:pStyle w:val="FootnoteText"/>
      </w:pPr>
      <w:r>
        <w:rPr>
          <w:rStyle w:val="FootnoteReference"/>
        </w:rPr>
        <w:footnoteRef/>
      </w:r>
      <w:r>
        <w:t xml:space="preserve"> </w:t>
      </w:r>
      <w:r>
        <w:tab/>
      </w:r>
      <w:r w:rsidR="00943764">
        <w:t xml:space="preserve">AusNet Services, </w:t>
      </w:r>
      <w:r w:rsidR="00943764" w:rsidRPr="00943764">
        <w:rPr>
          <w:rStyle w:val="AERtextitalic"/>
        </w:rPr>
        <w:t>Revenue proposal, Appendix 14A: Pricing methodology</w:t>
      </w:r>
      <w:r w:rsidR="00943764">
        <w:t>, October 2015</w:t>
      </w:r>
      <w:r>
        <w:t>, Appendix B.</w:t>
      </w:r>
    </w:p>
  </w:footnote>
  <w:footnote w:id="29">
    <w:p w:rsidR="008E0098" w:rsidRDefault="008E0098" w:rsidP="008E0098">
      <w:pPr>
        <w:pStyle w:val="FootnoteText"/>
      </w:pPr>
      <w:r>
        <w:rPr>
          <w:rStyle w:val="FootnoteReference"/>
        </w:rPr>
        <w:footnoteRef/>
      </w:r>
      <w:r>
        <w:t xml:space="preserve"> </w:t>
      </w:r>
      <w:r>
        <w:tab/>
      </w:r>
      <w:r w:rsidR="00943764">
        <w:t xml:space="preserve">AusNet Services, </w:t>
      </w:r>
      <w:r w:rsidR="00943764" w:rsidRPr="00943764">
        <w:rPr>
          <w:rStyle w:val="AERtextitalic"/>
        </w:rPr>
        <w:t>Revenue proposal, Appendix 14A: Pricing methodology</w:t>
      </w:r>
      <w:r w:rsidR="00943764">
        <w:t>, October 2015</w:t>
      </w:r>
      <w:r>
        <w:t>, clause 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946" w:rsidRDefault="009D29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946" w:rsidRDefault="009D29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946" w:rsidRDefault="009D29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C3F44DE"/>
    <w:multiLevelType w:val="multilevel"/>
    <w:tmpl w:val="950A1C52"/>
    <w:numStyleLink w:val="AERHeadings"/>
  </w:abstractNum>
  <w:abstractNum w:abstractNumId="15">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6">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592056E"/>
    <w:multiLevelType w:val="multilevel"/>
    <w:tmpl w:val="950A1C52"/>
    <w:numStyleLink w:val="AERHeadings"/>
  </w:abstractNum>
  <w:abstractNum w:abstractNumId="19">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1">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3">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F5F4FFC"/>
    <w:multiLevelType w:val="multilevel"/>
    <w:tmpl w:val="950A1C52"/>
    <w:numStyleLink w:val="AERHeadings"/>
  </w:abstractNum>
  <w:abstractNum w:abstractNumId="27">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41A80E45"/>
    <w:multiLevelType w:val="multilevel"/>
    <w:tmpl w:val="950A1C52"/>
    <w:numStyleLink w:val="AERHeadings"/>
  </w:abstractNum>
  <w:abstractNum w:abstractNumId="29">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30">
    <w:nsid w:val="487C7731"/>
    <w:multiLevelType w:val="multilevel"/>
    <w:tmpl w:val="950A1C52"/>
    <w:numStyleLink w:val="AERHeadings"/>
  </w:abstractNum>
  <w:abstractNum w:abstractNumId="3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6">
    <w:nsid w:val="5ECE4384"/>
    <w:multiLevelType w:val="multilevel"/>
    <w:tmpl w:val="B896D016"/>
    <w:lvl w:ilvl="0">
      <w:start w:val="1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8">
    <w:nsid w:val="6DE36827"/>
    <w:multiLevelType w:val="multilevel"/>
    <w:tmpl w:val="950A1C52"/>
    <w:numStyleLink w:val="AERHeadings"/>
  </w:abstractNum>
  <w:abstractNum w:abstractNumId="39">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4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7"/>
  </w:num>
  <w:num w:numId="13">
    <w:abstractNumId w:val="24"/>
  </w:num>
  <w:num w:numId="14">
    <w:abstractNumId w:val="11"/>
  </w:num>
  <w:num w:numId="15">
    <w:abstractNumId w:val="15"/>
  </w:num>
  <w:num w:numId="16">
    <w:abstractNumId w:val="31"/>
  </w:num>
  <w:num w:numId="17">
    <w:abstractNumId w:val="10"/>
  </w:num>
  <w:num w:numId="18">
    <w:abstractNumId w:val="20"/>
  </w:num>
  <w:num w:numId="19">
    <w:abstractNumId w:val="32"/>
  </w:num>
  <w:num w:numId="20">
    <w:abstractNumId w:val="39"/>
  </w:num>
  <w:num w:numId="21">
    <w:abstractNumId w:val="16"/>
  </w:num>
  <w:num w:numId="22">
    <w:abstractNumId w:val="35"/>
  </w:num>
  <w:num w:numId="23">
    <w:abstractNumId w:val="33"/>
  </w:num>
  <w:num w:numId="24">
    <w:abstractNumId w:val="22"/>
  </w:num>
  <w:num w:numId="25">
    <w:abstractNumId w:val="34"/>
  </w:num>
  <w:num w:numId="26">
    <w:abstractNumId w:val="36"/>
  </w:num>
  <w:num w:numId="27">
    <w:abstractNumId w:val="23"/>
  </w:num>
  <w:num w:numId="28">
    <w:abstractNumId w:val="21"/>
  </w:num>
  <w:num w:numId="29">
    <w:abstractNumId w:val="19"/>
  </w:num>
  <w:num w:numId="30">
    <w:abstractNumId w:val="40"/>
  </w:num>
  <w:num w:numId="31">
    <w:abstractNumId w:val="17"/>
  </w:num>
  <w:num w:numId="32">
    <w:abstractNumId w:val="27"/>
  </w:num>
  <w:num w:numId="33">
    <w:abstractNumId w:val="22"/>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2"/>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2"/>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8"/>
  </w:num>
  <w:num w:numId="37">
    <w:abstractNumId w:val="30"/>
  </w:num>
  <w:num w:numId="38">
    <w:abstractNumId w:val="26"/>
  </w:num>
  <w:num w:numId="39">
    <w:abstractNumId w:val="14"/>
  </w:num>
  <w:num w:numId="40">
    <w:abstractNumId w:val="36"/>
  </w:num>
  <w:num w:numId="41">
    <w:abstractNumId w:val="36"/>
  </w:num>
  <w:num w:numId="42">
    <w:abstractNumId w:val="28"/>
  </w:num>
  <w:num w:numId="43">
    <w:abstractNumId w:val="18"/>
  </w:num>
  <w:num w:numId="44">
    <w:abstractNumId w:val="29"/>
  </w:num>
  <w:num w:numId="45">
    <w:abstractNumId w:val="25"/>
  </w:num>
  <w:num w:numId="46">
    <w:abstractNumId w:val="9"/>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I7kRiCX0jVqxRPHqPmE/2yz7gn3GOfyHHAN7100Mba8=" w:saltValue="HrnFVa4vtWmvhfwKPXTN5w==" w:algorithmName="SHA-256"/>
  <w:defaultTabStop w:val="34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3.2.2 ausnet services 2017-22 - draft decision - attachment 12 - pricing methodology (AER2015-004434).docx"/>
  </w:docVars>
  <w:rsids>
    <w:rsidRoot w:val="00961A4A"/>
    <w:rsid w:val="000035FC"/>
    <w:rsid w:val="00005540"/>
    <w:rsid w:val="00021202"/>
    <w:rsid w:val="00021C2B"/>
    <w:rsid w:val="0002517F"/>
    <w:rsid w:val="0003578C"/>
    <w:rsid w:val="000476DD"/>
    <w:rsid w:val="00063247"/>
    <w:rsid w:val="00070F9F"/>
    <w:rsid w:val="0007137B"/>
    <w:rsid w:val="00077389"/>
    <w:rsid w:val="00081185"/>
    <w:rsid w:val="00085663"/>
    <w:rsid w:val="00085EBF"/>
    <w:rsid w:val="00086871"/>
    <w:rsid w:val="000A3020"/>
    <w:rsid w:val="000A6C7B"/>
    <w:rsid w:val="000B321F"/>
    <w:rsid w:val="000C2B40"/>
    <w:rsid w:val="000D122C"/>
    <w:rsid w:val="000E1819"/>
    <w:rsid w:val="000E4821"/>
    <w:rsid w:val="000E6C72"/>
    <w:rsid w:val="00116EB2"/>
    <w:rsid w:val="001203C4"/>
    <w:rsid w:val="00124609"/>
    <w:rsid w:val="00126A4C"/>
    <w:rsid w:val="0014573B"/>
    <w:rsid w:val="001573E4"/>
    <w:rsid w:val="00160756"/>
    <w:rsid w:val="00167E1D"/>
    <w:rsid w:val="0017232E"/>
    <w:rsid w:val="00174102"/>
    <w:rsid w:val="001754EE"/>
    <w:rsid w:val="00180157"/>
    <w:rsid w:val="00185585"/>
    <w:rsid w:val="00185C55"/>
    <w:rsid w:val="00185CB9"/>
    <w:rsid w:val="00186F77"/>
    <w:rsid w:val="001921F2"/>
    <w:rsid w:val="001926A4"/>
    <w:rsid w:val="00192AD5"/>
    <w:rsid w:val="001B45A0"/>
    <w:rsid w:val="001D055E"/>
    <w:rsid w:val="001F492E"/>
    <w:rsid w:val="001F6DA3"/>
    <w:rsid w:val="002010BC"/>
    <w:rsid w:val="002016E7"/>
    <w:rsid w:val="00202E03"/>
    <w:rsid w:val="0020492C"/>
    <w:rsid w:val="00210BDC"/>
    <w:rsid w:val="00224DB9"/>
    <w:rsid w:val="00233775"/>
    <w:rsid w:val="00251745"/>
    <w:rsid w:val="00263AC0"/>
    <w:rsid w:val="00264264"/>
    <w:rsid w:val="0026772D"/>
    <w:rsid w:val="00286874"/>
    <w:rsid w:val="002876B3"/>
    <w:rsid w:val="00290C63"/>
    <w:rsid w:val="00296B65"/>
    <w:rsid w:val="00297C2E"/>
    <w:rsid w:val="002A0C23"/>
    <w:rsid w:val="002A7DEF"/>
    <w:rsid w:val="002C233C"/>
    <w:rsid w:val="002C2B65"/>
    <w:rsid w:val="002D72E8"/>
    <w:rsid w:val="002E7B22"/>
    <w:rsid w:val="002F7986"/>
    <w:rsid w:val="00301B40"/>
    <w:rsid w:val="003029EE"/>
    <w:rsid w:val="00305CC8"/>
    <w:rsid w:val="00307F6D"/>
    <w:rsid w:val="00316761"/>
    <w:rsid w:val="003177A2"/>
    <w:rsid w:val="003271B5"/>
    <w:rsid w:val="00327A1E"/>
    <w:rsid w:val="00331264"/>
    <w:rsid w:val="00334C8D"/>
    <w:rsid w:val="00341B42"/>
    <w:rsid w:val="00343A18"/>
    <w:rsid w:val="003518B3"/>
    <w:rsid w:val="00383A22"/>
    <w:rsid w:val="003846F1"/>
    <w:rsid w:val="003903F6"/>
    <w:rsid w:val="003B484F"/>
    <w:rsid w:val="003B7FBA"/>
    <w:rsid w:val="003C303F"/>
    <w:rsid w:val="003C3A9C"/>
    <w:rsid w:val="003F174D"/>
    <w:rsid w:val="00400514"/>
    <w:rsid w:val="00415F31"/>
    <w:rsid w:val="00423A77"/>
    <w:rsid w:val="0045777E"/>
    <w:rsid w:val="00470C7D"/>
    <w:rsid w:val="00480B4B"/>
    <w:rsid w:val="00485DC4"/>
    <w:rsid w:val="00491349"/>
    <w:rsid w:val="00492389"/>
    <w:rsid w:val="004A43D1"/>
    <w:rsid w:val="004B4412"/>
    <w:rsid w:val="004C31D0"/>
    <w:rsid w:val="004C348C"/>
    <w:rsid w:val="004D4888"/>
    <w:rsid w:val="004D55BA"/>
    <w:rsid w:val="004E1F95"/>
    <w:rsid w:val="004E22EC"/>
    <w:rsid w:val="004F6A0E"/>
    <w:rsid w:val="00523C2A"/>
    <w:rsid w:val="00530128"/>
    <w:rsid w:val="00532467"/>
    <w:rsid w:val="00540418"/>
    <w:rsid w:val="00544C12"/>
    <w:rsid w:val="00553342"/>
    <w:rsid w:val="00564A4D"/>
    <w:rsid w:val="0056707A"/>
    <w:rsid w:val="00567BA5"/>
    <w:rsid w:val="00571B35"/>
    <w:rsid w:val="00571D57"/>
    <w:rsid w:val="00577A09"/>
    <w:rsid w:val="005829C2"/>
    <w:rsid w:val="00584D8F"/>
    <w:rsid w:val="005A404D"/>
    <w:rsid w:val="005B05B6"/>
    <w:rsid w:val="005B1E3C"/>
    <w:rsid w:val="005B704A"/>
    <w:rsid w:val="005C26CC"/>
    <w:rsid w:val="005D7BA2"/>
    <w:rsid w:val="005E1C36"/>
    <w:rsid w:val="005E36C2"/>
    <w:rsid w:val="005F3CA6"/>
    <w:rsid w:val="00602FCD"/>
    <w:rsid w:val="00612F4F"/>
    <w:rsid w:val="00615C6B"/>
    <w:rsid w:val="00621DCE"/>
    <w:rsid w:val="00632D6D"/>
    <w:rsid w:val="00642C3E"/>
    <w:rsid w:val="006537AA"/>
    <w:rsid w:val="0066104A"/>
    <w:rsid w:val="00663DAD"/>
    <w:rsid w:val="00675E20"/>
    <w:rsid w:val="00676679"/>
    <w:rsid w:val="00683C89"/>
    <w:rsid w:val="006A08A8"/>
    <w:rsid w:val="006A189F"/>
    <w:rsid w:val="006B2395"/>
    <w:rsid w:val="006B4CF9"/>
    <w:rsid w:val="006B7AC8"/>
    <w:rsid w:val="006C1736"/>
    <w:rsid w:val="006D3F5D"/>
    <w:rsid w:val="006D5008"/>
    <w:rsid w:val="006D550F"/>
    <w:rsid w:val="00701CAB"/>
    <w:rsid w:val="00707563"/>
    <w:rsid w:val="00713956"/>
    <w:rsid w:val="0072348C"/>
    <w:rsid w:val="00724A37"/>
    <w:rsid w:val="007303C3"/>
    <w:rsid w:val="00731756"/>
    <w:rsid w:val="007429BE"/>
    <w:rsid w:val="00743223"/>
    <w:rsid w:val="00746513"/>
    <w:rsid w:val="00746E01"/>
    <w:rsid w:val="00757364"/>
    <w:rsid w:val="00757BDF"/>
    <w:rsid w:val="007609D0"/>
    <w:rsid w:val="00763E5D"/>
    <w:rsid w:val="00767740"/>
    <w:rsid w:val="00770D19"/>
    <w:rsid w:val="00777EE6"/>
    <w:rsid w:val="00782EEA"/>
    <w:rsid w:val="00796270"/>
    <w:rsid w:val="00797FAB"/>
    <w:rsid w:val="007B186E"/>
    <w:rsid w:val="007B2C72"/>
    <w:rsid w:val="007C1C53"/>
    <w:rsid w:val="007C74BB"/>
    <w:rsid w:val="007D456E"/>
    <w:rsid w:val="007E4904"/>
    <w:rsid w:val="007E4CB5"/>
    <w:rsid w:val="007F066B"/>
    <w:rsid w:val="00800A30"/>
    <w:rsid w:val="008033C4"/>
    <w:rsid w:val="00806C88"/>
    <w:rsid w:val="0081034E"/>
    <w:rsid w:val="008344F6"/>
    <w:rsid w:val="0083510F"/>
    <w:rsid w:val="00842AFA"/>
    <w:rsid w:val="00851209"/>
    <w:rsid w:val="00855630"/>
    <w:rsid w:val="008837AC"/>
    <w:rsid w:val="008A587D"/>
    <w:rsid w:val="008B35CD"/>
    <w:rsid w:val="008B5FCC"/>
    <w:rsid w:val="008C5486"/>
    <w:rsid w:val="008D1661"/>
    <w:rsid w:val="008E0098"/>
    <w:rsid w:val="008E2CBF"/>
    <w:rsid w:val="008E7031"/>
    <w:rsid w:val="008E77DE"/>
    <w:rsid w:val="008F07A3"/>
    <w:rsid w:val="009001B6"/>
    <w:rsid w:val="00900E1B"/>
    <w:rsid w:val="0090431C"/>
    <w:rsid w:val="009233EE"/>
    <w:rsid w:val="00943764"/>
    <w:rsid w:val="009460AA"/>
    <w:rsid w:val="00947BAA"/>
    <w:rsid w:val="00951978"/>
    <w:rsid w:val="00956C6E"/>
    <w:rsid w:val="00961A4A"/>
    <w:rsid w:val="009634C7"/>
    <w:rsid w:val="009661DE"/>
    <w:rsid w:val="00983C25"/>
    <w:rsid w:val="009856B7"/>
    <w:rsid w:val="00985C86"/>
    <w:rsid w:val="00996349"/>
    <w:rsid w:val="00996A8E"/>
    <w:rsid w:val="009A5FC3"/>
    <w:rsid w:val="009A7D9D"/>
    <w:rsid w:val="009B090B"/>
    <w:rsid w:val="009B74B0"/>
    <w:rsid w:val="009C0D47"/>
    <w:rsid w:val="009D2946"/>
    <w:rsid w:val="009D3906"/>
    <w:rsid w:val="009D6B46"/>
    <w:rsid w:val="009F4940"/>
    <w:rsid w:val="009F5BA1"/>
    <w:rsid w:val="00A02A88"/>
    <w:rsid w:val="00A0562E"/>
    <w:rsid w:val="00A0726D"/>
    <w:rsid w:val="00A32FBB"/>
    <w:rsid w:val="00A344D3"/>
    <w:rsid w:val="00A428EE"/>
    <w:rsid w:val="00A4478A"/>
    <w:rsid w:val="00A44852"/>
    <w:rsid w:val="00A44895"/>
    <w:rsid w:val="00A51FE3"/>
    <w:rsid w:val="00A57D04"/>
    <w:rsid w:val="00A60A26"/>
    <w:rsid w:val="00A61598"/>
    <w:rsid w:val="00A63EDD"/>
    <w:rsid w:val="00A704B2"/>
    <w:rsid w:val="00A84A99"/>
    <w:rsid w:val="00A84F46"/>
    <w:rsid w:val="00A871F4"/>
    <w:rsid w:val="00AA3B8E"/>
    <w:rsid w:val="00AB4D90"/>
    <w:rsid w:val="00AC0C43"/>
    <w:rsid w:val="00AC1B2C"/>
    <w:rsid w:val="00AC3264"/>
    <w:rsid w:val="00AC4546"/>
    <w:rsid w:val="00AE1BF1"/>
    <w:rsid w:val="00AF0DD2"/>
    <w:rsid w:val="00B00AEF"/>
    <w:rsid w:val="00B06C2F"/>
    <w:rsid w:val="00B13048"/>
    <w:rsid w:val="00B1716D"/>
    <w:rsid w:val="00B17A1D"/>
    <w:rsid w:val="00B207A0"/>
    <w:rsid w:val="00B217BD"/>
    <w:rsid w:val="00B2303F"/>
    <w:rsid w:val="00B514DD"/>
    <w:rsid w:val="00B52AF0"/>
    <w:rsid w:val="00B561BD"/>
    <w:rsid w:val="00B56E03"/>
    <w:rsid w:val="00B8080B"/>
    <w:rsid w:val="00B82223"/>
    <w:rsid w:val="00B87BA5"/>
    <w:rsid w:val="00B87C39"/>
    <w:rsid w:val="00B9562D"/>
    <w:rsid w:val="00B9733D"/>
    <w:rsid w:val="00BA4665"/>
    <w:rsid w:val="00BA581C"/>
    <w:rsid w:val="00BB2FB2"/>
    <w:rsid w:val="00BB3304"/>
    <w:rsid w:val="00BC3971"/>
    <w:rsid w:val="00BD3446"/>
    <w:rsid w:val="00BD5D87"/>
    <w:rsid w:val="00BE1F1B"/>
    <w:rsid w:val="00BE47B5"/>
    <w:rsid w:val="00C25FA6"/>
    <w:rsid w:val="00C26737"/>
    <w:rsid w:val="00C420BC"/>
    <w:rsid w:val="00C538A9"/>
    <w:rsid w:val="00C53B5A"/>
    <w:rsid w:val="00C54F5A"/>
    <w:rsid w:val="00C569B4"/>
    <w:rsid w:val="00C67A92"/>
    <w:rsid w:val="00C81758"/>
    <w:rsid w:val="00C84560"/>
    <w:rsid w:val="00C86679"/>
    <w:rsid w:val="00C8739E"/>
    <w:rsid w:val="00CA489E"/>
    <w:rsid w:val="00CA67ED"/>
    <w:rsid w:val="00CB0279"/>
    <w:rsid w:val="00CB362B"/>
    <w:rsid w:val="00CB666B"/>
    <w:rsid w:val="00CC7F1D"/>
    <w:rsid w:val="00CE484B"/>
    <w:rsid w:val="00CF6177"/>
    <w:rsid w:val="00D006AE"/>
    <w:rsid w:val="00D01CF0"/>
    <w:rsid w:val="00D0442A"/>
    <w:rsid w:val="00D15523"/>
    <w:rsid w:val="00D1563D"/>
    <w:rsid w:val="00D17061"/>
    <w:rsid w:val="00D27530"/>
    <w:rsid w:val="00D325B8"/>
    <w:rsid w:val="00D61388"/>
    <w:rsid w:val="00D61A54"/>
    <w:rsid w:val="00D64DEA"/>
    <w:rsid w:val="00D7168E"/>
    <w:rsid w:val="00D71E57"/>
    <w:rsid w:val="00D80893"/>
    <w:rsid w:val="00D83FC7"/>
    <w:rsid w:val="00D84854"/>
    <w:rsid w:val="00D90B80"/>
    <w:rsid w:val="00D92CF1"/>
    <w:rsid w:val="00D92D38"/>
    <w:rsid w:val="00D950F5"/>
    <w:rsid w:val="00DA4752"/>
    <w:rsid w:val="00DA4B64"/>
    <w:rsid w:val="00DA61F3"/>
    <w:rsid w:val="00DA6A65"/>
    <w:rsid w:val="00DB0F93"/>
    <w:rsid w:val="00DB1A67"/>
    <w:rsid w:val="00DB48C6"/>
    <w:rsid w:val="00DB5074"/>
    <w:rsid w:val="00DC5D3C"/>
    <w:rsid w:val="00DC7981"/>
    <w:rsid w:val="00DD03BA"/>
    <w:rsid w:val="00DE1093"/>
    <w:rsid w:val="00DE3695"/>
    <w:rsid w:val="00DE4EFA"/>
    <w:rsid w:val="00DE5520"/>
    <w:rsid w:val="00DE563D"/>
    <w:rsid w:val="00E04818"/>
    <w:rsid w:val="00E06442"/>
    <w:rsid w:val="00E23993"/>
    <w:rsid w:val="00E25B8C"/>
    <w:rsid w:val="00E43C30"/>
    <w:rsid w:val="00E65C85"/>
    <w:rsid w:val="00E66199"/>
    <w:rsid w:val="00E755EC"/>
    <w:rsid w:val="00E7624D"/>
    <w:rsid w:val="00E866AB"/>
    <w:rsid w:val="00E97452"/>
    <w:rsid w:val="00EA3D42"/>
    <w:rsid w:val="00EA6B1B"/>
    <w:rsid w:val="00EC04F1"/>
    <w:rsid w:val="00ED2A57"/>
    <w:rsid w:val="00ED7323"/>
    <w:rsid w:val="00EE28F3"/>
    <w:rsid w:val="00EE50D1"/>
    <w:rsid w:val="00EF5110"/>
    <w:rsid w:val="00EF6D51"/>
    <w:rsid w:val="00F0689C"/>
    <w:rsid w:val="00F10411"/>
    <w:rsid w:val="00F15882"/>
    <w:rsid w:val="00F171E0"/>
    <w:rsid w:val="00F20BD3"/>
    <w:rsid w:val="00F33D1C"/>
    <w:rsid w:val="00F373A5"/>
    <w:rsid w:val="00F47559"/>
    <w:rsid w:val="00F64C7B"/>
    <w:rsid w:val="00F676DD"/>
    <w:rsid w:val="00F73143"/>
    <w:rsid w:val="00F75A26"/>
    <w:rsid w:val="00F76706"/>
    <w:rsid w:val="00F83FAD"/>
    <w:rsid w:val="00F952A0"/>
    <w:rsid w:val="00FA3C7F"/>
    <w:rsid w:val="00FB60FE"/>
    <w:rsid w:val="00FB74E2"/>
    <w:rsid w:val="00FD5614"/>
    <w:rsid w:val="00FD5E78"/>
    <w:rsid w:val="00FE0BE1"/>
    <w:rsid w:val="00FE1DE9"/>
    <w:rsid w:val="00FE36AF"/>
    <w:rsid w:val="00FE39C2"/>
    <w:rsid w:val="00FE3C32"/>
    <w:rsid w:val="00FE55BF"/>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72075">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2.tmp"/><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E7E75A-E0FA-46CB-B26A-F38C06B5C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E3053483</Template>
  <TotalTime>0</TotalTime>
  <Pages>13</Pages>
  <Words>2688</Words>
  <Characters>15326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AusNet Services 2017-22 - Draft decision - Attachment 12 - Pricing methodology</vt:lpstr>
    </vt:vector>
  </TitlesOfParts>
  <LinksUpToDate>false</LinksUpToDate>
  <CharactersWithSpaces>17979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AusNet Services 2017-22 - Draft decision - Attachment 12 - Pricing methodology</dc:title>
  <dc:creator/>
  <cp:lastModifiedBy/>
  <cp:revision>1</cp:revision>
  <dcterms:created xsi:type="dcterms:W3CDTF">2016-07-18T01:03:00Z</dcterms:created>
  <dcterms:modified xsi:type="dcterms:W3CDTF">2016-07-18T01:03:00Z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\\cdchnas-evs02\home$\mleco\3.2.2 ausnet services 2017-22 - draft decision - attachment 12 - pricing methodology (AER2015-004434).docx</vt:lpwstr>
  </property>
</Properties>
</file>