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6D37E" w14:textId="752C0476" w:rsidR="00011BD8" w:rsidRDefault="006F2C71" w:rsidP="00290C63">
      <w:pPr>
        <w:rPr>
          <w:rFonts w:eastAsiaTheme="majorEastAsia" w:cstheme="majorBidi"/>
          <w:noProof/>
          <w:sz w:val="36"/>
          <w:szCs w:val="36"/>
          <w:lang w:eastAsia="en-AU"/>
        </w:rPr>
      </w:pPr>
      <w:r w:rsidRPr="00290C63">
        <w:rPr>
          <w:noProof/>
          <w:lang w:eastAsia="en-AU"/>
        </w:rPr>
        <w:drawing>
          <wp:anchor distT="0" distB="0" distL="114300" distR="114300" simplePos="0" relativeHeight="251659264" behindDoc="1" locked="0" layoutInCell="1" allowOverlap="1" wp14:anchorId="0E456604" wp14:editId="34B42060">
            <wp:simplePos x="0" y="0"/>
            <wp:positionH relativeFrom="column">
              <wp:posOffset>-1104900</wp:posOffset>
            </wp:positionH>
            <wp:positionV relativeFrom="paragraph">
              <wp:posOffset>-929640</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r w:rsidR="00011BD8">
        <w:rPr>
          <w:rFonts w:eastAsiaTheme="majorEastAsia" w:cstheme="majorBidi"/>
          <w:noProof/>
          <w:sz w:val="36"/>
          <w:szCs w:val="36"/>
          <w:lang w:eastAsia="en-AU"/>
        </w:rPr>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14:paraId="02287182" w14:textId="05359F46" w:rsidR="000A6C7B" w:rsidRPr="00290C63" w:rsidRDefault="000A6C7B" w:rsidP="00290C63"/>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142674F7" w:rsidR="009C0307" w:rsidRDefault="00D64705" w:rsidP="009C0307">
          <w:pPr>
            <w:pStyle w:val="ReportSubtitle"/>
          </w:pPr>
          <w:r>
            <w:t xml:space="preserve">DRAFT </w:t>
          </w:r>
          <w:r w:rsidR="009C0307">
            <w:t>DECISION</w:t>
          </w:r>
        </w:p>
        <w:p w14:paraId="67FBD86B" w14:textId="58F5A48D" w:rsidR="009C0307" w:rsidRDefault="00F44A20" w:rsidP="009C0307">
          <w:pPr>
            <w:pStyle w:val="ReportSubtitle"/>
          </w:pPr>
          <w:r>
            <w:t>Amadeus Gas Pipeline</w:t>
          </w:r>
        </w:p>
        <w:p w14:paraId="43AA656D" w14:textId="7B3B5E33" w:rsidR="003F2309" w:rsidRDefault="00887EA3" w:rsidP="009C0307">
          <w:pPr>
            <w:pStyle w:val="ReportSubtitle"/>
          </w:pPr>
          <w:r>
            <w:t>Access Arrangement</w:t>
          </w:r>
          <w:r w:rsidR="003F2309">
            <w:t xml:space="preserve"> </w:t>
          </w:r>
        </w:p>
        <w:p w14:paraId="7B01D74B" w14:textId="20C1FEDC" w:rsidR="009C0307" w:rsidRDefault="003F2309" w:rsidP="009C0307">
          <w:pPr>
            <w:pStyle w:val="ReportSubtitle"/>
          </w:pPr>
          <w:r>
            <w:t>20</w:t>
          </w:r>
          <w:r w:rsidR="005276FD">
            <w:t>16</w:t>
          </w:r>
          <w:r w:rsidR="00286D31">
            <w:t xml:space="preserve"> </w:t>
          </w:r>
          <w:r w:rsidR="005276FD">
            <w:t>to 20</w:t>
          </w:r>
          <w:r w:rsidR="001A451B">
            <w:t>21</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2F99B3CE" w:rsidR="000A6C7B" w:rsidRPr="00327A1E" w:rsidRDefault="00887EA3" w:rsidP="00327A1E">
          <w:pPr>
            <w:pStyle w:val="ReportDate"/>
          </w:pPr>
          <w:r>
            <w:t>November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r>
        <w:t>or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r>
        <w:t>Melbourne  Vic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20CD4926" w14:textId="43BFD519" w:rsidR="008F07A3" w:rsidRPr="009D3906" w:rsidRDefault="0070011E" w:rsidP="00B9562D">
      <w:pPr>
        <w:pStyle w:val="Copyright"/>
      </w:pPr>
      <w:r>
        <w:t>AER reference:</w:t>
      </w:r>
      <w:r>
        <w:tab/>
      </w:r>
      <w:r w:rsidR="00887EA3">
        <w:t>5611</w:t>
      </w:r>
      <w:r w:rsidR="00C50844">
        <w:t>9</w:t>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6038921"/>
      <w:bookmarkEnd w:id="0"/>
      <w:bookmarkEnd w:id="1"/>
      <w:bookmarkEnd w:id="2"/>
      <w:bookmarkEnd w:id="3"/>
      <w:r w:rsidRPr="003D3D89">
        <w:lastRenderedPageBreak/>
        <w:t>Note</w:t>
      </w:r>
      <w:bookmarkEnd w:id="4"/>
      <w:bookmarkEnd w:id="5"/>
    </w:p>
    <w:p w14:paraId="2F0816E7" w14:textId="3D319A0A" w:rsidR="0016622B" w:rsidRDefault="0016622B" w:rsidP="00C50844">
      <w:pPr>
        <w:numPr>
          <w:ilvl w:val="0"/>
          <w:numId w:val="25"/>
        </w:numPr>
      </w:pPr>
      <w:r>
        <w:t xml:space="preserve">This attachment forms part of the AER's </w:t>
      </w:r>
      <w:r w:rsidR="001A451B">
        <w:t>draft</w:t>
      </w:r>
      <w:r>
        <w:t xml:space="preserve"> decision on </w:t>
      </w:r>
      <w:r w:rsidR="00F44A20">
        <w:t>the</w:t>
      </w:r>
      <w:r w:rsidR="00F627D8">
        <w:t xml:space="preserve"> access arrangement</w:t>
      </w:r>
      <w:r w:rsidR="00162CAD">
        <w:t xml:space="preserve"> </w:t>
      </w:r>
      <w:r w:rsidR="00F44A20">
        <w:t>for the Amadeus Gas Pipeline for</w:t>
      </w:r>
      <w:r w:rsidR="00162CAD">
        <w:t xml:space="preserve"> </w:t>
      </w:r>
      <w:r>
        <w:t>201</w:t>
      </w:r>
      <w:r w:rsidR="003E35DD">
        <w:t>6</w:t>
      </w:r>
      <w:r>
        <w:t>–</w:t>
      </w:r>
      <w:r w:rsidR="001A451B">
        <w:t>21</w:t>
      </w:r>
      <w:r>
        <w:t xml:space="preserve">. It should be read with all other parts of the </w:t>
      </w:r>
      <w:r w:rsidR="001A451B">
        <w:t>draft</w:t>
      </w:r>
      <w:r>
        <w:t xml:space="preserve"> decision.</w:t>
      </w:r>
    </w:p>
    <w:p w14:paraId="646374EE" w14:textId="73104BDF" w:rsidR="0016622B" w:rsidRDefault="0016622B" w:rsidP="0016622B">
      <w:pPr>
        <w:numPr>
          <w:ilvl w:val="0"/>
          <w:numId w:val="25"/>
        </w:numPr>
      </w:pPr>
      <w:r>
        <w:t xml:space="preserve">The </w:t>
      </w:r>
      <w:r w:rsidR="001A451B">
        <w:t>draft</w:t>
      </w:r>
      <w:r>
        <w:t xml:space="preserve"> decision includes the following documents:</w:t>
      </w:r>
    </w:p>
    <w:p w14:paraId="5689C692" w14:textId="77777777" w:rsidR="0016622B" w:rsidRDefault="0016622B" w:rsidP="0016622B">
      <w:pPr>
        <w:numPr>
          <w:ilvl w:val="0"/>
          <w:numId w:val="25"/>
        </w:numPr>
      </w:pPr>
      <w:r>
        <w:t>Overview</w:t>
      </w:r>
    </w:p>
    <w:p w14:paraId="6E40B87B" w14:textId="77777777" w:rsidR="005930AC" w:rsidRDefault="005930AC" w:rsidP="005930AC">
      <w:pPr>
        <w:numPr>
          <w:ilvl w:val="0"/>
          <w:numId w:val="25"/>
        </w:numPr>
      </w:pPr>
      <w:r>
        <w:t>Attachment 1 - Services covered by the access arrangement</w:t>
      </w:r>
    </w:p>
    <w:p w14:paraId="43F24084" w14:textId="77777777" w:rsidR="005930AC" w:rsidRDefault="005930AC" w:rsidP="005930AC">
      <w:pPr>
        <w:numPr>
          <w:ilvl w:val="0"/>
          <w:numId w:val="25"/>
        </w:numPr>
      </w:pPr>
      <w:r>
        <w:t>Attachment 2 - Capital base</w:t>
      </w:r>
    </w:p>
    <w:p w14:paraId="3FA1EF21" w14:textId="77777777" w:rsidR="005930AC" w:rsidRDefault="005930AC" w:rsidP="005930AC">
      <w:pPr>
        <w:numPr>
          <w:ilvl w:val="0"/>
          <w:numId w:val="25"/>
        </w:numPr>
      </w:pPr>
      <w:r>
        <w:t>Attachment 3 - Rate of return</w:t>
      </w:r>
    </w:p>
    <w:p w14:paraId="425FA366" w14:textId="77777777" w:rsidR="005930AC" w:rsidRDefault="005930AC" w:rsidP="005930AC">
      <w:pPr>
        <w:numPr>
          <w:ilvl w:val="0"/>
          <w:numId w:val="25"/>
        </w:numPr>
      </w:pPr>
      <w:r>
        <w:t>Attachment 4 - Value of imputation credits</w:t>
      </w:r>
    </w:p>
    <w:p w14:paraId="6A0C54CC" w14:textId="77777777" w:rsidR="005930AC" w:rsidRDefault="005930AC" w:rsidP="005930AC">
      <w:pPr>
        <w:numPr>
          <w:ilvl w:val="0"/>
          <w:numId w:val="25"/>
        </w:numPr>
      </w:pPr>
      <w:r>
        <w:t>Attachment 5 - Regulatory depreciation</w:t>
      </w:r>
    </w:p>
    <w:p w14:paraId="761E00A8" w14:textId="77777777" w:rsidR="005930AC" w:rsidRDefault="005930AC" w:rsidP="005930AC">
      <w:pPr>
        <w:numPr>
          <w:ilvl w:val="0"/>
          <w:numId w:val="25"/>
        </w:numPr>
      </w:pPr>
      <w:r>
        <w:t xml:space="preserve">Attachment 6 - Capital expenditure </w:t>
      </w:r>
    </w:p>
    <w:p w14:paraId="780C121B" w14:textId="77777777" w:rsidR="005930AC" w:rsidRDefault="005930AC" w:rsidP="005930AC">
      <w:pPr>
        <w:numPr>
          <w:ilvl w:val="0"/>
          <w:numId w:val="25"/>
        </w:numPr>
      </w:pPr>
      <w:r>
        <w:t>Attachment 7 - Operating expenditure</w:t>
      </w:r>
    </w:p>
    <w:p w14:paraId="021F975D" w14:textId="77777777" w:rsidR="005930AC" w:rsidRDefault="005930AC" w:rsidP="005930AC">
      <w:pPr>
        <w:numPr>
          <w:ilvl w:val="0"/>
          <w:numId w:val="25"/>
        </w:numPr>
      </w:pPr>
      <w:r>
        <w:t>Attachment 8 - Corporate income tax</w:t>
      </w:r>
    </w:p>
    <w:p w14:paraId="10FE8083" w14:textId="77777777" w:rsidR="005930AC" w:rsidRDefault="005930AC" w:rsidP="005930AC">
      <w:pPr>
        <w:numPr>
          <w:ilvl w:val="0"/>
          <w:numId w:val="25"/>
        </w:numPr>
      </w:pPr>
      <w:r>
        <w:t>Attachment 9 - Efficiency carryover mechanism</w:t>
      </w:r>
    </w:p>
    <w:p w14:paraId="0E94DE23" w14:textId="77777777" w:rsidR="005930AC" w:rsidRDefault="005930AC" w:rsidP="005930AC">
      <w:pPr>
        <w:numPr>
          <w:ilvl w:val="0"/>
          <w:numId w:val="25"/>
        </w:numPr>
      </w:pPr>
      <w:r>
        <w:t>Attachment 10 - Reference tariff setting</w:t>
      </w:r>
    </w:p>
    <w:p w14:paraId="001AA635" w14:textId="77777777" w:rsidR="005930AC" w:rsidRDefault="005930AC" w:rsidP="005930AC">
      <w:pPr>
        <w:numPr>
          <w:ilvl w:val="0"/>
          <w:numId w:val="25"/>
        </w:numPr>
      </w:pPr>
      <w:r>
        <w:t>Attachment 11 - Reference tariff variation mechanism</w:t>
      </w:r>
    </w:p>
    <w:p w14:paraId="1966E94B" w14:textId="77777777" w:rsidR="005930AC" w:rsidRDefault="005930AC" w:rsidP="005930AC">
      <w:pPr>
        <w:numPr>
          <w:ilvl w:val="0"/>
          <w:numId w:val="25"/>
        </w:numPr>
      </w:pPr>
      <w:r>
        <w:t>Attachment 12 - Non-tariff components</w:t>
      </w:r>
    </w:p>
    <w:p w14:paraId="1C1091E8" w14:textId="1E04971A" w:rsidR="005930AC" w:rsidRDefault="005930AC" w:rsidP="005930AC">
      <w:pPr>
        <w:numPr>
          <w:ilvl w:val="0"/>
          <w:numId w:val="25"/>
        </w:numPr>
      </w:pPr>
      <w:r>
        <w:t xml:space="preserve">Attachment 13 </w:t>
      </w:r>
      <w:r w:rsidR="00F44A20">
        <w:t>-</w:t>
      </w:r>
      <w:bookmarkStart w:id="6" w:name="_GoBack"/>
      <w:bookmarkEnd w:id="6"/>
      <w:r>
        <w:t xml:space="preserve"> Demand</w:t>
      </w:r>
    </w:p>
    <w:p w14:paraId="319B42CD" w14:textId="4D5B0CD2" w:rsidR="00BB1615" w:rsidRPr="008F07A3" w:rsidRDefault="00BB1615"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14:paraId="2C5E6F2B" w14:textId="77777777" w:rsidR="00DE563D" w:rsidRPr="00A72B34" w:rsidRDefault="00DE563D" w:rsidP="00DE563D">
      <w:pPr>
        <w:pStyle w:val="UnnumberedHeading"/>
        <w:numPr>
          <w:ilvl w:val="0"/>
          <w:numId w:val="24"/>
        </w:numPr>
      </w:pPr>
      <w:bookmarkStart w:id="7" w:name="_Toc403144133"/>
      <w:bookmarkStart w:id="8" w:name="_Toc436038922"/>
      <w:r>
        <w:t>Contents</w:t>
      </w:r>
      <w:bookmarkEnd w:id="7"/>
      <w:bookmarkEnd w:id="8"/>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02DF3DF9" w14:textId="77777777" w:rsidR="009A60DD" w:rsidRDefault="0099387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36038921" w:history="1">
            <w:r w:rsidR="009A60DD" w:rsidRPr="0027271A">
              <w:rPr>
                <w:rStyle w:val="Hyperlink"/>
              </w:rPr>
              <w:t>Note</w:t>
            </w:r>
            <w:r w:rsidR="009A60DD">
              <w:rPr>
                <w:webHidden/>
              </w:rPr>
              <w:tab/>
            </w:r>
            <w:r w:rsidR="009A60DD">
              <w:rPr>
                <w:webHidden/>
              </w:rPr>
              <w:fldChar w:fldCharType="begin"/>
            </w:r>
            <w:r w:rsidR="009A60DD">
              <w:rPr>
                <w:webHidden/>
              </w:rPr>
              <w:instrText xml:space="preserve"> PAGEREF _Toc436038921 \h </w:instrText>
            </w:r>
            <w:r w:rsidR="009A60DD">
              <w:rPr>
                <w:webHidden/>
              </w:rPr>
            </w:r>
            <w:r w:rsidR="009A60DD">
              <w:rPr>
                <w:webHidden/>
              </w:rPr>
              <w:fldChar w:fldCharType="separate"/>
            </w:r>
            <w:r w:rsidR="009A60DD">
              <w:rPr>
                <w:webHidden/>
              </w:rPr>
              <w:t>4-2</w:t>
            </w:r>
            <w:r w:rsidR="009A60DD">
              <w:rPr>
                <w:webHidden/>
              </w:rPr>
              <w:fldChar w:fldCharType="end"/>
            </w:r>
          </w:hyperlink>
        </w:p>
        <w:p w14:paraId="49592BE2" w14:textId="77777777" w:rsidR="009A60DD" w:rsidRDefault="00415E71">
          <w:pPr>
            <w:pStyle w:val="TOC1"/>
            <w:rPr>
              <w:rFonts w:asciiTheme="minorHAnsi" w:eastAsiaTheme="minorEastAsia" w:hAnsiTheme="minorHAnsi"/>
              <w:b w:val="0"/>
              <w:color w:val="auto"/>
              <w:sz w:val="22"/>
              <w:lang w:val="en-AU" w:eastAsia="en-AU"/>
            </w:rPr>
          </w:pPr>
          <w:hyperlink w:anchor="_Toc436038922" w:history="1">
            <w:r w:rsidR="009A60DD" w:rsidRPr="0027271A">
              <w:rPr>
                <w:rStyle w:val="Hyperlink"/>
              </w:rPr>
              <w:t>Contents</w:t>
            </w:r>
            <w:r w:rsidR="009A60DD">
              <w:rPr>
                <w:webHidden/>
              </w:rPr>
              <w:tab/>
            </w:r>
            <w:r w:rsidR="009A60DD">
              <w:rPr>
                <w:webHidden/>
              </w:rPr>
              <w:fldChar w:fldCharType="begin"/>
            </w:r>
            <w:r w:rsidR="009A60DD">
              <w:rPr>
                <w:webHidden/>
              </w:rPr>
              <w:instrText xml:space="preserve"> PAGEREF _Toc436038922 \h </w:instrText>
            </w:r>
            <w:r w:rsidR="009A60DD">
              <w:rPr>
                <w:webHidden/>
              </w:rPr>
            </w:r>
            <w:r w:rsidR="009A60DD">
              <w:rPr>
                <w:webHidden/>
              </w:rPr>
              <w:fldChar w:fldCharType="separate"/>
            </w:r>
            <w:r w:rsidR="009A60DD">
              <w:rPr>
                <w:webHidden/>
              </w:rPr>
              <w:t>4-3</w:t>
            </w:r>
            <w:r w:rsidR="009A60DD">
              <w:rPr>
                <w:webHidden/>
              </w:rPr>
              <w:fldChar w:fldCharType="end"/>
            </w:r>
          </w:hyperlink>
        </w:p>
        <w:p w14:paraId="7CF5604E" w14:textId="77777777" w:rsidR="009A60DD" w:rsidRDefault="00415E71">
          <w:pPr>
            <w:pStyle w:val="TOC1"/>
            <w:rPr>
              <w:rFonts w:asciiTheme="minorHAnsi" w:eastAsiaTheme="minorEastAsia" w:hAnsiTheme="minorHAnsi"/>
              <w:b w:val="0"/>
              <w:color w:val="auto"/>
              <w:sz w:val="22"/>
              <w:lang w:val="en-AU" w:eastAsia="en-AU"/>
            </w:rPr>
          </w:pPr>
          <w:hyperlink w:anchor="_Toc436038923" w:history="1">
            <w:r w:rsidR="009A60DD" w:rsidRPr="0027271A">
              <w:rPr>
                <w:rStyle w:val="Hyperlink"/>
              </w:rPr>
              <w:t>Shortened forms</w:t>
            </w:r>
            <w:r w:rsidR="009A60DD">
              <w:rPr>
                <w:webHidden/>
              </w:rPr>
              <w:tab/>
            </w:r>
            <w:r w:rsidR="009A60DD">
              <w:rPr>
                <w:webHidden/>
              </w:rPr>
              <w:fldChar w:fldCharType="begin"/>
            </w:r>
            <w:r w:rsidR="009A60DD">
              <w:rPr>
                <w:webHidden/>
              </w:rPr>
              <w:instrText xml:space="preserve"> PAGEREF _Toc436038923 \h </w:instrText>
            </w:r>
            <w:r w:rsidR="009A60DD">
              <w:rPr>
                <w:webHidden/>
              </w:rPr>
            </w:r>
            <w:r w:rsidR="009A60DD">
              <w:rPr>
                <w:webHidden/>
              </w:rPr>
              <w:fldChar w:fldCharType="separate"/>
            </w:r>
            <w:r w:rsidR="009A60DD">
              <w:rPr>
                <w:webHidden/>
              </w:rPr>
              <w:t>4-5</w:t>
            </w:r>
            <w:r w:rsidR="009A60DD">
              <w:rPr>
                <w:webHidden/>
              </w:rPr>
              <w:fldChar w:fldCharType="end"/>
            </w:r>
          </w:hyperlink>
        </w:p>
        <w:p w14:paraId="6C7C940F" w14:textId="77777777" w:rsidR="009A60DD" w:rsidRDefault="00415E71">
          <w:pPr>
            <w:pStyle w:val="TOC1"/>
            <w:rPr>
              <w:rFonts w:asciiTheme="minorHAnsi" w:eastAsiaTheme="minorEastAsia" w:hAnsiTheme="minorHAnsi"/>
              <w:b w:val="0"/>
              <w:color w:val="auto"/>
              <w:sz w:val="22"/>
              <w:lang w:val="en-AU" w:eastAsia="en-AU"/>
            </w:rPr>
          </w:pPr>
          <w:hyperlink w:anchor="_Toc436038924" w:history="1">
            <w:r w:rsidR="009A60DD" w:rsidRPr="0027271A">
              <w:rPr>
                <w:rStyle w:val="Hyperlink"/>
              </w:rPr>
              <w:t>4</w:t>
            </w:r>
            <w:r w:rsidR="009A60DD">
              <w:rPr>
                <w:rFonts w:asciiTheme="minorHAnsi" w:eastAsiaTheme="minorEastAsia" w:hAnsiTheme="minorHAnsi"/>
                <w:b w:val="0"/>
                <w:color w:val="auto"/>
                <w:sz w:val="22"/>
                <w:lang w:val="en-AU" w:eastAsia="en-AU"/>
              </w:rPr>
              <w:tab/>
            </w:r>
            <w:r w:rsidR="009A60DD" w:rsidRPr="0027271A">
              <w:rPr>
                <w:rStyle w:val="Hyperlink"/>
              </w:rPr>
              <w:t>Value of imputation credits</w:t>
            </w:r>
            <w:r w:rsidR="009A60DD">
              <w:rPr>
                <w:webHidden/>
              </w:rPr>
              <w:tab/>
            </w:r>
            <w:r w:rsidR="009A60DD">
              <w:rPr>
                <w:webHidden/>
              </w:rPr>
              <w:fldChar w:fldCharType="begin"/>
            </w:r>
            <w:r w:rsidR="009A60DD">
              <w:rPr>
                <w:webHidden/>
              </w:rPr>
              <w:instrText xml:space="preserve"> PAGEREF _Toc436038924 \h </w:instrText>
            </w:r>
            <w:r w:rsidR="009A60DD">
              <w:rPr>
                <w:webHidden/>
              </w:rPr>
            </w:r>
            <w:r w:rsidR="009A60DD">
              <w:rPr>
                <w:webHidden/>
              </w:rPr>
              <w:fldChar w:fldCharType="separate"/>
            </w:r>
            <w:r w:rsidR="009A60DD">
              <w:rPr>
                <w:webHidden/>
              </w:rPr>
              <w:t>4-7</w:t>
            </w:r>
            <w:r w:rsidR="009A60DD">
              <w:rPr>
                <w:webHidden/>
              </w:rPr>
              <w:fldChar w:fldCharType="end"/>
            </w:r>
          </w:hyperlink>
        </w:p>
        <w:p w14:paraId="0248E9BB" w14:textId="77777777" w:rsidR="009A60DD" w:rsidRDefault="00415E71">
          <w:pPr>
            <w:pStyle w:val="TOC2"/>
            <w:rPr>
              <w:rFonts w:asciiTheme="minorHAnsi" w:eastAsiaTheme="minorEastAsia" w:hAnsiTheme="minorHAnsi"/>
              <w:b w:val="0"/>
              <w:color w:val="auto"/>
              <w:sz w:val="22"/>
              <w:lang w:eastAsia="en-AU"/>
            </w:rPr>
          </w:pPr>
          <w:hyperlink w:anchor="_Toc436038925" w:history="1">
            <w:r w:rsidR="009A60DD" w:rsidRPr="0027271A">
              <w:rPr>
                <w:rStyle w:val="Hyperlink"/>
              </w:rPr>
              <w:t>4.1</w:t>
            </w:r>
            <w:r w:rsidR="009A60DD">
              <w:rPr>
                <w:rFonts w:asciiTheme="minorHAnsi" w:eastAsiaTheme="minorEastAsia" w:hAnsiTheme="minorHAnsi"/>
                <w:b w:val="0"/>
                <w:color w:val="auto"/>
                <w:sz w:val="22"/>
                <w:lang w:eastAsia="en-AU"/>
              </w:rPr>
              <w:tab/>
            </w:r>
            <w:r w:rsidR="009A60DD" w:rsidRPr="0027271A">
              <w:rPr>
                <w:rStyle w:val="Hyperlink"/>
              </w:rPr>
              <w:t>Draft decision</w:t>
            </w:r>
            <w:r w:rsidR="009A60DD">
              <w:rPr>
                <w:webHidden/>
              </w:rPr>
              <w:tab/>
            </w:r>
            <w:r w:rsidR="009A60DD">
              <w:rPr>
                <w:webHidden/>
              </w:rPr>
              <w:fldChar w:fldCharType="begin"/>
            </w:r>
            <w:r w:rsidR="009A60DD">
              <w:rPr>
                <w:webHidden/>
              </w:rPr>
              <w:instrText xml:space="preserve"> PAGEREF _Toc436038925 \h </w:instrText>
            </w:r>
            <w:r w:rsidR="009A60DD">
              <w:rPr>
                <w:webHidden/>
              </w:rPr>
            </w:r>
            <w:r w:rsidR="009A60DD">
              <w:rPr>
                <w:webHidden/>
              </w:rPr>
              <w:fldChar w:fldCharType="separate"/>
            </w:r>
            <w:r w:rsidR="009A60DD">
              <w:rPr>
                <w:webHidden/>
              </w:rPr>
              <w:t>4-7</w:t>
            </w:r>
            <w:r w:rsidR="009A60DD">
              <w:rPr>
                <w:webHidden/>
              </w:rPr>
              <w:fldChar w:fldCharType="end"/>
            </w:r>
          </w:hyperlink>
        </w:p>
        <w:p w14:paraId="423B5C29" w14:textId="77777777" w:rsidR="009A60DD" w:rsidRDefault="00415E71">
          <w:pPr>
            <w:pStyle w:val="TOC2"/>
            <w:rPr>
              <w:rFonts w:asciiTheme="minorHAnsi" w:eastAsiaTheme="minorEastAsia" w:hAnsiTheme="minorHAnsi"/>
              <w:b w:val="0"/>
              <w:color w:val="auto"/>
              <w:sz w:val="22"/>
              <w:lang w:eastAsia="en-AU"/>
            </w:rPr>
          </w:pPr>
          <w:hyperlink w:anchor="_Toc436038926" w:history="1">
            <w:r w:rsidR="009A60DD" w:rsidRPr="0027271A">
              <w:rPr>
                <w:rStyle w:val="Hyperlink"/>
              </w:rPr>
              <w:t>4.2</w:t>
            </w:r>
            <w:r w:rsidR="009A60DD">
              <w:rPr>
                <w:rFonts w:asciiTheme="minorHAnsi" w:eastAsiaTheme="minorEastAsia" w:hAnsiTheme="minorHAnsi"/>
                <w:b w:val="0"/>
                <w:color w:val="auto"/>
                <w:sz w:val="22"/>
                <w:lang w:eastAsia="en-AU"/>
              </w:rPr>
              <w:tab/>
            </w:r>
            <w:r w:rsidR="009A60DD" w:rsidRPr="0027271A">
              <w:rPr>
                <w:rStyle w:val="Hyperlink"/>
              </w:rPr>
              <w:t>APTNT’s proposal</w:t>
            </w:r>
            <w:r w:rsidR="009A60DD">
              <w:rPr>
                <w:webHidden/>
              </w:rPr>
              <w:tab/>
            </w:r>
            <w:r w:rsidR="009A60DD">
              <w:rPr>
                <w:webHidden/>
              </w:rPr>
              <w:fldChar w:fldCharType="begin"/>
            </w:r>
            <w:r w:rsidR="009A60DD">
              <w:rPr>
                <w:webHidden/>
              </w:rPr>
              <w:instrText xml:space="preserve"> PAGEREF _Toc436038926 \h </w:instrText>
            </w:r>
            <w:r w:rsidR="009A60DD">
              <w:rPr>
                <w:webHidden/>
              </w:rPr>
            </w:r>
            <w:r w:rsidR="009A60DD">
              <w:rPr>
                <w:webHidden/>
              </w:rPr>
              <w:fldChar w:fldCharType="separate"/>
            </w:r>
            <w:r w:rsidR="009A60DD">
              <w:rPr>
                <w:webHidden/>
              </w:rPr>
              <w:t>4-8</w:t>
            </w:r>
            <w:r w:rsidR="009A60DD">
              <w:rPr>
                <w:webHidden/>
              </w:rPr>
              <w:fldChar w:fldCharType="end"/>
            </w:r>
          </w:hyperlink>
        </w:p>
        <w:p w14:paraId="7A4B77B2" w14:textId="77777777" w:rsidR="009A60DD" w:rsidRDefault="00415E71">
          <w:pPr>
            <w:pStyle w:val="TOC2"/>
            <w:rPr>
              <w:rFonts w:asciiTheme="minorHAnsi" w:eastAsiaTheme="minorEastAsia" w:hAnsiTheme="minorHAnsi"/>
              <w:b w:val="0"/>
              <w:color w:val="auto"/>
              <w:sz w:val="22"/>
              <w:lang w:eastAsia="en-AU"/>
            </w:rPr>
          </w:pPr>
          <w:hyperlink w:anchor="_Toc436038927" w:history="1">
            <w:r w:rsidR="009A60DD" w:rsidRPr="0027271A">
              <w:rPr>
                <w:rStyle w:val="Hyperlink"/>
              </w:rPr>
              <w:t>4.3</w:t>
            </w:r>
            <w:r w:rsidR="009A60DD">
              <w:rPr>
                <w:rFonts w:asciiTheme="minorHAnsi" w:eastAsiaTheme="minorEastAsia" w:hAnsiTheme="minorHAnsi"/>
                <w:b w:val="0"/>
                <w:color w:val="auto"/>
                <w:sz w:val="22"/>
                <w:lang w:eastAsia="en-AU"/>
              </w:rPr>
              <w:tab/>
            </w:r>
            <w:r w:rsidR="009A60DD" w:rsidRPr="0027271A">
              <w:rPr>
                <w:rStyle w:val="Hyperlink"/>
              </w:rPr>
              <w:t>AER’s assessment approach</w:t>
            </w:r>
            <w:r w:rsidR="009A60DD">
              <w:rPr>
                <w:webHidden/>
              </w:rPr>
              <w:tab/>
            </w:r>
            <w:r w:rsidR="009A60DD">
              <w:rPr>
                <w:webHidden/>
              </w:rPr>
              <w:fldChar w:fldCharType="begin"/>
            </w:r>
            <w:r w:rsidR="009A60DD">
              <w:rPr>
                <w:webHidden/>
              </w:rPr>
              <w:instrText xml:space="preserve"> PAGEREF _Toc436038927 \h </w:instrText>
            </w:r>
            <w:r w:rsidR="009A60DD">
              <w:rPr>
                <w:webHidden/>
              </w:rPr>
            </w:r>
            <w:r w:rsidR="009A60DD">
              <w:rPr>
                <w:webHidden/>
              </w:rPr>
              <w:fldChar w:fldCharType="separate"/>
            </w:r>
            <w:r w:rsidR="009A60DD">
              <w:rPr>
                <w:webHidden/>
              </w:rPr>
              <w:t>4-10</w:t>
            </w:r>
            <w:r w:rsidR="009A60DD">
              <w:rPr>
                <w:webHidden/>
              </w:rPr>
              <w:fldChar w:fldCharType="end"/>
            </w:r>
          </w:hyperlink>
        </w:p>
        <w:p w14:paraId="3C3BE099" w14:textId="77777777" w:rsidR="009A60DD" w:rsidRDefault="00415E71">
          <w:pPr>
            <w:pStyle w:val="TOC2"/>
            <w:rPr>
              <w:rFonts w:asciiTheme="minorHAnsi" w:eastAsiaTheme="minorEastAsia" w:hAnsiTheme="minorHAnsi"/>
              <w:b w:val="0"/>
              <w:color w:val="auto"/>
              <w:sz w:val="22"/>
              <w:lang w:eastAsia="en-AU"/>
            </w:rPr>
          </w:pPr>
          <w:hyperlink w:anchor="_Toc436038928" w:history="1">
            <w:r w:rsidR="009A60DD" w:rsidRPr="0027271A">
              <w:rPr>
                <w:rStyle w:val="Hyperlink"/>
              </w:rPr>
              <w:t>4.4</w:t>
            </w:r>
            <w:r w:rsidR="009A60DD">
              <w:rPr>
                <w:rFonts w:asciiTheme="minorHAnsi" w:eastAsiaTheme="minorEastAsia" w:hAnsiTheme="minorHAnsi"/>
                <w:b w:val="0"/>
                <w:color w:val="auto"/>
                <w:sz w:val="22"/>
                <w:lang w:eastAsia="en-AU"/>
              </w:rPr>
              <w:tab/>
            </w:r>
            <w:r w:rsidR="009A60DD" w:rsidRPr="0027271A">
              <w:rPr>
                <w:rStyle w:val="Hyperlink"/>
              </w:rPr>
              <w:t>Reasons for draft decision</w:t>
            </w:r>
            <w:r w:rsidR="009A60DD">
              <w:rPr>
                <w:webHidden/>
              </w:rPr>
              <w:tab/>
            </w:r>
            <w:r w:rsidR="009A60DD">
              <w:rPr>
                <w:webHidden/>
              </w:rPr>
              <w:fldChar w:fldCharType="begin"/>
            </w:r>
            <w:r w:rsidR="009A60DD">
              <w:rPr>
                <w:webHidden/>
              </w:rPr>
              <w:instrText xml:space="preserve"> PAGEREF _Toc436038928 \h </w:instrText>
            </w:r>
            <w:r w:rsidR="009A60DD">
              <w:rPr>
                <w:webHidden/>
              </w:rPr>
            </w:r>
            <w:r w:rsidR="009A60DD">
              <w:rPr>
                <w:webHidden/>
              </w:rPr>
              <w:fldChar w:fldCharType="separate"/>
            </w:r>
            <w:r w:rsidR="009A60DD">
              <w:rPr>
                <w:webHidden/>
              </w:rPr>
              <w:t>4-17</w:t>
            </w:r>
            <w:r w:rsidR="009A60DD">
              <w:rPr>
                <w:webHidden/>
              </w:rPr>
              <w:fldChar w:fldCharType="end"/>
            </w:r>
          </w:hyperlink>
        </w:p>
        <w:p w14:paraId="60242DDD" w14:textId="77777777" w:rsidR="009A60DD" w:rsidRDefault="00415E71">
          <w:pPr>
            <w:pStyle w:val="TOC2"/>
            <w:rPr>
              <w:rFonts w:asciiTheme="minorHAnsi" w:eastAsiaTheme="minorEastAsia" w:hAnsiTheme="minorHAnsi"/>
              <w:b w:val="0"/>
              <w:color w:val="auto"/>
              <w:sz w:val="22"/>
              <w:lang w:eastAsia="en-AU"/>
            </w:rPr>
          </w:pPr>
          <w:hyperlink w:anchor="_Toc436038929" w:history="1">
            <w:r w:rsidR="009A60DD" w:rsidRPr="0027271A">
              <w:rPr>
                <w:rStyle w:val="Hyperlink"/>
              </w:rPr>
              <w:t>4.5</w:t>
            </w:r>
            <w:r w:rsidR="009A60DD">
              <w:rPr>
                <w:rFonts w:asciiTheme="minorHAnsi" w:eastAsiaTheme="minorEastAsia" w:hAnsiTheme="minorHAnsi"/>
                <w:b w:val="0"/>
                <w:color w:val="auto"/>
                <w:sz w:val="22"/>
                <w:lang w:eastAsia="en-AU"/>
              </w:rPr>
              <w:tab/>
            </w:r>
            <w:r w:rsidR="009A60DD" w:rsidRPr="0027271A">
              <w:rPr>
                <w:rStyle w:val="Hyperlink"/>
              </w:rPr>
              <w:t>Revisions</w:t>
            </w:r>
            <w:r w:rsidR="009A60DD">
              <w:rPr>
                <w:webHidden/>
              </w:rPr>
              <w:tab/>
            </w:r>
            <w:r w:rsidR="009A60DD">
              <w:rPr>
                <w:webHidden/>
              </w:rPr>
              <w:fldChar w:fldCharType="begin"/>
            </w:r>
            <w:r w:rsidR="009A60DD">
              <w:rPr>
                <w:webHidden/>
              </w:rPr>
              <w:instrText xml:space="preserve"> PAGEREF _Toc436038929 \h </w:instrText>
            </w:r>
            <w:r w:rsidR="009A60DD">
              <w:rPr>
                <w:webHidden/>
              </w:rPr>
            </w:r>
            <w:r w:rsidR="009A60DD">
              <w:rPr>
                <w:webHidden/>
              </w:rPr>
              <w:fldChar w:fldCharType="separate"/>
            </w:r>
            <w:r w:rsidR="009A60DD">
              <w:rPr>
                <w:webHidden/>
              </w:rPr>
              <w:t>4-34</w:t>
            </w:r>
            <w:r w:rsidR="009A60DD">
              <w:rPr>
                <w:webHidden/>
              </w:rPr>
              <w:fldChar w:fldCharType="end"/>
            </w:r>
          </w:hyperlink>
        </w:p>
        <w:p w14:paraId="670060C8" w14:textId="77777777" w:rsidR="009A60DD" w:rsidRDefault="00415E71">
          <w:pPr>
            <w:pStyle w:val="TOC1"/>
            <w:rPr>
              <w:rFonts w:asciiTheme="minorHAnsi" w:eastAsiaTheme="minorEastAsia" w:hAnsiTheme="minorHAnsi"/>
              <w:b w:val="0"/>
              <w:color w:val="auto"/>
              <w:sz w:val="22"/>
              <w:lang w:val="en-AU" w:eastAsia="en-AU"/>
            </w:rPr>
          </w:pPr>
          <w:hyperlink w:anchor="_Toc436038930" w:history="1">
            <w:r w:rsidR="009A60DD" w:rsidRPr="0027271A">
              <w:rPr>
                <w:rStyle w:val="Hyperlink"/>
              </w:rPr>
              <w:t>A</w:t>
            </w:r>
            <w:r w:rsidR="009A60DD">
              <w:rPr>
                <w:rFonts w:asciiTheme="minorHAnsi" w:eastAsiaTheme="minorEastAsia" w:hAnsiTheme="minorHAnsi"/>
                <w:b w:val="0"/>
                <w:color w:val="auto"/>
                <w:sz w:val="22"/>
                <w:lang w:val="en-AU" w:eastAsia="en-AU"/>
              </w:rPr>
              <w:tab/>
            </w:r>
            <w:r w:rsidR="009A60DD" w:rsidRPr="0027271A">
              <w:rPr>
                <w:rStyle w:val="Hyperlink"/>
              </w:rPr>
              <w:t>Value of imputation credits: Detailed analysis</w:t>
            </w:r>
            <w:r w:rsidR="009A60DD">
              <w:rPr>
                <w:webHidden/>
              </w:rPr>
              <w:tab/>
            </w:r>
            <w:r w:rsidR="009A60DD">
              <w:rPr>
                <w:webHidden/>
              </w:rPr>
              <w:fldChar w:fldCharType="begin"/>
            </w:r>
            <w:r w:rsidR="009A60DD">
              <w:rPr>
                <w:webHidden/>
              </w:rPr>
              <w:instrText xml:space="preserve"> PAGEREF _Toc436038930 \h </w:instrText>
            </w:r>
            <w:r w:rsidR="009A60DD">
              <w:rPr>
                <w:webHidden/>
              </w:rPr>
            </w:r>
            <w:r w:rsidR="009A60DD">
              <w:rPr>
                <w:webHidden/>
              </w:rPr>
              <w:fldChar w:fldCharType="separate"/>
            </w:r>
            <w:r w:rsidR="009A60DD">
              <w:rPr>
                <w:webHidden/>
              </w:rPr>
              <w:t>4-35</w:t>
            </w:r>
            <w:r w:rsidR="009A60DD">
              <w:rPr>
                <w:webHidden/>
              </w:rPr>
              <w:fldChar w:fldCharType="end"/>
            </w:r>
          </w:hyperlink>
        </w:p>
        <w:p w14:paraId="148DCF45" w14:textId="77777777" w:rsidR="009A60DD" w:rsidRDefault="00415E71">
          <w:pPr>
            <w:pStyle w:val="TOC2"/>
            <w:rPr>
              <w:rFonts w:asciiTheme="minorHAnsi" w:eastAsiaTheme="minorEastAsia" w:hAnsiTheme="minorHAnsi"/>
              <w:b w:val="0"/>
              <w:color w:val="auto"/>
              <w:sz w:val="22"/>
              <w:lang w:eastAsia="en-AU"/>
            </w:rPr>
          </w:pPr>
          <w:hyperlink w:anchor="_Toc436038931" w:history="1">
            <w:r w:rsidR="009A60DD" w:rsidRPr="0027271A">
              <w:rPr>
                <w:rStyle w:val="Hyperlink"/>
              </w:rPr>
              <w:t>A.1</w:t>
            </w:r>
            <w:r w:rsidR="009A60DD">
              <w:rPr>
                <w:rFonts w:asciiTheme="minorHAnsi" w:eastAsiaTheme="minorEastAsia" w:hAnsiTheme="minorHAnsi"/>
                <w:b w:val="0"/>
                <w:color w:val="auto"/>
                <w:sz w:val="22"/>
                <w:lang w:eastAsia="en-AU"/>
              </w:rPr>
              <w:tab/>
            </w:r>
            <w:r w:rsidR="009A60DD" w:rsidRPr="0027271A">
              <w:rPr>
                <w:rStyle w:val="Hyperlink"/>
              </w:rPr>
              <w:t>Expert views on the value of imputation credits</w:t>
            </w:r>
            <w:r w:rsidR="009A60DD">
              <w:rPr>
                <w:webHidden/>
              </w:rPr>
              <w:tab/>
            </w:r>
            <w:r w:rsidR="009A60DD">
              <w:rPr>
                <w:webHidden/>
              </w:rPr>
              <w:fldChar w:fldCharType="begin"/>
            </w:r>
            <w:r w:rsidR="009A60DD">
              <w:rPr>
                <w:webHidden/>
              </w:rPr>
              <w:instrText xml:space="preserve"> PAGEREF _Toc436038931 \h </w:instrText>
            </w:r>
            <w:r w:rsidR="009A60DD">
              <w:rPr>
                <w:webHidden/>
              </w:rPr>
            </w:r>
            <w:r w:rsidR="009A60DD">
              <w:rPr>
                <w:webHidden/>
              </w:rPr>
              <w:fldChar w:fldCharType="separate"/>
            </w:r>
            <w:r w:rsidR="009A60DD">
              <w:rPr>
                <w:webHidden/>
              </w:rPr>
              <w:t>4-35</w:t>
            </w:r>
            <w:r w:rsidR="009A60DD">
              <w:rPr>
                <w:webHidden/>
              </w:rPr>
              <w:fldChar w:fldCharType="end"/>
            </w:r>
          </w:hyperlink>
        </w:p>
        <w:p w14:paraId="1F555226" w14:textId="77777777" w:rsidR="009A60DD" w:rsidRDefault="00415E71">
          <w:pPr>
            <w:pStyle w:val="TOC2"/>
            <w:rPr>
              <w:rFonts w:asciiTheme="minorHAnsi" w:eastAsiaTheme="minorEastAsia" w:hAnsiTheme="minorHAnsi"/>
              <w:b w:val="0"/>
              <w:color w:val="auto"/>
              <w:sz w:val="22"/>
              <w:lang w:eastAsia="en-AU"/>
            </w:rPr>
          </w:pPr>
          <w:hyperlink w:anchor="_Toc436038932" w:history="1">
            <w:r w:rsidR="009A60DD" w:rsidRPr="0027271A">
              <w:rPr>
                <w:rStyle w:val="Hyperlink"/>
              </w:rPr>
              <w:t>A.2</w:t>
            </w:r>
            <w:r w:rsidR="009A60DD">
              <w:rPr>
                <w:rFonts w:asciiTheme="minorHAnsi" w:eastAsiaTheme="minorEastAsia" w:hAnsiTheme="minorHAnsi"/>
                <w:b w:val="0"/>
                <w:color w:val="auto"/>
                <w:sz w:val="22"/>
                <w:lang w:eastAsia="en-AU"/>
              </w:rPr>
              <w:tab/>
            </w:r>
            <w:r w:rsidR="009A60DD" w:rsidRPr="0027271A">
              <w:rPr>
                <w:rStyle w:val="Hyperlink"/>
              </w:rPr>
              <w:t>The value of imputation credits used by other regulators</w:t>
            </w:r>
            <w:r w:rsidR="009A60DD">
              <w:rPr>
                <w:webHidden/>
              </w:rPr>
              <w:tab/>
            </w:r>
            <w:r w:rsidR="009A60DD">
              <w:rPr>
                <w:webHidden/>
              </w:rPr>
              <w:fldChar w:fldCharType="begin"/>
            </w:r>
            <w:r w:rsidR="009A60DD">
              <w:rPr>
                <w:webHidden/>
              </w:rPr>
              <w:instrText xml:space="preserve"> PAGEREF _Toc436038932 \h </w:instrText>
            </w:r>
            <w:r w:rsidR="009A60DD">
              <w:rPr>
                <w:webHidden/>
              </w:rPr>
            </w:r>
            <w:r w:rsidR="009A60DD">
              <w:rPr>
                <w:webHidden/>
              </w:rPr>
              <w:fldChar w:fldCharType="separate"/>
            </w:r>
            <w:r w:rsidR="009A60DD">
              <w:rPr>
                <w:webHidden/>
              </w:rPr>
              <w:t>4-37</w:t>
            </w:r>
            <w:r w:rsidR="009A60DD">
              <w:rPr>
                <w:webHidden/>
              </w:rPr>
              <w:fldChar w:fldCharType="end"/>
            </w:r>
          </w:hyperlink>
        </w:p>
        <w:p w14:paraId="273D4B9B" w14:textId="77777777" w:rsidR="009A60DD" w:rsidRDefault="00415E71">
          <w:pPr>
            <w:pStyle w:val="TOC2"/>
            <w:rPr>
              <w:rFonts w:asciiTheme="minorHAnsi" w:eastAsiaTheme="minorEastAsia" w:hAnsiTheme="minorHAnsi"/>
              <w:b w:val="0"/>
              <w:color w:val="auto"/>
              <w:sz w:val="22"/>
              <w:lang w:eastAsia="en-AU"/>
            </w:rPr>
          </w:pPr>
          <w:hyperlink w:anchor="_Toc436038933" w:history="1">
            <w:r w:rsidR="009A60DD" w:rsidRPr="0027271A">
              <w:rPr>
                <w:rStyle w:val="Hyperlink"/>
              </w:rPr>
              <w:t>A.3</w:t>
            </w:r>
            <w:r w:rsidR="009A60DD">
              <w:rPr>
                <w:rFonts w:asciiTheme="minorHAnsi" w:eastAsiaTheme="minorEastAsia" w:hAnsiTheme="minorHAnsi"/>
                <w:b w:val="0"/>
                <w:color w:val="auto"/>
                <w:sz w:val="22"/>
                <w:lang w:eastAsia="en-AU"/>
              </w:rPr>
              <w:tab/>
            </w:r>
            <w:r w:rsidR="009A60DD" w:rsidRPr="0027271A">
              <w:rPr>
                <w:rStyle w:val="Hyperlink"/>
              </w:rPr>
              <w:t>Previous Australian Competition Tribunal considerations</w:t>
            </w:r>
            <w:r w:rsidR="009A60DD">
              <w:rPr>
                <w:webHidden/>
              </w:rPr>
              <w:tab/>
            </w:r>
            <w:r w:rsidR="009A60DD">
              <w:rPr>
                <w:webHidden/>
              </w:rPr>
              <w:fldChar w:fldCharType="begin"/>
            </w:r>
            <w:r w:rsidR="009A60DD">
              <w:rPr>
                <w:webHidden/>
              </w:rPr>
              <w:instrText xml:space="preserve"> PAGEREF _Toc436038933 \h </w:instrText>
            </w:r>
            <w:r w:rsidR="009A60DD">
              <w:rPr>
                <w:webHidden/>
              </w:rPr>
            </w:r>
            <w:r w:rsidR="009A60DD">
              <w:rPr>
                <w:webHidden/>
              </w:rPr>
              <w:fldChar w:fldCharType="separate"/>
            </w:r>
            <w:r w:rsidR="009A60DD">
              <w:rPr>
                <w:webHidden/>
              </w:rPr>
              <w:t>4-39</w:t>
            </w:r>
            <w:r w:rsidR="009A60DD">
              <w:rPr>
                <w:webHidden/>
              </w:rPr>
              <w:fldChar w:fldCharType="end"/>
            </w:r>
          </w:hyperlink>
        </w:p>
        <w:p w14:paraId="758A3DF1" w14:textId="77777777" w:rsidR="009A60DD" w:rsidRDefault="00415E71">
          <w:pPr>
            <w:pStyle w:val="TOC2"/>
            <w:rPr>
              <w:rFonts w:asciiTheme="minorHAnsi" w:eastAsiaTheme="minorEastAsia" w:hAnsiTheme="minorHAnsi"/>
              <w:b w:val="0"/>
              <w:color w:val="auto"/>
              <w:sz w:val="22"/>
              <w:lang w:eastAsia="en-AU"/>
            </w:rPr>
          </w:pPr>
          <w:hyperlink w:anchor="_Toc436038934" w:history="1">
            <w:r w:rsidR="009A60DD" w:rsidRPr="0027271A">
              <w:rPr>
                <w:rStyle w:val="Hyperlink"/>
              </w:rPr>
              <w:t>A.4</w:t>
            </w:r>
            <w:r w:rsidR="009A60DD">
              <w:rPr>
                <w:rFonts w:asciiTheme="minorHAnsi" w:eastAsiaTheme="minorEastAsia" w:hAnsiTheme="minorHAnsi"/>
                <w:b w:val="0"/>
                <w:color w:val="auto"/>
                <w:sz w:val="22"/>
                <w:lang w:eastAsia="en-AU"/>
              </w:rPr>
              <w:tab/>
            </w:r>
            <w:r w:rsidR="009A60DD" w:rsidRPr="0027271A">
              <w:rPr>
                <w:rStyle w:val="Hyperlink"/>
              </w:rPr>
              <w:t>Key concerns of the service providers</w:t>
            </w:r>
            <w:r w:rsidR="009A60DD">
              <w:rPr>
                <w:webHidden/>
              </w:rPr>
              <w:tab/>
            </w:r>
            <w:r w:rsidR="009A60DD">
              <w:rPr>
                <w:webHidden/>
              </w:rPr>
              <w:fldChar w:fldCharType="begin"/>
            </w:r>
            <w:r w:rsidR="009A60DD">
              <w:rPr>
                <w:webHidden/>
              </w:rPr>
              <w:instrText xml:space="preserve"> PAGEREF _Toc436038934 \h </w:instrText>
            </w:r>
            <w:r w:rsidR="009A60DD">
              <w:rPr>
                <w:webHidden/>
              </w:rPr>
            </w:r>
            <w:r w:rsidR="009A60DD">
              <w:rPr>
                <w:webHidden/>
              </w:rPr>
              <w:fldChar w:fldCharType="separate"/>
            </w:r>
            <w:r w:rsidR="009A60DD">
              <w:rPr>
                <w:webHidden/>
              </w:rPr>
              <w:t>4-45</w:t>
            </w:r>
            <w:r w:rsidR="009A60DD">
              <w:rPr>
                <w:webHidden/>
              </w:rPr>
              <w:fldChar w:fldCharType="end"/>
            </w:r>
          </w:hyperlink>
        </w:p>
        <w:p w14:paraId="53772F13" w14:textId="77777777" w:rsidR="009A60DD" w:rsidRDefault="00415E71">
          <w:pPr>
            <w:pStyle w:val="TOC2"/>
            <w:rPr>
              <w:rFonts w:asciiTheme="minorHAnsi" w:eastAsiaTheme="minorEastAsia" w:hAnsiTheme="minorHAnsi"/>
              <w:b w:val="0"/>
              <w:color w:val="auto"/>
              <w:sz w:val="22"/>
              <w:lang w:eastAsia="en-AU"/>
            </w:rPr>
          </w:pPr>
          <w:hyperlink w:anchor="_Toc436038935" w:history="1">
            <w:r w:rsidR="009A60DD" w:rsidRPr="0027271A">
              <w:rPr>
                <w:rStyle w:val="Hyperlink"/>
              </w:rPr>
              <w:t>A.5</w:t>
            </w:r>
            <w:r w:rsidR="009A60DD">
              <w:rPr>
                <w:rFonts w:asciiTheme="minorHAnsi" w:eastAsiaTheme="minorEastAsia" w:hAnsiTheme="minorHAnsi"/>
                <w:b w:val="0"/>
                <w:color w:val="auto"/>
                <w:sz w:val="22"/>
                <w:lang w:eastAsia="en-AU"/>
              </w:rPr>
              <w:tab/>
            </w:r>
            <w:r w:rsidR="009A60DD" w:rsidRPr="0027271A">
              <w:rPr>
                <w:rStyle w:val="Hyperlink"/>
              </w:rPr>
              <w:t>The role of the value of imputation credits in the regulatory framework</w:t>
            </w:r>
            <w:r w:rsidR="009A60DD">
              <w:rPr>
                <w:webHidden/>
              </w:rPr>
              <w:tab/>
            </w:r>
            <w:r w:rsidR="009A60DD">
              <w:rPr>
                <w:webHidden/>
              </w:rPr>
              <w:fldChar w:fldCharType="begin"/>
            </w:r>
            <w:r w:rsidR="009A60DD">
              <w:rPr>
                <w:webHidden/>
              </w:rPr>
              <w:instrText xml:space="preserve"> PAGEREF _Toc436038935 \h </w:instrText>
            </w:r>
            <w:r w:rsidR="009A60DD">
              <w:rPr>
                <w:webHidden/>
              </w:rPr>
            </w:r>
            <w:r w:rsidR="009A60DD">
              <w:rPr>
                <w:webHidden/>
              </w:rPr>
              <w:fldChar w:fldCharType="separate"/>
            </w:r>
            <w:r w:rsidR="009A60DD">
              <w:rPr>
                <w:webHidden/>
              </w:rPr>
              <w:t>4-48</w:t>
            </w:r>
            <w:r w:rsidR="009A60DD">
              <w:rPr>
                <w:webHidden/>
              </w:rPr>
              <w:fldChar w:fldCharType="end"/>
            </w:r>
          </w:hyperlink>
        </w:p>
        <w:p w14:paraId="1E55D4BB" w14:textId="77777777" w:rsidR="009A60DD" w:rsidRDefault="00415E71">
          <w:pPr>
            <w:pStyle w:val="TOC2"/>
            <w:rPr>
              <w:rFonts w:asciiTheme="minorHAnsi" w:eastAsiaTheme="minorEastAsia" w:hAnsiTheme="minorHAnsi"/>
              <w:b w:val="0"/>
              <w:color w:val="auto"/>
              <w:sz w:val="22"/>
              <w:lang w:eastAsia="en-AU"/>
            </w:rPr>
          </w:pPr>
          <w:hyperlink w:anchor="_Toc436038936" w:history="1">
            <w:r w:rsidR="009A60DD" w:rsidRPr="0027271A">
              <w:rPr>
                <w:rStyle w:val="Hyperlink"/>
              </w:rPr>
              <w:t>A.6</w:t>
            </w:r>
            <w:r w:rsidR="009A60DD">
              <w:rPr>
                <w:rFonts w:asciiTheme="minorHAnsi" w:eastAsiaTheme="minorEastAsia" w:hAnsiTheme="minorHAnsi"/>
                <w:b w:val="0"/>
                <w:color w:val="auto"/>
                <w:sz w:val="22"/>
                <w:lang w:eastAsia="en-AU"/>
              </w:rPr>
              <w:tab/>
            </w:r>
            <w:r w:rsidR="009A60DD" w:rsidRPr="0027271A">
              <w:rPr>
                <w:rStyle w:val="Hyperlink"/>
              </w:rPr>
              <w:t>The conceptual framework for the value of imputation credits</w:t>
            </w:r>
            <w:r w:rsidR="009A60DD">
              <w:rPr>
                <w:webHidden/>
              </w:rPr>
              <w:tab/>
            </w:r>
            <w:r w:rsidR="009A60DD">
              <w:rPr>
                <w:webHidden/>
              </w:rPr>
              <w:fldChar w:fldCharType="begin"/>
            </w:r>
            <w:r w:rsidR="009A60DD">
              <w:rPr>
                <w:webHidden/>
              </w:rPr>
              <w:instrText xml:space="preserve"> PAGEREF _Toc436038936 \h </w:instrText>
            </w:r>
            <w:r w:rsidR="009A60DD">
              <w:rPr>
                <w:webHidden/>
              </w:rPr>
            </w:r>
            <w:r w:rsidR="009A60DD">
              <w:rPr>
                <w:webHidden/>
              </w:rPr>
              <w:fldChar w:fldCharType="separate"/>
            </w:r>
            <w:r w:rsidR="009A60DD">
              <w:rPr>
                <w:webHidden/>
              </w:rPr>
              <w:t>4-51</w:t>
            </w:r>
            <w:r w:rsidR="009A60DD">
              <w:rPr>
                <w:webHidden/>
              </w:rPr>
              <w:fldChar w:fldCharType="end"/>
            </w:r>
          </w:hyperlink>
        </w:p>
        <w:p w14:paraId="5DCEC1D4" w14:textId="77777777" w:rsidR="009A60DD" w:rsidRDefault="00415E71">
          <w:pPr>
            <w:pStyle w:val="TOC2"/>
            <w:rPr>
              <w:rFonts w:asciiTheme="minorHAnsi" w:eastAsiaTheme="minorEastAsia" w:hAnsiTheme="minorHAnsi"/>
              <w:b w:val="0"/>
              <w:color w:val="auto"/>
              <w:sz w:val="22"/>
              <w:lang w:eastAsia="en-AU"/>
            </w:rPr>
          </w:pPr>
          <w:hyperlink w:anchor="_Toc436038937" w:history="1">
            <w:r w:rsidR="009A60DD" w:rsidRPr="0027271A">
              <w:rPr>
                <w:rStyle w:val="Hyperlink"/>
              </w:rPr>
              <w:t>A.7</w:t>
            </w:r>
            <w:r w:rsidR="009A60DD">
              <w:rPr>
                <w:rFonts w:asciiTheme="minorHAnsi" w:eastAsiaTheme="minorEastAsia" w:hAnsiTheme="minorHAnsi"/>
                <w:b w:val="0"/>
                <w:color w:val="auto"/>
                <w:sz w:val="22"/>
                <w:lang w:eastAsia="en-AU"/>
              </w:rPr>
              <w:tab/>
            </w:r>
            <w:r w:rsidR="009A60DD" w:rsidRPr="0027271A">
              <w:rPr>
                <w:rStyle w:val="Hyperlink"/>
              </w:rPr>
              <w:t>Gray's comments on the conceptual framework</w:t>
            </w:r>
            <w:r w:rsidR="009A60DD">
              <w:rPr>
                <w:webHidden/>
              </w:rPr>
              <w:tab/>
            </w:r>
            <w:r w:rsidR="009A60DD">
              <w:rPr>
                <w:webHidden/>
              </w:rPr>
              <w:fldChar w:fldCharType="begin"/>
            </w:r>
            <w:r w:rsidR="009A60DD">
              <w:rPr>
                <w:webHidden/>
              </w:rPr>
              <w:instrText xml:space="preserve"> PAGEREF _Toc436038937 \h </w:instrText>
            </w:r>
            <w:r w:rsidR="009A60DD">
              <w:rPr>
                <w:webHidden/>
              </w:rPr>
            </w:r>
            <w:r w:rsidR="009A60DD">
              <w:rPr>
                <w:webHidden/>
              </w:rPr>
              <w:fldChar w:fldCharType="separate"/>
            </w:r>
            <w:r w:rsidR="009A60DD">
              <w:rPr>
                <w:webHidden/>
              </w:rPr>
              <w:t>4-54</w:t>
            </w:r>
            <w:r w:rsidR="009A60DD">
              <w:rPr>
                <w:webHidden/>
              </w:rPr>
              <w:fldChar w:fldCharType="end"/>
            </w:r>
          </w:hyperlink>
        </w:p>
        <w:p w14:paraId="5FEECF2F" w14:textId="77777777" w:rsidR="009A60DD" w:rsidRDefault="00415E71">
          <w:pPr>
            <w:pStyle w:val="TOC2"/>
            <w:rPr>
              <w:rFonts w:asciiTheme="minorHAnsi" w:eastAsiaTheme="minorEastAsia" w:hAnsiTheme="minorHAnsi"/>
              <w:b w:val="0"/>
              <w:color w:val="auto"/>
              <w:sz w:val="22"/>
              <w:lang w:eastAsia="en-AU"/>
            </w:rPr>
          </w:pPr>
          <w:hyperlink w:anchor="_Toc436038938" w:history="1">
            <w:r w:rsidR="009A60DD" w:rsidRPr="0027271A">
              <w:rPr>
                <w:rStyle w:val="Hyperlink"/>
              </w:rPr>
              <w:t>A.8</w:t>
            </w:r>
            <w:r w:rsidR="009A60DD">
              <w:rPr>
                <w:rFonts w:asciiTheme="minorHAnsi" w:eastAsiaTheme="minorEastAsia" w:hAnsiTheme="minorHAnsi"/>
                <w:b w:val="0"/>
                <w:color w:val="auto"/>
                <w:sz w:val="22"/>
                <w:lang w:eastAsia="en-AU"/>
              </w:rPr>
              <w:tab/>
            </w:r>
            <w:r w:rsidR="009A60DD" w:rsidRPr="0027271A">
              <w:rPr>
                <w:rStyle w:val="Hyperlink"/>
              </w:rPr>
              <w:t>Further issues relating to the utilisation rate</w:t>
            </w:r>
            <w:r w:rsidR="009A60DD">
              <w:rPr>
                <w:webHidden/>
              </w:rPr>
              <w:tab/>
            </w:r>
            <w:r w:rsidR="009A60DD">
              <w:rPr>
                <w:webHidden/>
              </w:rPr>
              <w:fldChar w:fldCharType="begin"/>
            </w:r>
            <w:r w:rsidR="009A60DD">
              <w:rPr>
                <w:webHidden/>
              </w:rPr>
              <w:instrText xml:space="preserve"> PAGEREF _Toc436038938 \h </w:instrText>
            </w:r>
            <w:r w:rsidR="009A60DD">
              <w:rPr>
                <w:webHidden/>
              </w:rPr>
            </w:r>
            <w:r w:rsidR="009A60DD">
              <w:rPr>
                <w:webHidden/>
              </w:rPr>
              <w:fldChar w:fldCharType="separate"/>
            </w:r>
            <w:r w:rsidR="009A60DD">
              <w:rPr>
                <w:webHidden/>
              </w:rPr>
              <w:t>4-65</w:t>
            </w:r>
            <w:r w:rsidR="009A60DD">
              <w:rPr>
                <w:webHidden/>
              </w:rPr>
              <w:fldChar w:fldCharType="end"/>
            </w:r>
          </w:hyperlink>
        </w:p>
        <w:p w14:paraId="678F30DD" w14:textId="77777777" w:rsidR="009A60DD" w:rsidRDefault="00415E71">
          <w:pPr>
            <w:pStyle w:val="TOC2"/>
            <w:rPr>
              <w:rFonts w:asciiTheme="minorHAnsi" w:eastAsiaTheme="minorEastAsia" w:hAnsiTheme="minorHAnsi"/>
              <w:b w:val="0"/>
              <w:color w:val="auto"/>
              <w:sz w:val="22"/>
              <w:lang w:eastAsia="en-AU"/>
            </w:rPr>
          </w:pPr>
          <w:hyperlink w:anchor="_Toc436038939" w:history="1">
            <w:r w:rsidR="009A60DD" w:rsidRPr="0027271A">
              <w:rPr>
                <w:rStyle w:val="Hyperlink"/>
              </w:rPr>
              <w:t>A.9</w:t>
            </w:r>
            <w:r w:rsidR="009A60DD">
              <w:rPr>
                <w:rFonts w:asciiTheme="minorHAnsi" w:eastAsiaTheme="minorEastAsia" w:hAnsiTheme="minorHAnsi"/>
                <w:b w:val="0"/>
                <w:color w:val="auto"/>
                <w:sz w:val="22"/>
                <w:lang w:eastAsia="en-AU"/>
              </w:rPr>
              <w:tab/>
            </w:r>
            <w:r w:rsidR="009A60DD" w:rsidRPr="0027271A">
              <w:rPr>
                <w:rStyle w:val="Hyperlink"/>
              </w:rPr>
              <w:t>Estimation approach considerations</w:t>
            </w:r>
            <w:r w:rsidR="009A60DD">
              <w:rPr>
                <w:webHidden/>
              </w:rPr>
              <w:tab/>
            </w:r>
            <w:r w:rsidR="009A60DD">
              <w:rPr>
                <w:webHidden/>
              </w:rPr>
              <w:fldChar w:fldCharType="begin"/>
            </w:r>
            <w:r w:rsidR="009A60DD">
              <w:rPr>
                <w:webHidden/>
              </w:rPr>
              <w:instrText xml:space="preserve"> PAGEREF _Toc436038939 \h </w:instrText>
            </w:r>
            <w:r w:rsidR="009A60DD">
              <w:rPr>
                <w:webHidden/>
              </w:rPr>
            </w:r>
            <w:r w:rsidR="009A60DD">
              <w:rPr>
                <w:webHidden/>
              </w:rPr>
              <w:fldChar w:fldCharType="separate"/>
            </w:r>
            <w:r w:rsidR="009A60DD">
              <w:rPr>
                <w:webHidden/>
              </w:rPr>
              <w:t>4-82</w:t>
            </w:r>
            <w:r w:rsidR="009A60DD">
              <w:rPr>
                <w:webHidden/>
              </w:rPr>
              <w:fldChar w:fldCharType="end"/>
            </w:r>
          </w:hyperlink>
        </w:p>
        <w:p w14:paraId="7B52729C" w14:textId="77777777" w:rsidR="009A60DD" w:rsidRDefault="00415E71">
          <w:pPr>
            <w:pStyle w:val="TOC2"/>
            <w:tabs>
              <w:tab w:val="left" w:pos="1276"/>
            </w:tabs>
            <w:rPr>
              <w:rFonts w:asciiTheme="minorHAnsi" w:eastAsiaTheme="minorEastAsia" w:hAnsiTheme="minorHAnsi"/>
              <w:b w:val="0"/>
              <w:color w:val="auto"/>
              <w:sz w:val="22"/>
              <w:lang w:eastAsia="en-AU"/>
            </w:rPr>
          </w:pPr>
          <w:hyperlink w:anchor="_Toc436038940" w:history="1">
            <w:r w:rsidR="009A60DD" w:rsidRPr="0027271A">
              <w:rPr>
                <w:rStyle w:val="Hyperlink"/>
              </w:rPr>
              <w:t>A.10</w:t>
            </w:r>
            <w:r w:rsidR="009A60DD">
              <w:rPr>
                <w:rFonts w:asciiTheme="minorHAnsi" w:eastAsiaTheme="minorEastAsia" w:hAnsiTheme="minorHAnsi"/>
                <w:b w:val="0"/>
                <w:color w:val="auto"/>
                <w:sz w:val="22"/>
                <w:lang w:eastAsia="en-AU"/>
              </w:rPr>
              <w:tab/>
            </w:r>
            <w:r w:rsidR="009A60DD" w:rsidRPr="0027271A">
              <w:rPr>
                <w:rStyle w:val="Hyperlink"/>
              </w:rPr>
              <w:t>Estimating the distribution rate</w:t>
            </w:r>
            <w:r w:rsidR="009A60DD">
              <w:rPr>
                <w:webHidden/>
              </w:rPr>
              <w:tab/>
            </w:r>
            <w:r w:rsidR="009A60DD">
              <w:rPr>
                <w:webHidden/>
              </w:rPr>
              <w:fldChar w:fldCharType="begin"/>
            </w:r>
            <w:r w:rsidR="009A60DD">
              <w:rPr>
                <w:webHidden/>
              </w:rPr>
              <w:instrText xml:space="preserve"> PAGEREF _Toc436038940 \h </w:instrText>
            </w:r>
            <w:r w:rsidR="009A60DD">
              <w:rPr>
                <w:webHidden/>
              </w:rPr>
            </w:r>
            <w:r w:rsidR="009A60DD">
              <w:rPr>
                <w:webHidden/>
              </w:rPr>
              <w:fldChar w:fldCharType="separate"/>
            </w:r>
            <w:r w:rsidR="009A60DD">
              <w:rPr>
                <w:webHidden/>
              </w:rPr>
              <w:t>4-84</w:t>
            </w:r>
            <w:r w:rsidR="009A60DD">
              <w:rPr>
                <w:webHidden/>
              </w:rPr>
              <w:fldChar w:fldCharType="end"/>
            </w:r>
          </w:hyperlink>
        </w:p>
        <w:p w14:paraId="2503D331" w14:textId="77777777" w:rsidR="009A60DD" w:rsidRDefault="00415E71">
          <w:pPr>
            <w:pStyle w:val="TOC2"/>
            <w:tabs>
              <w:tab w:val="left" w:pos="1276"/>
            </w:tabs>
            <w:rPr>
              <w:rFonts w:asciiTheme="minorHAnsi" w:eastAsiaTheme="minorEastAsia" w:hAnsiTheme="minorHAnsi"/>
              <w:b w:val="0"/>
              <w:color w:val="auto"/>
              <w:sz w:val="22"/>
              <w:lang w:eastAsia="en-AU"/>
            </w:rPr>
          </w:pPr>
          <w:hyperlink w:anchor="_Toc436038941" w:history="1">
            <w:r w:rsidR="009A60DD" w:rsidRPr="0027271A">
              <w:rPr>
                <w:rStyle w:val="Hyperlink"/>
              </w:rPr>
              <w:t>A.11</w:t>
            </w:r>
            <w:r w:rsidR="009A60DD">
              <w:rPr>
                <w:rFonts w:asciiTheme="minorHAnsi" w:eastAsiaTheme="minorEastAsia" w:hAnsiTheme="minorHAnsi"/>
                <w:b w:val="0"/>
                <w:color w:val="auto"/>
                <w:sz w:val="22"/>
                <w:lang w:eastAsia="en-AU"/>
              </w:rPr>
              <w:tab/>
            </w:r>
            <w:r w:rsidR="009A60DD" w:rsidRPr="0027271A">
              <w:rPr>
                <w:rStyle w:val="Hyperlink"/>
              </w:rPr>
              <w:t>Application of rate of return criteria to evidence on the utilisation rate</w:t>
            </w:r>
            <w:r w:rsidR="009A60DD">
              <w:rPr>
                <w:webHidden/>
              </w:rPr>
              <w:tab/>
            </w:r>
            <w:r w:rsidR="009A60DD">
              <w:rPr>
                <w:webHidden/>
              </w:rPr>
              <w:fldChar w:fldCharType="begin"/>
            </w:r>
            <w:r w:rsidR="009A60DD">
              <w:rPr>
                <w:webHidden/>
              </w:rPr>
              <w:instrText xml:space="preserve"> PAGEREF _Toc436038941 \h </w:instrText>
            </w:r>
            <w:r w:rsidR="009A60DD">
              <w:rPr>
                <w:webHidden/>
              </w:rPr>
            </w:r>
            <w:r w:rsidR="009A60DD">
              <w:rPr>
                <w:webHidden/>
              </w:rPr>
              <w:fldChar w:fldCharType="separate"/>
            </w:r>
            <w:r w:rsidR="009A60DD">
              <w:rPr>
                <w:webHidden/>
              </w:rPr>
              <w:t>4-91</w:t>
            </w:r>
            <w:r w:rsidR="009A60DD">
              <w:rPr>
                <w:webHidden/>
              </w:rPr>
              <w:fldChar w:fldCharType="end"/>
            </w:r>
          </w:hyperlink>
        </w:p>
        <w:p w14:paraId="1EC9D6B2" w14:textId="77777777" w:rsidR="009A60DD" w:rsidRDefault="00415E71">
          <w:pPr>
            <w:pStyle w:val="TOC2"/>
            <w:tabs>
              <w:tab w:val="left" w:pos="1276"/>
            </w:tabs>
            <w:rPr>
              <w:rFonts w:asciiTheme="minorHAnsi" w:eastAsiaTheme="minorEastAsia" w:hAnsiTheme="minorHAnsi"/>
              <w:b w:val="0"/>
              <w:color w:val="auto"/>
              <w:sz w:val="22"/>
              <w:lang w:eastAsia="en-AU"/>
            </w:rPr>
          </w:pPr>
          <w:hyperlink w:anchor="_Toc436038942" w:history="1">
            <w:r w:rsidR="009A60DD" w:rsidRPr="0027271A">
              <w:rPr>
                <w:rStyle w:val="Hyperlink"/>
              </w:rPr>
              <w:t>A.12</w:t>
            </w:r>
            <w:r w:rsidR="009A60DD">
              <w:rPr>
                <w:rFonts w:asciiTheme="minorHAnsi" w:eastAsiaTheme="minorEastAsia" w:hAnsiTheme="minorHAnsi"/>
                <w:b w:val="0"/>
                <w:color w:val="auto"/>
                <w:sz w:val="22"/>
                <w:lang w:eastAsia="en-AU"/>
              </w:rPr>
              <w:tab/>
            </w:r>
            <w:r w:rsidR="009A60DD" w:rsidRPr="0027271A">
              <w:rPr>
                <w:rStyle w:val="Hyperlink"/>
              </w:rPr>
              <w:t>The equity ownership approach</w:t>
            </w:r>
            <w:r w:rsidR="009A60DD">
              <w:rPr>
                <w:webHidden/>
              </w:rPr>
              <w:tab/>
            </w:r>
            <w:r w:rsidR="009A60DD">
              <w:rPr>
                <w:webHidden/>
              </w:rPr>
              <w:fldChar w:fldCharType="begin"/>
            </w:r>
            <w:r w:rsidR="009A60DD">
              <w:rPr>
                <w:webHidden/>
              </w:rPr>
              <w:instrText xml:space="preserve"> PAGEREF _Toc436038942 \h </w:instrText>
            </w:r>
            <w:r w:rsidR="009A60DD">
              <w:rPr>
                <w:webHidden/>
              </w:rPr>
            </w:r>
            <w:r w:rsidR="009A60DD">
              <w:rPr>
                <w:webHidden/>
              </w:rPr>
              <w:fldChar w:fldCharType="separate"/>
            </w:r>
            <w:r w:rsidR="009A60DD">
              <w:rPr>
                <w:webHidden/>
              </w:rPr>
              <w:t>4-93</w:t>
            </w:r>
            <w:r w:rsidR="009A60DD">
              <w:rPr>
                <w:webHidden/>
              </w:rPr>
              <w:fldChar w:fldCharType="end"/>
            </w:r>
          </w:hyperlink>
        </w:p>
        <w:p w14:paraId="403E209D" w14:textId="77777777" w:rsidR="009A60DD" w:rsidRDefault="00415E71">
          <w:pPr>
            <w:pStyle w:val="TOC2"/>
            <w:tabs>
              <w:tab w:val="left" w:pos="1276"/>
            </w:tabs>
            <w:rPr>
              <w:rFonts w:asciiTheme="minorHAnsi" w:eastAsiaTheme="minorEastAsia" w:hAnsiTheme="minorHAnsi"/>
              <w:b w:val="0"/>
              <w:color w:val="auto"/>
              <w:sz w:val="22"/>
              <w:lang w:eastAsia="en-AU"/>
            </w:rPr>
          </w:pPr>
          <w:hyperlink w:anchor="_Toc436038943" w:history="1">
            <w:r w:rsidR="009A60DD" w:rsidRPr="0027271A">
              <w:rPr>
                <w:rStyle w:val="Hyperlink"/>
              </w:rPr>
              <w:t>A.13</w:t>
            </w:r>
            <w:r w:rsidR="009A60DD">
              <w:rPr>
                <w:rFonts w:asciiTheme="minorHAnsi" w:eastAsiaTheme="minorEastAsia" w:hAnsiTheme="minorHAnsi"/>
                <w:b w:val="0"/>
                <w:color w:val="auto"/>
                <w:sz w:val="22"/>
                <w:lang w:eastAsia="en-AU"/>
              </w:rPr>
              <w:tab/>
            </w:r>
            <w:r w:rsidR="009A60DD" w:rsidRPr="0027271A">
              <w:rPr>
                <w:rStyle w:val="Hyperlink"/>
              </w:rPr>
              <w:t>Tax statistics</w:t>
            </w:r>
            <w:r w:rsidR="009A60DD">
              <w:rPr>
                <w:webHidden/>
              </w:rPr>
              <w:tab/>
            </w:r>
            <w:r w:rsidR="009A60DD">
              <w:rPr>
                <w:webHidden/>
              </w:rPr>
              <w:fldChar w:fldCharType="begin"/>
            </w:r>
            <w:r w:rsidR="009A60DD">
              <w:rPr>
                <w:webHidden/>
              </w:rPr>
              <w:instrText xml:space="preserve"> PAGEREF _Toc436038943 \h </w:instrText>
            </w:r>
            <w:r w:rsidR="009A60DD">
              <w:rPr>
                <w:webHidden/>
              </w:rPr>
            </w:r>
            <w:r w:rsidR="009A60DD">
              <w:rPr>
                <w:webHidden/>
              </w:rPr>
              <w:fldChar w:fldCharType="separate"/>
            </w:r>
            <w:r w:rsidR="009A60DD">
              <w:rPr>
                <w:webHidden/>
              </w:rPr>
              <w:t>4-97</w:t>
            </w:r>
            <w:r w:rsidR="009A60DD">
              <w:rPr>
                <w:webHidden/>
              </w:rPr>
              <w:fldChar w:fldCharType="end"/>
            </w:r>
          </w:hyperlink>
        </w:p>
        <w:p w14:paraId="2A75F87C" w14:textId="77777777" w:rsidR="009A60DD" w:rsidRDefault="00415E71">
          <w:pPr>
            <w:pStyle w:val="TOC2"/>
            <w:tabs>
              <w:tab w:val="left" w:pos="1276"/>
            </w:tabs>
            <w:rPr>
              <w:rFonts w:asciiTheme="minorHAnsi" w:eastAsiaTheme="minorEastAsia" w:hAnsiTheme="minorHAnsi"/>
              <w:b w:val="0"/>
              <w:color w:val="auto"/>
              <w:sz w:val="22"/>
              <w:lang w:eastAsia="en-AU"/>
            </w:rPr>
          </w:pPr>
          <w:hyperlink w:anchor="_Toc436038944" w:history="1">
            <w:r w:rsidR="009A60DD" w:rsidRPr="0027271A">
              <w:rPr>
                <w:rStyle w:val="Hyperlink"/>
              </w:rPr>
              <w:t>A.14</w:t>
            </w:r>
            <w:r w:rsidR="009A60DD">
              <w:rPr>
                <w:rFonts w:asciiTheme="minorHAnsi" w:eastAsiaTheme="minorEastAsia" w:hAnsiTheme="minorHAnsi"/>
                <w:b w:val="0"/>
                <w:color w:val="auto"/>
                <w:sz w:val="22"/>
                <w:lang w:eastAsia="en-AU"/>
              </w:rPr>
              <w:tab/>
            </w:r>
            <w:r w:rsidR="009A60DD" w:rsidRPr="0027271A">
              <w:rPr>
                <w:rStyle w:val="Hyperlink"/>
              </w:rPr>
              <w:t>Implied market value studies</w:t>
            </w:r>
            <w:r w:rsidR="009A60DD">
              <w:rPr>
                <w:webHidden/>
              </w:rPr>
              <w:tab/>
            </w:r>
            <w:r w:rsidR="009A60DD">
              <w:rPr>
                <w:webHidden/>
              </w:rPr>
              <w:fldChar w:fldCharType="begin"/>
            </w:r>
            <w:r w:rsidR="009A60DD">
              <w:rPr>
                <w:webHidden/>
              </w:rPr>
              <w:instrText xml:space="preserve"> PAGEREF _Toc436038944 \h </w:instrText>
            </w:r>
            <w:r w:rsidR="009A60DD">
              <w:rPr>
                <w:webHidden/>
              </w:rPr>
            </w:r>
            <w:r w:rsidR="009A60DD">
              <w:rPr>
                <w:webHidden/>
              </w:rPr>
              <w:fldChar w:fldCharType="separate"/>
            </w:r>
            <w:r w:rsidR="009A60DD">
              <w:rPr>
                <w:webHidden/>
              </w:rPr>
              <w:t>4-99</w:t>
            </w:r>
            <w:r w:rsidR="009A60DD">
              <w:rPr>
                <w:webHidden/>
              </w:rPr>
              <w:fldChar w:fldCharType="end"/>
            </w:r>
          </w:hyperlink>
        </w:p>
        <w:p w14:paraId="0ACA7189" w14:textId="77777777" w:rsidR="009A60DD" w:rsidRDefault="00415E71">
          <w:pPr>
            <w:pStyle w:val="TOC2"/>
            <w:tabs>
              <w:tab w:val="left" w:pos="1276"/>
            </w:tabs>
            <w:rPr>
              <w:rFonts w:asciiTheme="minorHAnsi" w:eastAsiaTheme="minorEastAsia" w:hAnsiTheme="minorHAnsi"/>
              <w:b w:val="0"/>
              <w:color w:val="auto"/>
              <w:sz w:val="22"/>
              <w:lang w:eastAsia="en-AU"/>
            </w:rPr>
          </w:pPr>
          <w:hyperlink w:anchor="_Toc436038945" w:history="1">
            <w:r w:rsidR="009A60DD" w:rsidRPr="0027271A">
              <w:rPr>
                <w:rStyle w:val="Hyperlink"/>
              </w:rPr>
              <w:t>A.15</w:t>
            </w:r>
            <w:r w:rsidR="009A60DD">
              <w:rPr>
                <w:rFonts w:asciiTheme="minorHAnsi" w:eastAsiaTheme="minorEastAsia" w:hAnsiTheme="minorHAnsi"/>
                <w:b w:val="0"/>
                <w:color w:val="auto"/>
                <w:sz w:val="22"/>
                <w:lang w:eastAsia="en-AU"/>
              </w:rPr>
              <w:tab/>
            </w:r>
            <w:r w:rsidR="009A60DD" w:rsidRPr="0027271A">
              <w:rPr>
                <w:rStyle w:val="Hyperlink"/>
              </w:rPr>
              <w:t>Revised consideration of the conceptual goalposts approach</w:t>
            </w:r>
            <w:r w:rsidR="009A60DD">
              <w:rPr>
                <w:webHidden/>
              </w:rPr>
              <w:tab/>
            </w:r>
            <w:r w:rsidR="009A60DD">
              <w:rPr>
                <w:webHidden/>
              </w:rPr>
              <w:fldChar w:fldCharType="begin"/>
            </w:r>
            <w:r w:rsidR="009A60DD">
              <w:rPr>
                <w:webHidden/>
              </w:rPr>
              <w:instrText xml:space="preserve"> PAGEREF _Toc436038945 \h </w:instrText>
            </w:r>
            <w:r w:rsidR="009A60DD">
              <w:rPr>
                <w:webHidden/>
              </w:rPr>
            </w:r>
            <w:r w:rsidR="009A60DD">
              <w:rPr>
                <w:webHidden/>
              </w:rPr>
              <w:fldChar w:fldCharType="separate"/>
            </w:r>
            <w:r w:rsidR="009A60DD">
              <w:rPr>
                <w:webHidden/>
              </w:rPr>
              <w:t>4-117</w:t>
            </w:r>
            <w:r w:rsidR="009A60DD">
              <w:rPr>
                <w:webHidden/>
              </w:rPr>
              <w:fldChar w:fldCharType="end"/>
            </w:r>
          </w:hyperlink>
        </w:p>
        <w:p w14:paraId="49CF34B2" w14:textId="77777777" w:rsidR="00DE563D" w:rsidRDefault="00993877" w:rsidP="00993877">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9" w:name="_Toc404700925"/>
      <w:bookmarkStart w:id="10" w:name="_Toc408493482"/>
      <w:bookmarkStart w:id="11" w:name="_Toc436038923"/>
      <w:r w:rsidRPr="003D3D89">
        <w:t>Shortened</w:t>
      </w:r>
      <w:r>
        <w:t xml:space="preserve"> forms</w:t>
      </w:r>
      <w:bookmarkEnd w:id="9"/>
      <w:bookmarkEnd w:id="10"/>
      <w:bookmarkEnd w:id="11"/>
    </w:p>
    <w:tbl>
      <w:tblPr>
        <w:tblStyle w:val="AERtable-numbers1"/>
        <w:tblW w:w="0" w:type="auto"/>
        <w:tblInd w:w="0" w:type="dxa"/>
        <w:tblLook w:val="04A0" w:firstRow="1" w:lastRow="0" w:firstColumn="1" w:lastColumn="0" w:noHBand="0" w:noVBand="1"/>
      </w:tblPr>
      <w:tblGrid>
        <w:gridCol w:w="3652"/>
        <w:gridCol w:w="5041"/>
      </w:tblGrid>
      <w:tr w:rsidR="00C22094" w:rsidRPr="00C22094" w14:paraId="3D4C10F2" w14:textId="77777777" w:rsidTr="00C220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333CF154" w14:textId="77777777" w:rsidR="00C22094" w:rsidRPr="00C22094" w:rsidRDefault="00C22094" w:rsidP="00C22094">
            <w:pPr>
              <w:numPr>
                <w:ilvl w:val="0"/>
                <w:numId w:val="49"/>
              </w:numPr>
              <w:rPr>
                <w:rFonts w:eastAsia="Arial"/>
                <w:lang w:eastAsia="en-AU"/>
              </w:rPr>
            </w:pPr>
            <w:r w:rsidRPr="00C22094">
              <w:rPr>
                <w:rFonts w:eastAsia="Arial"/>
                <w:lang w:eastAsia="en-AU"/>
              </w:rPr>
              <w:t>Shortened form</w:t>
            </w:r>
          </w:p>
        </w:tc>
        <w:tc>
          <w:tcPr>
            <w:tcW w:w="5041" w:type="dxa"/>
            <w:tcBorders>
              <w:top w:val="nil"/>
              <w:left w:val="nil"/>
              <w:bottom w:val="nil"/>
              <w:right w:val="nil"/>
            </w:tcBorders>
            <w:hideMark/>
          </w:tcPr>
          <w:p w14:paraId="4402DFAF" w14:textId="77777777" w:rsidR="00C22094" w:rsidRPr="00C22094" w:rsidRDefault="00C22094" w:rsidP="00C22094">
            <w:pPr>
              <w:numPr>
                <w:ilvl w:val="0"/>
                <w:numId w:val="49"/>
              </w:numPr>
              <w:cnfStyle w:val="100000000000" w:firstRow="1"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Extended form</w:t>
            </w:r>
          </w:p>
        </w:tc>
      </w:tr>
      <w:tr w:rsidR="00C22094" w:rsidRPr="00C22094" w14:paraId="7AC79CDE"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2A32DB9F" w14:textId="77777777" w:rsidR="00C22094" w:rsidRPr="00C22094" w:rsidRDefault="00C22094" w:rsidP="00C22094">
            <w:pPr>
              <w:numPr>
                <w:ilvl w:val="0"/>
                <w:numId w:val="49"/>
              </w:numPr>
              <w:rPr>
                <w:rFonts w:eastAsia="Arial"/>
                <w:lang w:eastAsia="en-AU"/>
              </w:rPr>
            </w:pPr>
            <w:r w:rsidRPr="00C22094">
              <w:rPr>
                <w:rFonts w:eastAsia="Arial"/>
                <w:lang w:eastAsia="en-AU"/>
              </w:rPr>
              <w:t>AA</w:t>
            </w:r>
          </w:p>
        </w:tc>
        <w:tc>
          <w:tcPr>
            <w:tcW w:w="5041" w:type="dxa"/>
            <w:tcBorders>
              <w:top w:val="nil"/>
              <w:left w:val="nil"/>
              <w:bottom w:val="nil"/>
              <w:right w:val="nil"/>
            </w:tcBorders>
            <w:hideMark/>
          </w:tcPr>
          <w:p w14:paraId="7C203614"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Access Arrangement</w:t>
            </w:r>
          </w:p>
        </w:tc>
      </w:tr>
      <w:tr w:rsidR="00C22094" w:rsidRPr="00C22094" w14:paraId="6CE7D715"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56D9D760" w14:textId="77777777" w:rsidR="00C22094" w:rsidRPr="00C22094" w:rsidRDefault="00C22094" w:rsidP="00C22094">
            <w:pPr>
              <w:numPr>
                <w:ilvl w:val="0"/>
                <w:numId w:val="49"/>
              </w:numPr>
              <w:rPr>
                <w:rFonts w:eastAsia="Arial"/>
                <w:lang w:eastAsia="en-AU"/>
              </w:rPr>
            </w:pPr>
            <w:r w:rsidRPr="00C22094">
              <w:rPr>
                <w:rFonts w:eastAsia="Arial"/>
                <w:lang w:eastAsia="en-AU"/>
              </w:rPr>
              <w:t>AAI</w:t>
            </w:r>
          </w:p>
        </w:tc>
        <w:tc>
          <w:tcPr>
            <w:tcW w:w="5041" w:type="dxa"/>
            <w:tcBorders>
              <w:top w:val="nil"/>
              <w:left w:val="nil"/>
              <w:bottom w:val="nil"/>
              <w:right w:val="nil"/>
            </w:tcBorders>
            <w:hideMark/>
          </w:tcPr>
          <w:p w14:paraId="7E2858E9" w14:textId="77777777" w:rsidR="00C22094" w:rsidRPr="00C22094" w:rsidRDefault="00C22094" w:rsidP="00C22094">
            <w:p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Access Arrangement Information</w:t>
            </w:r>
          </w:p>
        </w:tc>
      </w:tr>
      <w:tr w:rsidR="00C22094" w:rsidRPr="00C22094" w14:paraId="3EFEE1E0"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153324D0" w14:textId="77777777" w:rsidR="00C22094" w:rsidRPr="00C22094" w:rsidRDefault="00C22094" w:rsidP="00C22094">
            <w:pPr>
              <w:numPr>
                <w:ilvl w:val="0"/>
                <w:numId w:val="49"/>
              </w:numPr>
              <w:rPr>
                <w:rFonts w:eastAsia="Arial"/>
                <w:lang w:eastAsia="en-AU"/>
              </w:rPr>
            </w:pPr>
            <w:r w:rsidRPr="00C22094">
              <w:rPr>
                <w:rFonts w:eastAsia="Arial"/>
                <w:lang w:eastAsia="en-AU"/>
              </w:rPr>
              <w:t>AER</w:t>
            </w:r>
          </w:p>
        </w:tc>
        <w:tc>
          <w:tcPr>
            <w:tcW w:w="5041" w:type="dxa"/>
            <w:tcBorders>
              <w:top w:val="nil"/>
              <w:left w:val="nil"/>
              <w:bottom w:val="nil"/>
              <w:right w:val="nil"/>
            </w:tcBorders>
            <w:hideMark/>
          </w:tcPr>
          <w:p w14:paraId="6617ED7E"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Australian Energy Regulator</w:t>
            </w:r>
          </w:p>
        </w:tc>
      </w:tr>
      <w:tr w:rsidR="00C22094" w:rsidRPr="00C22094" w14:paraId="086C7E8F"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532C25D1" w14:textId="77777777" w:rsidR="00C22094" w:rsidRPr="00C22094" w:rsidRDefault="00C22094" w:rsidP="00C22094">
            <w:pPr>
              <w:numPr>
                <w:ilvl w:val="0"/>
                <w:numId w:val="49"/>
              </w:numPr>
              <w:rPr>
                <w:rFonts w:eastAsia="Arial"/>
                <w:lang w:eastAsia="en-AU"/>
              </w:rPr>
            </w:pPr>
            <w:r w:rsidRPr="00C22094">
              <w:rPr>
                <w:rFonts w:eastAsia="Arial"/>
                <w:lang w:eastAsia="en-AU"/>
              </w:rPr>
              <w:t>AGP</w:t>
            </w:r>
          </w:p>
        </w:tc>
        <w:tc>
          <w:tcPr>
            <w:tcW w:w="5041" w:type="dxa"/>
            <w:tcBorders>
              <w:top w:val="nil"/>
              <w:left w:val="nil"/>
              <w:bottom w:val="nil"/>
              <w:right w:val="nil"/>
            </w:tcBorders>
            <w:hideMark/>
          </w:tcPr>
          <w:p w14:paraId="5FB39BCA" w14:textId="77777777" w:rsidR="00C22094" w:rsidRPr="00C22094" w:rsidRDefault="00C22094" w:rsidP="00C22094">
            <w:p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Amadeus Gas Pipeline</w:t>
            </w:r>
          </w:p>
        </w:tc>
      </w:tr>
      <w:tr w:rsidR="00C22094" w:rsidRPr="00C22094" w14:paraId="0A5F36EC"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453FF630" w14:textId="77777777" w:rsidR="00C22094" w:rsidRPr="00C22094" w:rsidRDefault="00C22094" w:rsidP="00C22094">
            <w:pPr>
              <w:numPr>
                <w:ilvl w:val="0"/>
                <w:numId w:val="49"/>
              </w:numPr>
              <w:rPr>
                <w:rFonts w:eastAsia="Arial"/>
                <w:lang w:eastAsia="en-AU"/>
              </w:rPr>
            </w:pPr>
            <w:r w:rsidRPr="00C22094">
              <w:rPr>
                <w:rFonts w:eastAsia="Arial"/>
                <w:lang w:eastAsia="en-AU"/>
              </w:rPr>
              <w:t>ATO</w:t>
            </w:r>
          </w:p>
        </w:tc>
        <w:tc>
          <w:tcPr>
            <w:tcW w:w="5041" w:type="dxa"/>
            <w:tcBorders>
              <w:top w:val="nil"/>
              <w:left w:val="nil"/>
              <w:bottom w:val="nil"/>
              <w:right w:val="nil"/>
            </w:tcBorders>
            <w:hideMark/>
          </w:tcPr>
          <w:p w14:paraId="41D458CB"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Australian Tax Office</w:t>
            </w:r>
          </w:p>
        </w:tc>
      </w:tr>
      <w:tr w:rsidR="00C22094" w:rsidRPr="00C22094" w14:paraId="1740BD7D"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01CAA0AE" w14:textId="77777777" w:rsidR="00C22094" w:rsidRPr="00C22094" w:rsidRDefault="00C22094" w:rsidP="00C22094">
            <w:pPr>
              <w:numPr>
                <w:ilvl w:val="0"/>
                <w:numId w:val="49"/>
              </w:numPr>
              <w:rPr>
                <w:rFonts w:eastAsia="Arial"/>
                <w:lang w:eastAsia="en-AU"/>
              </w:rPr>
            </w:pPr>
            <w:r w:rsidRPr="00C22094">
              <w:rPr>
                <w:rFonts w:eastAsia="Arial"/>
                <w:lang w:eastAsia="en-AU"/>
              </w:rPr>
              <w:t>capex</w:t>
            </w:r>
          </w:p>
        </w:tc>
        <w:tc>
          <w:tcPr>
            <w:tcW w:w="5041" w:type="dxa"/>
            <w:tcBorders>
              <w:top w:val="nil"/>
              <w:left w:val="nil"/>
              <w:bottom w:val="nil"/>
              <w:right w:val="nil"/>
            </w:tcBorders>
            <w:hideMark/>
          </w:tcPr>
          <w:p w14:paraId="5582D561"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capital expenditure</w:t>
            </w:r>
          </w:p>
        </w:tc>
      </w:tr>
      <w:tr w:rsidR="00C22094" w:rsidRPr="00C22094" w14:paraId="0C521A96"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29B22753" w14:textId="77777777" w:rsidR="00C22094" w:rsidRPr="00C22094" w:rsidRDefault="00C22094" w:rsidP="00C22094">
            <w:pPr>
              <w:numPr>
                <w:ilvl w:val="0"/>
                <w:numId w:val="49"/>
              </w:numPr>
              <w:rPr>
                <w:rFonts w:eastAsia="Arial"/>
                <w:lang w:eastAsia="en-AU"/>
              </w:rPr>
            </w:pPr>
            <w:r w:rsidRPr="00C22094">
              <w:rPr>
                <w:rFonts w:eastAsia="Arial"/>
                <w:lang w:eastAsia="en-AU"/>
              </w:rPr>
              <w:t>CAPM</w:t>
            </w:r>
          </w:p>
        </w:tc>
        <w:tc>
          <w:tcPr>
            <w:tcW w:w="5041" w:type="dxa"/>
            <w:tcBorders>
              <w:top w:val="nil"/>
              <w:left w:val="nil"/>
              <w:bottom w:val="nil"/>
              <w:right w:val="nil"/>
            </w:tcBorders>
            <w:hideMark/>
          </w:tcPr>
          <w:p w14:paraId="329B567F"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capital asset pricing model</w:t>
            </w:r>
          </w:p>
        </w:tc>
      </w:tr>
      <w:tr w:rsidR="00C22094" w:rsidRPr="00C22094" w14:paraId="625A9CE2"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44D294CE" w14:textId="77777777" w:rsidR="00C22094" w:rsidRPr="00C22094" w:rsidRDefault="00C22094" w:rsidP="00C22094">
            <w:pPr>
              <w:numPr>
                <w:ilvl w:val="0"/>
                <w:numId w:val="49"/>
              </w:numPr>
              <w:rPr>
                <w:rFonts w:eastAsia="Arial"/>
                <w:lang w:eastAsia="en-AU"/>
              </w:rPr>
            </w:pPr>
            <w:r w:rsidRPr="00C22094">
              <w:rPr>
                <w:rFonts w:eastAsia="Arial"/>
                <w:lang w:eastAsia="en-AU"/>
              </w:rPr>
              <w:t>CESS</w:t>
            </w:r>
          </w:p>
        </w:tc>
        <w:tc>
          <w:tcPr>
            <w:tcW w:w="5041" w:type="dxa"/>
            <w:tcBorders>
              <w:top w:val="nil"/>
              <w:left w:val="nil"/>
              <w:bottom w:val="nil"/>
              <w:right w:val="nil"/>
            </w:tcBorders>
            <w:hideMark/>
          </w:tcPr>
          <w:p w14:paraId="5DA37209"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Capital Expenditure Sharing Scheme</w:t>
            </w:r>
          </w:p>
        </w:tc>
      </w:tr>
      <w:tr w:rsidR="00C22094" w:rsidRPr="00C22094" w14:paraId="50DF3C8A"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49416D3B" w14:textId="77777777" w:rsidR="00C22094" w:rsidRPr="00C22094" w:rsidRDefault="00C22094" w:rsidP="00C22094">
            <w:pPr>
              <w:numPr>
                <w:ilvl w:val="0"/>
                <w:numId w:val="49"/>
              </w:numPr>
              <w:rPr>
                <w:rFonts w:eastAsia="Arial"/>
                <w:lang w:eastAsia="en-AU"/>
              </w:rPr>
            </w:pPr>
            <w:r w:rsidRPr="00C22094">
              <w:rPr>
                <w:rFonts w:eastAsia="Arial"/>
                <w:lang w:eastAsia="en-AU"/>
              </w:rPr>
              <w:t>CPI</w:t>
            </w:r>
          </w:p>
        </w:tc>
        <w:tc>
          <w:tcPr>
            <w:tcW w:w="5041" w:type="dxa"/>
            <w:tcBorders>
              <w:top w:val="nil"/>
              <w:left w:val="nil"/>
              <w:bottom w:val="nil"/>
              <w:right w:val="nil"/>
            </w:tcBorders>
            <w:hideMark/>
          </w:tcPr>
          <w:p w14:paraId="6E08562F"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consumer price index</w:t>
            </w:r>
          </w:p>
        </w:tc>
      </w:tr>
      <w:tr w:rsidR="00C22094" w:rsidRPr="00C22094" w14:paraId="52E74968"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1F225087" w14:textId="77777777" w:rsidR="00C22094" w:rsidRPr="00C22094" w:rsidRDefault="00C22094" w:rsidP="00C22094">
            <w:pPr>
              <w:numPr>
                <w:ilvl w:val="0"/>
                <w:numId w:val="49"/>
              </w:numPr>
              <w:rPr>
                <w:rFonts w:eastAsia="Arial"/>
                <w:lang w:eastAsia="en-AU"/>
              </w:rPr>
            </w:pPr>
            <w:r w:rsidRPr="00C22094">
              <w:rPr>
                <w:rFonts w:eastAsia="Arial"/>
                <w:lang w:eastAsia="en-AU"/>
              </w:rPr>
              <w:t>DRP</w:t>
            </w:r>
          </w:p>
        </w:tc>
        <w:tc>
          <w:tcPr>
            <w:tcW w:w="5041" w:type="dxa"/>
            <w:tcBorders>
              <w:top w:val="nil"/>
              <w:left w:val="nil"/>
              <w:bottom w:val="nil"/>
              <w:right w:val="nil"/>
            </w:tcBorders>
            <w:hideMark/>
          </w:tcPr>
          <w:p w14:paraId="02780F15"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debt risk premium</w:t>
            </w:r>
          </w:p>
        </w:tc>
      </w:tr>
      <w:tr w:rsidR="00C22094" w:rsidRPr="00C22094" w14:paraId="331F0120"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0DF7FE24" w14:textId="77777777" w:rsidR="00C22094" w:rsidRPr="00C22094" w:rsidRDefault="00C22094" w:rsidP="00C22094">
            <w:pPr>
              <w:numPr>
                <w:ilvl w:val="0"/>
                <w:numId w:val="49"/>
              </w:numPr>
              <w:rPr>
                <w:rFonts w:eastAsia="Arial"/>
                <w:lang w:eastAsia="en-AU"/>
              </w:rPr>
            </w:pPr>
            <w:r w:rsidRPr="00C22094">
              <w:rPr>
                <w:rFonts w:eastAsia="Arial"/>
                <w:lang w:eastAsia="en-AU"/>
              </w:rPr>
              <w:t>EBSS</w:t>
            </w:r>
          </w:p>
        </w:tc>
        <w:tc>
          <w:tcPr>
            <w:tcW w:w="5041" w:type="dxa"/>
            <w:tcBorders>
              <w:top w:val="nil"/>
              <w:left w:val="nil"/>
              <w:bottom w:val="nil"/>
              <w:right w:val="nil"/>
            </w:tcBorders>
            <w:hideMark/>
          </w:tcPr>
          <w:p w14:paraId="7DDD7002"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Efficiency Benefit Sharing Scheme</w:t>
            </w:r>
          </w:p>
        </w:tc>
      </w:tr>
      <w:tr w:rsidR="00C22094" w:rsidRPr="00C22094" w14:paraId="5284117E"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477B00F7" w14:textId="77777777" w:rsidR="00C22094" w:rsidRPr="00C22094" w:rsidRDefault="00C22094" w:rsidP="00C22094">
            <w:pPr>
              <w:numPr>
                <w:ilvl w:val="0"/>
                <w:numId w:val="49"/>
              </w:numPr>
              <w:rPr>
                <w:rFonts w:eastAsia="Arial"/>
                <w:lang w:eastAsia="en-AU"/>
              </w:rPr>
            </w:pPr>
            <w:r w:rsidRPr="00C22094">
              <w:rPr>
                <w:rFonts w:eastAsia="Arial"/>
                <w:lang w:eastAsia="en-AU"/>
              </w:rPr>
              <w:t>ERP</w:t>
            </w:r>
          </w:p>
        </w:tc>
        <w:tc>
          <w:tcPr>
            <w:tcW w:w="5041" w:type="dxa"/>
            <w:tcBorders>
              <w:top w:val="nil"/>
              <w:left w:val="nil"/>
              <w:bottom w:val="nil"/>
              <w:right w:val="nil"/>
            </w:tcBorders>
            <w:hideMark/>
          </w:tcPr>
          <w:p w14:paraId="54E0E37D"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equity risk premium</w:t>
            </w:r>
          </w:p>
        </w:tc>
      </w:tr>
      <w:tr w:rsidR="00C22094" w:rsidRPr="00C22094" w14:paraId="1BF1670C"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2F9FFBDF" w14:textId="77777777" w:rsidR="00C22094" w:rsidRPr="00C22094" w:rsidRDefault="00C22094" w:rsidP="00C22094">
            <w:pPr>
              <w:numPr>
                <w:ilvl w:val="0"/>
                <w:numId w:val="49"/>
              </w:numPr>
              <w:rPr>
                <w:rFonts w:eastAsia="Arial"/>
                <w:lang w:eastAsia="en-AU"/>
              </w:rPr>
            </w:pPr>
            <w:r w:rsidRPr="00C22094">
              <w:rPr>
                <w:rFonts w:eastAsia="Arial"/>
                <w:lang w:eastAsia="en-AU"/>
              </w:rPr>
              <w:t>Expenditure Guideline</w:t>
            </w:r>
          </w:p>
        </w:tc>
        <w:tc>
          <w:tcPr>
            <w:tcW w:w="5041" w:type="dxa"/>
            <w:tcBorders>
              <w:top w:val="nil"/>
              <w:left w:val="nil"/>
              <w:bottom w:val="nil"/>
              <w:right w:val="nil"/>
            </w:tcBorders>
            <w:hideMark/>
          </w:tcPr>
          <w:p w14:paraId="278E5F79"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Expenditure Forecast Assessment Guideline</w:t>
            </w:r>
          </w:p>
        </w:tc>
      </w:tr>
      <w:tr w:rsidR="00C22094" w:rsidRPr="00C22094" w14:paraId="0998C550"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170AF2C8" w14:textId="77777777" w:rsidR="00C22094" w:rsidRPr="00C22094" w:rsidRDefault="00C22094" w:rsidP="00C22094">
            <w:pPr>
              <w:numPr>
                <w:ilvl w:val="0"/>
                <w:numId w:val="49"/>
              </w:numPr>
              <w:rPr>
                <w:rFonts w:eastAsia="Arial"/>
                <w:lang w:eastAsia="en-AU"/>
              </w:rPr>
            </w:pPr>
            <w:r w:rsidRPr="00C22094">
              <w:rPr>
                <w:rFonts w:eastAsia="Arial"/>
                <w:lang w:eastAsia="en-AU"/>
              </w:rPr>
              <w:t>gamma</w:t>
            </w:r>
          </w:p>
        </w:tc>
        <w:tc>
          <w:tcPr>
            <w:tcW w:w="5041" w:type="dxa"/>
            <w:tcBorders>
              <w:top w:val="nil"/>
              <w:left w:val="nil"/>
              <w:bottom w:val="nil"/>
              <w:right w:val="nil"/>
            </w:tcBorders>
            <w:hideMark/>
          </w:tcPr>
          <w:p w14:paraId="1A1097B5" w14:textId="77777777" w:rsidR="00C22094" w:rsidRPr="00C22094" w:rsidRDefault="00C22094" w:rsidP="00C22094">
            <w:p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Value of Imputation Credits</w:t>
            </w:r>
          </w:p>
        </w:tc>
      </w:tr>
      <w:tr w:rsidR="00C22094" w:rsidRPr="00C22094" w14:paraId="24B83935"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44D63746" w14:textId="77777777" w:rsidR="00C22094" w:rsidRPr="00C22094" w:rsidRDefault="00C22094" w:rsidP="00C22094">
            <w:pPr>
              <w:numPr>
                <w:ilvl w:val="0"/>
                <w:numId w:val="49"/>
              </w:numPr>
              <w:rPr>
                <w:rFonts w:eastAsia="Arial"/>
                <w:lang w:eastAsia="en-AU"/>
              </w:rPr>
            </w:pPr>
            <w:r w:rsidRPr="00C22094">
              <w:rPr>
                <w:rFonts w:eastAsia="Arial"/>
                <w:lang w:eastAsia="en-AU"/>
              </w:rPr>
              <w:t>GSL</w:t>
            </w:r>
          </w:p>
        </w:tc>
        <w:tc>
          <w:tcPr>
            <w:tcW w:w="5041" w:type="dxa"/>
            <w:tcBorders>
              <w:top w:val="nil"/>
              <w:left w:val="nil"/>
              <w:bottom w:val="nil"/>
              <w:right w:val="nil"/>
            </w:tcBorders>
            <w:hideMark/>
          </w:tcPr>
          <w:p w14:paraId="69134E85"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Guaranteed Service Level</w:t>
            </w:r>
          </w:p>
        </w:tc>
      </w:tr>
      <w:tr w:rsidR="00C22094" w:rsidRPr="00C22094" w14:paraId="46EA2B94"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4A776784" w14:textId="77777777" w:rsidR="00C22094" w:rsidRPr="00C22094" w:rsidRDefault="00C22094" w:rsidP="00C22094">
            <w:pPr>
              <w:numPr>
                <w:ilvl w:val="0"/>
                <w:numId w:val="49"/>
              </w:numPr>
              <w:rPr>
                <w:rFonts w:eastAsia="Arial"/>
                <w:lang w:eastAsia="en-AU"/>
              </w:rPr>
            </w:pPr>
            <w:r w:rsidRPr="00C22094">
              <w:rPr>
                <w:rFonts w:eastAsia="Arial"/>
                <w:lang w:eastAsia="en-AU"/>
              </w:rPr>
              <w:t>MRP</w:t>
            </w:r>
          </w:p>
        </w:tc>
        <w:tc>
          <w:tcPr>
            <w:tcW w:w="5041" w:type="dxa"/>
            <w:tcBorders>
              <w:top w:val="nil"/>
              <w:left w:val="nil"/>
              <w:bottom w:val="nil"/>
              <w:right w:val="nil"/>
            </w:tcBorders>
            <w:hideMark/>
          </w:tcPr>
          <w:p w14:paraId="61CB14CF"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market risk premium</w:t>
            </w:r>
          </w:p>
        </w:tc>
      </w:tr>
      <w:tr w:rsidR="00C22094" w:rsidRPr="00C22094" w14:paraId="755971E8"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2096B990" w14:textId="77777777" w:rsidR="00C22094" w:rsidRPr="00C22094" w:rsidRDefault="00C22094" w:rsidP="00C22094">
            <w:pPr>
              <w:numPr>
                <w:ilvl w:val="0"/>
                <w:numId w:val="49"/>
              </w:numPr>
              <w:rPr>
                <w:rFonts w:eastAsia="Arial"/>
                <w:lang w:eastAsia="en-AU"/>
              </w:rPr>
            </w:pPr>
            <w:r w:rsidRPr="00C22094">
              <w:rPr>
                <w:rFonts w:eastAsia="Arial"/>
                <w:lang w:eastAsia="en-AU"/>
              </w:rPr>
              <w:t>NEGI</w:t>
            </w:r>
          </w:p>
        </w:tc>
        <w:tc>
          <w:tcPr>
            <w:tcW w:w="5041" w:type="dxa"/>
            <w:tcBorders>
              <w:top w:val="nil"/>
              <w:left w:val="nil"/>
              <w:bottom w:val="nil"/>
              <w:right w:val="nil"/>
            </w:tcBorders>
            <w:hideMark/>
          </w:tcPr>
          <w:p w14:paraId="51599943"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north eastern gas interconnector</w:t>
            </w:r>
          </w:p>
        </w:tc>
      </w:tr>
      <w:tr w:rsidR="00C22094" w:rsidRPr="00C22094" w14:paraId="509B05B3"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0373D7EE" w14:textId="77777777" w:rsidR="00C22094" w:rsidRPr="00C22094" w:rsidRDefault="00C22094" w:rsidP="00C22094">
            <w:pPr>
              <w:numPr>
                <w:ilvl w:val="0"/>
                <w:numId w:val="49"/>
              </w:numPr>
              <w:rPr>
                <w:rFonts w:eastAsia="Arial"/>
                <w:lang w:eastAsia="en-AU"/>
              </w:rPr>
            </w:pPr>
            <w:r w:rsidRPr="00C22094">
              <w:rPr>
                <w:rFonts w:eastAsia="Arial"/>
                <w:lang w:eastAsia="en-AU"/>
              </w:rPr>
              <w:t>NGL</w:t>
            </w:r>
          </w:p>
        </w:tc>
        <w:tc>
          <w:tcPr>
            <w:tcW w:w="5041" w:type="dxa"/>
            <w:tcBorders>
              <w:top w:val="nil"/>
              <w:left w:val="nil"/>
              <w:bottom w:val="nil"/>
              <w:right w:val="nil"/>
            </w:tcBorders>
            <w:hideMark/>
          </w:tcPr>
          <w:p w14:paraId="0E2F88AD"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national gas law</w:t>
            </w:r>
          </w:p>
        </w:tc>
      </w:tr>
      <w:tr w:rsidR="00C22094" w:rsidRPr="00C22094" w14:paraId="54AF4620"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66368E59" w14:textId="77777777" w:rsidR="00C22094" w:rsidRPr="00C22094" w:rsidRDefault="00C22094" w:rsidP="00C22094">
            <w:pPr>
              <w:numPr>
                <w:ilvl w:val="0"/>
                <w:numId w:val="49"/>
              </w:numPr>
              <w:rPr>
                <w:rFonts w:eastAsia="Arial"/>
                <w:lang w:eastAsia="en-AU"/>
              </w:rPr>
            </w:pPr>
            <w:r w:rsidRPr="00C22094">
              <w:rPr>
                <w:rFonts w:eastAsia="Arial"/>
                <w:lang w:eastAsia="en-AU"/>
              </w:rPr>
              <w:t>NGO</w:t>
            </w:r>
          </w:p>
        </w:tc>
        <w:tc>
          <w:tcPr>
            <w:tcW w:w="5041" w:type="dxa"/>
            <w:tcBorders>
              <w:top w:val="nil"/>
              <w:left w:val="nil"/>
              <w:bottom w:val="nil"/>
              <w:right w:val="nil"/>
            </w:tcBorders>
            <w:hideMark/>
          </w:tcPr>
          <w:p w14:paraId="55FFE2DE"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national gas objective</w:t>
            </w:r>
          </w:p>
        </w:tc>
      </w:tr>
      <w:tr w:rsidR="00C22094" w:rsidRPr="00C22094" w14:paraId="250302F2"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63220D8B" w14:textId="77777777" w:rsidR="00C22094" w:rsidRPr="00C22094" w:rsidRDefault="00C22094" w:rsidP="00C22094">
            <w:pPr>
              <w:numPr>
                <w:ilvl w:val="0"/>
                <w:numId w:val="49"/>
              </w:numPr>
              <w:rPr>
                <w:rFonts w:eastAsia="Arial"/>
                <w:lang w:eastAsia="en-AU"/>
              </w:rPr>
            </w:pPr>
            <w:r w:rsidRPr="00C22094">
              <w:rPr>
                <w:rFonts w:eastAsia="Arial"/>
                <w:lang w:eastAsia="en-AU"/>
              </w:rPr>
              <w:t>NGR</w:t>
            </w:r>
          </w:p>
        </w:tc>
        <w:tc>
          <w:tcPr>
            <w:tcW w:w="5041" w:type="dxa"/>
            <w:tcBorders>
              <w:top w:val="nil"/>
              <w:left w:val="nil"/>
              <w:bottom w:val="nil"/>
              <w:right w:val="nil"/>
            </w:tcBorders>
            <w:hideMark/>
          </w:tcPr>
          <w:p w14:paraId="2C6E781F"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national gas rules</w:t>
            </w:r>
          </w:p>
        </w:tc>
      </w:tr>
      <w:tr w:rsidR="00C22094" w:rsidRPr="00C22094" w14:paraId="4486B890"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7F94D4E7" w14:textId="77777777" w:rsidR="00C22094" w:rsidRPr="00C22094" w:rsidRDefault="00C22094" w:rsidP="00C22094">
            <w:pPr>
              <w:numPr>
                <w:ilvl w:val="0"/>
                <w:numId w:val="49"/>
              </w:numPr>
              <w:rPr>
                <w:rFonts w:eastAsia="Arial"/>
                <w:lang w:eastAsia="en-AU"/>
              </w:rPr>
            </w:pPr>
            <w:r w:rsidRPr="00C22094">
              <w:rPr>
                <w:rFonts w:eastAsia="Arial"/>
                <w:lang w:eastAsia="en-AU"/>
              </w:rPr>
              <w:t>NPV</w:t>
            </w:r>
          </w:p>
        </w:tc>
        <w:tc>
          <w:tcPr>
            <w:tcW w:w="5041" w:type="dxa"/>
            <w:tcBorders>
              <w:top w:val="nil"/>
              <w:left w:val="nil"/>
              <w:bottom w:val="nil"/>
              <w:right w:val="nil"/>
            </w:tcBorders>
            <w:hideMark/>
          </w:tcPr>
          <w:p w14:paraId="0BB89DB4"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net present value</w:t>
            </w:r>
          </w:p>
        </w:tc>
      </w:tr>
      <w:tr w:rsidR="00C22094" w:rsidRPr="00C22094" w14:paraId="2F998050"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7F6352A9" w14:textId="77777777" w:rsidR="00C22094" w:rsidRPr="00C22094" w:rsidRDefault="00C22094" w:rsidP="00C22094">
            <w:pPr>
              <w:numPr>
                <w:ilvl w:val="0"/>
                <w:numId w:val="49"/>
              </w:numPr>
              <w:rPr>
                <w:rFonts w:eastAsia="Arial"/>
                <w:lang w:eastAsia="en-AU"/>
              </w:rPr>
            </w:pPr>
            <w:r w:rsidRPr="00C22094">
              <w:rPr>
                <w:rFonts w:eastAsia="Arial"/>
                <w:lang w:eastAsia="en-AU"/>
              </w:rPr>
              <w:t>opex</w:t>
            </w:r>
          </w:p>
        </w:tc>
        <w:tc>
          <w:tcPr>
            <w:tcW w:w="5041" w:type="dxa"/>
            <w:tcBorders>
              <w:top w:val="nil"/>
              <w:left w:val="nil"/>
              <w:bottom w:val="nil"/>
              <w:right w:val="nil"/>
            </w:tcBorders>
            <w:hideMark/>
          </w:tcPr>
          <w:p w14:paraId="2067223F"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operating expenditure</w:t>
            </w:r>
          </w:p>
        </w:tc>
      </w:tr>
      <w:tr w:rsidR="00C22094" w:rsidRPr="00C22094" w14:paraId="074C80B1"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2EDC4419" w14:textId="77777777" w:rsidR="00C22094" w:rsidRPr="00C22094" w:rsidRDefault="00C22094" w:rsidP="00C22094">
            <w:pPr>
              <w:numPr>
                <w:ilvl w:val="0"/>
                <w:numId w:val="49"/>
              </w:numPr>
              <w:rPr>
                <w:rFonts w:eastAsia="Arial"/>
                <w:lang w:eastAsia="en-AU"/>
              </w:rPr>
            </w:pPr>
            <w:r w:rsidRPr="00C22094">
              <w:rPr>
                <w:rFonts w:eastAsia="Arial"/>
                <w:lang w:eastAsia="en-AU"/>
              </w:rPr>
              <w:t>PFP</w:t>
            </w:r>
          </w:p>
        </w:tc>
        <w:tc>
          <w:tcPr>
            <w:tcW w:w="5041" w:type="dxa"/>
            <w:tcBorders>
              <w:top w:val="nil"/>
              <w:left w:val="nil"/>
              <w:bottom w:val="nil"/>
              <w:right w:val="nil"/>
            </w:tcBorders>
            <w:hideMark/>
          </w:tcPr>
          <w:p w14:paraId="532D2E0D"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partial factor productivity</w:t>
            </w:r>
          </w:p>
        </w:tc>
      </w:tr>
      <w:tr w:rsidR="00C22094" w:rsidRPr="00C22094" w14:paraId="4AE87358"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1CF1C338" w14:textId="77777777" w:rsidR="00C22094" w:rsidRPr="00C22094" w:rsidRDefault="00C22094" w:rsidP="00C22094">
            <w:pPr>
              <w:numPr>
                <w:ilvl w:val="0"/>
                <w:numId w:val="49"/>
              </w:numPr>
              <w:rPr>
                <w:rFonts w:eastAsia="Arial"/>
                <w:lang w:eastAsia="en-AU"/>
              </w:rPr>
            </w:pPr>
            <w:r w:rsidRPr="00C22094">
              <w:rPr>
                <w:rFonts w:eastAsia="Arial"/>
                <w:lang w:eastAsia="en-AU"/>
              </w:rPr>
              <w:t>PPI</w:t>
            </w:r>
          </w:p>
        </w:tc>
        <w:tc>
          <w:tcPr>
            <w:tcW w:w="5041" w:type="dxa"/>
            <w:tcBorders>
              <w:top w:val="nil"/>
              <w:left w:val="nil"/>
              <w:bottom w:val="nil"/>
              <w:right w:val="nil"/>
            </w:tcBorders>
            <w:hideMark/>
          </w:tcPr>
          <w:p w14:paraId="01DB08AD"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partial performance indicators</w:t>
            </w:r>
          </w:p>
        </w:tc>
      </w:tr>
      <w:tr w:rsidR="00C22094" w:rsidRPr="00C22094" w14:paraId="1F9C7CBF"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529DCE09" w14:textId="77777777" w:rsidR="00C22094" w:rsidRPr="00C22094" w:rsidRDefault="00C22094" w:rsidP="00C22094">
            <w:pPr>
              <w:numPr>
                <w:ilvl w:val="0"/>
                <w:numId w:val="49"/>
              </w:numPr>
              <w:rPr>
                <w:rFonts w:eastAsia="Arial"/>
                <w:lang w:eastAsia="en-AU"/>
              </w:rPr>
            </w:pPr>
            <w:r w:rsidRPr="00C22094">
              <w:rPr>
                <w:rFonts w:eastAsia="Arial"/>
                <w:lang w:eastAsia="en-AU"/>
              </w:rPr>
              <w:t>PTRM</w:t>
            </w:r>
          </w:p>
        </w:tc>
        <w:tc>
          <w:tcPr>
            <w:tcW w:w="5041" w:type="dxa"/>
            <w:tcBorders>
              <w:top w:val="nil"/>
              <w:left w:val="nil"/>
              <w:bottom w:val="nil"/>
              <w:right w:val="nil"/>
            </w:tcBorders>
            <w:hideMark/>
          </w:tcPr>
          <w:p w14:paraId="0AF622AA"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post-tax revenue model</w:t>
            </w:r>
          </w:p>
        </w:tc>
      </w:tr>
      <w:tr w:rsidR="00C22094" w:rsidRPr="00C22094" w14:paraId="369AE363"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516A6C93" w14:textId="77777777" w:rsidR="00C22094" w:rsidRPr="00C22094" w:rsidRDefault="00C22094" w:rsidP="00C22094">
            <w:pPr>
              <w:numPr>
                <w:ilvl w:val="0"/>
                <w:numId w:val="49"/>
              </w:numPr>
              <w:rPr>
                <w:rFonts w:eastAsia="Arial"/>
                <w:lang w:eastAsia="en-AU"/>
              </w:rPr>
            </w:pPr>
            <w:r w:rsidRPr="00C22094">
              <w:rPr>
                <w:rFonts w:eastAsia="Arial"/>
                <w:lang w:eastAsia="en-AU"/>
              </w:rPr>
              <w:t>RBA</w:t>
            </w:r>
          </w:p>
        </w:tc>
        <w:tc>
          <w:tcPr>
            <w:tcW w:w="5041" w:type="dxa"/>
            <w:tcBorders>
              <w:top w:val="nil"/>
              <w:left w:val="nil"/>
              <w:bottom w:val="nil"/>
              <w:right w:val="nil"/>
            </w:tcBorders>
            <w:hideMark/>
          </w:tcPr>
          <w:p w14:paraId="7AD41E49"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Reserve Bank of Australia</w:t>
            </w:r>
          </w:p>
        </w:tc>
      </w:tr>
      <w:tr w:rsidR="00C22094" w:rsidRPr="00C22094" w14:paraId="32CFE77B"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6F121305" w14:textId="77777777" w:rsidR="00C22094" w:rsidRPr="00C22094" w:rsidRDefault="00C22094" w:rsidP="00C22094">
            <w:pPr>
              <w:numPr>
                <w:ilvl w:val="0"/>
                <w:numId w:val="49"/>
              </w:numPr>
              <w:rPr>
                <w:rFonts w:eastAsia="Arial"/>
                <w:lang w:eastAsia="en-AU"/>
              </w:rPr>
            </w:pPr>
            <w:r w:rsidRPr="00C22094">
              <w:rPr>
                <w:rFonts w:eastAsia="Arial"/>
                <w:lang w:eastAsia="en-AU"/>
              </w:rPr>
              <w:t>RFM</w:t>
            </w:r>
          </w:p>
        </w:tc>
        <w:tc>
          <w:tcPr>
            <w:tcW w:w="5041" w:type="dxa"/>
            <w:tcBorders>
              <w:top w:val="nil"/>
              <w:left w:val="nil"/>
              <w:bottom w:val="nil"/>
              <w:right w:val="nil"/>
            </w:tcBorders>
            <w:hideMark/>
          </w:tcPr>
          <w:p w14:paraId="2370A0A7"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roll forward model</w:t>
            </w:r>
          </w:p>
        </w:tc>
      </w:tr>
      <w:tr w:rsidR="00C22094" w:rsidRPr="00C22094" w14:paraId="0A382A7E"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6CF03817" w14:textId="77777777" w:rsidR="00C22094" w:rsidRPr="00C22094" w:rsidRDefault="00C22094" w:rsidP="00C22094">
            <w:pPr>
              <w:numPr>
                <w:ilvl w:val="0"/>
                <w:numId w:val="49"/>
              </w:numPr>
              <w:rPr>
                <w:rFonts w:eastAsia="Arial"/>
                <w:lang w:eastAsia="en-AU"/>
              </w:rPr>
            </w:pPr>
            <w:r w:rsidRPr="00C22094">
              <w:rPr>
                <w:rFonts w:eastAsia="Arial"/>
                <w:lang w:eastAsia="en-AU"/>
              </w:rPr>
              <w:t>RIN</w:t>
            </w:r>
          </w:p>
        </w:tc>
        <w:tc>
          <w:tcPr>
            <w:tcW w:w="5041" w:type="dxa"/>
            <w:tcBorders>
              <w:top w:val="nil"/>
              <w:left w:val="nil"/>
              <w:bottom w:val="nil"/>
              <w:right w:val="nil"/>
            </w:tcBorders>
            <w:hideMark/>
          </w:tcPr>
          <w:p w14:paraId="56A4C576"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regulatory information notice</w:t>
            </w:r>
          </w:p>
        </w:tc>
      </w:tr>
      <w:tr w:rsidR="00C22094" w:rsidRPr="00C22094" w14:paraId="6C50518D"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27C2E975" w14:textId="77777777" w:rsidR="00C22094" w:rsidRPr="00C22094" w:rsidRDefault="00C22094" w:rsidP="00C22094">
            <w:pPr>
              <w:numPr>
                <w:ilvl w:val="0"/>
                <w:numId w:val="49"/>
              </w:numPr>
              <w:rPr>
                <w:rFonts w:eastAsia="Arial"/>
                <w:lang w:eastAsia="en-AU"/>
              </w:rPr>
            </w:pPr>
            <w:r w:rsidRPr="00C22094">
              <w:rPr>
                <w:rFonts w:eastAsia="Arial"/>
                <w:lang w:eastAsia="en-AU"/>
              </w:rPr>
              <w:t>RPP</w:t>
            </w:r>
          </w:p>
        </w:tc>
        <w:tc>
          <w:tcPr>
            <w:tcW w:w="5041" w:type="dxa"/>
            <w:tcBorders>
              <w:top w:val="nil"/>
              <w:left w:val="nil"/>
              <w:bottom w:val="nil"/>
              <w:right w:val="nil"/>
            </w:tcBorders>
            <w:hideMark/>
          </w:tcPr>
          <w:p w14:paraId="7B83047E"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revenue and pricing principles</w:t>
            </w:r>
          </w:p>
        </w:tc>
      </w:tr>
      <w:tr w:rsidR="00C22094" w:rsidRPr="00C22094" w14:paraId="09649D65"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6055911F" w14:textId="77777777" w:rsidR="00C22094" w:rsidRPr="00C22094" w:rsidRDefault="00C22094" w:rsidP="00C22094">
            <w:pPr>
              <w:numPr>
                <w:ilvl w:val="0"/>
                <w:numId w:val="49"/>
              </w:numPr>
              <w:rPr>
                <w:rFonts w:eastAsia="Arial"/>
                <w:lang w:eastAsia="en-AU"/>
              </w:rPr>
            </w:pPr>
            <w:r w:rsidRPr="00C22094">
              <w:rPr>
                <w:rFonts w:eastAsia="Arial"/>
                <w:lang w:eastAsia="en-AU"/>
              </w:rPr>
              <w:t>SLCAPM</w:t>
            </w:r>
          </w:p>
        </w:tc>
        <w:tc>
          <w:tcPr>
            <w:tcW w:w="5041" w:type="dxa"/>
            <w:tcBorders>
              <w:top w:val="nil"/>
              <w:left w:val="nil"/>
              <w:bottom w:val="nil"/>
              <w:right w:val="nil"/>
            </w:tcBorders>
            <w:hideMark/>
          </w:tcPr>
          <w:p w14:paraId="4DAD38B0" w14:textId="77777777" w:rsidR="00C22094" w:rsidRPr="00C22094" w:rsidRDefault="00C22094" w:rsidP="00C22094">
            <w:pPr>
              <w:numPr>
                <w:ilvl w:val="0"/>
                <w:numId w:val="49"/>
              </w:num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Sharpe-Lintner capital asset pricing model</w:t>
            </w:r>
          </w:p>
        </w:tc>
      </w:tr>
      <w:tr w:rsidR="00C22094" w:rsidRPr="00C22094" w14:paraId="11411BEB"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73F6DCEB" w14:textId="77777777" w:rsidR="00C22094" w:rsidRPr="00C22094" w:rsidRDefault="00C22094" w:rsidP="00C22094">
            <w:pPr>
              <w:numPr>
                <w:ilvl w:val="0"/>
                <w:numId w:val="49"/>
              </w:numPr>
              <w:rPr>
                <w:rFonts w:eastAsia="Arial"/>
                <w:lang w:eastAsia="en-AU"/>
              </w:rPr>
            </w:pPr>
            <w:r w:rsidRPr="00C22094">
              <w:rPr>
                <w:rFonts w:eastAsia="Arial"/>
                <w:lang w:eastAsia="en-AU"/>
              </w:rPr>
              <w:t>TAB</w:t>
            </w:r>
          </w:p>
        </w:tc>
        <w:tc>
          <w:tcPr>
            <w:tcW w:w="5041" w:type="dxa"/>
            <w:tcBorders>
              <w:top w:val="nil"/>
              <w:left w:val="nil"/>
              <w:bottom w:val="nil"/>
              <w:right w:val="nil"/>
            </w:tcBorders>
            <w:hideMark/>
          </w:tcPr>
          <w:p w14:paraId="60860A2C" w14:textId="77777777" w:rsidR="00C22094" w:rsidRPr="00C22094" w:rsidRDefault="00C22094" w:rsidP="00C22094">
            <w:p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Tax asset base</w:t>
            </w:r>
          </w:p>
        </w:tc>
      </w:tr>
      <w:tr w:rsidR="00C22094" w:rsidRPr="00C22094" w14:paraId="230A4C9F"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09D8C95C" w14:textId="77777777" w:rsidR="00C22094" w:rsidRPr="00C22094" w:rsidRDefault="00C22094" w:rsidP="00C22094">
            <w:pPr>
              <w:numPr>
                <w:ilvl w:val="0"/>
                <w:numId w:val="49"/>
              </w:numPr>
              <w:rPr>
                <w:rFonts w:eastAsia="Arial"/>
                <w:lang w:eastAsia="en-AU"/>
              </w:rPr>
            </w:pPr>
            <w:r w:rsidRPr="00C22094">
              <w:rPr>
                <w:rFonts w:eastAsia="Arial"/>
                <w:lang w:eastAsia="en-AU"/>
              </w:rPr>
              <w:t>UAFG</w:t>
            </w:r>
          </w:p>
        </w:tc>
        <w:tc>
          <w:tcPr>
            <w:tcW w:w="5041" w:type="dxa"/>
            <w:tcBorders>
              <w:top w:val="nil"/>
              <w:left w:val="nil"/>
              <w:bottom w:val="nil"/>
              <w:right w:val="nil"/>
            </w:tcBorders>
            <w:hideMark/>
          </w:tcPr>
          <w:p w14:paraId="5CB190BB" w14:textId="77777777" w:rsidR="00C22094" w:rsidRPr="00C22094" w:rsidRDefault="00C22094" w:rsidP="00C22094">
            <w:p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Unaccounted for gas</w:t>
            </w:r>
          </w:p>
        </w:tc>
      </w:tr>
      <w:tr w:rsidR="00C22094" w:rsidRPr="00C22094" w14:paraId="18A97889" w14:textId="77777777" w:rsidTr="00C22094">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hideMark/>
          </w:tcPr>
          <w:p w14:paraId="5D2A3ECF" w14:textId="77777777" w:rsidR="00C22094" w:rsidRPr="00C22094" w:rsidRDefault="00C22094" w:rsidP="00C22094">
            <w:pPr>
              <w:numPr>
                <w:ilvl w:val="0"/>
                <w:numId w:val="49"/>
              </w:numPr>
              <w:rPr>
                <w:rFonts w:eastAsia="Arial"/>
                <w:lang w:eastAsia="en-AU"/>
              </w:rPr>
            </w:pPr>
            <w:r w:rsidRPr="00C22094">
              <w:rPr>
                <w:rFonts w:eastAsia="Arial"/>
                <w:lang w:eastAsia="en-AU"/>
              </w:rPr>
              <w:t>WACC</w:t>
            </w:r>
          </w:p>
        </w:tc>
        <w:tc>
          <w:tcPr>
            <w:tcW w:w="5041" w:type="dxa"/>
            <w:tcBorders>
              <w:top w:val="nil"/>
              <w:left w:val="nil"/>
              <w:bottom w:val="nil"/>
              <w:right w:val="nil"/>
            </w:tcBorders>
            <w:hideMark/>
          </w:tcPr>
          <w:p w14:paraId="38B87D3E" w14:textId="77777777" w:rsidR="00C22094" w:rsidRPr="00C22094" w:rsidRDefault="00C22094" w:rsidP="00C22094">
            <w:pPr>
              <w:numPr>
                <w:ilvl w:val="0"/>
                <w:numId w:val="49"/>
              </w:numPr>
              <w:cnfStyle w:val="000000000000" w:firstRow="0" w:lastRow="0" w:firstColumn="0" w:lastColumn="0" w:oddVBand="0" w:evenVBand="0" w:oddHBand="0" w:evenHBand="0" w:firstRowFirstColumn="0" w:firstRowLastColumn="0" w:lastRowFirstColumn="0" w:lastRowLastColumn="0"/>
              <w:rPr>
                <w:rFonts w:eastAsia="Arial"/>
                <w:lang w:eastAsia="en-AU"/>
              </w:rPr>
            </w:pPr>
            <w:r w:rsidRPr="00C22094">
              <w:rPr>
                <w:rFonts w:eastAsia="Arial"/>
                <w:lang w:eastAsia="en-AU"/>
              </w:rPr>
              <w:t>weighted average cost of capital</w:t>
            </w:r>
          </w:p>
        </w:tc>
      </w:tr>
      <w:tr w:rsidR="00C22094" w:rsidRPr="00C22094" w14:paraId="12B58E0D" w14:textId="77777777" w:rsidTr="00C22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365F91"/>
              <w:right w:val="nil"/>
            </w:tcBorders>
            <w:hideMark/>
          </w:tcPr>
          <w:p w14:paraId="3881DE69" w14:textId="77777777" w:rsidR="00C22094" w:rsidRPr="00C22094" w:rsidRDefault="00C22094" w:rsidP="00C22094">
            <w:pPr>
              <w:numPr>
                <w:ilvl w:val="0"/>
                <w:numId w:val="49"/>
              </w:numPr>
              <w:rPr>
                <w:rFonts w:eastAsia="Arial"/>
                <w:lang w:eastAsia="en-AU"/>
              </w:rPr>
            </w:pPr>
            <w:r w:rsidRPr="00C22094">
              <w:rPr>
                <w:rFonts w:eastAsia="Arial"/>
                <w:lang w:eastAsia="en-AU"/>
              </w:rPr>
              <w:t>WPI</w:t>
            </w:r>
          </w:p>
        </w:tc>
        <w:tc>
          <w:tcPr>
            <w:tcW w:w="5041" w:type="dxa"/>
            <w:tcBorders>
              <w:top w:val="nil"/>
              <w:left w:val="nil"/>
              <w:bottom w:val="single" w:sz="4" w:space="0" w:color="365F91"/>
              <w:right w:val="nil"/>
            </w:tcBorders>
            <w:hideMark/>
          </w:tcPr>
          <w:p w14:paraId="693E3649" w14:textId="77777777" w:rsidR="00C22094" w:rsidRPr="00C22094" w:rsidRDefault="00C22094" w:rsidP="00C22094">
            <w:pPr>
              <w:cnfStyle w:val="000000010000" w:firstRow="0" w:lastRow="0" w:firstColumn="0" w:lastColumn="0" w:oddVBand="0" w:evenVBand="0" w:oddHBand="0" w:evenHBand="1" w:firstRowFirstColumn="0" w:firstRowLastColumn="0" w:lastRowFirstColumn="0" w:lastRowLastColumn="0"/>
              <w:rPr>
                <w:rFonts w:eastAsia="Arial"/>
                <w:lang w:eastAsia="en-AU"/>
              </w:rPr>
            </w:pPr>
            <w:r w:rsidRPr="00C22094">
              <w:rPr>
                <w:rFonts w:eastAsia="Arial"/>
                <w:lang w:eastAsia="en-AU"/>
              </w:rPr>
              <w:t>Wage Price Index</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2" w:name="_Toc436038924"/>
      <w:r>
        <w:t>Value of imputation credits</w:t>
      </w:r>
      <w:bookmarkEnd w:id="12"/>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The NER/NGR recognise</w:t>
      </w:r>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3964B360" w:rsidR="00E356F9" w:rsidRDefault="00E356F9" w:rsidP="00E356F9">
      <w:pPr>
        <w:numPr>
          <w:ilvl w:val="0"/>
          <w:numId w:val="25"/>
        </w:numPr>
      </w:pPr>
      <w:r>
        <w:t xml:space="preserve">In this attachment, we set out our </w:t>
      </w:r>
      <w:r w:rsidR="001A451B">
        <w:t xml:space="preserve">draft </w:t>
      </w:r>
      <w:r>
        <w:t xml:space="preserve">decision on the value of imputation credits and our key reasons for this </w:t>
      </w:r>
      <w:r w:rsidR="007661C9">
        <w:t>decision</w:t>
      </w:r>
      <w:r>
        <w:t xml:space="preserve">. We also consider </w:t>
      </w:r>
      <w:r w:rsidR="00382A92">
        <w:t>APTNT</w:t>
      </w:r>
      <w:r w:rsidR="00C50844">
        <w:t xml:space="preserve">’s </w:t>
      </w:r>
      <w:r>
        <w:t xml:space="preserve">proposed value of imputation credits and the key reasons for its proposal. In appendix A, we include further supporting detail on our position on the value of imputation credits and also respond to </w:t>
      </w:r>
      <w:r w:rsidR="00382A92">
        <w:t>APTNT’s</w:t>
      </w:r>
      <w:r w:rsidR="001A451B" w:rsidDel="001A451B">
        <w:t xml:space="preserve"> </w:t>
      </w:r>
      <w:r>
        <w:t xml:space="preserve">proposal in more detail. </w:t>
      </w:r>
    </w:p>
    <w:p w14:paraId="69F7E4E0" w14:textId="6A669711" w:rsidR="00DE563D" w:rsidRPr="001754EE" w:rsidRDefault="001A451B" w:rsidP="001754EE">
      <w:pPr>
        <w:pStyle w:val="Heading2"/>
      </w:pPr>
      <w:bookmarkStart w:id="13" w:name="_Toc403144136"/>
      <w:bookmarkStart w:id="14" w:name="_Toc436038925"/>
      <w:r>
        <w:t>Draft</w:t>
      </w:r>
      <w:r w:rsidR="00DE563D" w:rsidRPr="001754EE">
        <w:t xml:space="preserve"> decision</w:t>
      </w:r>
      <w:bookmarkEnd w:id="13"/>
      <w:bookmarkEnd w:id="14"/>
    </w:p>
    <w:p w14:paraId="66144C66" w14:textId="5AF8E6FC" w:rsidR="002C233C" w:rsidRDefault="00AA4E4D" w:rsidP="002C233C">
      <w:pPr>
        <w:numPr>
          <w:ilvl w:val="0"/>
          <w:numId w:val="25"/>
        </w:numPr>
      </w:pPr>
      <w:bookmarkStart w:id="15" w:name="_Toc403144137"/>
      <w:r>
        <w:t>We do not acce</w:t>
      </w:r>
      <w:r w:rsidR="00841282">
        <w:t xml:space="preserve">pt </w:t>
      </w:r>
      <w:r w:rsidR="00382A92">
        <w:t>APTNT’s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r>
        <w:t>t</w:t>
      </w:r>
      <w:r w:rsidRPr="006F0FAC">
        <w:t>he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7F0B222E" w:rsidR="00DE563D" w:rsidRPr="001754EE" w:rsidRDefault="00382A92" w:rsidP="001754EE">
      <w:pPr>
        <w:pStyle w:val="Heading2"/>
      </w:pPr>
      <w:bookmarkStart w:id="16" w:name="_Ref414621796"/>
      <w:bookmarkStart w:id="17" w:name="_Toc436038926"/>
      <w:r>
        <w:t>APTNT’s</w:t>
      </w:r>
      <w:r w:rsidR="00345BDA">
        <w:t xml:space="preserve"> </w:t>
      </w:r>
      <w:r w:rsidR="00DE563D" w:rsidRPr="001754EE">
        <w:t>proposal</w:t>
      </w:r>
      <w:bookmarkEnd w:id="15"/>
      <w:bookmarkEnd w:id="16"/>
      <w:bookmarkEnd w:id="17"/>
    </w:p>
    <w:p w14:paraId="191CCA4E" w14:textId="74FB8BD7" w:rsidR="006F0FAC" w:rsidRDefault="002A7CBE" w:rsidP="00D14DE4">
      <w:pPr>
        <w:numPr>
          <w:ilvl w:val="0"/>
          <w:numId w:val="25"/>
        </w:numPr>
      </w:pPr>
      <w:r w:rsidRPr="002A7CBE">
        <w:t xml:space="preserve">In its regulatory proposal, </w:t>
      </w:r>
      <w:r w:rsidR="00382A92">
        <w:t>APTNT</w:t>
      </w:r>
      <w:r w:rsidRPr="002A7CBE">
        <w:t xml:space="preserve"> did not adopt our Guideline based approach to estimating gamma as reflected in our decisions released in November 2014.</w:t>
      </w:r>
      <w:r>
        <w:rPr>
          <w:rStyle w:val="FootnoteReference"/>
        </w:rPr>
        <w:footnoteReference w:id="8"/>
      </w:r>
      <w:r w:rsidRPr="002A7CBE">
        <w:t xml:space="preserve"> This approach that we maintained in the decisions we released in April</w:t>
      </w:r>
      <w:r w:rsidR="001A451B">
        <w:t>,</w:t>
      </w:r>
      <w:r w:rsidRPr="002A7CBE">
        <w:t xml:space="preserve"> June </w:t>
      </w:r>
      <w:r w:rsidR="001A451B">
        <w:t xml:space="preserve">and October </w:t>
      </w:r>
      <w:r w:rsidRPr="002A7CBE">
        <w:t xml:space="preserve">2015, broadly maintained the approach we set out in the Guideline, although a re-examination of the evidence resulted in us choosing a value for imputation credits of 0.4. In </w:t>
      </w:r>
      <w:r w:rsidR="00F8046B" w:rsidRPr="002A7CBE">
        <w:t>its</w:t>
      </w:r>
      <w:r w:rsidRPr="002A7CBE">
        <w:t xml:space="preserve"> regulatory proposal </w:t>
      </w:r>
      <w:r w:rsidR="00382A92">
        <w:t>APTNT</w:t>
      </w:r>
      <w:r w:rsidRPr="002A7CBE">
        <w:t xml:space="preserve"> proposed</w:t>
      </w:r>
      <w:r>
        <w:t xml:space="preserve"> </w:t>
      </w:r>
      <w:r w:rsidR="006F0FAC">
        <w:t>a value of imputation credits of 0.25, calculated as the product of a distribution rate of 0.7 and a utilisation rate of 0.35. Its proposed distribution rate of 0.7 was consistent with</w:t>
      </w:r>
      <w:r w:rsidR="008E3B4F">
        <w:t xml:space="preserve"> the value in the Guideline and</w:t>
      </w:r>
      <w:r w:rsidR="006F0FAC">
        <w:t xml:space="preserve"> </w:t>
      </w:r>
      <w:r w:rsidR="00A35A6E">
        <w:t>our value in the decision</w:t>
      </w:r>
      <w:r w:rsidR="0086667F">
        <w:t>s</w:t>
      </w:r>
      <w:r w:rsidR="00A35A6E">
        <w:t xml:space="preserve"> </w:t>
      </w:r>
      <w:r w:rsidR="0086667F">
        <w:t>released in November 2014 and April</w:t>
      </w:r>
      <w:r w:rsidR="00BE2FAB">
        <w:t>,</w:t>
      </w:r>
      <w:r w:rsidR="0086667F">
        <w:t xml:space="preserve"> June </w:t>
      </w:r>
      <w:r w:rsidR="00BE2FAB">
        <w:t xml:space="preserve">and October </w:t>
      </w:r>
      <w:r w:rsidR="0086667F">
        <w:t xml:space="preserve">2015 </w:t>
      </w:r>
      <w:r w:rsidR="00A35A6E">
        <w:t xml:space="preserve">when estimated over all companies. However, in </w:t>
      </w:r>
      <w:r w:rsidR="0086667F">
        <w:t xml:space="preserve">our </w:t>
      </w:r>
      <w:r w:rsidR="00A35A6E">
        <w:t>decision</w:t>
      </w:r>
      <w:r w:rsidR="0086667F">
        <w:t>s</w:t>
      </w:r>
      <w:r w:rsidR="00A35A6E">
        <w:t xml:space="preserve"> </w:t>
      </w:r>
      <w:r w:rsidR="0086667F">
        <w:t>released in November 2014 and April</w:t>
      </w:r>
      <w:r w:rsidR="00BE2FAB">
        <w:t>,</w:t>
      </w:r>
      <w:r w:rsidR="0086667F">
        <w:t xml:space="preserve"> June </w:t>
      </w:r>
      <w:r w:rsidR="00BE2FAB">
        <w:t xml:space="preserve">and October </w:t>
      </w:r>
      <w:r w:rsidR="0086667F">
        <w:t xml:space="preserve">2015 </w:t>
      </w:r>
      <w:r w:rsidR="00A35A6E">
        <w:t>we also relied in part on a distribution rate estimated over just public companies</w:t>
      </w:r>
      <w:r w:rsidR="00254F30">
        <w:t>,</w:t>
      </w:r>
      <w:r w:rsidR="00DE0079">
        <w:t xml:space="preserve"> of 0.8</w:t>
      </w:r>
      <w:r w:rsidR="0086667F">
        <w:t xml:space="preserve"> </w:t>
      </w:r>
      <w:r w:rsidR="00BE2FAB">
        <w:t xml:space="preserve">or 0.77 </w:t>
      </w:r>
      <w:r w:rsidR="0086667F">
        <w:t>(0.77 for the decision</w:t>
      </w:r>
      <w:r w:rsidR="00BE2FAB">
        <w:t>s</w:t>
      </w:r>
      <w:r w:rsidR="0086667F">
        <w:t xml:space="preserve"> released in June </w:t>
      </w:r>
      <w:r w:rsidR="00BE2FAB">
        <w:t>and October 2015</w:t>
      </w:r>
      <w:r w:rsidR="0086667F">
        <w:t>)</w:t>
      </w:r>
      <w:r w:rsidR="00A35A6E">
        <w:t>.</w:t>
      </w:r>
      <w:r w:rsidR="006F0FAC">
        <w:t xml:space="preserve"> </w:t>
      </w:r>
      <w:r w:rsidR="00382A92">
        <w:t xml:space="preserve">APTNT’s </w:t>
      </w:r>
      <w:r w:rsidR="006F0FAC">
        <w:t>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w:t>
      </w:r>
      <w:r w:rsidR="007B3B35">
        <w:t xml:space="preserve">making our </w:t>
      </w:r>
      <w:r w:rsidR="009E2B76">
        <w:t>decision</w:t>
      </w:r>
      <w:r w:rsidR="007B3B35">
        <w:t>s released in November 2014 and in April</w:t>
      </w:r>
      <w:r w:rsidR="00BE2FAB">
        <w:t>,</w:t>
      </w:r>
      <w:r w:rsidR="007B3B35">
        <w:t xml:space="preserve"> June </w:t>
      </w:r>
      <w:r w:rsidR="00BE2FAB">
        <w:t xml:space="preserve">and October </w:t>
      </w:r>
      <w:r w:rsidR="007B3B35">
        <w:t>2015</w:t>
      </w:r>
      <w:r w:rsidR="006F0FAC">
        <w:t xml:space="preserve">. </w:t>
      </w:r>
      <w:r w:rsidR="00382A92">
        <w:t>APTNT</w:t>
      </w:r>
      <w:r w:rsidR="00A64F19">
        <w:t xml:space="preserve">’s </w:t>
      </w:r>
      <w:r w:rsidR="005666AD">
        <w:t>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9"/>
      </w:r>
      <w:r w:rsidR="002939DB">
        <w:t xml:space="preserve"> This estimate is from a 'dividend drop off' study by SFG Consulting and co-authored by Professor Gray.</w:t>
      </w:r>
      <w:r w:rsidR="002939DB">
        <w:rPr>
          <w:rStyle w:val="FootnoteReference"/>
        </w:rPr>
        <w:footnoteReference w:id="10"/>
      </w:r>
    </w:p>
    <w:p w14:paraId="0089D819" w14:textId="6E4BAA9C" w:rsidR="005E50C1" w:rsidRDefault="00A64F19" w:rsidP="006F0FAC">
      <w:r>
        <w:t>APTNT</w:t>
      </w:r>
      <w:r w:rsidDel="00A64F19">
        <w:t xml:space="preserve"> </w:t>
      </w:r>
      <w:r>
        <w:t xml:space="preserve">‘s </w:t>
      </w:r>
      <w:r w:rsidR="006F0FAC">
        <w:t xml:space="preserve">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1123B0">
        <w:t xml:space="preserve"> </w:t>
      </w:r>
      <w:r w:rsidR="00332C7E" w:rsidRPr="00332C7E">
        <w:t xml:space="preserve">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t xml:space="preserve"> (APTNT)</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1"/>
      </w:r>
    </w:p>
    <w:p w14:paraId="2C66528A" w14:textId="4573F7AE"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2C3682">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2"/>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3"/>
      </w:r>
      <w:r w:rsidR="00207E2C">
        <w:t xml:space="preserve"> </w:t>
      </w:r>
      <w:r w:rsidR="0037770A">
        <w:t xml:space="preserve">The </w:t>
      </w:r>
      <w:r w:rsidR="00C9636D">
        <w:t>key</w:t>
      </w:r>
      <w:r w:rsidR="0037770A">
        <w:t xml:space="preserve"> difference </w:t>
      </w:r>
      <w:r w:rsidR="00EF4770">
        <w:t>between</w:t>
      </w:r>
      <w:r w:rsidR="0037770A">
        <w:t xml:space="preserve"> this </w:t>
      </w:r>
      <w:r w:rsidR="00BE2FAB">
        <w:t>draft</w:t>
      </w:r>
      <w:r w:rsidR="0037770A">
        <w:t xml:space="preserve"> decision and the JGN final decision is we have had regard to </w:t>
      </w:r>
      <w:r w:rsidR="002E1251">
        <w:t>several</w:t>
      </w:r>
      <w:r w:rsidR="00A51C21">
        <w:t xml:space="preserve"> </w:t>
      </w:r>
      <w:r w:rsidR="0037770A">
        <w:t>new expert reports</w:t>
      </w:r>
      <w:r w:rsidR="00C87763">
        <w:t xml:space="preserve"> from </w:t>
      </w:r>
      <w:r w:rsidR="00F8046B">
        <w:t>NERA and</w:t>
      </w:r>
      <w:r w:rsidR="00C87763">
        <w:t xml:space="preserve"> Frontier</w:t>
      </w:r>
      <w:r w:rsidR="00E50C64">
        <w:t>.</w:t>
      </w:r>
      <w:r w:rsidR="00E50C64" w:rsidRPr="00E50C64">
        <w:rPr>
          <w:rStyle w:val="FootnoteReference"/>
        </w:rPr>
        <w:t xml:space="preserve"> </w:t>
      </w:r>
      <w:r w:rsidR="00E50C64">
        <w:rPr>
          <w:rStyle w:val="FootnoteReference"/>
        </w:rPr>
        <w:footnoteReference w:id="14"/>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5"/>
      </w:r>
      <w:r w:rsidR="0082105A">
        <w:t xml:space="preserve"> </w:t>
      </w:r>
    </w:p>
    <w:p w14:paraId="3A585A83" w14:textId="1199C72C" w:rsidR="002C233C" w:rsidRDefault="00843AA2" w:rsidP="005E50C1">
      <w:r>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8" w:name="_Toc403144138"/>
      <w:bookmarkStart w:id="19" w:name="_Toc436038927"/>
      <w:r w:rsidRPr="001754EE">
        <w:t>AER’s</w:t>
      </w:r>
      <w:r>
        <w:t xml:space="preserve"> assessment approach</w:t>
      </w:r>
      <w:bookmarkEnd w:id="18"/>
      <w:bookmarkEnd w:id="19"/>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r>
        <w:t>our approach to determining the value of imputation credits.</w:t>
      </w:r>
    </w:p>
    <w:p w14:paraId="7D089634" w14:textId="77777777" w:rsidR="00A90D90" w:rsidRPr="00A90D90" w:rsidRDefault="00A90D90" w:rsidP="00A90D90">
      <w:pPr>
        <w:pStyle w:val="Heading3"/>
      </w:pPr>
      <w:bookmarkStart w:id="20" w:name="_Ref400272912"/>
      <w:bookmarkStart w:id="21" w:name="_Ref416802130"/>
      <w:bookmarkStart w:id="22" w:name="_Ref416802459"/>
      <w:r w:rsidRPr="00EA24D2">
        <w:t>Requirements</w:t>
      </w:r>
      <w:r w:rsidRPr="00A90D90">
        <w:t xml:space="preserve"> of the </w:t>
      </w:r>
      <w:bookmarkEnd w:id="20"/>
      <w:r w:rsidR="005D59BA">
        <w:t>NEL/NGL and NER/NGR</w:t>
      </w:r>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6"/>
      </w:r>
    </w:p>
    <w:p w14:paraId="7355F9CF" w14:textId="77777777" w:rsidR="00A90D90" w:rsidRPr="00EA5C1A" w:rsidRDefault="00415E71"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415E71"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415E71"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is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is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7"/>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8"/>
      </w:r>
      <w:r w:rsidR="008C1870">
        <w:t xml:space="preserve"> This is because:</w:t>
      </w:r>
    </w:p>
    <w:p w14:paraId="5BE85F6D" w14:textId="77777777" w:rsidR="008C1870" w:rsidRPr="00A3557D" w:rsidRDefault="008C1870" w:rsidP="008C1870">
      <w:pPr>
        <w:pStyle w:val="AERbulletlistfirststyle"/>
      </w:pPr>
      <w:r>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19"/>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0"/>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r w:rsidR="00CB622C">
        <w:rPr>
          <w:rStyle w:val="FootnoteReference"/>
        </w:rPr>
        <w:footnoteReference w:id="21"/>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r w:rsidR="00713D13">
        <w:t>'.</w:t>
      </w:r>
      <w:r w:rsidR="00CB622C">
        <w:rPr>
          <w:rStyle w:val="FootnoteReference"/>
        </w:rPr>
        <w:footnoteReference w:id="22"/>
      </w:r>
      <w:r w:rsidR="00713D13">
        <w:t xml:space="preserve"> </w:t>
      </w:r>
    </w:p>
    <w:p w14:paraId="37632B70" w14:textId="77777777" w:rsidR="008A4877" w:rsidRDefault="00BB0325" w:rsidP="007C38AD">
      <w:r>
        <w:t>T</w:t>
      </w:r>
      <w:r w:rsidR="008C1870">
        <w:t xml:space="preserve">he NER/NGR require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3"/>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4"/>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1E2164">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5"/>
      </w:r>
      <w:r w:rsidR="000E0997">
        <w:t xml:space="preserve"> That is, 'the per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6"/>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is likely to contribute to the achievement of the </w:t>
      </w:r>
      <w:r w:rsidR="005D59BA">
        <w:t>NEO/NGO</w:t>
      </w:r>
      <w:r w:rsidR="00A90D90">
        <w:t>.</w:t>
      </w:r>
      <w:r w:rsidR="00A90D90">
        <w:rPr>
          <w:rStyle w:val="FootnoteReference"/>
        </w:rPr>
        <w:footnoteReference w:id="27"/>
      </w:r>
      <w:r w:rsidR="00A90D90">
        <w:t xml:space="preserve"> Further, when exercising a discretion in making the relevant parts of a decision, we must take into account the </w:t>
      </w:r>
      <w:r w:rsidR="00566FF4">
        <w:t>RPP</w:t>
      </w:r>
      <w:r w:rsidR="00A90D90">
        <w:t>.</w:t>
      </w:r>
      <w:r w:rsidR="00A90D90">
        <w:rPr>
          <w:rStyle w:val="FootnoteReference"/>
        </w:rPr>
        <w:footnoteReference w:id="28"/>
      </w:r>
      <w:r w:rsidR="00A90D90">
        <w:t xml:space="preserve"> The </w:t>
      </w:r>
      <w:r w:rsidR="00566FF4">
        <w:t>RPP</w:t>
      </w:r>
      <w:r w:rsidR="00A90D90">
        <w:t xml:space="preserve"> provide, amongst other things, that</w:t>
      </w:r>
      <w:r w:rsidR="00112FED">
        <w:t>:</w:t>
      </w:r>
      <w:r w:rsidR="00112FED">
        <w:rPr>
          <w:rStyle w:val="FootnoteReference"/>
        </w:rPr>
        <w:footnoteReference w:id="29"/>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r>
        <w:t xml:space="preserve">a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r>
        <w:t xml:space="preserve">not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achieves a balance between the opportunity for service providers to recover at least efficient costs but that is commensurate with relevant risks.</w:t>
      </w:r>
    </w:p>
    <w:p w14:paraId="43CBE0E8" w14:textId="77777777" w:rsidR="00A90D90" w:rsidRPr="00A90D90" w:rsidRDefault="00A90D90" w:rsidP="00A90D90">
      <w:pPr>
        <w:pStyle w:val="Heading3"/>
      </w:pPr>
      <w:bookmarkStart w:id="24" w:name="_Ref401234016"/>
      <w:r>
        <w:t xml:space="preserve">Rate of return </w:t>
      </w:r>
      <w:r w:rsidR="00EA6FAD">
        <w:t>G</w:t>
      </w:r>
      <w:r>
        <w:t>uideline</w:t>
      </w:r>
      <w:bookmarkEnd w:id="24"/>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0"/>
      </w:r>
      <w:r>
        <w:t xml:space="preserve"> Within it we </w:t>
      </w:r>
      <w:r w:rsidRPr="007968DE">
        <w:t>specif</w:t>
      </w:r>
      <w:r>
        <w:t>ied</w:t>
      </w:r>
      <w:r w:rsidRPr="007968DE">
        <w:t>:</w:t>
      </w:r>
      <w:r w:rsidRPr="000709A4">
        <w:rPr>
          <w:rStyle w:val="FootnoteReference"/>
        </w:rPr>
        <w:footnoteReference w:id="31"/>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2"/>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3"/>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4"/>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1E2164">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1E2164">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5" w:name="_Ref404065332"/>
      <w:r>
        <w:t>Definition of benchmark efficient</w:t>
      </w:r>
      <w:r w:rsidRPr="00A90D90">
        <w:t xml:space="preserve"> entity</w:t>
      </w:r>
      <w:bookmarkEnd w:id="25"/>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1E2164">
        <w:t>4.3.1</w:t>
      </w:r>
      <w:r>
        <w:fldChar w:fldCharType="end"/>
      </w:r>
      <w:r>
        <w:t xml:space="preserve">, the </w:t>
      </w:r>
      <w:r w:rsidR="004569D9">
        <w:t>NER/NGR</w:t>
      </w:r>
      <w:r>
        <w:t xml:space="preserve"> refer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r>
        <w:t xml:space="preserve">a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5"/>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6" w:name="_Ref415070818"/>
      <w:r>
        <w:t>Interrelationships</w:t>
      </w:r>
      <w:bookmarkEnd w:id="26"/>
    </w:p>
    <w:p w14:paraId="677673DE" w14:textId="18141AE9" w:rsidR="009E59CE" w:rsidRDefault="00140344" w:rsidP="009E59CE">
      <w:r>
        <w:t>The NER/NGR recognise</w:t>
      </w:r>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r>
        <w:t>adjust</w:t>
      </w:r>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6"/>
      </w:r>
      <w:r w:rsidR="00A736D1">
        <w:t xml:space="preserve"> The CCP then concluded:</w:t>
      </w:r>
      <w:r w:rsidR="00A736D1">
        <w:rPr>
          <w:rStyle w:val="FootnoteReference"/>
        </w:rPr>
        <w:footnoteReference w:id="37"/>
      </w:r>
    </w:p>
    <w:p w14:paraId="50F94A09" w14:textId="29CEFA47" w:rsidR="00A736D1" w:rsidRDefault="00A736D1" w:rsidP="00A736D1">
      <w:pPr>
        <w:pStyle w:val="AERquote"/>
      </w:pPr>
      <w:r w:rsidRPr="00A736D1">
        <w:t xml:space="preserve">Regarding gamma, it is difficult for the CCP to support a gamma of 0.5 as being better or worse than 1 or 0 or any number in between, we simply do not know enough about the </w:t>
      </w:r>
      <w:r w:rsidR="001123B0">
        <w:t xml:space="preserve">vagaries of such calculations. </w:t>
      </w:r>
      <w:r w:rsidRPr="00A736D1">
        <w:t>Though the lack of tax paid would suggest a gamma nearer 1 than 0.</w:t>
      </w:r>
    </w:p>
    <w:p w14:paraId="069A2213" w14:textId="2DDFCB5C"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w:t>
      </w:r>
      <w:r w:rsidR="00BE2FAB">
        <w:t xml:space="preserve">draft </w:t>
      </w:r>
      <w:r w:rsidR="00072EB6">
        <w:t xml:space="preserve">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8"/>
      </w:r>
    </w:p>
    <w:p w14:paraId="17DE5AF2" w14:textId="77777777" w:rsidR="00A90D90" w:rsidRPr="00A90D90" w:rsidRDefault="00A90D90" w:rsidP="00A90D90">
      <w:pPr>
        <w:pStyle w:val="Heading3"/>
      </w:pPr>
      <w:r>
        <w:t xml:space="preserve">Expert </w:t>
      </w:r>
      <w:r w:rsidRPr="00A90D90">
        <w:t>reports</w:t>
      </w:r>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39"/>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0"/>
      </w:r>
      <w:r w:rsidR="00A90D90">
        <w:t xml:space="preserve"> We have also had regard to, among other things:</w:t>
      </w:r>
    </w:p>
    <w:p w14:paraId="03A546BF" w14:textId="3006E932" w:rsidR="00A90D90" w:rsidRPr="00A90D90" w:rsidRDefault="00A90D90" w:rsidP="00A90D90">
      <w:pPr>
        <w:pStyle w:val="AERbulletlistfirststyle"/>
      </w:pPr>
      <w:r>
        <w:t>t</w:t>
      </w:r>
      <w:r w:rsidRPr="00A90D90">
        <w:t>he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1"/>
      </w:r>
    </w:p>
    <w:p w14:paraId="7697B2B3" w14:textId="18DC901D" w:rsidR="00836DA3" w:rsidRDefault="00836DA3" w:rsidP="00A90D90">
      <w:pPr>
        <w:pStyle w:val="AERbulletlistfirststyle"/>
      </w:pPr>
      <w:r>
        <w:t xml:space="preserve">the March 2015, April 2015 and June 2015 reports by </w:t>
      </w:r>
      <w:r w:rsidRPr="00A90D90">
        <w:t>NERA Economic Consulting (NERA)</w:t>
      </w:r>
      <w:r>
        <w:t xml:space="preserve"> that were commissioned by service providers.</w:t>
      </w:r>
      <w:r w:rsidR="00C730ED">
        <w:rPr>
          <w:rStyle w:val="FootnoteReference"/>
        </w:rPr>
        <w:footnoteReference w:id="42"/>
      </w:r>
    </w:p>
    <w:p w14:paraId="34AF6867" w14:textId="3699C803" w:rsidR="00A90D90" w:rsidRPr="00A90D90" w:rsidRDefault="00836DA3" w:rsidP="00A90D90">
      <w:pPr>
        <w:pStyle w:val="AERbulletlistfirststyle"/>
      </w:pPr>
      <w:r>
        <w:t>the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3"/>
      </w:r>
    </w:p>
    <w:p w14:paraId="4844F622" w14:textId="77777777" w:rsidR="00A90D90" w:rsidRPr="00A90D90" w:rsidRDefault="00A90D90" w:rsidP="00A90D90">
      <w:pPr>
        <w:pStyle w:val="AERbulletlistfirststyle"/>
      </w:pPr>
      <w:r>
        <w:t>a</w:t>
      </w:r>
      <w:r w:rsidRPr="00A90D90">
        <w:t>n October 2013 review of a network rail access undertaking by Professor Michael McKenzie of the University of Liverpool and Associate Professor Graham Partington of the University of Sydney.</w:t>
      </w:r>
      <w:r w:rsidRPr="00A90D90">
        <w:rPr>
          <w:rStyle w:val="FootnoteReference"/>
        </w:rPr>
        <w:footnoteReference w:id="44"/>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r>
        <w:t>a</w:t>
      </w:r>
      <w:r w:rsidRPr="00A90D90">
        <w:t xml:space="preserve"> September 2013 report on tax statistics by Dr. Neville Hathaway that was commissioned by the Energy Networks Association.</w:t>
      </w:r>
      <w:r w:rsidRPr="00A90D90">
        <w:rPr>
          <w:rStyle w:val="FootnoteReference"/>
        </w:rPr>
        <w:footnoteReference w:id="45"/>
      </w:r>
    </w:p>
    <w:p w14:paraId="4C791746" w14:textId="449ADF59" w:rsidR="00A90D90" w:rsidRPr="00A90D90" w:rsidRDefault="00A90D90" w:rsidP="00A90D90">
      <w:pPr>
        <w:pStyle w:val="AERbulletlistfirststyle"/>
      </w:pPr>
      <w:r>
        <w:t>a</w:t>
      </w:r>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6"/>
      </w:r>
    </w:p>
    <w:p w14:paraId="5C7EB87D" w14:textId="77777777" w:rsidR="00A90D90" w:rsidRPr="00A90D90" w:rsidRDefault="00A90D90" w:rsidP="00A90D90">
      <w:pPr>
        <w:pStyle w:val="Heading3"/>
      </w:pPr>
      <w:bookmarkStart w:id="27" w:name="_Ref415048973"/>
      <w:r w:rsidRPr="00784B2C">
        <w:t xml:space="preserve">Approach to </w:t>
      </w:r>
      <w:r w:rsidRPr="00A90D90">
        <w:t>determining the value of imputation credits</w:t>
      </w:r>
      <w:bookmarkEnd w:id="27"/>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7"/>
      </w:r>
      <w:r>
        <w:t xml:space="preserve"> Our approach to determining the value of imputation credits is guided by:</w:t>
      </w:r>
    </w:p>
    <w:p w14:paraId="1A3ACAFA" w14:textId="77777777" w:rsidR="00A90D90" w:rsidRPr="00A90D90" w:rsidRDefault="00A90D90" w:rsidP="00A90D90">
      <w:pPr>
        <w:pStyle w:val="AERbulletlistfirststyle"/>
      </w:pPr>
      <w:r>
        <w:t>t</w:t>
      </w:r>
      <w:r w:rsidRPr="00A90D90">
        <w:t xml:space="preserve">he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1E2164">
        <w:t>4.3.1</w:t>
      </w:r>
      <w:r w:rsidRPr="00A90D90">
        <w:fldChar w:fldCharType="end"/>
      </w:r>
      <w:r w:rsidRPr="00A90D90">
        <w:t>.</w:t>
      </w:r>
    </w:p>
    <w:p w14:paraId="5C899FC7" w14:textId="77777777" w:rsidR="00A90D90" w:rsidRPr="00A90D90" w:rsidRDefault="00A90D90" w:rsidP="00A90D90">
      <w:pPr>
        <w:pStyle w:val="AERbulletlistfirststyle"/>
      </w:pPr>
      <w:r>
        <w:t>t</w:t>
      </w:r>
      <w:r w:rsidRPr="00A90D90">
        <w:t>he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8"/>
      </w:r>
    </w:p>
    <w:p w14:paraId="26C36FA9" w14:textId="77777777" w:rsidR="00A90D90" w:rsidRPr="00A90D90" w:rsidRDefault="00A90D90" w:rsidP="00A90D90">
      <w:pPr>
        <w:pStyle w:val="AERbulletlistfirststyle"/>
      </w:pPr>
      <w:r>
        <w:t>r</w:t>
      </w:r>
      <w:r w:rsidRPr="00A90D90">
        <w:t>elevant academic literature—the framework developed in a 1994 paper by Officer is widely recognised as providing the basis for the value of imputation credits in the building block framework.</w:t>
      </w:r>
      <w:r w:rsidRPr="00A90D90">
        <w:rPr>
          <w:rStyle w:val="FootnoteReference"/>
        </w:rPr>
        <w:footnoteReference w:id="49"/>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r w:rsidRPr="00423E59">
        <w:t xml:space="preserve">the utilisation value to investors in the market per dollar of imputation credits distributed </w:t>
      </w:r>
      <w:r w:rsidRPr="00A90D90">
        <w:t>(the utilisation rate).</w:t>
      </w:r>
      <w:r w:rsidRPr="00A90D90">
        <w:rPr>
          <w:rStyle w:val="FootnoteReference"/>
        </w:rPr>
        <w:footnoteReference w:id="50"/>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evidence—while there is a widely accepted approach to estimating the distribution rate, there is no single accepted approach to estimating the utilisation rate and there is a range of evidence relevant to the utilisation rate. This includes:</w:t>
      </w:r>
    </w:p>
    <w:p w14:paraId="6BCEA3D3" w14:textId="77777777" w:rsidR="00A90D90" w:rsidRPr="00A90D90" w:rsidRDefault="00A90D90" w:rsidP="00A90D90">
      <w:pPr>
        <w:pStyle w:val="AERbulletlistsecondstyle"/>
      </w:pPr>
      <w:r>
        <w:t>t</w:t>
      </w:r>
      <w:r w:rsidRPr="00A90D90">
        <w:t>he proportion of Australian equity held by domestic investors (the 'equity ownership approach').</w:t>
      </w:r>
    </w:p>
    <w:p w14:paraId="716FC3A5" w14:textId="77777777" w:rsidR="00A90D90" w:rsidRPr="00A90D90" w:rsidRDefault="00A90D90" w:rsidP="00A90D90">
      <w:pPr>
        <w:pStyle w:val="AERbulletlistsecondstyle"/>
      </w:pPr>
      <w:r>
        <w:t>t</w:t>
      </w:r>
      <w:r w:rsidRPr="00A90D90">
        <w:t>he reported value of credits utilised by investors in Australian Taxation Office (ATO) statistics ('tax statistics').</w:t>
      </w:r>
    </w:p>
    <w:p w14:paraId="67B183A8" w14:textId="77777777" w:rsidR="00A90D90" w:rsidRPr="00A90D90" w:rsidRDefault="00A90D90" w:rsidP="00A90D90">
      <w:pPr>
        <w:pStyle w:val="AERbulletlistsecondstyle"/>
      </w:pPr>
      <w:r>
        <w:t>s</w:t>
      </w:r>
      <w:r w:rsidRPr="00A90D90">
        <w:t>tudies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1"/>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r>
        <w:t>relevance of different estimation techniques, particularly for the utilisation rate.</w:t>
      </w:r>
    </w:p>
    <w:p w14:paraId="34206BF7" w14:textId="1B492D7B" w:rsidR="00DE563D" w:rsidRDefault="00DE563D" w:rsidP="001754EE">
      <w:pPr>
        <w:pStyle w:val="Heading2"/>
      </w:pPr>
      <w:bookmarkStart w:id="28" w:name="_Toc403144140"/>
      <w:bookmarkStart w:id="29" w:name="_Ref414621693"/>
      <w:bookmarkStart w:id="30" w:name="_Ref414621836"/>
      <w:bookmarkStart w:id="31" w:name="_Ref414907434"/>
      <w:bookmarkStart w:id="32" w:name="_Ref415068229"/>
      <w:bookmarkStart w:id="33" w:name="_Ref419298166"/>
      <w:bookmarkStart w:id="34" w:name="_Toc436038928"/>
      <w:r w:rsidRPr="001754EE">
        <w:t>Reasons</w:t>
      </w:r>
      <w:r>
        <w:t xml:space="preserve"> for </w:t>
      </w:r>
      <w:r w:rsidR="00BE2FAB">
        <w:t xml:space="preserve">draft </w:t>
      </w:r>
      <w:r>
        <w:t>decision</w:t>
      </w:r>
      <w:bookmarkEnd w:id="28"/>
      <w:bookmarkEnd w:id="29"/>
      <w:bookmarkEnd w:id="30"/>
      <w:bookmarkEnd w:id="31"/>
      <w:bookmarkEnd w:id="32"/>
      <w:bookmarkEnd w:id="33"/>
      <w:bookmarkEnd w:id="34"/>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r>
        <w:t>i</w:t>
      </w:r>
      <w:r w:rsidR="00730504">
        <w:t>t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r>
        <w:t>i</w:t>
      </w:r>
      <w:r w:rsidR="00730504">
        <w:t>t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2"/>
      </w:r>
      <w:r w:rsidR="00730504" w:rsidRPr="00730504">
        <w:t xml:space="preserve"> The equity ownership approach was Lally's second preference after his recommendation for a utilisation rate of 1.</w:t>
      </w:r>
      <w:r w:rsidR="00730504" w:rsidRPr="00730504">
        <w:rPr>
          <w:rStyle w:val="FootnoteReference"/>
        </w:rPr>
        <w:footnoteReference w:id="53"/>
      </w:r>
    </w:p>
    <w:p w14:paraId="2C8FC9CA" w14:textId="77777777" w:rsidR="00730504" w:rsidRPr="00730504" w:rsidRDefault="00AF1D81" w:rsidP="00730504">
      <w:pPr>
        <w:pStyle w:val="AERbulletlistfirststyle"/>
      </w:pPr>
      <w:r>
        <w:t>i</w:t>
      </w:r>
      <w:r w:rsidR="00730504">
        <w:t xml:space="preserve">t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4"/>
      </w:r>
    </w:p>
    <w:p w14:paraId="233D1756" w14:textId="77777777" w:rsidR="00730504" w:rsidRPr="00730504" w:rsidRDefault="00AF1D81" w:rsidP="00730504">
      <w:pPr>
        <w:pStyle w:val="AERbulletlistfirststyle"/>
      </w:pPr>
      <w:r>
        <w:t>b</w:t>
      </w:r>
      <w:r w:rsidR="00730504">
        <w:t>ased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5"/>
      </w:r>
      <w:r w:rsidR="00730504" w:rsidRPr="00730504">
        <w:t xml:space="preserve"> The imprecision of determining the value of imputation credits was emphasised by Handley.</w:t>
      </w:r>
      <w:r w:rsidR="00730504" w:rsidRPr="00730504">
        <w:rPr>
          <w:rStyle w:val="FootnoteReference"/>
        </w:rPr>
        <w:footnoteReference w:id="56"/>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19862C4B" w:rsidR="00730504" w:rsidRDefault="00730504" w:rsidP="00730504">
      <w:pPr>
        <w:numPr>
          <w:ilvl w:val="0"/>
          <w:numId w:val="25"/>
        </w:numPr>
      </w:pPr>
      <w:r>
        <w:t xml:space="preserve">Further to the Guideline approach, in this </w:t>
      </w:r>
      <w:r w:rsidR="00BE2FAB">
        <w:t xml:space="preserve">draft </w:t>
      </w:r>
      <w:r>
        <w:t>decision we consider that:</w:t>
      </w:r>
    </w:p>
    <w:p w14:paraId="1A6095EA" w14:textId="77777777" w:rsidR="00730504" w:rsidRPr="00730504" w:rsidRDefault="00AF1D81" w:rsidP="00730504">
      <w:pPr>
        <w:pStyle w:val="AERbulletlistfirststyle"/>
      </w:pPr>
      <w:r>
        <w:t>w</w:t>
      </w:r>
      <w:r w:rsidR="00730504">
        <w:t>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1E2164">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r>
        <w:t>i</w:t>
      </w:r>
      <w:r w:rsidR="00730504">
        <w:t>t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1E2164">
        <w:t>A.9.2</w:t>
      </w:r>
      <w:r w:rsidR="00730504" w:rsidRPr="00730504">
        <w:fldChar w:fldCharType="end"/>
      </w:r>
      <w:r w:rsidR="00730504" w:rsidRPr="00730504">
        <w:t xml:space="preserve"> of appendix A. </w:t>
      </w:r>
    </w:p>
    <w:p w14:paraId="44DFCFC2" w14:textId="698AFE8F" w:rsidR="00730504" w:rsidRPr="00EB588E" w:rsidRDefault="00730504" w:rsidP="00730504">
      <w:pPr>
        <w:numPr>
          <w:ilvl w:val="0"/>
          <w:numId w:val="25"/>
        </w:numPr>
      </w:pPr>
      <w:r>
        <w:t xml:space="preserve">Recognising these considerations, </w:t>
      </w:r>
      <w:r w:rsidR="001123B0">
        <w:fldChar w:fldCharType="begin"/>
      </w:r>
      <w:r w:rsidR="001123B0">
        <w:instrText xml:space="preserve"> REF _Ref400900366 \h </w:instrText>
      </w:r>
      <w:r w:rsidR="001123B0">
        <w:fldChar w:fldCharType="separate"/>
      </w:r>
      <w:r w:rsidR="001123B0">
        <w:t xml:space="preserve">Table </w:t>
      </w:r>
      <w:r w:rsidR="001123B0">
        <w:rPr>
          <w:noProof/>
        </w:rPr>
        <w:t>4</w:t>
      </w:r>
      <w:r w:rsidR="001123B0">
        <w:t>.</w:t>
      </w:r>
      <w:r w:rsidR="001123B0">
        <w:rPr>
          <w:noProof/>
        </w:rPr>
        <w:t>1</w:t>
      </w:r>
      <w:r w:rsidR="001123B0">
        <w:fldChar w:fldCharType="end"/>
      </w:r>
      <w:r>
        <w:t xml:space="preserve"> and </w:t>
      </w:r>
      <w:r w:rsidR="001123B0">
        <w:fldChar w:fldCharType="begin"/>
      </w:r>
      <w:r w:rsidR="001123B0">
        <w:instrText xml:space="preserve"> REF _Ref404072148 \h </w:instrText>
      </w:r>
      <w:r w:rsidR="001123B0">
        <w:fldChar w:fldCharType="separate"/>
      </w:r>
      <w:r w:rsidR="001123B0">
        <w:t xml:space="preserve">Table </w:t>
      </w:r>
      <w:r w:rsidR="001123B0">
        <w:rPr>
          <w:noProof/>
        </w:rPr>
        <w:t>4</w:t>
      </w:r>
      <w:r w:rsidR="001123B0">
        <w:t>.</w:t>
      </w:r>
      <w:r w:rsidR="001123B0">
        <w:rPr>
          <w:noProof/>
        </w:rPr>
        <w:t>2</w:t>
      </w:r>
      <w:r w:rsidR="001123B0">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7"/>
      </w:r>
      <w:r w:rsidRPr="00EB588E">
        <w:t xml:space="preserve"> These individual sources of evidence allow us to present estimates to two decimal places. However, we consider it reasonable to determine a value of imputation credits to only one decimal place when determining a single value from across this evidence.</w:t>
      </w:r>
      <w:r w:rsidR="00F21A67">
        <w:t xml:space="preserve"> </w:t>
      </w:r>
    </w:p>
    <w:p w14:paraId="59321772" w14:textId="782126A2" w:rsidR="00730504" w:rsidRDefault="00730504" w:rsidP="00730504">
      <w:pPr>
        <w:pStyle w:val="Caption"/>
      </w:pPr>
      <w:bookmarkStart w:id="35" w:name="_Ref400900366"/>
      <w:bookmarkStart w:id="36" w:name="_Ref400900335"/>
      <w:r>
        <w:t xml:space="preserve">Table </w:t>
      </w:r>
      <w:fldSimple w:instr=" STYLEREF 1 \s ">
        <w:r w:rsidR="0072186C">
          <w:rPr>
            <w:noProof/>
          </w:rPr>
          <w:t>4</w:t>
        </w:r>
      </w:fldSimple>
      <w:r w:rsidR="0072186C">
        <w:t>.</w:t>
      </w:r>
      <w:fldSimple w:instr=" SEQ Table \* ARABIC \s 1 ">
        <w:r w:rsidR="0072186C">
          <w:rPr>
            <w:noProof/>
          </w:rPr>
          <w:t>1</w:t>
        </w:r>
      </w:fldSimple>
      <w:bookmarkEnd w:id="35"/>
      <w:r>
        <w:tab/>
        <w:t>Estimates of the value of imputation credits—evidence from all equity</w:t>
      </w:r>
      <w:bookmarkEnd w:id="36"/>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37" w:name="_Ref400900373"/>
    </w:p>
    <w:p w14:paraId="011199F5" w14:textId="057587FA" w:rsidR="00730504" w:rsidRDefault="00730504" w:rsidP="00730504">
      <w:pPr>
        <w:pStyle w:val="Caption"/>
      </w:pPr>
      <w:bookmarkStart w:id="38" w:name="_Ref404072148"/>
      <w:r>
        <w:t xml:space="preserve">Table </w:t>
      </w:r>
      <w:fldSimple w:instr=" STYLEREF 1 \s ">
        <w:r w:rsidR="0072186C">
          <w:rPr>
            <w:noProof/>
          </w:rPr>
          <w:t>4</w:t>
        </w:r>
      </w:fldSimple>
      <w:r w:rsidR="0072186C">
        <w:t>.</w:t>
      </w:r>
      <w:fldSimple w:instr=" SEQ Table \* ARABIC \s 1 ">
        <w:r w:rsidR="0072186C">
          <w:rPr>
            <w:noProof/>
          </w:rPr>
          <w:t>2</w:t>
        </w:r>
      </w:fldSimple>
      <w:bookmarkEnd w:id="37"/>
      <w:bookmarkEnd w:id="38"/>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(a</w:t>
      </w:r>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1E2164">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8"/>
      </w:r>
      <w:r>
        <w:t xml:space="preserve"> From within this range, we choose a value of 0.4. This is because:</w:t>
      </w:r>
    </w:p>
    <w:p w14:paraId="138D13A9" w14:textId="77777777" w:rsidR="00730504" w:rsidRPr="00730504" w:rsidRDefault="00AF1D81" w:rsidP="00730504">
      <w:pPr>
        <w:pStyle w:val="AERbulletlistfirststyle"/>
      </w:pPr>
      <w:r>
        <w:t>t</w:t>
      </w:r>
      <w:r w:rsidR="00730504">
        <w:t>he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r>
        <w:t>t</w:t>
      </w:r>
      <w:r w:rsidR="00730504">
        <w:t>he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r>
        <w:t>t</w:t>
      </w:r>
      <w:r w:rsidR="005C7BE1" w:rsidRPr="005C7BE1">
        <w:t>he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both higher or lower than 0.4.</w:t>
      </w:r>
    </w:p>
    <w:p w14:paraId="3F4BF640" w14:textId="12ECAE65" w:rsidR="00730504" w:rsidRDefault="00730504" w:rsidP="00730504">
      <w:pPr>
        <w:numPr>
          <w:ilvl w:val="0"/>
          <w:numId w:val="25"/>
        </w:numPr>
      </w:pPr>
      <w:r>
        <w:t xml:space="preserve">The reasons for the relative levels of reliance that we place on different types of evidence are set out in this attachment and appendix </w:t>
      </w:r>
      <w:r w:rsidR="001123B0">
        <w:fldChar w:fldCharType="begin"/>
      </w:r>
      <w:r w:rsidR="001123B0">
        <w:instrText xml:space="preserve"> REF _Ref435107978 \r \h </w:instrText>
      </w:r>
      <w:r w:rsidR="001123B0">
        <w:fldChar w:fldCharType="separate"/>
      </w:r>
      <w:r w:rsidR="001123B0">
        <w:t>A</w:t>
      </w:r>
      <w:r w:rsidR="001123B0">
        <w:fldChar w:fldCharType="end"/>
      </w:r>
      <w:r>
        <w:t>.</w:t>
      </w:r>
    </w:p>
    <w:p w14:paraId="6032D9CD" w14:textId="60B955F4" w:rsidR="00730504" w:rsidRPr="00730504" w:rsidRDefault="00730504" w:rsidP="00CB42DF">
      <w:pPr>
        <w:numPr>
          <w:ilvl w:val="0"/>
          <w:numId w:val="25"/>
        </w:numPr>
      </w:pPr>
      <w:r>
        <w:t>We therefore do not accept the service providers' proposed value of imputation credits of 0.25, calculated as the product of a distribution rate of 0.7 and a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59"/>
      </w:r>
      <w:r w:rsidRPr="00730504">
        <w:t xml:space="preserve"> McKenzie and Partington's report for the Queensland Resources Council suggested that it is reasonable to have regard to other classes of evidence.</w:t>
      </w:r>
      <w:r w:rsidRPr="00730504">
        <w:rPr>
          <w:rStyle w:val="FootnoteReference"/>
        </w:rPr>
        <w:footnoteReference w:id="60"/>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r w:rsidR="00792483">
        <w:t>be disregarded entirely.</w:t>
      </w:r>
      <w:r w:rsidR="005170E4">
        <w:rPr>
          <w:rStyle w:val="FootnoteReference"/>
        </w:rPr>
        <w:footnoteReference w:id="61"/>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2"/>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36D7DB7E" w:rsidR="002C233C" w:rsidRDefault="00730504" w:rsidP="00730504">
      <w:r>
        <w:t>In sections</w:t>
      </w:r>
      <w:r w:rsidR="008D1665">
        <w:t xml:space="preserve"> </w:t>
      </w:r>
      <w:r w:rsidR="008D1665">
        <w:fldChar w:fldCharType="begin"/>
      </w:r>
      <w:r w:rsidR="008D1665">
        <w:instrText xml:space="preserve"> REF _Ref403482746 \r \h </w:instrText>
      </w:r>
      <w:r w:rsidR="008D1665">
        <w:fldChar w:fldCharType="separate"/>
      </w:r>
      <w:r w:rsidR="001E2164">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1E2164">
        <w:t>4.4.2</w:t>
      </w:r>
      <w:r w:rsidR="008D1665">
        <w:fldChar w:fldCharType="end"/>
      </w:r>
      <w:r>
        <w:t xml:space="preserve">, we describe the sources of the estimates in </w:t>
      </w:r>
      <w:r w:rsidR="001123B0">
        <w:fldChar w:fldCharType="begin"/>
      </w:r>
      <w:r w:rsidR="001123B0">
        <w:instrText xml:space="preserve"> REF _Ref400900366 \h </w:instrText>
      </w:r>
      <w:r w:rsidR="001123B0">
        <w:fldChar w:fldCharType="separate"/>
      </w:r>
      <w:r w:rsidR="001123B0">
        <w:t xml:space="preserve">Table </w:t>
      </w:r>
      <w:r w:rsidR="001123B0">
        <w:rPr>
          <w:noProof/>
        </w:rPr>
        <w:t>4</w:t>
      </w:r>
      <w:r w:rsidR="001123B0">
        <w:t>.</w:t>
      </w:r>
      <w:r w:rsidR="001123B0">
        <w:rPr>
          <w:noProof/>
        </w:rPr>
        <w:t>1</w:t>
      </w:r>
      <w:r w:rsidR="001123B0">
        <w:fldChar w:fldCharType="end"/>
      </w:r>
      <w:r>
        <w:t xml:space="preserve"> and </w:t>
      </w:r>
      <w:r w:rsidR="001123B0">
        <w:fldChar w:fldCharType="begin"/>
      </w:r>
      <w:r w:rsidR="001123B0">
        <w:instrText xml:space="preserve"> REF _Ref404072148 \h </w:instrText>
      </w:r>
      <w:r w:rsidR="001123B0">
        <w:fldChar w:fldCharType="separate"/>
      </w:r>
      <w:r w:rsidR="001123B0">
        <w:t xml:space="preserve">Table </w:t>
      </w:r>
      <w:r w:rsidR="001123B0">
        <w:rPr>
          <w:noProof/>
        </w:rPr>
        <w:t>4</w:t>
      </w:r>
      <w:r w:rsidR="001123B0">
        <w:t>.</w:t>
      </w:r>
      <w:r w:rsidR="001123B0">
        <w:rPr>
          <w:noProof/>
        </w:rPr>
        <w:t>2</w:t>
      </w:r>
      <w:r w:rsidR="001123B0">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510850FF" w:rsidR="00B935D2" w:rsidRDefault="007D7B91" w:rsidP="008D1665">
      <w:r>
        <w:t xml:space="preserve">The issues raised by the service providers are addressed in the relevant sections below and in various sections of appendix </w:t>
      </w:r>
      <w:r w:rsidR="001123B0">
        <w:fldChar w:fldCharType="begin"/>
      </w:r>
      <w:r w:rsidR="001123B0">
        <w:instrText xml:space="preserve"> REF _Ref435108057 \r \h </w:instrText>
      </w:r>
      <w:r w:rsidR="001123B0">
        <w:fldChar w:fldCharType="separate"/>
      </w:r>
      <w:r w:rsidR="001123B0">
        <w:t>A</w:t>
      </w:r>
      <w:r w:rsidR="001123B0">
        <w:fldChar w:fldCharType="end"/>
      </w:r>
      <w:r>
        <w:t xml:space="preserve">. In section </w:t>
      </w:r>
      <w:r>
        <w:fldChar w:fldCharType="begin"/>
      </w:r>
      <w:r>
        <w:instrText xml:space="preserve"> REF _Ref415070393 \r \h </w:instrText>
      </w:r>
      <w:r>
        <w:fldChar w:fldCharType="separate"/>
      </w:r>
      <w:r w:rsidR="001E2164">
        <w:t>A.4</w:t>
      </w:r>
      <w:r>
        <w:fldChar w:fldCharType="end"/>
      </w:r>
      <w:r>
        <w:t xml:space="preserve"> of appendix </w:t>
      </w:r>
      <w:r w:rsidR="001123B0">
        <w:fldChar w:fldCharType="begin"/>
      </w:r>
      <w:r w:rsidR="001123B0">
        <w:instrText xml:space="preserve"> REF _Ref435108069 \r \h </w:instrText>
      </w:r>
      <w:r w:rsidR="001123B0">
        <w:fldChar w:fldCharType="separate"/>
      </w:r>
      <w:r w:rsidR="001123B0">
        <w:t>A</w:t>
      </w:r>
      <w:r w:rsidR="001123B0">
        <w:fldChar w:fldCharType="end"/>
      </w:r>
      <w:r w:rsidR="001943F7">
        <w:t>,</w:t>
      </w:r>
      <w:r>
        <w:t xml:space="preserve"> we identify where in this </w:t>
      </w:r>
      <w:r w:rsidR="00BE2FAB">
        <w:t xml:space="preserve">draft </w:t>
      </w:r>
      <w:r>
        <w:t>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417BB273"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3"/>
      </w:r>
      <w:r w:rsidR="00997F72">
        <w:t xml:space="preserve"> We address this in section </w:t>
      </w:r>
      <w:r w:rsidR="00997F72">
        <w:fldChar w:fldCharType="begin"/>
      </w:r>
      <w:r w:rsidR="00997F72">
        <w:instrText xml:space="preserve"> REF _Ref415070818 \r \h </w:instrText>
      </w:r>
      <w:r w:rsidR="00997F72">
        <w:fldChar w:fldCharType="separate"/>
      </w:r>
      <w:r w:rsidR="001E2164">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4"/>
      </w:r>
      <w:r w:rsidRPr="005401BC">
        <w:t xml:space="preserve"> We agree with these comments in light of the Tribunal's finding that:</w:t>
      </w:r>
      <w:r w:rsidRPr="005401BC">
        <w:rPr>
          <w:rStyle w:val="FootnoteReference"/>
        </w:rPr>
        <w:footnoteReference w:id="65"/>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6"/>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7"/>
      </w:r>
      <w:r>
        <w:t xml:space="preserve"> </w:t>
      </w:r>
      <w:r w:rsidR="001B6BD3">
        <w:t>The EMRF also submitted that we should 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8"/>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69"/>
      </w:r>
    </w:p>
    <w:p w14:paraId="0EAD4D6A" w14:textId="1CAF5378" w:rsidR="0034249A" w:rsidRDefault="0034249A" w:rsidP="005B539D">
      <w:pPr>
        <w:pStyle w:val="AERbulletlistfirststyle"/>
      </w:pPr>
      <w:r>
        <w:t>The South Australian Council of Social Service (SACOSS) submitted, based on advice received from the South Australian Centre for Economic Studies, that evidence was emerging for a value of imputation credits lower than the 0.5 in the Guideline.</w:t>
      </w:r>
      <w:r w:rsidR="00B36753">
        <w:rPr>
          <w:rStyle w:val="FootnoteReference"/>
        </w:rPr>
        <w:footnoteReference w:id="70"/>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F76756">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1"/>
      </w:r>
    </w:p>
    <w:p w14:paraId="297F8924" w14:textId="2BECCE61"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2"/>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3"/>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4"/>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5"/>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t>UnitingCare Australia supported our value for gamma, if a value for gamma is necessary.</w:t>
      </w:r>
      <w:r>
        <w:rPr>
          <w:rStyle w:val="FootnoteReference"/>
        </w:rPr>
        <w:footnoteReference w:id="76"/>
      </w:r>
    </w:p>
    <w:p w14:paraId="75D376B4" w14:textId="77777777" w:rsidR="009B2ABF" w:rsidRPr="009B2ABF" w:rsidRDefault="009B2ABF" w:rsidP="00FD5BE7">
      <w:pPr>
        <w:pStyle w:val="Heading3"/>
      </w:pPr>
      <w:bookmarkStart w:id="39" w:name="_Ref403482746"/>
      <w:r>
        <w:t xml:space="preserve">The </w:t>
      </w:r>
      <w:r w:rsidRPr="00FD5BE7">
        <w:t>distribution</w:t>
      </w:r>
      <w:r>
        <w:t xml:space="preserve"> rate</w:t>
      </w:r>
      <w:bookmarkEnd w:id="39"/>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7"/>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6038122E"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8"/>
      </w:r>
      <w:r>
        <w:t xml:space="preserve"> Using this approach, NERA estimated a distribution rate across all equity of 0.7 for the period 1987 to 2011.</w:t>
      </w:r>
      <w:r>
        <w:rPr>
          <w:rStyle w:val="FootnoteReference"/>
        </w:rPr>
        <w:footnoteReference w:id="79"/>
      </w:r>
      <w:r>
        <w:t xml:space="preserve"> Hathaway found a similar estimate for the period 2004 to 2011.</w:t>
      </w:r>
      <w:r>
        <w:rPr>
          <w:rStyle w:val="FootnoteReference"/>
        </w:rPr>
        <w:footnoteReference w:id="80"/>
      </w:r>
      <w:r>
        <w:t xml:space="preserve"> </w:t>
      </w:r>
      <w:r w:rsidR="00D15210">
        <w:t>We relied on these estimates in the Guideline and the draft decision</w:t>
      </w:r>
      <w:r w:rsidR="00615E45">
        <w:t>s</w:t>
      </w:r>
      <w:r w:rsidR="00202510">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1"/>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2"/>
      </w:r>
      <w:r w:rsidR="000F0BB8">
        <w:t xml:space="preserve"> and</w:t>
      </w:r>
    </w:p>
    <w:p w14:paraId="45CC2FE1" w14:textId="77777777" w:rsidR="000F0BB8" w:rsidRPr="009B2ABF" w:rsidRDefault="000F0BB8" w:rsidP="000F0BB8">
      <w:pPr>
        <w:pStyle w:val="AERbulletlistfirststyle"/>
      </w:pPr>
      <w:r>
        <w:t>is simple and intuitive.</w:t>
      </w:r>
    </w:p>
    <w:p w14:paraId="4555B2AA" w14:textId="5A9B3716"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3"/>
      </w:r>
      <w:r>
        <w:t xml:space="preserve"> </w:t>
      </w:r>
      <w:r w:rsidR="00090E98">
        <w:t>We found a similar estimate</w:t>
      </w:r>
      <w:r w:rsidR="00CE7F4B">
        <w:t xml:space="preserve"> for the period 2004 to 2011.</w:t>
      </w:r>
      <w:r w:rsidR="00AE0135">
        <w:rPr>
          <w:rStyle w:val="FootnoteReference"/>
        </w:rPr>
        <w:footnoteReference w:id="84"/>
      </w:r>
      <w:r w:rsidR="00CE7F4B">
        <w:t xml:space="preserve"> </w:t>
      </w:r>
      <w:r w:rsidR="00D15210">
        <w:t>We relied on these estimates in the decision</w:t>
      </w:r>
      <w:r w:rsidR="00D3427D">
        <w:t>s we released in November 2014 and April 2015</w:t>
      </w:r>
      <w:r w:rsidR="00D15210">
        <w:t xml:space="preserve">.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5"/>
      </w:r>
      <w:r w:rsidR="00090E98">
        <w:t xml:space="preserve"> With regard to this updated analysis, in this </w:t>
      </w:r>
      <w:r w:rsidR="00BE2FAB">
        <w:t xml:space="preserve">draft </w:t>
      </w:r>
      <w:r w:rsidR="00090E98">
        <w:t>decision we use an estimate of the distribution rate over only listed equity of 0.77</w:t>
      </w:r>
      <w:r w:rsidR="00F76756">
        <w:t xml:space="preserve">, consistent with the value used in our June </w:t>
      </w:r>
      <w:r w:rsidR="00213F38">
        <w:t xml:space="preserve">and October </w:t>
      </w:r>
      <w:r w:rsidR="00F76756">
        <w:t>2015 decision</w:t>
      </w:r>
      <w:r w:rsidR="00213F38">
        <w:t>s</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1E2164">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6"/>
      </w:r>
      <w:r w:rsidRPr="00CE7F4B">
        <w:t xml:space="preserve"> We disagr</w:t>
      </w:r>
      <w:r>
        <w:t xml:space="preserve">ee and set out our reasons in section </w:t>
      </w:r>
      <w:r>
        <w:fldChar w:fldCharType="begin"/>
      </w:r>
      <w:r>
        <w:instrText xml:space="preserve"> REF _Ref414289334 \r \h </w:instrText>
      </w:r>
      <w:r>
        <w:fldChar w:fldCharType="separate"/>
      </w:r>
      <w:r w:rsidR="001E2164">
        <w:t>A.10.1</w:t>
      </w:r>
      <w:r>
        <w:fldChar w:fldCharType="end"/>
      </w:r>
      <w:r>
        <w:t xml:space="preserve"> of appendix A</w:t>
      </w:r>
      <w:r w:rsidRPr="00CE7F4B">
        <w:t>.</w:t>
      </w:r>
    </w:p>
    <w:p w14:paraId="15435718" w14:textId="77777777" w:rsidR="00FE182A" w:rsidRDefault="00FE182A" w:rsidP="001754EE">
      <w:pPr>
        <w:pStyle w:val="Heading3"/>
      </w:pPr>
      <w:bookmarkStart w:id="40" w:name="_Ref414289593"/>
      <w:r>
        <w:t>The utilisation rate</w:t>
      </w:r>
      <w:bookmarkEnd w:id="40"/>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7"/>
      </w:r>
      <w:r>
        <w:t xml:space="preserve"> </w:t>
      </w:r>
      <w:r w:rsidRPr="00EB5361">
        <w:t xml:space="preserve">Therefore, we consider that eligible investors have a utilisation rate of 1.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1E2164">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1E2164">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r>
        <w:t xml:space="preserve">less </w:t>
      </w:r>
      <w:r w:rsidRPr="008D1665">
        <w:t>reliance upon implied market value studies.</w:t>
      </w:r>
    </w:p>
    <w:p w14:paraId="7E3FC1EA" w14:textId="00E0F484" w:rsidR="008D1665" w:rsidRDefault="008D1665" w:rsidP="008D1665">
      <w:pPr>
        <w:numPr>
          <w:ilvl w:val="0"/>
          <w:numId w:val="25"/>
        </w:numPr>
      </w:pPr>
      <w:r>
        <w:t xml:space="preserve">The results from those classes of evidence on which we place reliance are summarised in </w:t>
      </w:r>
      <w:r w:rsidR="001123B0">
        <w:fldChar w:fldCharType="begin"/>
      </w:r>
      <w:r w:rsidR="001123B0">
        <w:instrText xml:space="preserve"> REF _Ref400900366 \h </w:instrText>
      </w:r>
      <w:r w:rsidR="001123B0">
        <w:fldChar w:fldCharType="separate"/>
      </w:r>
      <w:r w:rsidR="001123B0">
        <w:t xml:space="preserve">Table </w:t>
      </w:r>
      <w:r w:rsidR="001123B0">
        <w:rPr>
          <w:noProof/>
        </w:rPr>
        <w:t>4</w:t>
      </w:r>
      <w:r w:rsidR="001123B0">
        <w:t>.</w:t>
      </w:r>
      <w:r w:rsidR="001123B0">
        <w:rPr>
          <w:noProof/>
        </w:rPr>
        <w:t>1</w:t>
      </w:r>
      <w:r w:rsidR="001123B0">
        <w:fldChar w:fldCharType="end"/>
      </w:r>
      <w:r>
        <w:t xml:space="preserve"> and </w:t>
      </w:r>
      <w:r w:rsidR="001123B0">
        <w:fldChar w:fldCharType="begin"/>
      </w:r>
      <w:r w:rsidR="001123B0">
        <w:instrText xml:space="preserve"> REF _Ref404072148 \h </w:instrText>
      </w:r>
      <w:r w:rsidR="001123B0">
        <w:fldChar w:fldCharType="separate"/>
      </w:r>
      <w:r w:rsidR="001123B0">
        <w:t xml:space="preserve">Table </w:t>
      </w:r>
      <w:r w:rsidR="001123B0">
        <w:rPr>
          <w:noProof/>
        </w:rPr>
        <w:t>4</w:t>
      </w:r>
      <w:r w:rsidR="001123B0">
        <w:t>.</w:t>
      </w:r>
      <w:r w:rsidR="001123B0">
        <w:rPr>
          <w:noProof/>
        </w:rPr>
        <w:t>2</w:t>
      </w:r>
      <w:r w:rsidR="001123B0">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8"/>
      </w:r>
      <w:r>
        <w:t xml:space="preserve"> We discuss each approach in the sections below.</w:t>
      </w:r>
      <w:r>
        <w:rPr>
          <w:rStyle w:val="FootnoteReference"/>
        </w:rPr>
        <w:footnoteReference w:id="89"/>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1E2164">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eligible investors have a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the 'equity ownership approach', and we use data from the National Accounts of the Australian Bureau of Statistics (ABS) to estimate the domestic ownership share.</w:t>
      </w:r>
      <w:r>
        <w:rPr>
          <w:rStyle w:val="FootnoteReference"/>
        </w:rPr>
        <w:footnoteReference w:id="90"/>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r>
        <w:t xml:space="preserve">it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1E2164">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and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a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1E2164">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approach, and other measures of the utilisation or redemption of imputation credits, do not reflect a number of factors which affect investors' valuation of imputation credits.</w:t>
      </w:r>
      <w:r w:rsidR="008D1665">
        <w:rPr>
          <w:rStyle w:val="FootnoteReference"/>
        </w:rPr>
        <w:footnoteReference w:id="91"/>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1E2164">
        <w:t>A.8.2</w:t>
      </w:r>
      <w:r w:rsidR="00E478F1">
        <w:fldChar w:fldCharType="end"/>
      </w:r>
      <w:r w:rsidR="00E478F1">
        <w:t xml:space="preserve"> </w:t>
      </w:r>
      <w:r w:rsidR="008D1665">
        <w:t>of 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2"/>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16333854"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3"/>
      </w:r>
      <w:r>
        <w:t xml:space="preserve"> Lally considered that the tax statistics approach lacks precision, and he did not prefer it to the equity ownership approach.</w:t>
      </w:r>
      <w:r>
        <w:rPr>
          <w:rStyle w:val="FootnoteReference"/>
        </w:rPr>
        <w:footnoteReference w:id="94"/>
      </w:r>
      <w:r w:rsidR="001123B0">
        <w:t xml:space="preserve"> </w:t>
      </w:r>
      <w:r>
        <w:t>However, Lally still preferred tax statistics to implied market value studies.</w:t>
      </w:r>
      <w:r w:rsidR="002C640C">
        <w:rPr>
          <w:rStyle w:val="FootnoteReference"/>
        </w:rPr>
        <w:footnoteReference w:id="95"/>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6"/>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7"/>
      </w:r>
      <w:r w:rsidRPr="008D1665">
        <w:t xml:space="preserve"> </w:t>
      </w:r>
    </w:p>
    <w:p w14:paraId="3CACE561" w14:textId="77777777" w:rsidR="001F6A3E" w:rsidRDefault="008D1665" w:rsidP="001F6A3E">
      <w:pPr>
        <w:pStyle w:val="AERbulletlistfirststyle"/>
      </w:pPr>
      <w:r>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8"/>
      </w:r>
      <w:r w:rsidR="00846525">
        <w:t xml:space="preserve"> </w:t>
      </w:r>
    </w:p>
    <w:p w14:paraId="4FE89234" w14:textId="39F93A68" w:rsidR="008D1665" w:rsidRDefault="008D1665" w:rsidP="008D1665">
      <w:pPr>
        <w:numPr>
          <w:ilvl w:val="0"/>
          <w:numId w:val="25"/>
        </w:numPr>
      </w:pPr>
      <w:r>
        <w:t xml:space="preserve">With regard to Hathaway's analysis, </w:t>
      </w:r>
      <w:r w:rsidR="00310914">
        <w:t>in the draft decision</w:t>
      </w:r>
      <w:r w:rsidR="00202510">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99"/>
      </w:r>
      <w:r>
        <w:t xml:space="preserve"> However, </w:t>
      </w:r>
      <w:r w:rsidR="00310914">
        <w:t>we also recognised in the draft decision</w:t>
      </w:r>
      <w:r w:rsidR="00202510">
        <w:t>s</w:t>
      </w:r>
      <w:r w:rsidR="00310914">
        <w:t xml:space="preserve"> that </w:t>
      </w:r>
      <w:r>
        <w:t>our estimate of the distribution rate</w:t>
      </w:r>
      <w:r w:rsidR="00310914">
        <w:t xml:space="preserve"> (0.7)</w:t>
      </w:r>
      <w:r>
        <w:t xml:space="preserve"> implie</w:t>
      </w:r>
      <w:r w:rsidR="00310914">
        <w:t>d</w:t>
      </w:r>
      <w:r>
        <w:t xml:space="preserve"> that we should adopt a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0"/>
      </w:r>
      <w:r w:rsidRPr="008D1665">
        <w:t xml:space="preserve"> and</w:t>
      </w:r>
    </w:p>
    <w:p w14:paraId="436FEAEC" w14:textId="77777777" w:rsidR="008D1665" w:rsidRPr="008D1665" w:rsidRDefault="008D1665" w:rsidP="008D1665">
      <w:pPr>
        <w:pStyle w:val="AERbulletlistfirststyle"/>
      </w:pPr>
      <w:r>
        <w:t>c</w:t>
      </w:r>
      <w:r w:rsidRPr="008D1665">
        <w:t>onsistent with our estimates of the distribution rate.</w:t>
      </w:r>
    </w:p>
    <w:p w14:paraId="379436CD" w14:textId="1D9373ED" w:rsidR="00384981" w:rsidRDefault="00384981" w:rsidP="008D1665">
      <w:pPr>
        <w:numPr>
          <w:ilvl w:val="0"/>
          <w:numId w:val="25"/>
        </w:numPr>
      </w:pPr>
      <w:r>
        <w:t xml:space="preserve">In this </w:t>
      </w:r>
      <w:r w:rsidR="00BE2FAB">
        <w:t xml:space="preserve">draft </w:t>
      </w:r>
      <w:r>
        <w:t xml:space="preserve">decision we </w:t>
      </w:r>
      <w:r w:rsidR="00340B37">
        <w:t>have regard to</w:t>
      </w:r>
      <w:r>
        <w:t xml:space="preserve"> NERA's updated analysis of the ATO data to the 2012 tax year.</w:t>
      </w:r>
      <w:r>
        <w:rPr>
          <w:rStyle w:val="FootnoteReference"/>
        </w:rPr>
        <w:footnoteReference w:id="101"/>
      </w:r>
      <w:r>
        <w:t xml:space="preserve"> This analysis supports a distribution rate of 0.7 and a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1E2164">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2"/>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1E2164">
        <w:t>A.8.2</w:t>
      </w:r>
      <w:r w:rsidR="00311850">
        <w:fldChar w:fldCharType="end"/>
      </w:r>
      <w:r w:rsidR="00311850">
        <w:t xml:space="preserve"> </w:t>
      </w:r>
      <w:r w:rsidRPr="00132F9A">
        <w:t xml:space="preserve">of </w:t>
      </w:r>
      <w:r>
        <w:t>appendix A. In summary, 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A common type of implied market value study are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1E2164">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3"/>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4"/>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1E2164">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1E2164">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5"/>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6"/>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7"/>
      </w:r>
      <w:r w:rsidR="00725A26">
        <w:t xml:space="preserve"> Lally also raised a number of issues in relation to SFG</w:t>
      </w:r>
      <w:r w:rsidR="00EB4959">
        <w:t>'s</w:t>
      </w:r>
      <w:r w:rsidR="00725A26">
        <w:t xml:space="preserve"> dividend drop off study.</w:t>
      </w:r>
      <w:r w:rsidR="00725A26">
        <w:rPr>
          <w:rStyle w:val="FootnoteReference"/>
        </w:rPr>
        <w:footnoteReference w:id="108"/>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09"/>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0"/>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desired estimate of the utilisation rate should exclude the effect of these factors.</w:t>
      </w:r>
      <w:r w:rsidR="00984362">
        <w:rPr>
          <w:rStyle w:val="FootnoteReference"/>
        </w:rPr>
        <w:footnoteReference w:id="111"/>
      </w:r>
      <w:r>
        <w:t xml:space="preserve"> To remove the effect, they advised that the estimate of the utilisation rate from a given study can be divided by investors' estimated valuation of dividends from the same study.</w:t>
      </w:r>
      <w:r>
        <w:rPr>
          <w:rStyle w:val="FootnoteReference"/>
        </w:rPr>
        <w:footnoteReference w:id="112"/>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3"/>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r>
        <w:t>appeared to use more reasonable and robust econometric treatments.</w:t>
      </w:r>
    </w:p>
    <w:p w14:paraId="64C16D00" w14:textId="0A3FE83E" w:rsidR="002030C9" w:rsidRDefault="00EF7EC0" w:rsidP="008D1665">
      <w:pPr>
        <w:numPr>
          <w:ilvl w:val="0"/>
          <w:numId w:val="25"/>
        </w:numPr>
      </w:pPr>
      <w:r>
        <w:t xml:space="preserve">However, in this </w:t>
      </w:r>
      <w:r w:rsidR="00BE2FAB">
        <w:t xml:space="preserve">draft </w:t>
      </w:r>
      <w:r>
        <w:t xml:space="preserve">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4"/>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5"/>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6"/>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1E2164">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7"/>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8"/>
      </w:r>
      <w:r>
        <w:t xml:space="preserve"> </w:t>
      </w:r>
      <w:r w:rsidR="000D5ED8">
        <w:t>However</w:t>
      </w:r>
      <w:r>
        <w:t>, we 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1E2164">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1E2164">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1E2164">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1E2164">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19"/>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0"/>
      </w:r>
      <w:r>
        <w:t xml:space="preserve"> and</w:t>
      </w:r>
    </w:p>
    <w:p w14:paraId="565C25F7" w14:textId="211E2783" w:rsidR="00C20980" w:rsidRDefault="006B6E4A" w:rsidP="006E1716">
      <w:pPr>
        <w:pStyle w:val="AERbulletlistfirststyle"/>
      </w:pPr>
      <w:r>
        <w:t>s</w:t>
      </w:r>
      <w:r w:rsidR="00C20980">
        <w:t xml:space="preserve">everal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1"/>
      </w:r>
    </w:p>
    <w:p w14:paraId="28295457" w14:textId="77777777" w:rsidR="004F6A0E" w:rsidRDefault="00193E3A" w:rsidP="002C233C">
      <w:pPr>
        <w:numPr>
          <w:ilvl w:val="0"/>
          <w:numId w:val="25"/>
        </w:numPr>
      </w:pPr>
      <w:r>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1E2164">
        <w:t>A.14</w:t>
      </w:r>
      <w:r w:rsidR="00C31B22">
        <w:fldChar w:fldCharType="end"/>
      </w:r>
      <w:r>
        <w:t xml:space="preserve"> of appendix A.</w:t>
      </w:r>
    </w:p>
    <w:p w14:paraId="46018C99" w14:textId="77777777" w:rsidR="008D7B18" w:rsidRDefault="008D7B18" w:rsidP="008D7B18">
      <w:pPr>
        <w:pStyle w:val="Heading2"/>
      </w:pPr>
      <w:bookmarkStart w:id="41" w:name="_Toc436038929"/>
      <w:r>
        <w:t>Revisions</w:t>
      </w:r>
      <w:bookmarkEnd w:id="41"/>
    </w:p>
    <w:p w14:paraId="447BB674" w14:textId="4B989F44" w:rsidR="008D7B18" w:rsidRDefault="008D7B18" w:rsidP="008D7B18">
      <w:r w:rsidRPr="00596BF7">
        <w:t>We require the following revision to make the access arrangement acceptable.</w:t>
      </w:r>
    </w:p>
    <w:p w14:paraId="5913570E" w14:textId="77777777" w:rsidR="008D7B18" w:rsidRDefault="008D7B18" w:rsidP="008D7B18"/>
    <w:p w14:paraId="760FE19B" w14:textId="50BD56EF" w:rsidR="00D73074" w:rsidRDefault="008D7B18" w:rsidP="00D73074">
      <w:pPr>
        <w:pStyle w:val="AERrevisionbox"/>
        <w:numPr>
          <w:ilvl w:val="0"/>
          <w:numId w:val="25"/>
        </w:numPr>
        <w:pBdr>
          <w:top w:val="single" w:sz="4" w:space="1" w:color="auto"/>
          <w:left w:val="single" w:sz="4" w:space="0" w:color="auto"/>
          <w:bottom w:val="single" w:sz="4" w:space="1" w:color="auto"/>
          <w:right w:val="single" w:sz="4" w:space="4" w:color="auto"/>
        </w:pBdr>
        <w:shd w:val="clear" w:color="auto" w:fill="E0E0E0"/>
        <w:spacing w:before="0" w:line="288" w:lineRule="auto"/>
        <w:jc w:val="both"/>
      </w:pPr>
      <w:r>
        <w:rPr>
          <w:rStyle w:val="Strong"/>
        </w:rPr>
        <w:t>Revision 4.1</w:t>
      </w:r>
      <w:r w:rsidRPr="00C87760">
        <w:rPr>
          <w:rStyle w:val="Strong"/>
        </w:rPr>
        <w:t>:</w:t>
      </w:r>
      <w:r>
        <w:t xml:space="preserve"> Our decision on the value of imputation credits as referred to in rule 87A (1) is to adopt a value of 0.4, as set out in this attachment. APTNT </w:t>
      </w:r>
      <w:r w:rsidR="00D73074">
        <w:t>is to</w:t>
      </w:r>
      <w:r w:rsidR="00D73074" w:rsidRPr="000D5EE4">
        <w:t xml:space="preserve"> </w:t>
      </w:r>
      <w:r w:rsidR="00D73074">
        <w:t xml:space="preserve">make all the necessary amendments to its Access arrangement proposal to give effect to this draft decision. </w:t>
      </w:r>
    </w:p>
    <w:p w14:paraId="1F1ADD99" w14:textId="77777777" w:rsidR="008D7B18" w:rsidRDefault="008D7B18" w:rsidP="008D7B18"/>
    <w:p w14:paraId="6705B6FB" w14:textId="77777777" w:rsidR="008D7B18" w:rsidRDefault="008D7B18" w:rsidP="002C233C">
      <w:pPr>
        <w:numPr>
          <w:ilvl w:val="0"/>
          <w:numId w:val="25"/>
        </w:numPr>
      </w:pPr>
    </w:p>
    <w:p w14:paraId="54955EC0" w14:textId="77777777" w:rsidR="00091B15" w:rsidRDefault="00B168A4" w:rsidP="00091B15">
      <w:pPr>
        <w:pStyle w:val="Heading7"/>
      </w:pPr>
      <w:bookmarkStart w:id="42" w:name="_Ref435107978"/>
      <w:bookmarkStart w:id="43" w:name="_Ref435108057"/>
      <w:bookmarkStart w:id="44" w:name="_Ref435108069"/>
      <w:bookmarkStart w:id="45" w:name="_Toc436038930"/>
      <w:r>
        <w:t>Value of imputation credits: Detailed analysis</w:t>
      </w:r>
      <w:bookmarkEnd w:id="42"/>
      <w:bookmarkEnd w:id="43"/>
      <w:bookmarkEnd w:id="44"/>
      <w:bookmarkEnd w:id="45"/>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0ABCE273"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determination</w:t>
      </w:r>
      <w:r w:rsidR="00EC3176">
        <w:t xml:space="preserve"> is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2"/>
      </w:r>
      <w:r w:rsidR="00B63676">
        <w:t xml:space="preserve"> </w:t>
      </w:r>
      <w:r w:rsidR="00213F38">
        <w:t xml:space="preserve">This decision is substantively </w:t>
      </w:r>
      <w:r w:rsidR="002515CC">
        <w:t>the same as</w:t>
      </w:r>
      <w:r w:rsidR="00213F38">
        <w:t xml:space="preserve"> our decisions released in O</w:t>
      </w:r>
      <w:r w:rsidR="002515CC">
        <w:t>c</w:t>
      </w:r>
      <w:r w:rsidR="00213F38">
        <w:t xml:space="preserve">tober 2015.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3"/>
      </w:r>
    </w:p>
    <w:p w14:paraId="524AF94E" w14:textId="77777777" w:rsidR="00091B15" w:rsidRDefault="000222ED" w:rsidP="00091B15">
      <w:pPr>
        <w:pStyle w:val="Heading8"/>
      </w:pPr>
      <w:bookmarkStart w:id="46" w:name="_Ref414621676"/>
      <w:bookmarkStart w:id="47" w:name="_Toc436038931"/>
      <w:r>
        <w:t>Expert views on the value of imputation credits</w:t>
      </w:r>
      <w:bookmarkEnd w:id="46"/>
      <w:bookmarkEnd w:id="47"/>
    </w:p>
    <w:p w14:paraId="214B1581" w14:textId="63EE676C"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1123B0" w:rsidRPr="009421A7">
        <w:t xml:space="preserve">Table </w:t>
      </w:r>
      <w:r w:rsidR="001123B0">
        <w:rPr>
          <w:noProof/>
        </w:rPr>
        <w:t>4</w:t>
      </w:r>
      <w:r w:rsidR="001123B0">
        <w:t>.</w:t>
      </w:r>
      <w:r w:rsidR="001123B0">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w:t>
      </w:r>
      <w:r w:rsidR="00BE2FAB">
        <w:t xml:space="preserve">draft </w:t>
      </w:r>
      <w:r w:rsidR="004C7303">
        <w:t xml:space="preserve">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3EB6BE0C" w:rsidR="00A36459" w:rsidRDefault="00A36459" w:rsidP="00A36459">
      <w:pPr>
        <w:pStyle w:val="Caption"/>
      </w:pPr>
      <w:bookmarkStart w:id="48" w:name="_Ref400609043"/>
      <w:r w:rsidRPr="009421A7">
        <w:t xml:space="preserve">Table </w:t>
      </w:r>
      <w:fldSimple w:instr=" STYLEREF 1 \s ">
        <w:r w:rsidR="0072186C">
          <w:rPr>
            <w:noProof/>
          </w:rPr>
          <w:t>4</w:t>
        </w:r>
      </w:fldSimple>
      <w:r w:rsidR="0072186C">
        <w:t>.</w:t>
      </w:r>
      <w:fldSimple w:instr=" SEQ Table \* ARABIC \s 1 ">
        <w:r w:rsidR="0072186C">
          <w:rPr>
            <w:noProof/>
          </w:rPr>
          <w:t>3</w:t>
        </w:r>
      </w:fldSimple>
      <w:bookmarkEnd w:id="48"/>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4604B9E5" w:rsidR="00A36459" w:rsidRPr="005527C3" w:rsidRDefault="00A36459" w:rsidP="003C0026">
            <w:pPr>
              <w:numPr>
                <w:ilvl w:val="0"/>
                <w:numId w:val="25"/>
              </w:numPr>
            </w:pPr>
            <w:r w:rsidRPr="005527C3">
              <w:t>Lally (2013</w:t>
            </w:r>
            <w:r w:rsidR="00384402">
              <w:t>a</w:t>
            </w:r>
            <w:r>
              <w:t>,</w:t>
            </w:r>
            <w:r w:rsidR="00384402">
              <w:t xml:space="preserve"> 2013b, </w:t>
            </w:r>
            <w:r>
              <w:t>2014</w:t>
            </w:r>
            <w:r w:rsidRPr="005527C3">
              <w:t>)</w:t>
            </w:r>
            <w:r>
              <w:rPr>
                <w:rStyle w:val="FootnoteReference"/>
              </w:rPr>
              <w:footnoteReference w:id="124"/>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5"/>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6"/>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7"/>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8"/>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29"/>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t xml:space="preserve">Gray (for </w:t>
            </w:r>
            <w:r w:rsidR="003E0AD9">
              <w:t>Frontier</w:t>
            </w:r>
            <w:r>
              <w:t>)</w:t>
            </w:r>
            <w:r w:rsidR="003E0AD9">
              <w:t xml:space="preserve"> (2015)</w:t>
            </w:r>
            <w:r w:rsidR="003E0AD9">
              <w:rPr>
                <w:rStyle w:val="FootnoteReference"/>
              </w:rPr>
              <w:footnoteReference w:id="130"/>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1E2164">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1A44D3DD"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BE2FAB">
        <w:t xml:space="preserve">draft </w:t>
      </w:r>
      <w:r>
        <w:t xml:space="preserve">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49" w:name="_Ref414621875"/>
      <w:bookmarkStart w:id="50" w:name="_Toc436038932"/>
      <w:r>
        <w:t>The value of imputation credits used by other regulators</w:t>
      </w:r>
      <w:bookmarkEnd w:id="49"/>
      <w:bookmarkEnd w:id="50"/>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1123B0">
        <w:t xml:space="preserve">Table </w:t>
      </w:r>
      <w:r w:rsidR="001123B0">
        <w:rPr>
          <w:noProof/>
        </w:rPr>
        <w:t>4</w:t>
      </w:r>
      <w:r w:rsidR="001123B0">
        <w:t>.</w:t>
      </w:r>
      <w:r w:rsidR="001123B0">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2377795F" w:rsidR="000B65E0" w:rsidRDefault="000B65E0" w:rsidP="000B65E0">
      <w:pPr>
        <w:pStyle w:val="Caption"/>
      </w:pPr>
      <w:bookmarkStart w:id="51" w:name="_Ref401082422"/>
      <w:r>
        <w:t xml:space="preserve">Table </w:t>
      </w:r>
      <w:fldSimple w:instr=" STYLEREF 1 \s ">
        <w:r w:rsidR="0072186C">
          <w:rPr>
            <w:noProof/>
          </w:rPr>
          <w:t>4</w:t>
        </w:r>
      </w:fldSimple>
      <w:r w:rsidR="0072186C">
        <w:t>.</w:t>
      </w:r>
      <w:fldSimple w:instr=" SEQ Table \* ARABIC \s 1 ">
        <w:r w:rsidR="0072186C">
          <w:rPr>
            <w:noProof/>
          </w:rPr>
          <w:t>4</w:t>
        </w:r>
      </w:fldSimple>
      <w:bookmarkEnd w:id="51"/>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1"/>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2"/>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3"/>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4"/>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5"/>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t>ACCC</w:t>
            </w:r>
            <w:r w:rsidRPr="001E32C9">
              <w:rPr>
                <w:rStyle w:val="FootnoteReference"/>
              </w:rPr>
              <w:footnoteReference w:id="136"/>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25E79407" w:rsidR="00924584" w:rsidRDefault="00675214" w:rsidP="00924584">
      <w:r>
        <w:t>C</w:t>
      </w:r>
      <w:r w:rsidR="00206294">
        <w:t xml:space="preserve">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rsidR="00BE2FAB">
        <w:t xml:space="preserve">draft </w:t>
      </w:r>
      <w:r w:rsidR="00206294">
        <w:t>decision value of imputation credits of 0.4 sits within the range adopted by regulators.</w:t>
      </w:r>
    </w:p>
    <w:p w14:paraId="3CF3DEE6" w14:textId="77777777" w:rsidR="008B661B" w:rsidRPr="008B661B" w:rsidRDefault="008B661B" w:rsidP="008B661B">
      <w:pPr>
        <w:pStyle w:val="Heading8"/>
      </w:pPr>
      <w:bookmarkStart w:id="52" w:name="_Toc436038933"/>
      <w:r w:rsidRPr="008B661B">
        <w:t>Previous Australian Competition Tribunal considerations</w:t>
      </w:r>
      <w:bookmarkEnd w:id="52"/>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7"/>
      </w:r>
    </w:p>
    <w:p w14:paraId="309F5973" w14:textId="77777777" w:rsidR="008B661B" w:rsidRDefault="008B661B" w:rsidP="008B661B">
      <w:pPr>
        <w:pStyle w:val="Heading9"/>
      </w:pPr>
      <w:r>
        <w:t>Energex</w:t>
      </w:r>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8"/>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024638BC"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rsidR="001123B0">
        <w:fldChar w:fldCharType="begin"/>
      </w:r>
      <w:r w:rsidR="001123B0">
        <w:instrText xml:space="preserve"> REF _Ref400609646 \h </w:instrText>
      </w:r>
      <w:r w:rsidR="001123B0">
        <w:fldChar w:fldCharType="separate"/>
      </w:r>
      <w:r w:rsidR="001123B0" w:rsidRPr="000E711B">
        <w:t xml:space="preserve">Table </w:t>
      </w:r>
      <w:r w:rsidR="001123B0">
        <w:rPr>
          <w:noProof/>
        </w:rPr>
        <w:t>4.5</w:t>
      </w:r>
      <w:r w:rsidR="001123B0">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02796B36" w:rsidR="008B661B" w:rsidRPr="000E711B" w:rsidRDefault="008B661B" w:rsidP="008B661B">
      <w:pPr>
        <w:pStyle w:val="Caption"/>
      </w:pPr>
      <w:bookmarkStart w:id="53" w:name="_Ref400609646"/>
      <w:bookmarkStart w:id="54" w:name="_Ref401260171"/>
      <w:r w:rsidRPr="000E711B">
        <w:t xml:space="preserve">Table </w:t>
      </w:r>
      <w:fldSimple w:instr=" STYLEREF 1 \s ">
        <w:r w:rsidR="0072186C">
          <w:rPr>
            <w:noProof/>
          </w:rPr>
          <w:t>4</w:t>
        </w:r>
      </w:fldSimple>
      <w:r w:rsidR="0072186C">
        <w:t>.</w:t>
      </w:r>
      <w:fldSimple w:instr=" SEQ Table \* ARABIC \s 1 ">
        <w:r w:rsidR="0072186C">
          <w:rPr>
            <w:noProof/>
          </w:rPr>
          <w:t>5</w:t>
        </w:r>
      </w:fldSimple>
      <w:bookmarkEnd w:id="53"/>
      <w:r w:rsidRPr="000E711B">
        <w:tab/>
        <w:t>Australian Competition Tribunal's observations on imputation credits</w:t>
      </w:r>
      <w:bookmarkEnd w:id="54"/>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 how it relates to the rest of the building blocks, especially the rate of return (cl 6.4.3(a) and cl 6.5.2(b) of the Rules)."</w:t>
            </w:r>
            <w:r w:rsidRPr="000E711B">
              <w:rPr>
                <w:rStyle w:val="FootnoteReference"/>
              </w:rPr>
              <w:footnoteReference w:id="139"/>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1E2164">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1E2164">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0"/>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1E2164">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1E2164">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1"/>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taxation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2"/>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1E2164">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1E2164">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3"/>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1E2164">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1E2164">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4"/>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t>During the Guideline process, service providers frequently proposed a value of imputation credits of 0.25 and referenced the Tribunal decision in support of this.</w:t>
      </w:r>
      <w:r w:rsidR="006E3A04">
        <w:rPr>
          <w:rStyle w:val="FootnoteReference"/>
        </w:rPr>
        <w:footnoteReference w:id="145"/>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r>
        <w:t>DBNGP and WA Gas Networks</w:t>
      </w:r>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6"/>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54D5E15A" w14:textId="6ACAF81C" w:rsidR="00055B09" w:rsidRPr="00883DBE" w:rsidRDefault="00055B09" w:rsidP="00055B09">
      <w:pPr>
        <w:pStyle w:val="AERquote"/>
      </w:pPr>
      <w:r>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7"/>
      </w:r>
    </w:p>
    <w:p w14:paraId="00FC7815" w14:textId="77777777" w:rsidR="00ED6A81" w:rsidRDefault="0046390C" w:rsidP="00615CE6">
      <w:pPr>
        <w:pStyle w:val="Heading8"/>
      </w:pPr>
      <w:bookmarkStart w:id="55" w:name="_Ref415070393"/>
      <w:bookmarkStart w:id="56" w:name="_Toc436038934"/>
      <w:bookmarkStart w:id="57" w:name="_Ref400961862"/>
      <w:r>
        <w:t>Key concerns of</w:t>
      </w:r>
      <w:r w:rsidR="002630C5">
        <w:t xml:space="preserve"> the service providers</w:t>
      </w:r>
      <w:bookmarkEnd w:id="55"/>
      <w:bookmarkEnd w:id="56"/>
    </w:p>
    <w:p w14:paraId="7097614B" w14:textId="3E5C55B1"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8"/>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of </w:t>
      </w:r>
      <w:r w:rsidR="00407BEB">
        <w:t>other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w:t>
      </w:r>
      <w:r w:rsidR="00BE2FAB">
        <w:t xml:space="preserve">draft </w:t>
      </w:r>
      <w:r w:rsidR="00615BED">
        <w:t>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1E2164">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1E2164">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1E2164">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1E2164">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1E2164">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1E2164">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1E2164">
        <w:t>4.4.2</w:t>
      </w:r>
      <w:r w:rsidR="004B6775">
        <w:fldChar w:fldCharType="end"/>
      </w:r>
      <w:r w:rsidR="004B6775">
        <w:t xml:space="preserve"> why the equity ownership approach provides a reasonable estimate.</w:t>
      </w:r>
    </w:p>
    <w:p w14:paraId="2097FA60" w14:textId="0A423B0F"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1E2164">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applications of the equity ownership approach. In this </w:t>
      </w:r>
      <w:r w:rsidR="00BE2FAB">
        <w:t xml:space="preserve">draft </w:t>
      </w:r>
      <w:r w:rsidR="00DD7B9A">
        <w:t>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1E2164">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1E2164">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1E2164">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1E2164">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1E2164">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1E2164">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1E2164">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1E2164">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1E2164">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1E2164">
        <w:t>A.10.1</w:t>
      </w:r>
      <w:r w:rsidR="00680EF4">
        <w:fldChar w:fldCharType="end"/>
      </w:r>
      <w:r w:rsidR="00680EF4">
        <w:t xml:space="preserve"> we explain why we </w:t>
      </w:r>
      <w:r w:rsidR="0046390C">
        <w:t>disagree</w:t>
      </w:r>
      <w:r w:rsidR="00680EF4">
        <w:t>.</w:t>
      </w:r>
    </w:p>
    <w:p w14:paraId="38873E45" w14:textId="1E19E9CB"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this </w:t>
      </w:r>
      <w:r w:rsidR="00BE2FAB">
        <w:t xml:space="preserve">draft </w:t>
      </w:r>
      <w:r>
        <w:t xml:space="preserve">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49"/>
      </w:r>
    </w:p>
    <w:p w14:paraId="1A6D819B" w14:textId="4F6FD46D"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distributed credits (such as dividend drop-off studies)</w:t>
      </w:r>
      <w:r w:rsidR="00FA47B8" w:rsidRPr="0060266A">
        <w:rPr>
          <w:rStyle w:val="AERtexthighlight"/>
          <w:shd w:val="clear" w:color="auto" w:fill="auto"/>
        </w:rPr>
        <w:t>.</w:t>
      </w:r>
      <w:r w:rsidR="0060266A">
        <w:rPr>
          <w:rStyle w:val="FootnoteReference"/>
        </w:rPr>
        <w:footnoteReference w:id="150"/>
      </w:r>
      <w:r w:rsidR="00FA47B8" w:rsidRPr="0060266A">
        <w:rPr>
          <w:rStyle w:val="AERtexthighlight"/>
          <w:shd w:val="clear" w:color="auto" w:fill="auto"/>
        </w:rPr>
        <w:t xml:space="preserve"> In section </w:t>
      </w:r>
      <w:r w:rsidR="001123B0">
        <w:rPr>
          <w:rStyle w:val="AERtexthighlight"/>
          <w:shd w:val="clear" w:color="auto" w:fill="auto"/>
        </w:rPr>
        <w:fldChar w:fldCharType="begin"/>
      </w:r>
      <w:r w:rsidR="001123B0">
        <w:rPr>
          <w:rStyle w:val="AERtexthighlight"/>
          <w:shd w:val="clear" w:color="auto" w:fill="auto"/>
        </w:rPr>
        <w:instrText xml:space="preserve"> REF _Ref401748758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A.8.1</w:t>
      </w:r>
      <w:r w:rsidR="001123B0">
        <w:rPr>
          <w:rStyle w:val="AERtexthighlight"/>
          <w:shd w:val="clear" w:color="auto" w:fill="auto"/>
        </w:rPr>
        <w:fldChar w:fldCharType="end"/>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621AA8D6"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1"/>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2"/>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1123B0">
        <w:rPr>
          <w:rStyle w:val="AERtexthighlight"/>
          <w:shd w:val="clear" w:color="auto" w:fill="auto"/>
        </w:rPr>
        <w:fldChar w:fldCharType="begin"/>
      </w:r>
      <w:r w:rsidR="001123B0">
        <w:rPr>
          <w:rStyle w:val="AERtexthighlight"/>
          <w:shd w:val="clear" w:color="auto" w:fill="auto"/>
        </w:rPr>
        <w:instrText xml:space="preserve"> REF _Ref415068711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A.9</w:t>
      </w:r>
      <w:r w:rsidR="001123B0">
        <w:rPr>
          <w:rStyle w:val="AERtexthighlight"/>
          <w:shd w:val="clear" w:color="auto" w:fill="auto"/>
        </w:rPr>
        <w:fldChar w:fldCharType="end"/>
      </w:r>
      <w:r w:rsidR="007845BA" w:rsidRPr="0060266A">
        <w:rPr>
          <w:rStyle w:val="AERtexthighlight"/>
          <w:shd w:val="clear" w:color="auto" w:fill="auto"/>
        </w:rPr>
        <w:t xml:space="preserve"> and </w:t>
      </w:r>
      <w:r w:rsidR="001123B0">
        <w:rPr>
          <w:rStyle w:val="AERtexthighlight"/>
          <w:shd w:val="clear" w:color="auto" w:fill="auto"/>
        </w:rPr>
        <w:fldChar w:fldCharType="begin"/>
      </w:r>
      <w:r w:rsidR="001123B0">
        <w:rPr>
          <w:rStyle w:val="AERtexthighlight"/>
          <w:shd w:val="clear" w:color="auto" w:fill="auto"/>
        </w:rPr>
        <w:instrText xml:space="preserve"> REF _Ref414289334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A.10.1</w:t>
      </w:r>
      <w:r w:rsidR="001123B0">
        <w:rPr>
          <w:rStyle w:val="AERtexthighlight"/>
          <w:shd w:val="clear" w:color="auto" w:fill="auto"/>
        </w:rPr>
        <w:fldChar w:fldCharType="end"/>
      </w:r>
      <w:r w:rsidR="001123B0">
        <w:rPr>
          <w:rStyle w:val="AERtexthighlight"/>
          <w:shd w:val="clear" w:color="auto" w:fill="auto"/>
        </w:rPr>
        <w:t xml:space="preserve"> </w:t>
      </w:r>
      <w:r w:rsidR="001F5837" w:rsidRPr="0060266A">
        <w:rPr>
          <w:rStyle w:val="AERtexthighlight"/>
          <w:shd w:val="clear" w:color="auto" w:fill="auto"/>
        </w:rPr>
        <w:t>we explain why we consider our approach is appropriate</w:t>
      </w:r>
      <w:r w:rsidR="00EE3FE0" w:rsidRPr="0060266A">
        <w:rPr>
          <w:rStyle w:val="AERtexthighlight"/>
          <w:shd w:val="clear" w:color="auto" w:fill="auto"/>
        </w:rPr>
        <w:t>.</w:t>
      </w:r>
      <w:r w:rsidR="001123B0">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78761FD9"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061BBB0F"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3"/>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1123B0">
        <w:rPr>
          <w:rStyle w:val="AERtexthighlight"/>
          <w:shd w:val="clear" w:color="auto" w:fill="auto"/>
        </w:rPr>
        <w:fldChar w:fldCharType="begin"/>
      </w:r>
      <w:r w:rsidR="001123B0">
        <w:rPr>
          <w:rStyle w:val="AERtexthighlight"/>
          <w:shd w:val="clear" w:color="auto" w:fill="auto"/>
        </w:rPr>
        <w:instrText xml:space="preserve"> REF _Ref414099389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A.8.2</w:t>
      </w:r>
      <w:r w:rsidR="001123B0">
        <w:rPr>
          <w:rStyle w:val="AERtexthighlight"/>
          <w:shd w:val="clear" w:color="auto" w:fill="auto"/>
        </w:rPr>
        <w:fldChar w:fldCharType="end"/>
      </w:r>
      <w:r w:rsidR="00DB3BB0" w:rsidRPr="0060266A">
        <w:rPr>
          <w:rStyle w:val="AERtexthighlight"/>
          <w:shd w:val="clear" w:color="auto" w:fill="auto"/>
        </w:rPr>
        <w:t xml:space="preserve"> we explain why we consider redemption rates can be used as point estimates of theta.</w:t>
      </w:r>
    </w:p>
    <w:p w14:paraId="4C69EFA1" w14:textId="77836678"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4"/>
      </w:r>
      <w:r w:rsidRPr="00EE762A">
        <w:rPr>
          <w:rStyle w:val="AERtexthighlight"/>
          <w:shd w:val="clear" w:color="auto" w:fill="auto"/>
        </w:rPr>
        <w:t xml:space="preserve"> In section </w:t>
      </w:r>
      <w:r w:rsidR="001123B0">
        <w:rPr>
          <w:rStyle w:val="AERtexthighlight"/>
          <w:shd w:val="clear" w:color="auto" w:fill="auto"/>
        </w:rPr>
        <w:fldChar w:fldCharType="begin"/>
      </w:r>
      <w:r w:rsidR="001123B0">
        <w:rPr>
          <w:rStyle w:val="AERtexthighlight"/>
          <w:shd w:val="clear" w:color="auto" w:fill="auto"/>
        </w:rPr>
        <w:instrText xml:space="preserve"> REF _Ref415049811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A.12</w:t>
      </w:r>
      <w:r w:rsidR="001123B0">
        <w:rPr>
          <w:rStyle w:val="AERtexthighlight"/>
          <w:shd w:val="clear" w:color="auto" w:fill="auto"/>
        </w:rPr>
        <w:fldChar w:fldCharType="end"/>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196C1E8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t>The criticisms of Gray and Hall's dividend drop-off work is not reasonable.</w:t>
      </w:r>
      <w:r w:rsidR="00EE762A">
        <w:rPr>
          <w:rStyle w:val="FootnoteReference"/>
        </w:rPr>
        <w:footnoteReference w:id="155"/>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1123B0">
        <w:rPr>
          <w:rStyle w:val="AERtexthighlight"/>
          <w:shd w:val="clear" w:color="auto" w:fill="auto"/>
        </w:rPr>
        <w:fldChar w:fldCharType="begin"/>
      </w:r>
      <w:r w:rsidR="001123B0">
        <w:rPr>
          <w:rStyle w:val="AERtexthighlight"/>
          <w:shd w:val="clear" w:color="auto" w:fill="auto"/>
        </w:rPr>
        <w:instrText xml:space="preserve"> REF _Ref414624721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A.14.5</w:t>
      </w:r>
      <w:r w:rsidR="001123B0">
        <w:rPr>
          <w:rStyle w:val="AERtexthighlight"/>
          <w:shd w:val="clear" w:color="auto" w:fill="auto"/>
        </w:rPr>
        <w:fldChar w:fldCharType="end"/>
      </w:r>
      <w:r w:rsidR="001123B0">
        <w:rPr>
          <w:rStyle w:val="AERtexthighlight"/>
          <w:shd w:val="clear" w:color="auto" w:fill="auto"/>
        </w:rPr>
        <w:t>.</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58" w:name="_Ref415144114"/>
      <w:bookmarkStart w:id="59" w:name="_Toc436038935"/>
      <w:r>
        <w:t xml:space="preserve">The role </w:t>
      </w:r>
      <w:r w:rsidRPr="00615CE6">
        <w:t>of</w:t>
      </w:r>
      <w:r>
        <w:t xml:space="preserve"> the value of imputation credits in the regulatory framework</w:t>
      </w:r>
      <w:bookmarkEnd w:id="57"/>
      <w:bookmarkEnd w:id="58"/>
      <w:bookmarkEnd w:id="59"/>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r>
        <w:t xml:space="preserve">the </w:t>
      </w:r>
      <w:r w:rsidRPr="00615CE6">
        <w:t>construction of the tax building block.</w:t>
      </w:r>
    </w:p>
    <w:p w14:paraId="2070DDC9" w14:textId="77777777" w:rsidR="00615CE6" w:rsidRDefault="00615CE6" w:rsidP="00615CE6">
      <w:pPr>
        <w:pStyle w:val="Heading9"/>
      </w:pPr>
      <w:r>
        <w:t xml:space="preserve">The </w:t>
      </w:r>
      <w:r w:rsidRPr="00615CE6">
        <w:t>building</w:t>
      </w:r>
      <w:r>
        <w:t xml:space="preserve"> block framework</w:t>
      </w:r>
    </w:p>
    <w:p w14:paraId="24F91D72" w14:textId="23FD153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6"/>
      </w:r>
      <w:r w:rsidR="001123B0">
        <w:t xml:space="preserve"> </w:t>
      </w:r>
      <w:r w:rsidRPr="009D12C3">
        <w:t>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r>
        <w:t>f</w:t>
      </w:r>
      <w:r w:rsidR="00615CE6" w:rsidRPr="009D12C3">
        <w:t>und its operating expenses.</w:t>
      </w:r>
    </w:p>
    <w:p w14:paraId="789FA7BE" w14:textId="77777777" w:rsidR="00615CE6" w:rsidRPr="00615CE6" w:rsidRDefault="0084249F" w:rsidP="00615CE6">
      <w:pPr>
        <w:pStyle w:val="AERbulletlistfirststyle"/>
      </w:pPr>
      <w:r>
        <w:t>a</w:t>
      </w:r>
      <w:r w:rsidR="00615CE6" w:rsidRPr="009D12C3">
        <w:t>chieve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r>
        <w:t>p</w:t>
      </w:r>
      <w:r w:rsidR="00615CE6" w:rsidRPr="009D12C3">
        <w:t>ay its tax liability.</w:t>
      </w:r>
    </w:p>
    <w:p w14:paraId="4D79BA20" w14:textId="77777777" w:rsidR="00615CE6" w:rsidRPr="00615CE6" w:rsidRDefault="0084249F" w:rsidP="00615CE6">
      <w:pPr>
        <w:pStyle w:val="AERbulletlistfirststyle"/>
      </w:pPr>
      <w:r>
        <w:t>r</w:t>
      </w:r>
      <w:r w:rsidR="00615CE6" w:rsidRPr="009D12C3">
        <w:t xml:space="preserve">eflect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7"/>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1E2164">
        <w:t>A.6</w:t>
      </w:r>
      <w:r>
        <w:fldChar w:fldCharType="end"/>
      </w:r>
      <w:r>
        <w:t xml:space="preserve">, </w:t>
      </w:r>
      <w:r>
        <w:fldChar w:fldCharType="begin"/>
      </w:r>
      <w:r>
        <w:instrText xml:space="preserve"> REF _Ref414028398 \r \h </w:instrText>
      </w:r>
      <w:r>
        <w:fldChar w:fldCharType="separate"/>
      </w:r>
      <w:r w:rsidR="001E2164">
        <w:t>A.7.3</w:t>
      </w:r>
      <w:r>
        <w:fldChar w:fldCharType="end"/>
      </w:r>
      <w:r>
        <w:t xml:space="preserve"> and </w:t>
      </w:r>
      <w:r>
        <w:fldChar w:fldCharType="begin"/>
      </w:r>
      <w:r>
        <w:instrText xml:space="preserve"> REF _Ref401748758 \r \h </w:instrText>
      </w:r>
      <w:r>
        <w:fldChar w:fldCharType="separate"/>
      </w:r>
      <w:r w:rsidR="001E2164">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25D8110A"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1123B0">
        <w:rPr>
          <w:rStyle w:val="AERtexthighlight"/>
          <w:shd w:val="clear" w:color="auto" w:fill="auto"/>
        </w:rPr>
        <w:fldChar w:fldCharType="begin"/>
      </w:r>
      <w:r w:rsidR="001123B0">
        <w:rPr>
          <w:rStyle w:val="AERtexthighlight"/>
          <w:shd w:val="clear" w:color="auto" w:fill="auto"/>
        </w:rPr>
        <w:instrText xml:space="preserve"> REF _Ref435108741 \r \h </w:instrText>
      </w:r>
      <w:r w:rsidR="001123B0">
        <w:rPr>
          <w:rStyle w:val="AERtexthighlight"/>
          <w:shd w:val="clear" w:color="auto" w:fill="auto"/>
        </w:rPr>
      </w:r>
      <w:r w:rsidR="001123B0">
        <w:rPr>
          <w:rStyle w:val="AERtexthighlight"/>
          <w:shd w:val="clear" w:color="auto" w:fill="auto"/>
        </w:rPr>
        <w:fldChar w:fldCharType="separate"/>
      </w:r>
      <w:r w:rsidR="001123B0">
        <w:rPr>
          <w:rStyle w:val="AERtexthighlight"/>
          <w:shd w:val="clear" w:color="auto" w:fill="auto"/>
        </w:rPr>
        <w:t>A.14.3</w:t>
      </w:r>
      <w:r w:rsidR="001123B0">
        <w:rPr>
          <w:rStyle w:val="AERtexthighlight"/>
          <w:shd w:val="clear" w:color="auto" w:fill="auto"/>
        </w:rPr>
        <w:fldChar w:fldCharType="end"/>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049ABD5E"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 xml:space="preserve">sections </w:t>
      </w:r>
      <w:r w:rsidR="001123B0">
        <w:rPr>
          <w:rStyle w:val="AERbody"/>
        </w:rPr>
        <w:fldChar w:fldCharType="begin"/>
      </w:r>
      <w:r w:rsidR="001123B0">
        <w:rPr>
          <w:rStyle w:val="AERbody"/>
        </w:rPr>
        <w:instrText xml:space="preserve"> REF _Ref415065117 \r \h </w:instrText>
      </w:r>
      <w:r w:rsidR="001123B0">
        <w:rPr>
          <w:rStyle w:val="AERbody"/>
        </w:rPr>
      </w:r>
      <w:r w:rsidR="001123B0">
        <w:rPr>
          <w:rStyle w:val="AERbody"/>
        </w:rPr>
        <w:fldChar w:fldCharType="separate"/>
      </w:r>
      <w:r w:rsidR="001123B0">
        <w:rPr>
          <w:rStyle w:val="AERbody"/>
        </w:rPr>
        <w:t>A.14.4</w:t>
      </w:r>
      <w:r w:rsidR="001123B0">
        <w:rPr>
          <w:rStyle w:val="AERbody"/>
        </w:rPr>
        <w:fldChar w:fldCharType="end"/>
      </w:r>
      <w:r w:rsidRPr="00B535FE">
        <w:rPr>
          <w:rStyle w:val="AERbody"/>
        </w:rPr>
        <w:t xml:space="preserve"> and </w:t>
      </w:r>
      <w:r w:rsidR="001123B0">
        <w:rPr>
          <w:rStyle w:val="AERbody"/>
        </w:rPr>
        <w:fldChar w:fldCharType="begin"/>
      </w:r>
      <w:r w:rsidR="001123B0">
        <w:rPr>
          <w:rStyle w:val="AERbody"/>
        </w:rPr>
        <w:instrText xml:space="preserve"> REF _Ref414624721 \r \h </w:instrText>
      </w:r>
      <w:r w:rsidR="001123B0">
        <w:rPr>
          <w:rStyle w:val="AERbody"/>
        </w:rPr>
      </w:r>
      <w:r w:rsidR="001123B0">
        <w:rPr>
          <w:rStyle w:val="AERbody"/>
        </w:rPr>
        <w:fldChar w:fldCharType="separate"/>
      </w:r>
      <w:r w:rsidR="001123B0">
        <w:rPr>
          <w:rStyle w:val="AERbody"/>
        </w:rPr>
        <w:t>A.14.5</w:t>
      </w:r>
      <w:r w:rsidR="001123B0">
        <w:rPr>
          <w:rStyle w:val="AERbody"/>
        </w:rPr>
        <w:fldChar w:fldCharType="end"/>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8"/>
      </w:r>
      <w:r w:rsidR="009D7B99" w:rsidRPr="00B535FE">
        <w:rPr>
          <w:rStyle w:val="AERtexthighlight"/>
          <w:shd w:val="clear" w:color="auto" w:fill="auto"/>
        </w:rPr>
        <w:t xml:space="preserve"> </w:t>
      </w:r>
    </w:p>
    <w:p w14:paraId="4340E27D" w14:textId="5554260B"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cost of capital (</w:t>
      </w:r>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59"/>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are </w:t>
      </w:r>
      <w:r w:rsidRPr="007B0943">
        <w:rPr>
          <w:rStyle w:val="AERtexthighlight"/>
          <w:shd w:val="clear" w:color="auto" w:fill="auto"/>
        </w:rPr>
        <w:t>before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0"/>
      </w:r>
      <w:r w:rsidR="00E21D11" w:rsidRPr="007B0943" w:rsidDel="00E21D11">
        <w:rPr>
          <w:rStyle w:val="FootnoteReference"/>
          <w:vertAlign w:val="baseline"/>
        </w:rPr>
        <w:t xml:space="preserve"> </w:t>
      </w:r>
    </w:p>
    <w:p w14:paraId="09B48945" w14:textId="77777777" w:rsidR="00615CE6" w:rsidRDefault="00615CE6" w:rsidP="00615CE6">
      <w:pPr>
        <w:pStyle w:val="Heading9"/>
      </w:pPr>
      <w:bookmarkStart w:id="60" w:name="_Ref400962032"/>
      <w:r>
        <w:t xml:space="preserve">The tax </w:t>
      </w:r>
      <w:r w:rsidRPr="00615CE6">
        <w:t>building</w:t>
      </w:r>
      <w:r>
        <w:t xml:space="preserve"> block</w:t>
      </w:r>
      <w:bookmarkEnd w:id="60"/>
    </w:p>
    <w:p w14:paraId="6E02CFD7" w14:textId="0F2E7F22"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specify that we must estimate a nominal vanilla rate of return.</w:t>
      </w:r>
      <w:r w:rsidRPr="00721B11">
        <w:rPr>
          <w:rStyle w:val="FootnoteReference"/>
        </w:rPr>
        <w:footnoteReference w:id="161"/>
      </w:r>
      <w:r w:rsidR="001123B0">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415E71"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415E71"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r w:rsidR="00615CE6" w:rsidRPr="00615CE6">
        <w:t>is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is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2"/>
      </w:r>
    </w:p>
    <w:p w14:paraId="1942ED40" w14:textId="77777777" w:rsidR="00A3557D" w:rsidRDefault="00A3557D" w:rsidP="00A3557D">
      <w:pPr>
        <w:pStyle w:val="Heading8"/>
      </w:pPr>
      <w:bookmarkStart w:id="61" w:name="_Ref400965182"/>
      <w:bookmarkStart w:id="62" w:name="_Toc436038936"/>
      <w:r w:rsidRPr="00A3557D">
        <w:t>The</w:t>
      </w:r>
      <w:r>
        <w:t xml:space="preserve"> conceptual framework for the value of imputation credits</w:t>
      </w:r>
      <w:bookmarkEnd w:id="61"/>
      <w:bookmarkEnd w:id="62"/>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1E2164">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3"/>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4"/>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5"/>
      </w:r>
    </w:p>
    <w:p w14:paraId="08966943" w14:textId="77777777" w:rsidR="00A3557D" w:rsidRPr="00A3557D" w:rsidRDefault="00A3557D" w:rsidP="00A3557D">
      <w:pPr>
        <w:pStyle w:val="AERbulletlistfirststyle"/>
      </w:pPr>
      <w:r>
        <w:t xml:space="preserve">The </w:t>
      </w:r>
      <w:r w:rsidR="004569D9">
        <w:t>NER/NGR</w:t>
      </w:r>
      <w:r>
        <w:t xml:space="preserve"> require that we determine the rate of return </w:t>
      </w:r>
      <w:r w:rsidRPr="00A3557D">
        <w:t>on a nominal vanilla basis that is consistent with our estimate of the value of imputation credits.</w:t>
      </w:r>
      <w:r w:rsidRPr="00A3557D">
        <w:rPr>
          <w:rStyle w:val="FootnoteReference"/>
        </w:rPr>
        <w:footnoteReference w:id="166"/>
      </w:r>
    </w:p>
    <w:p w14:paraId="0D50D63B" w14:textId="77777777" w:rsidR="00A3557D" w:rsidRDefault="00A3557D" w:rsidP="00A3557D">
      <w:pPr>
        <w:numPr>
          <w:ilvl w:val="0"/>
          <w:numId w:val="25"/>
        </w:numPr>
      </w:pPr>
      <w:r>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Pr>
          <w:rStyle w:val="FootnoteReference"/>
        </w:rPr>
        <w:footnoteReference w:id="167"/>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r w:rsidRPr="00EB15F4">
        <w:t>and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“γ</w:t>
      </w:r>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8"/>
      </w:r>
      <w:r>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69"/>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m:t>F</m:t>
        </m:r>
      </m:oMath>
      <w:r w:rsidRPr="00A3557D">
        <w:t xml:space="preserve"> is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(theta)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(psi)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0"/>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1"/>
      </w:r>
    </w:p>
    <w:p w14:paraId="056A8CA5" w14:textId="16715C86"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w:t>
      </w:r>
      <w:r w:rsidR="001123B0">
        <w:t xml:space="preserve">cross investors is recognised. </w:t>
      </w:r>
      <w:r w:rsidRPr="00C17EEC">
        <w:t>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7B578922"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xml:space="preserve">; that is, our definition of the utilisation rate in this </w:t>
      </w:r>
      <w:r w:rsidR="00BE2FAB">
        <w:t xml:space="preserve">draft </w:t>
      </w:r>
      <w:r w:rsidR="003F1C59">
        <w:t>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1E2164">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1E2164">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1E2164">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utilisation rate of 1 and others who will have a utilisation rate of 0.</w:t>
      </w:r>
      <w:r>
        <w:rPr>
          <w:rStyle w:val="FootnoteReference"/>
        </w:rPr>
        <w:footnoteReference w:id="172"/>
      </w:r>
      <w:r>
        <w:t xml:space="preserve"> We discuss Handley's advice on this matter further in section </w:t>
      </w:r>
      <w:r>
        <w:fldChar w:fldCharType="begin"/>
      </w:r>
      <w:r>
        <w:instrText xml:space="preserve"> REF _Ref401748758 \r \h </w:instrText>
      </w:r>
      <w:r>
        <w:fldChar w:fldCharType="separate"/>
      </w:r>
      <w:r w:rsidR="001E2164">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r>
        <w:t>,</w:t>
      </w:r>
      <w:r w:rsidR="00A3557D">
        <w:t xml:space="preserve"> </w:t>
      </w:r>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3"/>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63" w:name="_Ref414282622"/>
      <w:bookmarkStart w:id="64" w:name="_Toc436038937"/>
      <w:r>
        <w:t>Gray</w:t>
      </w:r>
      <w:r w:rsidR="007D4339">
        <w:t xml:space="preserve">'s </w:t>
      </w:r>
      <w:r w:rsidR="00977EFF">
        <w:t>comments on the conceptual framework</w:t>
      </w:r>
      <w:bookmarkEnd w:id="63"/>
      <w:r w:rsidR="007D4339">
        <w:rPr>
          <w:rStyle w:val="FootnoteReference"/>
        </w:rPr>
        <w:footnoteReference w:id="174"/>
      </w:r>
      <w:bookmarkEnd w:id="64"/>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5"/>
      </w:r>
      <w:r>
        <w:t xml:space="preserve"> We set out our reasoning below.</w:t>
      </w:r>
    </w:p>
    <w:p w14:paraId="158C825C" w14:textId="21CB95B7" w:rsidR="006178F5" w:rsidRDefault="00655F54" w:rsidP="00776237">
      <w:pPr>
        <w:pStyle w:val="Heading9"/>
      </w:pPr>
      <w:bookmarkStart w:id="65" w:name="_Ref402179374"/>
      <w:r>
        <w:t>Gray</w:t>
      </w:r>
      <w:r w:rsidR="006178F5">
        <w:t>'s comments on the AER's position</w:t>
      </w:r>
    </w:p>
    <w:p w14:paraId="4A71C73B" w14:textId="4EFC2425"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r w:rsidR="006178F5">
        <w:t>'.</w:t>
      </w:r>
      <w:r w:rsidR="006178F5">
        <w:rPr>
          <w:rStyle w:val="FootnoteReference"/>
        </w:rPr>
        <w:footnoteReference w:id="176"/>
      </w:r>
      <w:r w:rsidR="006178F5">
        <w:t xml:space="preserve"> This is incorrect. Our definition of the utilisation rate in this </w:t>
      </w:r>
      <w:r w:rsidR="00BE2FAB">
        <w:t xml:space="preserve">draft </w:t>
      </w:r>
      <w:r w:rsidR="006178F5">
        <w:t>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1E2164">
        <w:t>A.7.3</w:t>
      </w:r>
      <w:r w:rsidR="005A4862">
        <w:fldChar w:fldCharType="end"/>
      </w:r>
      <w:r w:rsidR="005A4862">
        <w:t>.</w:t>
      </w:r>
    </w:p>
    <w:p w14:paraId="09F50B0A" w14:textId="5E8E8825"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7"/>
      </w:r>
      <w:r w:rsidR="00207CDF">
        <w:t xml:space="preserve"> This is also incorrect. In this </w:t>
      </w:r>
      <w:r w:rsidR="00BE2FAB">
        <w:t xml:space="preserve">draft </w:t>
      </w:r>
      <w:r w:rsidR="00207CDF">
        <w:t xml:space="preserve">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w:t>
      </w:r>
      <w:r w:rsidR="00BE2FAB">
        <w:t xml:space="preserve">draft </w:t>
      </w:r>
      <w:r w:rsidR="00207CDF">
        <w:t xml:space="preserve">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8"/>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1E2164">
        <w:t>4.4.2</w:t>
      </w:r>
      <w:r w:rsidR="00192A3E">
        <w:fldChar w:fldCharType="end"/>
      </w:r>
      <w:r w:rsidR="00192A3E">
        <w:t xml:space="preserve"> of attachment 4</w:t>
      </w:r>
      <w:r>
        <w:t>.</w:t>
      </w:r>
    </w:p>
    <w:p w14:paraId="2F54D367" w14:textId="40C3A87A" w:rsidR="00776237" w:rsidRDefault="000D7365" w:rsidP="00776237">
      <w:pPr>
        <w:pStyle w:val="Heading9"/>
      </w:pPr>
      <w:r>
        <w:t>Gray</w:t>
      </w:r>
      <w:r w:rsidR="00776237">
        <w:t xml:space="preserve">'s comments on </w:t>
      </w:r>
      <w:r w:rsidR="004A2B49">
        <w:t>certain</w:t>
      </w:r>
      <w:r w:rsidR="00776237">
        <w:t xml:space="preserve"> evidence and advice cited in the Guideline</w:t>
      </w:r>
      <w:bookmarkEnd w:id="65"/>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79"/>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0"/>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1"/>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66" w:name="_Ref414028398"/>
      <w:r>
        <w:t>Gray</w:t>
      </w:r>
      <w:r w:rsidR="00082AC5">
        <w:t>'s comments on Offi</w:t>
      </w:r>
      <w:r w:rsidR="00F650D2">
        <w:t>cer (1994)</w:t>
      </w:r>
      <w:bookmarkEnd w:id="66"/>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SFG,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2"/>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a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3"/>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4"/>
      </w:r>
    </w:p>
    <w:p w14:paraId="38C38CC4" w14:textId="77777777" w:rsidR="00C7355B" w:rsidRDefault="00E97C81" w:rsidP="00E97C81">
      <w:pPr>
        <w:pStyle w:val="AERquote"/>
      </w:pPr>
      <w:r>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5"/>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6"/>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7"/>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8"/>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89"/>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0"/>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415E71"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r>
        <w:t xml:space="preserve">where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credits that might be redeemed, but the extent to which imputation credits increase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1"/>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2"/>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3"/>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is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4"/>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415E71"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r>
        <w:t xml:space="preserve">where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255D538F" w14:textId="77777777" w:rsidR="00C22113" w:rsidRPr="00C22113" w:rsidRDefault="00C22113" w:rsidP="00596AF9"/>
    <w:p w14:paraId="4F183322" w14:textId="77777777" w:rsidR="00B27E42" w:rsidRDefault="007D06B6" w:rsidP="00B4676D">
      <w:r>
        <w:t>Gitman et al</w:t>
      </w:r>
      <w:r w:rsidR="004A70E0">
        <w:t xml:space="preserve"> (2011)</w:t>
      </w:r>
      <w:r>
        <w:t>:</w:t>
      </w:r>
      <w:r w:rsidR="004179E8">
        <w:rPr>
          <w:rStyle w:val="FootnoteReference"/>
        </w:rPr>
        <w:footnoteReference w:id="195"/>
      </w:r>
    </w:p>
    <w:p w14:paraId="6E6E8F38" w14:textId="77777777" w:rsidR="007D06B6" w:rsidRDefault="000228A2" w:rsidP="000228A2">
      <w:pPr>
        <w:pStyle w:val="AERquote"/>
      </w:pPr>
      <w:r>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of </w:t>
      </w:r>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6"/>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7"/>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8"/>
      </w:r>
    </w:p>
    <w:p w14:paraId="634C6D5F" w14:textId="31CDF405" w:rsidR="0078255A" w:rsidRDefault="0078255A" w:rsidP="0078255A">
      <w:pPr>
        <w:pStyle w:val="AERquote"/>
      </w:pP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199"/>
      </w:r>
    </w:p>
    <w:p w14:paraId="3164CDB6" w14:textId="77777777" w:rsidR="00800C8B" w:rsidRDefault="00800C8B" w:rsidP="00B4676D">
      <w:r>
        <w:t>Gray also quoted:</w:t>
      </w:r>
      <w:r>
        <w:rPr>
          <w:rStyle w:val="FootnoteReference"/>
        </w:rPr>
        <w:footnoteReference w:id="200"/>
      </w:r>
    </w:p>
    <w:p w14:paraId="03348BEC" w14:textId="77777777" w:rsidR="00800C8B" w:rsidRPr="00800C8B" w:rsidRDefault="00800C8B" w:rsidP="00800C8B">
      <w:pPr>
        <w:pStyle w:val="AERquote"/>
      </w:pPr>
      <w:r w:rsidRPr="00800C8B">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1"/>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reduced effect,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2"/>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3"/>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4"/>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available evidence with the intention of contributing to the policy debate around the efficacy of dividend imputation.</w:t>
      </w:r>
      <w:r w:rsidR="00391493">
        <w:rPr>
          <w:rStyle w:val="FootnoteReference"/>
        </w:rPr>
        <w:footnoteReference w:id="205"/>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6"/>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4AD1AF16"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w:t>
      </w:r>
      <w:r w:rsidR="001123B0">
        <w:t xml:space="preserve">equity ownership approach that </w:t>
      </w:r>
      <w:r>
        <w:t xml:space="preserve">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7"/>
      </w:r>
      <w:r w:rsidR="00B56748">
        <w:t xml:space="preserve"> the paper makes clear this evidence needs to be treated with caution stating:</w:t>
      </w:r>
      <w:r w:rsidR="00B56748">
        <w:rPr>
          <w:rStyle w:val="FootnoteReference"/>
        </w:rPr>
        <w:footnoteReference w:id="208"/>
      </w:r>
    </w:p>
    <w:p w14:paraId="6486452A" w14:textId="1E26351F" w:rsidR="00B56748" w:rsidRDefault="00B56748" w:rsidP="00144D81">
      <w:pPr>
        <w:pStyle w:val="AERquote"/>
      </w:pPr>
      <w:r w:rsidRPr="00B56748">
        <w:t>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09"/>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r>
        <w:t>Gray</w:t>
      </w:r>
      <w:r w:rsidR="00960F6E">
        <w:t>'s comments on the Monkhouse framework</w:t>
      </w:r>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(theta)</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0"/>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1"/>
      </w:r>
    </w:p>
    <w:p w14:paraId="6CD536D6" w14:textId="55F01A3F" w:rsidR="00B34D36" w:rsidRDefault="00B34D36" w:rsidP="004D16B8">
      <w:r>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2"/>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r>
        <w:t xml:space="preserve">the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3"/>
      </w:r>
    </w:p>
    <w:p w14:paraId="22C5A10E" w14:textId="77777777" w:rsidR="00BE1E99" w:rsidRDefault="00BE1E99" w:rsidP="00BE1E99">
      <w:pPr>
        <w:pStyle w:val="AERquote"/>
      </w:pPr>
      <w:r>
        <w:t>[The relevant class of CAPM models] derive an equilibrium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4"/>
      </w:r>
    </w:p>
    <w:p w14:paraId="79CC0562" w14:textId="77777777" w:rsidR="00EC0B07" w:rsidRDefault="00E5555B" w:rsidP="00EC0B07">
      <w:pPr>
        <w:pStyle w:val="AERquote"/>
      </w:pPr>
      <w:r>
        <w:t>[SFG’s claim that a representative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5"/>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6"/>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7"/>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67" w:name="_Ref414623120"/>
      <w:bookmarkStart w:id="68" w:name="_Toc436038938"/>
      <w:r>
        <w:t>Further issues relating to the utilisation rate</w:t>
      </w:r>
      <w:bookmarkEnd w:id="67"/>
      <w:bookmarkEnd w:id="68"/>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xml:space="preserve">, and in section </w:t>
      </w:r>
      <w:r w:rsidR="0003311D">
        <w:fldChar w:fldCharType="begin"/>
      </w:r>
      <w:r w:rsidR="0003311D">
        <w:instrText xml:space="preserve"> REF _Ref414289593 \r \h </w:instrText>
      </w:r>
      <w:r w:rsidR="0003311D">
        <w:fldChar w:fldCharType="separate"/>
      </w:r>
      <w:r w:rsidR="001E2164">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1E2164">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Therefore, we consider that eligible investors have a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r>
        <w:t>respond to NERA's view.</w:t>
      </w:r>
    </w:p>
    <w:p w14:paraId="304276F6" w14:textId="77777777" w:rsidR="00600543" w:rsidRDefault="00600543" w:rsidP="00600543">
      <w:pPr>
        <w:pStyle w:val="Heading9"/>
      </w:pPr>
      <w:bookmarkStart w:id="69" w:name="_Ref401748758"/>
      <w:r w:rsidRPr="00600543">
        <w:t>Consistency</w:t>
      </w:r>
      <w:r>
        <w:t xml:space="preserve"> with the building block framework</w:t>
      </w:r>
      <w:bookmarkEnd w:id="69"/>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8"/>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19"/>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0"/>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1"/>
      </w:r>
    </w:p>
    <w:p w14:paraId="1D0F8D2A" w14:textId="77777777" w:rsidR="007017ED" w:rsidRDefault="004A726F" w:rsidP="004A726F">
      <w:pPr>
        <w:pStyle w:val="AERquote"/>
      </w:pPr>
      <w:r w:rsidRPr="004A726F">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1BDE774A"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xml:space="preserve">, and maintain in this </w:t>
      </w:r>
      <w:r w:rsidR="00BE2FAB">
        <w:t xml:space="preserve">draft </w:t>
      </w:r>
      <w:r w:rsidR="002339AE">
        <w:t>decision,</w:t>
      </w:r>
      <w:r w:rsidR="00CF7CCA">
        <w:t xml:space="preserve"> that the Officer framework provides the basis for the rate of return framework in the NER/NGR.</w:t>
      </w:r>
      <w:r w:rsidR="00CF7CCA">
        <w:rPr>
          <w:rStyle w:val="FootnoteReference"/>
        </w:rPr>
        <w:footnoteReference w:id="222"/>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1E2164">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employ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's use of the Officer framework</w:t>
      </w:r>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3"/>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4"/>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5"/>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70" w:name="_Ref414099389"/>
      <w:r>
        <w:t>Factors affecting investors' valuation of imputation credits</w:t>
      </w:r>
      <w:bookmarkEnd w:id="70"/>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6"/>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7"/>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8"/>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29"/>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230"/>
      </w:r>
      <w:r w:rsidR="00106C16">
        <w:t xml:space="preserve"> Handley maintained this view in his April 2015 report.</w:t>
      </w:r>
      <w:r w:rsidR="00106C16">
        <w:rPr>
          <w:rStyle w:val="FootnoteReference"/>
        </w:rPr>
        <w:footnoteReference w:id="231"/>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2"/>
      </w:r>
      <w:r>
        <w:t xml:space="preserve"> We know that the amount of imputation credits attached to a dollar of fully franked dividends is $0.43 ($1 x 0.3/(1–0.3)).</w:t>
      </w:r>
      <w:r w:rsidR="00D712D1">
        <w:rPr>
          <w:rStyle w:val="FootnoteReference"/>
        </w:rPr>
        <w:footnoteReference w:id="233"/>
      </w:r>
      <w:r>
        <w:t xml:space="preserve"> 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1123B0">
        <w:t xml:space="preserve">Table </w:t>
      </w:r>
      <w:r w:rsidR="001123B0">
        <w:rPr>
          <w:noProof/>
        </w:rPr>
        <w:t>4.6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4"/>
      </w:r>
      <w:r>
        <w:t xml:space="preserve"> This suggests that the 45-day holding rule is not having a material effect.</w:t>
      </w:r>
    </w:p>
    <w:p w14:paraId="1775C6C8" w14:textId="155428C8" w:rsidR="00D52BA6" w:rsidRDefault="00D52BA6" w:rsidP="00D52BA6">
      <w:pPr>
        <w:pStyle w:val="Caption"/>
      </w:pPr>
      <w:bookmarkStart w:id="71" w:name="_Ref401848641"/>
      <w:r>
        <w:t xml:space="preserve">Table </w:t>
      </w:r>
      <w:fldSimple w:instr=" STYLEREF 1 \s ">
        <w:r w:rsidR="0072186C">
          <w:rPr>
            <w:noProof/>
          </w:rPr>
          <w:t>4</w:t>
        </w:r>
      </w:fldSimple>
      <w:r w:rsidR="0072186C">
        <w:t>.</w:t>
      </w:r>
      <w:fldSimple w:instr=" SEQ Table \* ARABIC \s 1 ">
        <w:r w:rsidR="0072186C">
          <w:rPr>
            <w:noProof/>
          </w:rPr>
          <w:t>6</w:t>
        </w:r>
      </w:fldSimple>
      <w:bookmarkEnd w:id="71"/>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5"/>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6"/>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7"/>
      </w:r>
      <w:r w:rsidR="00D21B03">
        <w:t xml:space="preserve"> we do not consider the above analysis provides compelling evidence that the 45 day rule is having a material impact given residual concerns with the data.</w:t>
      </w:r>
    </w:p>
    <w:p w14:paraId="70741A75" w14:textId="6936BEE6"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8"/>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72" w:name="_Ref400540858"/>
      <w:r>
        <w:t>Transactions costs</w:t>
      </w:r>
      <w:bookmarkEnd w:id="72"/>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39"/>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t xml:space="preserve">Firstly, we note that </w:t>
      </w:r>
      <w:r w:rsidR="00A24531">
        <w:t>Handley advised that we specifically not take account of these costs:</w:t>
      </w:r>
      <w:r w:rsidR="00A24531">
        <w:rPr>
          <w:rStyle w:val="FootnoteReference"/>
        </w:rPr>
        <w:footnoteReference w:id="240"/>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1"/>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2"/>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3"/>
      </w:r>
      <w:r w:rsidR="005A184F">
        <w:t xml:space="preserve"> In response, we note that:</w:t>
      </w:r>
    </w:p>
    <w:p w14:paraId="01B60A42" w14:textId="77777777" w:rsidR="005A184F" w:rsidRPr="005A184F" w:rsidRDefault="005A184F" w:rsidP="005A184F">
      <w:pPr>
        <w:pStyle w:val="AERbulletlistfirststyle"/>
      </w:pPr>
      <w:r>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4"/>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5"/>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6"/>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1E2164">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771FAB8A"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distributed imputation credits'.</w:t>
      </w:r>
      <w:r w:rsidR="00545E09">
        <w:rPr>
          <w:rStyle w:val="FootnoteReference"/>
        </w:rPr>
        <w:footnoteReference w:id="247"/>
      </w:r>
      <w:r w:rsidR="00545E09">
        <w:t xml:space="preserve"> In support of this, </w:t>
      </w:r>
      <w:r w:rsidR="004136CE">
        <w:t>a number of</w:t>
      </w:r>
      <w:r w:rsidR="00545E09">
        <w:t xml:space="preserve"> service</w:t>
      </w:r>
      <w:r w:rsidR="00FB6971">
        <w:t xml:space="preserve"> providers presented </w:t>
      </w:r>
      <w:r w:rsidR="001123B0">
        <w:fldChar w:fldCharType="begin"/>
      </w:r>
      <w:r w:rsidR="001123B0">
        <w:instrText xml:space="preserve"> REF _Ref415078600 \h </w:instrText>
      </w:r>
      <w:r w:rsidR="001123B0">
        <w:fldChar w:fldCharType="separate"/>
      </w:r>
      <w:r w:rsidR="001123B0">
        <w:t xml:space="preserve">Figure </w:t>
      </w:r>
      <w:r w:rsidR="001123B0">
        <w:rPr>
          <w:noProof/>
        </w:rPr>
        <w:t>4</w:t>
      </w:r>
      <w:r w:rsidR="001123B0">
        <w:t>.</w:t>
      </w:r>
      <w:r w:rsidR="001123B0">
        <w:rPr>
          <w:noProof/>
        </w:rPr>
        <w:t>1</w:t>
      </w:r>
      <w:r w:rsidR="001123B0">
        <w:fldChar w:fldCharType="end"/>
      </w:r>
      <w:r w:rsidR="00FB6971">
        <w:t xml:space="preserve"> and </w:t>
      </w:r>
      <w:r w:rsidR="001123B0">
        <w:fldChar w:fldCharType="begin"/>
      </w:r>
      <w:r w:rsidR="001123B0">
        <w:instrText xml:space="preserve"> REF _Ref415078618 \h </w:instrText>
      </w:r>
      <w:r w:rsidR="001123B0">
        <w:fldChar w:fldCharType="separate"/>
      </w:r>
      <w:r w:rsidR="001123B0">
        <w:t xml:space="preserve">Figure </w:t>
      </w:r>
      <w:r w:rsidR="001123B0">
        <w:rPr>
          <w:noProof/>
        </w:rPr>
        <w:t>4</w:t>
      </w:r>
      <w:r w:rsidR="001123B0">
        <w:t>.</w:t>
      </w:r>
      <w:r w:rsidR="001123B0">
        <w:rPr>
          <w:noProof/>
        </w:rPr>
        <w:t>2</w:t>
      </w:r>
      <w:r w:rsidR="001123B0">
        <w:fldChar w:fldCharType="end"/>
      </w:r>
      <w:r w:rsidR="00545E09">
        <w:t xml:space="preserve">. </w:t>
      </w:r>
    </w:p>
    <w:p w14:paraId="7FBEC5DE" w14:textId="7609D45B" w:rsidR="00545B75" w:rsidRDefault="00A7103E" w:rsidP="00A7103E">
      <w:pPr>
        <w:pStyle w:val="Caption"/>
      </w:pPr>
      <w:bookmarkStart w:id="73" w:name="_Ref415078600"/>
      <w:r>
        <w:t xml:space="preserve">Figure </w:t>
      </w:r>
      <w:fldSimple w:instr=" STYLEREF 1 \s ">
        <w:r w:rsidR="0072186C">
          <w:rPr>
            <w:noProof/>
          </w:rPr>
          <w:t>4</w:t>
        </w:r>
      </w:fldSimple>
      <w:r w:rsidR="0072186C">
        <w:t>.</w:t>
      </w:r>
      <w:fldSimple w:instr=" SEQ Figure \* ARABIC \s 1 ">
        <w:r w:rsidR="0072186C">
          <w:rPr>
            <w:noProof/>
          </w:rPr>
          <w:t>1</w:t>
        </w:r>
      </w:fldSimple>
      <w:bookmarkEnd w:id="73"/>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1698E469" w:rsidR="006B28F5" w:rsidRDefault="006B28F5" w:rsidP="006B28F5">
      <w:pPr>
        <w:pStyle w:val="Caption"/>
      </w:pPr>
      <w:bookmarkStart w:id="74" w:name="_Ref415078618"/>
      <w:r>
        <w:t xml:space="preserve">Figure </w:t>
      </w:r>
      <w:fldSimple w:instr=" STYLEREF 1 \s ">
        <w:r w:rsidR="0072186C">
          <w:rPr>
            <w:noProof/>
          </w:rPr>
          <w:t>4</w:t>
        </w:r>
      </w:fldSimple>
      <w:r w:rsidR="0072186C">
        <w:t>.</w:t>
      </w:r>
      <w:fldSimple w:instr=" SEQ Figure \* ARABIC \s 1 ">
        <w:r w:rsidR="0072186C">
          <w:rPr>
            <w:noProof/>
          </w:rPr>
          <w:t>2</w:t>
        </w:r>
      </w:fldSimple>
      <w:bookmarkEnd w:id="74"/>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53AB60E2" w:rsidR="00A067BD" w:rsidRDefault="00545E09" w:rsidP="00F56EED">
      <w:r>
        <w:t xml:space="preserve">This notwithstanding, we consider that there are a number of problems with </w:t>
      </w:r>
      <w:r w:rsidR="001123B0">
        <w:fldChar w:fldCharType="begin"/>
      </w:r>
      <w:r w:rsidR="001123B0">
        <w:instrText xml:space="preserve"> REF _Ref415078600 \h </w:instrText>
      </w:r>
      <w:r w:rsidR="001123B0">
        <w:fldChar w:fldCharType="separate"/>
      </w:r>
      <w:r w:rsidR="001123B0">
        <w:t xml:space="preserve">Figure </w:t>
      </w:r>
      <w:r w:rsidR="001123B0">
        <w:rPr>
          <w:noProof/>
        </w:rPr>
        <w:t>4</w:t>
      </w:r>
      <w:r w:rsidR="001123B0">
        <w:t>.</w:t>
      </w:r>
      <w:r w:rsidR="001123B0">
        <w:rPr>
          <w:noProof/>
        </w:rPr>
        <w:t>1</w:t>
      </w:r>
      <w:r w:rsidR="001123B0">
        <w:fldChar w:fldCharType="end"/>
      </w:r>
      <w:r w:rsidR="00FB6971">
        <w:t xml:space="preserve"> and </w:t>
      </w:r>
      <w:r w:rsidR="001123B0">
        <w:fldChar w:fldCharType="begin"/>
      </w:r>
      <w:r w:rsidR="001123B0">
        <w:instrText xml:space="preserve"> REF _Ref415078618 \h </w:instrText>
      </w:r>
      <w:r w:rsidR="001123B0">
        <w:fldChar w:fldCharType="separate"/>
      </w:r>
      <w:r w:rsidR="001123B0">
        <w:t xml:space="preserve">Figure </w:t>
      </w:r>
      <w:r w:rsidR="001123B0">
        <w:rPr>
          <w:noProof/>
        </w:rPr>
        <w:t>4</w:t>
      </w:r>
      <w:r w:rsidR="001123B0">
        <w:t>.</w:t>
      </w:r>
      <w:r w:rsidR="001123B0">
        <w:rPr>
          <w:noProof/>
        </w:rPr>
        <w:t>2</w:t>
      </w:r>
      <w:r w:rsidR="001123B0">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59AB6BB7" w:rsidR="00605B17" w:rsidRDefault="002C3021" w:rsidP="00F56EED">
      <w:r>
        <w:t xml:space="preserve">The key difference between the figures is that in </w:t>
      </w:r>
      <w:r w:rsidR="001123B0">
        <w:fldChar w:fldCharType="begin"/>
      </w:r>
      <w:r w:rsidR="001123B0">
        <w:instrText xml:space="preserve"> REF _Ref415078600 \h </w:instrText>
      </w:r>
      <w:r w:rsidR="001123B0">
        <w:fldChar w:fldCharType="separate"/>
      </w:r>
      <w:r w:rsidR="001123B0">
        <w:t xml:space="preserve">Figure </w:t>
      </w:r>
      <w:r w:rsidR="001123B0">
        <w:rPr>
          <w:noProof/>
        </w:rPr>
        <w:t>4</w:t>
      </w:r>
      <w:r w:rsidR="001123B0">
        <w:t>.</w:t>
      </w:r>
      <w:r w:rsidR="001123B0">
        <w:rPr>
          <w:noProof/>
        </w:rPr>
        <w:t>1</w:t>
      </w:r>
      <w:r w:rsidR="001123B0">
        <w:fldChar w:fldCharType="end"/>
      </w:r>
      <w:r w:rsidR="00E83279">
        <w:t xml:space="preserve"> the SFG estimate of the value of distributed credits is ultimately compared to the refined share of foreign ownership of listed equity, and in </w:t>
      </w:r>
      <w:r w:rsidR="001123B0">
        <w:fldChar w:fldCharType="begin"/>
      </w:r>
      <w:r w:rsidR="001123B0">
        <w:instrText xml:space="preserve"> REF _Ref415078618 \h </w:instrText>
      </w:r>
      <w:r w:rsidR="001123B0">
        <w:fldChar w:fldCharType="separate"/>
      </w:r>
      <w:r w:rsidR="001123B0">
        <w:t xml:space="preserve">Figure </w:t>
      </w:r>
      <w:r w:rsidR="001123B0">
        <w:rPr>
          <w:noProof/>
        </w:rPr>
        <w:t>4</w:t>
      </w:r>
      <w:r w:rsidR="001123B0">
        <w:t>.</w:t>
      </w:r>
      <w:r w:rsidR="001123B0">
        <w:rPr>
          <w:noProof/>
        </w:rPr>
        <w:t>2</w:t>
      </w:r>
      <w:r w:rsidR="001123B0">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estimate will represent </w:t>
      </w:r>
      <w:r w:rsidR="00246058">
        <w:t>'an average across all listed firms'.</w:t>
      </w:r>
      <w:r w:rsidR="00246058">
        <w:rPr>
          <w:rStyle w:val="FootnoteReference"/>
        </w:rPr>
        <w:footnoteReference w:id="248"/>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1123B0">
        <w:fldChar w:fldCharType="begin"/>
      </w:r>
      <w:r w:rsidR="001123B0">
        <w:instrText xml:space="preserve"> REF _Ref415078618 \h </w:instrText>
      </w:r>
      <w:r w:rsidR="001123B0">
        <w:fldChar w:fldCharType="separate"/>
      </w:r>
      <w:r w:rsidR="001123B0">
        <w:t xml:space="preserve">Figure </w:t>
      </w:r>
      <w:r w:rsidR="001123B0">
        <w:rPr>
          <w:noProof/>
        </w:rPr>
        <w:t>4</w:t>
      </w:r>
      <w:r w:rsidR="001123B0">
        <w:t>.</w:t>
      </w:r>
      <w:r w:rsidR="001123B0">
        <w:rPr>
          <w:noProof/>
        </w:rPr>
        <w:t>2</w:t>
      </w:r>
      <w:r w:rsidR="001123B0">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18886B"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1123B0">
        <w:fldChar w:fldCharType="begin"/>
      </w:r>
      <w:r w:rsidR="001123B0">
        <w:instrText xml:space="preserve"> REF _Ref415078600 \h </w:instrText>
      </w:r>
      <w:r w:rsidR="001123B0">
        <w:fldChar w:fldCharType="separate"/>
      </w:r>
      <w:r w:rsidR="001123B0">
        <w:t xml:space="preserve">Figure </w:t>
      </w:r>
      <w:r w:rsidR="001123B0">
        <w:rPr>
          <w:noProof/>
        </w:rPr>
        <w:t>4</w:t>
      </w:r>
      <w:r w:rsidR="001123B0">
        <w:t>.</w:t>
      </w:r>
      <w:r w:rsidR="001123B0">
        <w:rPr>
          <w:noProof/>
        </w:rPr>
        <w:t>1</w:t>
      </w:r>
      <w:r w:rsidR="001123B0">
        <w:fldChar w:fldCharType="end"/>
      </w:r>
      <w:r w:rsidR="003E2CFF">
        <w:t xml:space="preserve"> and </w:t>
      </w:r>
      <w:r w:rsidR="001123B0">
        <w:fldChar w:fldCharType="begin"/>
      </w:r>
      <w:r w:rsidR="001123B0">
        <w:instrText xml:space="preserve"> REF _Ref415078618 \h </w:instrText>
      </w:r>
      <w:r w:rsidR="001123B0">
        <w:fldChar w:fldCharType="separate"/>
      </w:r>
      <w:r w:rsidR="001123B0">
        <w:t xml:space="preserve">Figure </w:t>
      </w:r>
      <w:r w:rsidR="001123B0">
        <w:rPr>
          <w:noProof/>
        </w:rPr>
        <w:t>4</w:t>
      </w:r>
      <w:r w:rsidR="001123B0">
        <w:t>.</w:t>
      </w:r>
      <w:r w:rsidR="001123B0">
        <w:rPr>
          <w:noProof/>
        </w:rPr>
        <w:t>2</w:t>
      </w:r>
      <w:r w:rsidR="001123B0">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4F259A75" w:rsidR="00E77E30" w:rsidRDefault="00880298" w:rsidP="00F56EED">
      <w:r>
        <w:t>Using the relevant estimate of the foreign equity ownership share</w:t>
      </w:r>
      <w:r w:rsidR="00AF7793">
        <w:t xml:space="preserve"> discussed above</w:t>
      </w:r>
      <w:r>
        <w:t xml:space="preserve">, the logic of </w:t>
      </w:r>
      <w:r w:rsidR="001123B0">
        <w:fldChar w:fldCharType="begin"/>
      </w:r>
      <w:r w:rsidR="001123B0">
        <w:instrText xml:space="preserve"> REF _Ref415078600 \h </w:instrText>
      </w:r>
      <w:r w:rsidR="001123B0">
        <w:fldChar w:fldCharType="separate"/>
      </w:r>
      <w:r w:rsidR="001123B0">
        <w:t xml:space="preserve">Figure </w:t>
      </w:r>
      <w:r w:rsidR="001123B0">
        <w:rPr>
          <w:noProof/>
        </w:rPr>
        <w:t>4</w:t>
      </w:r>
      <w:r w:rsidR="001123B0">
        <w:t>.</w:t>
      </w:r>
      <w:r w:rsidR="001123B0">
        <w:rPr>
          <w:noProof/>
        </w:rPr>
        <w:t>1</w:t>
      </w:r>
      <w:r w:rsidR="001123B0">
        <w:fldChar w:fldCharType="end"/>
      </w:r>
      <w:r w:rsidR="00602CA1">
        <w:t xml:space="preserve"> and </w:t>
      </w:r>
      <w:r w:rsidR="001123B0">
        <w:fldChar w:fldCharType="begin"/>
      </w:r>
      <w:r w:rsidR="001123B0">
        <w:instrText xml:space="preserve"> REF _Ref415078618 \h </w:instrText>
      </w:r>
      <w:r w:rsidR="001123B0">
        <w:fldChar w:fldCharType="separate"/>
      </w:r>
      <w:r w:rsidR="001123B0">
        <w:t xml:space="preserve">Figure </w:t>
      </w:r>
      <w:r w:rsidR="001123B0">
        <w:rPr>
          <w:noProof/>
        </w:rPr>
        <w:t>4</w:t>
      </w:r>
      <w:r w:rsidR="001123B0">
        <w:t>.</w:t>
      </w:r>
      <w:r w:rsidR="001123B0">
        <w:rPr>
          <w:noProof/>
        </w:rPr>
        <w:t>2</w:t>
      </w:r>
      <w:r w:rsidR="001123B0">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49"/>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significant unresolved problems with the data</w:t>
      </w:r>
      <w:r>
        <w:t>.</w:t>
      </w:r>
      <w:r w:rsidR="001F5AF0">
        <w:rPr>
          <w:rStyle w:val="FootnoteReference"/>
        </w:rPr>
        <w:footnoteReference w:id="250"/>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1"/>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2"/>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3"/>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4"/>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252EF54F"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5"/>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w:t>
      </w:r>
      <w:r w:rsidR="0002578A">
        <w:rPr>
          <w:rStyle w:val="AERbody"/>
        </w:rPr>
        <w:t>be used as a point estimate of 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02578A">
        <w:rPr>
          <w:rStyle w:val="AERbody"/>
        </w:rPr>
        <w:t>theta</w:t>
      </w:r>
      <w:r w:rsidR="00A275B2" w:rsidRPr="00DC6340">
        <w:rPr>
          <w:rStyle w:val="AERbody"/>
        </w:rPr>
        <w:t>, a position we agree with.</w:t>
      </w:r>
      <w:r w:rsidR="00DC6340">
        <w:rPr>
          <w:rStyle w:val="FootnoteReference"/>
        </w:rPr>
        <w:footnoteReference w:id="256"/>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r>
        <w:t>NERA's comments on the utilisation rate</w:t>
      </w:r>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7"/>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r>
        <w:t xml:space="preserve">where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8"/>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59"/>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0"/>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1"/>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2"/>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3"/>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4"/>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5"/>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is not clearly material 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6"/>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7"/>
      </w:r>
      <w:r w:rsidR="00971F3A" w:rsidRPr="00507D00">
        <w:rPr>
          <w:rStyle w:val="AERbody"/>
        </w:rPr>
        <w:t xml:space="preserve"> </w:t>
      </w:r>
      <w:r w:rsidR="007801A5" w:rsidRPr="00507D00">
        <w:rPr>
          <w:rStyle w:val="AERbody"/>
        </w:rPr>
        <w:t xml:space="preserve"> </w:t>
      </w:r>
    </w:p>
    <w:p w14:paraId="007A08FD" w14:textId="4C736E41"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w:t>
      </w:r>
      <w:r w:rsidR="001123B0">
        <w:rPr>
          <w:rStyle w:val="AERbody"/>
        </w:rPr>
        <w:t xml:space="preserve">n is not adequately supported. </w:t>
      </w:r>
      <w:r w:rsidR="0058150D" w:rsidRPr="00507D00">
        <w:rPr>
          <w:rStyle w:val="AERbody"/>
        </w:rPr>
        <w:t>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8"/>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69"/>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0"/>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1"/>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2"/>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75" w:name="_Ref415068711"/>
      <w:bookmarkStart w:id="76" w:name="_Toc436038939"/>
      <w:r w:rsidRPr="00063611">
        <w:t>Estimation</w:t>
      </w:r>
      <w:r>
        <w:t xml:space="preserve"> approach considerations</w:t>
      </w:r>
      <w:bookmarkEnd w:id="75"/>
      <w:bookmarkEnd w:id="76"/>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77" w:name="_Ref401048631"/>
      <w:r>
        <w:t xml:space="preserve">Evidence from all equity or </w:t>
      </w:r>
      <w:r w:rsidR="001C274C">
        <w:t>only listed equity</w:t>
      </w:r>
      <w:bookmarkEnd w:id="77"/>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3"/>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4"/>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5"/>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6"/>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7"/>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8"/>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1E2164">
        <w:t>A.8.2</w:t>
      </w:r>
      <w:r w:rsidR="00FB4F6C">
        <w:fldChar w:fldCharType="end"/>
      </w:r>
      <w:r w:rsidR="00FB4F6C">
        <w:t>).</w:t>
      </w:r>
    </w:p>
    <w:p w14:paraId="548D7A1C" w14:textId="77777777" w:rsidR="00063611" w:rsidRDefault="00063611" w:rsidP="00063611">
      <w:pPr>
        <w:pStyle w:val="Heading9"/>
      </w:pPr>
      <w:bookmarkStart w:id="78" w:name="_Ref403481194"/>
      <w:r>
        <w:t xml:space="preserve">Relationship between the distribution rate and </w:t>
      </w:r>
      <w:r w:rsidRPr="00063611">
        <w:t>the</w:t>
      </w:r>
      <w:r>
        <w:t xml:space="preserve"> utilisation rate</w:t>
      </w:r>
      <w:bookmarkEnd w:id="78"/>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79"/>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0"/>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1"/>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this issues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2"/>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79" w:name="_Ref401133206"/>
      <w:bookmarkStart w:id="80" w:name="_Toc436038940"/>
      <w:r w:rsidRPr="00EF5E4A">
        <w:t>Estimating</w:t>
      </w:r>
      <w:r>
        <w:t xml:space="preserve"> the </w:t>
      </w:r>
      <w:r w:rsidRPr="00BC3784">
        <w:t>distribution</w:t>
      </w:r>
      <w:r>
        <w:t xml:space="preserve"> rate</w:t>
      </w:r>
      <w:bookmarkEnd w:id="79"/>
      <w:bookmarkEnd w:id="80"/>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1E2164">
        <w:t>4.4.1</w:t>
      </w:r>
      <w:r w:rsidR="0081589C">
        <w:fldChar w:fldCharType="end"/>
      </w:r>
      <w:r>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Pr>
          <w:rStyle w:val="FootnoteReference"/>
        </w:rPr>
        <w:footnoteReference w:id="283"/>
      </w:r>
      <w:r>
        <w:t xml:space="preserve"> Hathaway found a similar estimate for the period 2004 to 2011.</w:t>
      </w:r>
      <w:r>
        <w:rPr>
          <w:rStyle w:val="FootnoteReference"/>
        </w:rPr>
        <w:footnoteReference w:id="284"/>
      </w:r>
      <w:r>
        <w:t xml:space="preserve"> Also using this approach, Handley estimated a distribution rate across </w:t>
      </w:r>
      <w:r w:rsidR="001C274C">
        <w:t>only listed equity</w:t>
      </w:r>
      <w:r>
        <w:t xml:space="preserve"> of 0.8 for the period 1987 to 2011.</w:t>
      </w:r>
      <w:r>
        <w:rPr>
          <w:rStyle w:val="FootnoteReference"/>
        </w:rPr>
        <w:footnoteReference w:id="285"/>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55FCE278"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6"/>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7"/>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8"/>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estimate for the</w:t>
      </w:r>
      <w:r w:rsidR="00EB25AD">
        <w:t xml:space="preserve"> </w:t>
      </w:r>
      <w:r w:rsidR="003F30E2">
        <w:t>decision</w:t>
      </w:r>
      <w:r w:rsidR="00EB25AD">
        <w:t>s</w:t>
      </w:r>
      <w:r w:rsidR="003F30E2">
        <w:t xml:space="preserve"> released in </w:t>
      </w:r>
      <w:r w:rsidR="00ED0B08">
        <w:t>June</w:t>
      </w:r>
      <w:r w:rsidR="003F30E2">
        <w:t xml:space="preserve"> </w:t>
      </w:r>
      <w:r w:rsidR="00EB25AD">
        <w:t xml:space="preserve">and October </w:t>
      </w:r>
      <w:r w:rsidR="003F30E2">
        <w:t>2015 and continue to</w:t>
      </w:r>
      <w:r w:rsidR="007938F1">
        <w:t xml:space="preserve"> use this estimate in this </w:t>
      </w:r>
      <w:r w:rsidR="00D64705">
        <w:t xml:space="preserve">draft </w:t>
      </w:r>
      <w:r w:rsidR="007938F1">
        <w:t>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81" w:name="_Ref414289334"/>
      <w:bookmarkStart w:id="82"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81"/>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89"/>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5C705157"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1E2164">
        <w:t>A.9.2</w:t>
      </w:r>
      <w:r w:rsidR="00680EF4">
        <w:fldChar w:fldCharType="end"/>
      </w:r>
      <w:r w:rsidR="00AB06BE">
        <w:t xml:space="preserve"> of this</w:t>
      </w:r>
      <w:r>
        <w:t xml:space="preserve"> </w:t>
      </w:r>
      <w:r w:rsidR="00D64705">
        <w:t xml:space="preserve">draft </w:t>
      </w:r>
      <w:r>
        <w:t>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0"/>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1"/>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2"/>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3"/>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4"/>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A 9.2 and also further below).  </w:t>
      </w:r>
    </w:p>
    <w:p w14:paraId="27BAC015" w14:textId="2BFEAB6E" w:rsidR="001573AB" w:rsidRDefault="009C5A79" w:rsidP="00424E33">
      <w:r>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5"/>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6"/>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7"/>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8"/>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299"/>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0"/>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1E2164">
        <w:t xml:space="preserve">figure </w:t>
      </w:r>
      <w:r w:rsidR="001E2164">
        <w:rPr>
          <w:noProof/>
        </w:rPr>
        <w:t>4</w:t>
      </w:r>
      <w:r w:rsidR="001E2164">
        <w:noBreakHyphen/>
      </w:r>
      <w:r w:rsidR="001E2164">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1E2164">
        <w:t xml:space="preserve">figure </w:t>
      </w:r>
      <w:r w:rsidR="001E2164">
        <w:rPr>
          <w:noProof/>
        </w:rPr>
        <w:t>4</w:t>
      </w:r>
      <w:r w:rsidR="001E2164">
        <w:noBreakHyphen/>
      </w:r>
      <w:r w:rsidR="001E2164">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0359A03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r w:rsidR="001B05B4">
        <w:t>,</w:t>
      </w:r>
      <w:r>
        <w:t xml:space="preserve"> </w:t>
      </w:r>
      <w:r w:rsidR="001B05B4">
        <w:t xml:space="preserve">NERA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1"/>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2"/>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3"/>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83" w:name="_Ref415126827"/>
      <w:r>
        <w:t>The cumulative payout ratio approach</w:t>
      </w:r>
      <w:bookmarkEnd w:id="82"/>
      <w:bookmarkEnd w:id="83"/>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4"/>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r>
        <w:t xml:space="preserve">Alternative </w:t>
      </w:r>
      <w:r w:rsidRPr="00BC3784">
        <w:t>approaches</w:t>
      </w:r>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5"/>
      </w:r>
      <w:r w:rsidR="00AC6F43">
        <w:t xml:space="preserve"> However, neither advocated</w:t>
      </w:r>
      <w:r w:rsidRPr="00BC3784">
        <w:t xml:space="preserve"> the use of this estimate. NERA considered:</w:t>
      </w:r>
      <w:r w:rsidRPr="00BC3784">
        <w:rPr>
          <w:rStyle w:val="FootnoteReference"/>
        </w:rPr>
        <w:footnoteReference w:id="306"/>
      </w:r>
    </w:p>
    <w:p w14:paraId="638BDEED" w14:textId="77777777" w:rsidR="00BC3784" w:rsidRDefault="00BC3784" w:rsidP="00BC3784">
      <w:pPr>
        <w:pStyle w:val="AERquote"/>
      </w:pPr>
      <w:r w:rsidRPr="000B7792">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7"/>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8"/>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r>
        <w:t>Hathaway (2014)</w:t>
      </w:r>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09"/>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0"/>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3D8C908C"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 xml:space="preserve">the FAB data in this </w:t>
      </w:r>
      <w:r w:rsidR="00D64705">
        <w:t xml:space="preserve">draft </w:t>
      </w:r>
      <w:r w:rsidR="00CE52F5">
        <w:t>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84" w:name="_Ref403481535"/>
      <w:bookmarkStart w:id="85" w:name="_Toc436038941"/>
      <w:r>
        <w:t>Application of rate of return criteria to evidence on the utilisation rate</w:t>
      </w:r>
      <w:bookmarkEnd w:id="84"/>
      <w:bookmarkEnd w:id="85"/>
    </w:p>
    <w:p w14:paraId="0E13DF73" w14:textId="0D055A10"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1E2164">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72186C">
        <w:t xml:space="preserve">table </w:t>
      </w:r>
      <w:r w:rsidR="0072186C">
        <w:rPr>
          <w:noProof/>
        </w:rPr>
        <w:t>4</w:t>
      </w:r>
      <w:r w:rsidR="0072186C" w:rsidRPr="00277D14">
        <w:noBreakHyphen/>
      </w:r>
      <w:r w:rsidR="0072186C">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5B41AA3D" w:rsidR="00277D14" w:rsidRPr="00277D14" w:rsidRDefault="00277D14" w:rsidP="00277D14">
      <w:pPr>
        <w:pStyle w:val="Caption"/>
      </w:pPr>
      <w:bookmarkStart w:id="86" w:name="_Ref415046112"/>
      <w:r>
        <w:t xml:space="preserve">Table </w:t>
      </w:r>
      <w:fldSimple w:instr=" STYLEREF 1 \s ">
        <w:r w:rsidR="0072186C">
          <w:rPr>
            <w:noProof/>
          </w:rPr>
          <w:t>4</w:t>
        </w:r>
      </w:fldSimple>
      <w:r w:rsidR="0072186C">
        <w:t>.</w:t>
      </w:r>
      <w:fldSimple w:instr=" SEQ Table \* ARABIC \s 1 ">
        <w:r w:rsidR="0072186C">
          <w:rPr>
            <w:noProof/>
          </w:rPr>
          <w:t>7</w:t>
        </w:r>
      </w:fldSimple>
      <w:bookmarkEnd w:id="86"/>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87" w:name="_Ref403481615"/>
    </w:p>
    <w:p w14:paraId="0DA7B9E1" w14:textId="77777777" w:rsidR="0016005F" w:rsidRDefault="0016005F" w:rsidP="0016005F">
      <w:pPr>
        <w:pStyle w:val="Heading8"/>
      </w:pPr>
      <w:bookmarkStart w:id="88" w:name="_Ref415049811"/>
      <w:bookmarkStart w:id="89" w:name="_Toc436038942"/>
      <w:r>
        <w:t xml:space="preserve">The equity ownership </w:t>
      </w:r>
      <w:r w:rsidRPr="0016005F">
        <w:t>approach</w:t>
      </w:r>
      <w:bookmarkEnd w:id="87"/>
      <w:bookmarkEnd w:id="88"/>
      <w:bookmarkEnd w:id="89"/>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1"/>
      </w:r>
    </w:p>
    <w:p w14:paraId="70E87D5C" w14:textId="05743A41"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1E2164">
        <w:t>4.4.2</w:t>
      </w:r>
      <w:r w:rsidR="00966578">
        <w:fldChar w:fldCharType="end"/>
      </w:r>
      <w:r>
        <w:t xml:space="preserve"> of attachment 4. In this section, we provide further detail on our application of the approach. We also compare our assessment of the approach in this </w:t>
      </w:r>
      <w:r w:rsidR="00D64705">
        <w:t xml:space="preserve">draft </w:t>
      </w:r>
      <w:r>
        <w:t>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1E2164">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1E2164">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12E2A99F"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w:t>
      </w:r>
      <w:r w:rsidR="001123B0">
        <w:t xml:space="preserve"> framework. </w:t>
      </w:r>
      <w:r w:rsidRPr="0016005F">
        <w:t>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2"/>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t>A 2007 feature article by the ABS, in which it was estimated using data from the National Accounts that domestic investors held 71 per cent of Australian equity.</w:t>
      </w:r>
      <w:r w:rsidRPr="0016005F">
        <w:rPr>
          <w:rStyle w:val="FootnoteReference"/>
        </w:rPr>
        <w:footnoteReference w:id="313"/>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4"/>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1E2164">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25A908AA"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w:t>
      </w:r>
      <w:r w:rsidR="00D64705">
        <w:t>draft</w:t>
      </w:r>
      <w:r w:rsidR="00D64705" w:rsidRPr="00074FD1">
        <w:t xml:space="preserve"> </w:t>
      </w:r>
      <w:r w:rsidR="00074FD1" w:rsidRPr="00074FD1">
        <w:t xml:space="preserve">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5"/>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7B7A3FD7" w:rsidR="00A23477" w:rsidRDefault="00C449C9" w:rsidP="00A23477">
      <w:pPr>
        <w:numPr>
          <w:ilvl w:val="0"/>
          <w:numId w:val="25"/>
        </w:numPr>
      </w:pPr>
      <w:r>
        <w:t>Our estimate</w:t>
      </w:r>
      <w:r w:rsidR="00A23477">
        <w:t xml:space="preserve"> ranges </w:t>
      </w:r>
      <w:r>
        <w:t xml:space="preserve">in this </w:t>
      </w:r>
      <w:r w:rsidR="00D64705">
        <w:t xml:space="preserve">draft </w:t>
      </w:r>
      <w:r>
        <w:t>decision</w:t>
      </w:r>
      <w:r w:rsidR="00A23477">
        <w:t xml:space="preserve"> differ from the corresponding ranges in the draft decisions</w:t>
      </w:r>
      <w:r w:rsidR="00D64705">
        <w:t xml:space="preserve"> released in 2014</w:t>
      </w:r>
      <w:r w:rsidR="00A23477">
        <w:t xml:space="preserve">.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6"/>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37CDFB4C"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7"/>
      </w:r>
      <w:r>
        <w:t xml:space="preserve"> Accordingly, </w:t>
      </w:r>
      <w:r w:rsidR="00C600C4">
        <w:t xml:space="preserve">as we did in the decisions released </w:t>
      </w:r>
      <w:r w:rsidR="00ED0B08">
        <w:t>i</w:t>
      </w:r>
      <w:r w:rsidR="00C600C4">
        <w:t>n April</w:t>
      </w:r>
      <w:r w:rsidR="00D64705">
        <w:t>,</w:t>
      </w:r>
      <w:r w:rsidR="00C600C4">
        <w:t xml:space="preserve"> </w:t>
      </w:r>
      <w:r w:rsidR="00ED0B08">
        <w:t>June</w:t>
      </w:r>
      <w:r w:rsidR="00C600C4">
        <w:t xml:space="preserve"> </w:t>
      </w:r>
      <w:r w:rsidR="00D64705">
        <w:t xml:space="preserve">and October </w:t>
      </w:r>
      <w:r w:rsidR="00C600C4">
        <w:t xml:space="preserve">2015, </w:t>
      </w:r>
      <w:r>
        <w:t xml:space="preserve">in this </w:t>
      </w:r>
      <w:r w:rsidR="00D64705">
        <w:t xml:space="preserve">draft </w:t>
      </w:r>
      <w:r>
        <w:t xml:space="preserve">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8"/>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19"/>
      </w:r>
    </w:p>
    <w:p w14:paraId="66346E7F" w14:textId="77777777" w:rsidR="00AC26A5" w:rsidRDefault="00AC26A5" w:rsidP="00AC26A5">
      <w:pPr>
        <w:pStyle w:val="AERquote"/>
      </w:pPr>
      <w:r w:rsidRPr="00AC26A5">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0"/>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1"/>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1B28BE2E" w14:textId="2857C7F4" w:rsidR="0072186C"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2"/>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72186C">
        <w:t xml:space="preserve">figure </w:t>
      </w:r>
      <w:r w:rsidR="0072186C">
        <w:rPr>
          <w:noProof/>
        </w:rPr>
        <w:t>4</w:t>
      </w:r>
      <w:r w:rsidR="0072186C">
        <w:t>.</w:t>
      </w:r>
      <w:r w:rsidR="0072186C">
        <w:rPr>
          <w:noProof/>
        </w:rPr>
        <w:t>3</w:t>
      </w:r>
      <w:r w:rsidR="00E468B0">
        <w:fldChar w:fldCharType="end"/>
      </w:r>
      <w:r w:rsidR="00E00708">
        <w:t>.</w:t>
      </w:r>
    </w:p>
    <w:p w14:paraId="6A172952" w14:textId="39B8AD57" w:rsidR="00E468B0" w:rsidRDefault="003B16C3" w:rsidP="00E468B0">
      <w:pPr>
        <w:pStyle w:val="Caption"/>
      </w:pPr>
      <w:bookmarkStart w:id="90" w:name="_Ref414273399"/>
      <w:r>
        <w:t xml:space="preserve">Figure </w:t>
      </w:r>
      <w:fldSimple w:instr=" STYLEREF 1 \s ">
        <w:r w:rsidR="0072186C">
          <w:rPr>
            <w:noProof/>
          </w:rPr>
          <w:t>4</w:t>
        </w:r>
      </w:fldSimple>
      <w:r w:rsidR="0072186C">
        <w:t>.</w:t>
      </w:r>
      <w:fldSimple w:instr=" SEQ Figure \* ARABIC \s 1 ">
        <w:r w:rsidR="0072186C">
          <w:rPr>
            <w:noProof/>
          </w:rPr>
          <w:t>3</w:t>
        </w:r>
      </w:fldSimple>
      <w:bookmarkEnd w:id="90"/>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1E2164">
        <w:t xml:space="preserve">Figure </w:t>
      </w:r>
      <w:r w:rsidR="001E2164">
        <w:rPr>
          <w:noProof/>
        </w:rPr>
        <w:t>4</w:t>
      </w:r>
      <w:r w:rsidR="001E2164">
        <w:noBreakHyphen/>
      </w:r>
      <w:r w:rsidR="001E2164">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91" w:name="_Ref402179420"/>
      <w:bookmarkStart w:id="92" w:name="_Toc436038943"/>
      <w:r>
        <w:t xml:space="preserve">Tax </w:t>
      </w:r>
      <w:r w:rsidRPr="00D60D4D">
        <w:t>statistics</w:t>
      </w:r>
      <w:bookmarkEnd w:id="91"/>
      <w:bookmarkEnd w:id="92"/>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3"/>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72186C">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72186C">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4"/>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5"/>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31966563" w:rsidR="00D236C4" w:rsidRPr="00D236C4" w:rsidRDefault="00D236C4" w:rsidP="00C26A14">
      <w:r w:rsidRPr="00D236C4">
        <w:t xml:space="preserve">In this </w:t>
      </w:r>
      <w:r w:rsidR="00D64705">
        <w:t>draft</w:t>
      </w:r>
      <w:r w:rsidR="00D64705" w:rsidRPr="00D236C4">
        <w:t xml:space="preserve"> </w:t>
      </w:r>
      <w:r w:rsidRPr="00D236C4">
        <w:t xml:space="preserve">decision we </w:t>
      </w:r>
      <w:r w:rsidR="00D27991">
        <w:t>have regard to</w:t>
      </w:r>
      <w:r w:rsidRPr="00D236C4">
        <w:t xml:space="preserve"> NERA's updated analysis of the ATO data to the 2012 tax year.</w:t>
      </w:r>
      <w:r w:rsidRPr="00D236C4">
        <w:rPr>
          <w:rStyle w:val="FootnoteReference"/>
        </w:rPr>
        <w:footnoteReference w:id="326"/>
      </w:r>
      <w:r w:rsidRPr="00D236C4">
        <w:t xml:space="preserve"> This analysis supports a distribution rate of 0.7 and a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1E2164">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93" w:name="_Ref401080753"/>
      <w:bookmarkStart w:id="94" w:name="_Toc436038944"/>
      <w:r w:rsidRPr="00292ECF">
        <w:t>Implied</w:t>
      </w:r>
      <w:r>
        <w:t xml:space="preserve"> market value studies</w:t>
      </w:r>
      <w:bookmarkEnd w:id="93"/>
      <w:bookmarkEnd w:id="94"/>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72186C">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72186C">
        <w:t>A.14.6</w:t>
      </w:r>
      <w:r w:rsidR="00B40843">
        <w:fldChar w:fldCharType="end"/>
      </w:r>
      <w:r>
        <w:t>.</w:t>
      </w:r>
    </w:p>
    <w:p w14:paraId="659014DE" w14:textId="77777777" w:rsidR="00292ECF" w:rsidRPr="00222643" w:rsidRDefault="00292ECF" w:rsidP="00292ECF">
      <w:pPr>
        <w:pStyle w:val="Heading9"/>
      </w:pPr>
      <w:bookmarkStart w:id="95" w:name="_Ref402791521"/>
      <w:r w:rsidRPr="00222643">
        <w:t xml:space="preserve">Types of implied </w:t>
      </w:r>
      <w:r w:rsidRPr="00292ECF">
        <w:t>market</w:t>
      </w:r>
      <w:r w:rsidRPr="00222643">
        <w:t xml:space="preserve"> value studies</w:t>
      </w:r>
      <w:bookmarkEnd w:id="95"/>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023F3418" w14:textId="68397C11" w:rsidR="00902906" w:rsidRDefault="00292ECF" w:rsidP="009A60DD">
      <w:pPr>
        <w:numPr>
          <w:ilvl w:val="0"/>
          <w:numId w:val="25"/>
        </w:numPr>
        <w:spacing w:line="240" w:lineRule="auto"/>
      </w:pPr>
      <w:r>
        <w:fldChar w:fldCharType="begin"/>
      </w:r>
      <w:r>
        <w:instrText xml:space="preserve"> REF _Ref401075742 \h </w:instrText>
      </w:r>
      <w:r>
        <w:fldChar w:fldCharType="separate"/>
      </w:r>
      <w:r w:rsidR="0072186C">
        <w:t xml:space="preserve">Table </w:t>
      </w:r>
      <w:r w:rsidR="0072186C">
        <w:rPr>
          <w:noProof/>
        </w:rPr>
        <w:t>4</w:t>
      </w:r>
      <w:r w:rsidR="0072186C">
        <w:t>.</w:t>
      </w:r>
      <w:r w:rsidR="0072186C">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72186C">
        <w:t xml:space="preserve">table </w:t>
      </w:r>
      <w:r w:rsidR="0072186C">
        <w:rPr>
          <w:noProof/>
        </w:rPr>
        <w:t>4</w:t>
      </w:r>
      <w:r w:rsidR="0072186C">
        <w:t>.</w:t>
      </w:r>
      <w:r w:rsidR="0072186C">
        <w:rPr>
          <w:noProof/>
        </w:rPr>
        <w:t>10</w:t>
      </w:r>
      <w:r>
        <w:fldChar w:fldCharType="end"/>
      </w:r>
      <w:r>
        <w:t>.</w:t>
      </w:r>
    </w:p>
    <w:p w14:paraId="4A3D60F9" w14:textId="49BB9197" w:rsidR="00292ECF" w:rsidRDefault="00292ECF" w:rsidP="000E3E59">
      <w:pPr>
        <w:pStyle w:val="Caption"/>
      </w:pPr>
      <w:bookmarkStart w:id="96" w:name="_Ref401075742"/>
      <w:r>
        <w:t xml:space="preserve">Table </w:t>
      </w:r>
      <w:fldSimple w:instr=" STYLEREF 1 \s ">
        <w:r w:rsidR="0072186C">
          <w:rPr>
            <w:noProof/>
          </w:rPr>
          <w:t>4</w:t>
        </w:r>
      </w:fldSimple>
      <w:r w:rsidR="0072186C">
        <w:t>.</w:t>
      </w:r>
      <w:fldSimple w:instr=" SEQ Table \* ARABIC \s 1 ">
        <w:r w:rsidR="0072186C">
          <w:rPr>
            <w:noProof/>
          </w:rPr>
          <w:t>8</w:t>
        </w:r>
      </w:fldSimple>
      <w:bookmarkEnd w:id="96"/>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9A60DD">
            <w:pPr>
              <w:keepNext/>
            </w:pPr>
            <w:r w:rsidRPr="00222643">
              <w:t>Authors</w:t>
            </w:r>
          </w:p>
        </w:tc>
        <w:tc>
          <w:tcPr>
            <w:tcW w:w="1276" w:type="dxa"/>
          </w:tcPr>
          <w:p w14:paraId="283EFB8D" w14:textId="77777777" w:rsidR="00292ECF" w:rsidRPr="00292ECF" w:rsidRDefault="00292ECF" w:rsidP="009A60DD">
            <w:pPr>
              <w:keepNext/>
            </w:pPr>
            <w:r w:rsidRPr="00222643">
              <w:t>Data range</w:t>
            </w:r>
          </w:p>
        </w:tc>
        <w:tc>
          <w:tcPr>
            <w:tcW w:w="5448" w:type="dxa"/>
          </w:tcPr>
          <w:p w14:paraId="13451828" w14:textId="77777777" w:rsidR="00292ECF" w:rsidRPr="00292ECF" w:rsidRDefault="00292ECF" w:rsidP="009A60DD">
            <w:pPr>
              <w:keepNext/>
            </w:pPr>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9A60DD">
            <w:pPr>
              <w:keepNext/>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9A60DD">
            <w:pPr>
              <w:keepNext/>
            </w:pPr>
            <w:r w:rsidRPr="00222643">
              <w:t>Vo et al (2013)</w:t>
            </w:r>
            <w:r w:rsidRPr="00292ECF">
              <w:rPr>
                <w:rStyle w:val="FootnoteReference"/>
              </w:rPr>
              <w:footnoteReference w:id="327"/>
            </w:r>
          </w:p>
        </w:tc>
        <w:tc>
          <w:tcPr>
            <w:tcW w:w="1276" w:type="dxa"/>
          </w:tcPr>
          <w:p w14:paraId="0EAF2F2E" w14:textId="77777777" w:rsidR="00292ECF" w:rsidRPr="00292ECF" w:rsidRDefault="00292ECF" w:rsidP="009A60DD">
            <w:pPr>
              <w:keepNext/>
            </w:pPr>
            <w:r w:rsidRPr="00222643">
              <w:t>2001-2012</w:t>
            </w:r>
          </w:p>
        </w:tc>
        <w:tc>
          <w:tcPr>
            <w:tcW w:w="5448" w:type="dxa"/>
          </w:tcPr>
          <w:p w14:paraId="71B1BEE4" w14:textId="77777777" w:rsidR="00292ECF" w:rsidRPr="00292ECF" w:rsidRDefault="00292ECF" w:rsidP="009A60DD">
            <w:pPr>
              <w:keepNext/>
            </w:pPr>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9A60DD">
            <w:pPr>
              <w:keepNext/>
            </w:pPr>
            <w:r w:rsidRPr="00222643">
              <w:t>SFG (2013a)</w:t>
            </w:r>
            <w:r w:rsidRPr="00292ECF">
              <w:rPr>
                <w:rStyle w:val="FootnoteReference"/>
              </w:rPr>
              <w:footnoteReference w:id="328"/>
            </w:r>
          </w:p>
        </w:tc>
        <w:tc>
          <w:tcPr>
            <w:tcW w:w="1276" w:type="dxa"/>
          </w:tcPr>
          <w:p w14:paraId="185C58BD" w14:textId="77777777" w:rsidR="00292ECF" w:rsidRPr="00292ECF" w:rsidRDefault="00292ECF" w:rsidP="009A60DD">
            <w:pPr>
              <w:keepNext/>
            </w:pPr>
            <w:r w:rsidRPr="00222643">
              <w:t>2001-2012</w:t>
            </w:r>
          </w:p>
        </w:tc>
        <w:tc>
          <w:tcPr>
            <w:tcW w:w="5448" w:type="dxa"/>
          </w:tcPr>
          <w:p w14:paraId="29C50CD3" w14:textId="77777777" w:rsidR="00292ECF" w:rsidRPr="00292ECF" w:rsidRDefault="00292ECF" w:rsidP="009A60DD">
            <w:pPr>
              <w:keepNext/>
            </w:pPr>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9A60DD">
            <w:pPr>
              <w:keepNext/>
            </w:pPr>
            <w:r w:rsidRPr="00222643">
              <w:t>SFG (2011)</w:t>
            </w:r>
            <w:r w:rsidRPr="00292ECF">
              <w:rPr>
                <w:rStyle w:val="FootnoteReference"/>
              </w:rPr>
              <w:footnoteReference w:id="329"/>
            </w:r>
          </w:p>
        </w:tc>
        <w:tc>
          <w:tcPr>
            <w:tcW w:w="1276" w:type="dxa"/>
          </w:tcPr>
          <w:p w14:paraId="2ED7F207" w14:textId="77777777" w:rsidR="00292ECF" w:rsidRPr="00292ECF" w:rsidRDefault="00292ECF" w:rsidP="009A60DD">
            <w:pPr>
              <w:keepNext/>
            </w:pPr>
            <w:r w:rsidRPr="00222643">
              <w:t>2001-2010</w:t>
            </w:r>
          </w:p>
        </w:tc>
        <w:tc>
          <w:tcPr>
            <w:tcW w:w="5448" w:type="dxa"/>
          </w:tcPr>
          <w:p w14:paraId="2D6CC299" w14:textId="77777777" w:rsidR="00292ECF" w:rsidRPr="00292ECF" w:rsidRDefault="00292ECF" w:rsidP="009A60DD">
            <w:pPr>
              <w:keepNext/>
            </w:pPr>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9A60DD">
            <w:pPr>
              <w:keepNext/>
            </w:pPr>
            <w:r w:rsidRPr="00222643">
              <w:t>Minney (2010)</w:t>
            </w:r>
            <w:r w:rsidRPr="00292ECF">
              <w:rPr>
                <w:rStyle w:val="FootnoteReference"/>
              </w:rPr>
              <w:footnoteReference w:id="330"/>
            </w:r>
          </w:p>
        </w:tc>
        <w:tc>
          <w:tcPr>
            <w:tcW w:w="1276" w:type="dxa"/>
          </w:tcPr>
          <w:p w14:paraId="36063835" w14:textId="77777777" w:rsidR="00292ECF" w:rsidRPr="00292ECF" w:rsidRDefault="00292ECF" w:rsidP="009A60DD">
            <w:pPr>
              <w:keepNext/>
            </w:pPr>
            <w:r w:rsidRPr="00222643">
              <w:t>2001–2009</w:t>
            </w:r>
          </w:p>
        </w:tc>
        <w:tc>
          <w:tcPr>
            <w:tcW w:w="5448" w:type="dxa"/>
          </w:tcPr>
          <w:p w14:paraId="27A710D0" w14:textId="77777777" w:rsidR="00292ECF" w:rsidRPr="00292ECF" w:rsidRDefault="00292ECF" w:rsidP="009A60DD">
            <w:pPr>
              <w:keepNext/>
            </w:pPr>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9A60DD">
            <w:pPr>
              <w:keepNext/>
            </w:pPr>
            <w:r w:rsidRPr="00222643">
              <w:t>Beggs and Skeels (2006)</w:t>
            </w:r>
            <w:r w:rsidRPr="00292ECF">
              <w:rPr>
                <w:rStyle w:val="FootnoteReference"/>
              </w:rPr>
              <w:footnoteReference w:id="331"/>
            </w:r>
          </w:p>
        </w:tc>
        <w:tc>
          <w:tcPr>
            <w:tcW w:w="1276" w:type="dxa"/>
          </w:tcPr>
          <w:p w14:paraId="17E73999" w14:textId="77777777" w:rsidR="00292ECF" w:rsidRPr="00292ECF" w:rsidRDefault="00292ECF" w:rsidP="009A60DD">
            <w:pPr>
              <w:keepNext/>
            </w:pPr>
            <w:r w:rsidRPr="00222643">
              <w:t>1986-2004</w:t>
            </w:r>
          </w:p>
        </w:tc>
        <w:tc>
          <w:tcPr>
            <w:tcW w:w="5448" w:type="dxa"/>
          </w:tcPr>
          <w:p w14:paraId="1C995742" w14:textId="77777777" w:rsidR="00292ECF" w:rsidRPr="00292ECF" w:rsidRDefault="00292ECF" w:rsidP="009A60DD">
            <w:pPr>
              <w:keepNext/>
            </w:pPr>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9A60DD">
            <w:pPr>
              <w:keepNext/>
            </w:pPr>
            <w:r w:rsidRPr="00222643">
              <w:t>Hathaway and Officer (2004)</w:t>
            </w:r>
            <w:r w:rsidRPr="00292ECF">
              <w:rPr>
                <w:rStyle w:val="FootnoteReference"/>
              </w:rPr>
              <w:footnoteReference w:id="332"/>
            </w:r>
          </w:p>
        </w:tc>
        <w:tc>
          <w:tcPr>
            <w:tcW w:w="1276" w:type="dxa"/>
          </w:tcPr>
          <w:p w14:paraId="0789A524" w14:textId="77777777" w:rsidR="00292ECF" w:rsidRPr="00292ECF" w:rsidRDefault="00292ECF" w:rsidP="009A60DD">
            <w:pPr>
              <w:keepNext/>
            </w:pPr>
            <w:r w:rsidRPr="00222643">
              <w:t>1986-2004</w:t>
            </w:r>
          </w:p>
        </w:tc>
        <w:tc>
          <w:tcPr>
            <w:tcW w:w="5448" w:type="dxa"/>
          </w:tcPr>
          <w:p w14:paraId="46910FD9" w14:textId="77777777" w:rsidR="00292ECF" w:rsidRPr="00292ECF" w:rsidRDefault="00292ECF" w:rsidP="009A60DD">
            <w:pPr>
              <w:keepNext/>
            </w:pPr>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9A60DD">
            <w:pPr>
              <w:keepNext/>
            </w:pPr>
            <w:r w:rsidRPr="00222643">
              <w:t>Bellamy and Gray (2004)</w:t>
            </w:r>
            <w:r w:rsidRPr="00292ECF">
              <w:rPr>
                <w:rStyle w:val="FootnoteReference"/>
              </w:rPr>
              <w:footnoteReference w:id="333"/>
            </w:r>
          </w:p>
        </w:tc>
        <w:tc>
          <w:tcPr>
            <w:tcW w:w="1276" w:type="dxa"/>
          </w:tcPr>
          <w:p w14:paraId="238DAC68" w14:textId="77777777" w:rsidR="00292ECF" w:rsidRPr="00292ECF" w:rsidRDefault="00292ECF" w:rsidP="009A60DD">
            <w:pPr>
              <w:keepNext/>
            </w:pPr>
            <w:r w:rsidRPr="00222643">
              <w:t>1995-2002</w:t>
            </w:r>
          </w:p>
        </w:tc>
        <w:tc>
          <w:tcPr>
            <w:tcW w:w="5448" w:type="dxa"/>
          </w:tcPr>
          <w:p w14:paraId="0D1BE8A0" w14:textId="77777777" w:rsidR="00292ECF" w:rsidRPr="00292ECF" w:rsidRDefault="00292ECF" w:rsidP="009A60DD">
            <w:pPr>
              <w:keepNext/>
            </w:pPr>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9A60DD">
            <w:pPr>
              <w:keepNext/>
            </w:pPr>
            <w:r w:rsidRPr="00222643">
              <w:t>Bruckner et al (1994)</w:t>
            </w:r>
            <w:r w:rsidRPr="00292ECF">
              <w:rPr>
                <w:rStyle w:val="FootnoteReference"/>
              </w:rPr>
              <w:footnoteReference w:id="334"/>
            </w:r>
          </w:p>
        </w:tc>
        <w:tc>
          <w:tcPr>
            <w:tcW w:w="1276" w:type="dxa"/>
          </w:tcPr>
          <w:p w14:paraId="0BED859A" w14:textId="77777777" w:rsidR="00292ECF" w:rsidRPr="00292ECF" w:rsidRDefault="00292ECF" w:rsidP="009A60DD">
            <w:pPr>
              <w:keepNext/>
            </w:pPr>
            <w:r w:rsidRPr="00222643">
              <w:t>1987-1993</w:t>
            </w:r>
          </w:p>
        </w:tc>
        <w:tc>
          <w:tcPr>
            <w:tcW w:w="5448" w:type="dxa"/>
          </w:tcPr>
          <w:p w14:paraId="322B14C0" w14:textId="77777777" w:rsidR="00292ECF" w:rsidRPr="00292ECF" w:rsidRDefault="00292ECF" w:rsidP="009A60DD">
            <w:pPr>
              <w:keepNext/>
            </w:pPr>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9A60DD">
            <w:pPr>
              <w:keepNext/>
            </w:pPr>
            <w:r w:rsidRPr="00222643">
              <w:t>Brown and Clarke (1</w:t>
            </w:r>
            <w:r w:rsidRPr="00292ECF">
              <w:t>993)</w:t>
            </w:r>
            <w:r w:rsidRPr="00292ECF">
              <w:rPr>
                <w:rStyle w:val="FootnoteReference"/>
              </w:rPr>
              <w:footnoteReference w:id="335"/>
            </w:r>
          </w:p>
        </w:tc>
        <w:tc>
          <w:tcPr>
            <w:tcW w:w="1276" w:type="dxa"/>
          </w:tcPr>
          <w:p w14:paraId="0B81BBC7" w14:textId="77777777" w:rsidR="00292ECF" w:rsidRPr="00292ECF" w:rsidRDefault="00292ECF" w:rsidP="009A60DD">
            <w:pPr>
              <w:keepNext/>
            </w:pPr>
            <w:r>
              <w:t>1973</w:t>
            </w:r>
            <w:r w:rsidRPr="00292ECF">
              <w:t>–1991</w:t>
            </w:r>
          </w:p>
        </w:tc>
        <w:tc>
          <w:tcPr>
            <w:tcW w:w="5448" w:type="dxa"/>
          </w:tcPr>
          <w:p w14:paraId="0B0D79CB" w14:textId="77777777" w:rsidR="00292ECF" w:rsidRPr="00292ECF" w:rsidRDefault="00292ECF" w:rsidP="009A60DD">
            <w:pPr>
              <w:keepNext/>
            </w:pPr>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729B14F4" w:rsidR="00292ECF" w:rsidRDefault="00292ECF" w:rsidP="00292ECF">
      <w:pPr>
        <w:numPr>
          <w:ilvl w:val="0"/>
          <w:numId w:val="25"/>
        </w:numPr>
      </w:pPr>
      <w:r>
        <w:fldChar w:fldCharType="begin"/>
      </w:r>
      <w:r>
        <w:instrText xml:space="preserve"> REF _Ref401075839 \h </w:instrText>
      </w:r>
      <w:r>
        <w:fldChar w:fldCharType="separate"/>
      </w:r>
      <w:r w:rsidR="0072186C">
        <w:t xml:space="preserve">Table </w:t>
      </w:r>
      <w:r w:rsidR="0072186C">
        <w:rPr>
          <w:noProof/>
        </w:rPr>
        <w:t>4</w:t>
      </w:r>
      <w:r w:rsidR="0072186C">
        <w:t>.</w:t>
      </w:r>
      <w:r w:rsidR="0072186C">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72186C">
        <w:t xml:space="preserve">table </w:t>
      </w:r>
      <w:r w:rsidR="0072186C">
        <w:rPr>
          <w:noProof/>
        </w:rPr>
        <w:t>4</w:t>
      </w:r>
      <w:r w:rsidR="0072186C">
        <w:t>.</w:t>
      </w:r>
      <w:r w:rsidR="0072186C">
        <w:rPr>
          <w:noProof/>
        </w:rPr>
        <w:t>11</w:t>
      </w:r>
      <w:r>
        <w:fldChar w:fldCharType="end"/>
      </w:r>
      <w:r>
        <w:t>.</w:t>
      </w:r>
    </w:p>
    <w:p w14:paraId="156D39CB" w14:textId="1795C144" w:rsidR="00292ECF" w:rsidRDefault="00292ECF" w:rsidP="00292ECF">
      <w:pPr>
        <w:pStyle w:val="Caption"/>
      </w:pPr>
      <w:bookmarkStart w:id="97" w:name="_Ref401075839"/>
      <w:r>
        <w:t xml:space="preserve">Table </w:t>
      </w:r>
      <w:fldSimple w:instr=" STYLEREF 1 \s ">
        <w:r w:rsidR="0072186C">
          <w:rPr>
            <w:noProof/>
          </w:rPr>
          <w:t>4</w:t>
        </w:r>
      </w:fldSimple>
      <w:r w:rsidR="0072186C">
        <w:t>.</w:t>
      </w:r>
      <w:fldSimple w:instr=" SEQ Table \* ARABIC \s 1 ">
        <w:r w:rsidR="0072186C">
          <w:rPr>
            <w:noProof/>
          </w:rPr>
          <w:t>9</w:t>
        </w:r>
      </w:fldSimple>
      <w:bookmarkEnd w:id="97"/>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6"/>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7"/>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8"/>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39"/>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0"/>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t>Lajbcygier</w:t>
            </w:r>
            <w:r w:rsidRPr="00292ECF">
              <w:t xml:space="preserve"> and Wheatley (2012)</w:t>
            </w:r>
            <w:r w:rsidRPr="00292ECF">
              <w:rPr>
                <w:rStyle w:val="FootnoteReference"/>
              </w:rPr>
              <w:footnoteReference w:id="341"/>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2"/>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3"/>
            </w:r>
          </w:p>
        </w:tc>
        <w:tc>
          <w:tcPr>
            <w:tcW w:w="1111" w:type="dxa"/>
          </w:tcPr>
          <w:p w14:paraId="6F5BB4A2" w14:textId="28130BBC" w:rsidR="00F43C4C" w:rsidRPr="00222643" w:rsidRDefault="00F43C4C" w:rsidP="00292ECF">
            <w:r>
              <w:t>1996-2011</w:t>
            </w:r>
          </w:p>
        </w:tc>
        <w:tc>
          <w:tcPr>
            <w:tcW w:w="5448" w:type="dxa"/>
          </w:tcPr>
          <w:p w14:paraId="2C2DB0C0" w14:textId="1C83C34F" w:rsidR="00F43C4C" w:rsidRPr="00222643" w:rsidRDefault="00F43C4C" w:rsidP="00292ECF">
            <w:r>
              <w:t xml:space="preserve">Journal published version of the 2013 paper by Siau et al </w:t>
            </w:r>
            <w:r w:rsidR="003E00A4">
              <w:t xml:space="preserve">with </w:t>
            </w:r>
            <w:r w:rsidR="005323A7">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4"/>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5"/>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6"/>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7"/>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98" w:name="_Ref403482459"/>
      <w:r w:rsidRPr="00222643">
        <w:t xml:space="preserve">Estimates from </w:t>
      </w:r>
      <w:r w:rsidRPr="00D15D53">
        <w:t>implied</w:t>
      </w:r>
      <w:r w:rsidRPr="00222643">
        <w:t xml:space="preserve"> market value studies</w:t>
      </w:r>
      <w:bookmarkEnd w:id="98"/>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5B015D55" w:rsidR="00D15D53" w:rsidRPr="00222643" w:rsidRDefault="00D15D53" w:rsidP="00D15D53">
      <w:pPr>
        <w:numPr>
          <w:ilvl w:val="0"/>
          <w:numId w:val="25"/>
        </w:numPr>
      </w:pPr>
      <w:r>
        <w:fldChar w:fldCharType="begin"/>
      </w:r>
      <w:r>
        <w:instrText xml:space="preserve"> REF _Ref401075676 \h </w:instrText>
      </w:r>
      <w:r>
        <w:fldChar w:fldCharType="separate"/>
      </w:r>
      <w:r w:rsidR="0072186C">
        <w:t xml:space="preserve">Table </w:t>
      </w:r>
      <w:r w:rsidR="0072186C">
        <w:rPr>
          <w:noProof/>
        </w:rPr>
        <w:t>4</w:t>
      </w:r>
      <w:r w:rsidR="0072186C">
        <w:t>.</w:t>
      </w:r>
      <w:r w:rsidR="0072186C">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696F7D16" w:rsidR="00D15D53" w:rsidRPr="00222643" w:rsidRDefault="00D15D53" w:rsidP="00D15D53">
      <w:pPr>
        <w:numPr>
          <w:ilvl w:val="0"/>
          <w:numId w:val="25"/>
        </w:numPr>
      </w:pPr>
      <w:r>
        <w:fldChar w:fldCharType="begin"/>
      </w:r>
      <w:r>
        <w:instrText xml:space="preserve"> REF _Ref401076250 \h </w:instrText>
      </w:r>
      <w:r>
        <w:fldChar w:fldCharType="separate"/>
      </w:r>
      <w:r w:rsidR="0072186C">
        <w:t xml:space="preserve">Table </w:t>
      </w:r>
      <w:r w:rsidR="0072186C">
        <w:rPr>
          <w:noProof/>
        </w:rPr>
        <w:t>4</w:t>
      </w:r>
      <w:r w:rsidR="0072186C">
        <w:t>.</w:t>
      </w:r>
      <w:r w:rsidR="0072186C">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19884810" w:rsidR="00D15D53" w:rsidRPr="00222643" w:rsidRDefault="00D15D53" w:rsidP="00D15D53">
      <w:pPr>
        <w:pStyle w:val="Caption"/>
      </w:pPr>
      <w:bookmarkStart w:id="99" w:name="_Ref401075676"/>
      <w:r>
        <w:t xml:space="preserve">Table </w:t>
      </w:r>
      <w:fldSimple w:instr=" STYLEREF 1 \s ">
        <w:r w:rsidR="0072186C">
          <w:rPr>
            <w:noProof/>
          </w:rPr>
          <w:t>4</w:t>
        </w:r>
      </w:fldSimple>
      <w:r w:rsidR="0072186C">
        <w:t>.</w:t>
      </w:r>
      <w:fldSimple w:instr=" SEQ Table \* ARABIC \s 1 ">
        <w:r w:rsidR="0072186C">
          <w:rPr>
            <w:noProof/>
          </w:rPr>
          <w:t>10</w:t>
        </w:r>
      </w:fldSimple>
      <w:bookmarkEnd w:id="99"/>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48"/>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49"/>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0"/>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1"/>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2"/>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3"/>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4"/>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5"/>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6"/>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19A61D0E" w:rsidR="00D15D53" w:rsidRPr="00222643" w:rsidRDefault="00D15D53" w:rsidP="00D15D53">
      <w:pPr>
        <w:pStyle w:val="Caption"/>
      </w:pPr>
      <w:bookmarkStart w:id="100" w:name="_Ref401076250"/>
      <w:r>
        <w:t xml:space="preserve">Table </w:t>
      </w:r>
      <w:fldSimple w:instr=" STYLEREF 1 \s ">
        <w:r w:rsidR="0072186C">
          <w:rPr>
            <w:noProof/>
          </w:rPr>
          <w:t>4</w:t>
        </w:r>
      </w:fldSimple>
      <w:r w:rsidR="0072186C">
        <w:t>.</w:t>
      </w:r>
      <w:fldSimple w:instr=" SEQ Table \* ARABIC \s 1 ">
        <w:r w:rsidR="0072186C">
          <w:rPr>
            <w:noProof/>
          </w:rPr>
          <w:t>11</w:t>
        </w:r>
      </w:fldSimple>
      <w:bookmarkEnd w:id="100"/>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7"/>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58"/>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59"/>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0"/>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1"/>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2"/>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3"/>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4"/>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5"/>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6"/>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7"/>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68"/>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0FC89188"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5323A7">
        <w:t xml:space="preserve">has relatively minor editorial changes and </w:t>
      </w:r>
      <w:r>
        <w:t>gives us no cause to change our views.</w:t>
      </w:r>
      <w:r w:rsidR="00AE17FD">
        <w:rPr>
          <w:rStyle w:val="FootnoteReference"/>
        </w:rPr>
        <w:footnoteReference w:id="369"/>
      </w:r>
      <w:r>
        <w:t xml:space="preserve"> </w:t>
      </w:r>
    </w:p>
    <w:p w14:paraId="32DD9784" w14:textId="14B55138"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0"/>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72186C">
        <w:rPr>
          <w:rStyle w:val="FootnoteReference"/>
        </w:rPr>
        <w:footnoteReference w:id="371"/>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2"/>
      </w:r>
      <w:r w:rsidR="00DE2065">
        <w:t xml:space="preserve"> </w:t>
      </w:r>
    </w:p>
    <w:p w14:paraId="5368172B" w14:textId="77777777" w:rsidR="00A7288F" w:rsidRDefault="00A7288F" w:rsidP="00FD5BE7">
      <w:pPr>
        <w:pStyle w:val="Heading9"/>
      </w:pPr>
      <w:bookmarkStart w:id="101" w:name="_Ref435108741"/>
      <w:r w:rsidRPr="00FD5BE7">
        <w:t>Comparison</w:t>
      </w:r>
      <w:r>
        <w:t xml:space="preserve"> with other market-based estimation approaches</w:t>
      </w:r>
      <w:bookmarkEnd w:id="101"/>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rate of return parameters.</w:t>
      </w:r>
      <w:r>
        <w:rPr>
          <w:rStyle w:val="FootnoteReference"/>
        </w:rPr>
        <w:footnoteReference w:id="373"/>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4"/>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5"/>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6"/>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7"/>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8"/>
      </w:r>
    </w:p>
    <w:p w14:paraId="0153939D" w14:textId="77777777" w:rsidR="00154821" w:rsidRDefault="00154821" w:rsidP="00154821">
      <w:pPr>
        <w:pStyle w:val="AERquote"/>
      </w:pPr>
      <w:r w:rsidRPr="00154821">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102" w:name="_Ref415065117"/>
      <w:r w:rsidRPr="00F93616">
        <w:t>Adjustment of estimates from implied market value studies</w:t>
      </w:r>
      <w:bookmarkEnd w:id="102"/>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79"/>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1E2164">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0"/>
      </w:r>
    </w:p>
    <w:p w14:paraId="14BB9640" w14:textId="77777777" w:rsidR="00D01050" w:rsidRDefault="00D01050" w:rsidP="00D01050">
      <w:pPr>
        <w:pStyle w:val="AERquote"/>
      </w:pPr>
      <w:r w:rsidRPr="00D01050">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1"/>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103" w:name="_Ref414624721"/>
      <w:r w:rsidRPr="00F93616">
        <w:t>Limitations of SFG</w:t>
      </w:r>
      <w:r>
        <w:t>'s</w:t>
      </w:r>
      <w:r w:rsidRPr="00F93616">
        <w:t xml:space="preserve"> dividend drop off study</w:t>
      </w:r>
      <w:bookmarkEnd w:id="103"/>
    </w:p>
    <w:p w14:paraId="02EF5873" w14:textId="5042AA6A"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2"/>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3"/>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4"/>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5"/>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6"/>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5D2DFEB5" w:rsidR="00EB61EA" w:rsidRDefault="00EB61EA" w:rsidP="00EB61EA">
      <w:pPr>
        <w:pStyle w:val="AERquote"/>
      </w:pPr>
      <w:r w:rsidRPr="00EB61EA">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7"/>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8"/>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89"/>
      </w:r>
    </w:p>
    <w:p w14:paraId="0E804D1A" w14:textId="6207BF30"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w:t>
      </w:r>
      <w:r w:rsidR="001123B0">
        <w:t xml:space="preserve">n the course of selling them). </w:t>
      </w:r>
      <w:r w:rsidRPr="00FE1608">
        <w:t>This point would be plausible if tax considerations fully expl</w:t>
      </w:r>
      <w:r w:rsidR="001123B0">
        <w:t xml:space="preserve">ained ex-dividend day results. </w:t>
      </w:r>
      <w:r w:rsidRPr="00FE1608">
        <w:t>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0"/>
      </w:r>
    </w:p>
    <w:p w14:paraId="5521610B" w14:textId="77777777" w:rsidR="00342F27" w:rsidRDefault="001C0549" w:rsidP="001C0549">
      <w:pPr>
        <w:pStyle w:val="AERquote"/>
      </w:pPr>
      <w:r w:rsidRPr="001C0549">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1"/>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2"/>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3"/>
      </w:r>
    </w:p>
    <w:p w14:paraId="2D3D269A" w14:textId="77777777" w:rsidR="000364F9" w:rsidRDefault="0019613E" w:rsidP="000364F9">
      <w:r>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1E2164">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596AF9" w:rsidRDefault="00F13198" w:rsidP="00596AF9">
      <w:r w:rsidRPr="009A2996">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F13198">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because imputation credits are only ever distributed with franked dividends, all dividend drop off studies must make this allocation/separation. Therefore this limitation applies to SFG's dividend drop off study.</w:t>
      </w:r>
    </w:p>
    <w:p w14:paraId="5A81B66B" w14:textId="77777777" w:rsidR="00EF42E6" w:rsidRDefault="00EF42E6" w:rsidP="00FD5BE7">
      <w:pPr>
        <w:pStyle w:val="Heading9"/>
      </w:pPr>
      <w:bookmarkStart w:id="104" w:name="_Ref402180002"/>
      <w:bookmarkStart w:id="105" w:name="_Ref414619467"/>
      <w:r>
        <w:t xml:space="preserve">The views of </w:t>
      </w:r>
      <w:r w:rsidRPr="00FD5BE7">
        <w:t>academics</w:t>
      </w:r>
      <w:r>
        <w:t xml:space="preserve"> and other regulators</w:t>
      </w:r>
      <w:bookmarkEnd w:id="104"/>
      <w:r w:rsidR="00F93616">
        <w:t xml:space="preserve"> on dividend drop off studies</w:t>
      </w:r>
      <w:bookmarkEnd w:id="105"/>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4"/>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5"/>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6"/>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7"/>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1CC303D6" w:rsidR="00EF42E6" w:rsidRDefault="00EF42E6" w:rsidP="00EF42E6">
      <w:pPr>
        <w:pStyle w:val="AERquote"/>
      </w:pPr>
      <w:r w:rsidRPr="00ED2709">
        <w:t xml:space="preserve">It is well understood that the market value of the package of </w:t>
      </w:r>
      <w:r w:rsidR="001123B0">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8"/>
      </w:r>
    </w:p>
    <w:p w14:paraId="3F6F758C" w14:textId="45CB0438"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w:t>
      </w:r>
      <w:r w:rsidR="001123B0">
        <w:t xml:space="preserve">, 2013, pp. 133-134, 239-247). </w:t>
      </w:r>
      <w:r w:rsidRPr="00EE1293">
        <w:t>The AER does not consider that these estimates are u</w:t>
      </w:r>
      <w:r w:rsidR="001123B0">
        <w:t xml:space="preserve">seful for a number of reasons. </w:t>
      </w:r>
      <w:r w:rsidRPr="00EE1293">
        <w:t>In respect of dividend drop-off studies, these include evidence that trading activity around dividend ex-days is abnormal, that correction is required for market movements, and the sensitivity of results to dat</w:t>
      </w:r>
      <w:r w:rsidR="001123B0">
        <w:t xml:space="preserve">a, outliers and model choices. </w:t>
      </w:r>
      <w:r w:rsidRPr="00EE1293">
        <w:t>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w:t>
      </w:r>
      <w:r w:rsidR="001123B0">
        <w:t>ions costs of tax arbitrageurs.</w:t>
      </w:r>
      <w:r w:rsidRPr="00EE1293">
        <w:t xml:space="preserve">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399"/>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0"/>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1"/>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2"/>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06" w:name="_Ref403481482"/>
      <w:bookmarkStart w:id="107" w:name="_Toc436038945"/>
      <w:r>
        <w:t xml:space="preserve">Revised consideration </w:t>
      </w:r>
      <w:r w:rsidRPr="00CD23CD">
        <w:t>of</w:t>
      </w:r>
      <w:r>
        <w:t xml:space="preserve"> the conceptual goalposts approach</w:t>
      </w:r>
      <w:bookmarkEnd w:id="106"/>
      <w:bookmarkEnd w:id="107"/>
    </w:p>
    <w:p w14:paraId="052F16B1" w14:textId="56DC5BAD"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D64705">
        <w:t xml:space="preserve">draft </w:t>
      </w:r>
      <w:r>
        <w:t xml:space="preserve">decision. This is mainly to be consistent with Handley's advice on the conceptual framework, which we have accepted in making this </w:t>
      </w:r>
      <w:r w:rsidR="00D64705">
        <w:t xml:space="preserve">draft </w:t>
      </w:r>
      <w:r>
        <w:t>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3"/>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r>
        <w:t>Description of the approach</w:t>
      </w:r>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4"/>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5"/>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6"/>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7"/>
      </w:r>
    </w:p>
    <w:p w14:paraId="06FFE6F3" w14:textId="77777777" w:rsidR="00CD23CD" w:rsidRPr="002B01D6" w:rsidRDefault="00CD23CD" w:rsidP="00CD23CD">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584592F6"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w:t>
      </w:r>
      <w:r w:rsidR="001123B0">
        <w:t xml:space="preserve">d' with international markets. </w:t>
      </w:r>
      <w:r>
        <w:t xml:space="preserve">Using this model would require inputs based on international benchmarks, including a utilisation rate of 0 because the proportion of global investors eligible to make use </w:t>
      </w:r>
      <w:r w:rsidR="001123B0">
        <w:t xml:space="preserve">of domestic imputation credits </w:t>
      </w:r>
      <w:r>
        <w:t>is close to zero.</w:t>
      </w:r>
    </w:p>
    <w:p w14:paraId="4D07274A" w14:textId="047CA874" w:rsidR="00CD23CD" w:rsidRDefault="00CD23CD" w:rsidP="00CD23CD">
      <w:pPr>
        <w:numPr>
          <w:ilvl w:val="0"/>
          <w:numId w:val="25"/>
        </w:numPr>
      </w:pPr>
      <w:r>
        <w:t xml:space="preserve">Both in the Guideline and in this </w:t>
      </w:r>
      <w:r w:rsidR="00D64705">
        <w:t xml:space="preserve">draft </w:t>
      </w:r>
      <w:r>
        <w:t>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8"/>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09"/>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0"/>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1"/>
      </w:r>
      <w:r w:rsidRPr="00953733">
        <w:t xml:space="preserve"> </w:t>
      </w:r>
    </w:p>
    <w:p w14:paraId="52668688" w14:textId="75F188D9"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rsidR="001123B0">
        <w:t xml:space="preserve">ration). </w:t>
      </w:r>
      <w:r>
        <w:t>However, estimates of</w:t>
      </w:r>
      <w:r w:rsidRPr="00953733">
        <w:t xml:space="preserve"> </w:t>
      </w:r>
      <w:r w:rsidRPr="0039716B">
        <w:rPr>
          <w:rStyle w:val="AERtextitalic"/>
        </w:rPr>
        <w:t>U</w:t>
      </w:r>
      <w:r>
        <w:t xml:space="preserve"> </w:t>
      </w:r>
      <w:r w:rsidRPr="00953733">
        <w:t>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1CEEDA08"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w:t>
      </w:r>
      <w:r w:rsidR="001123B0">
        <w:t>ority of permutation scenarios.</w:t>
      </w:r>
      <w:r w:rsidRPr="00953733">
        <w:t xml:space="preserve">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r>
        <w:t xml:space="preserve">Advice received since </w:t>
      </w:r>
      <w:r w:rsidRPr="00CD23CD">
        <w:t>the</w:t>
      </w:r>
      <w:r>
        <w:t xml:space="preserve"> Guideline</w:t>
      </w:r>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2"/>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3"/>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4"/>
      </w:r>
    </w:p>
    <w:p w14:paraId="40C630A8" w14:textId="63AA474E" w:rsidR="00FA6E29" w:rsidRDefault="00C9278D" w:rsidP="00FA6E29">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5"/>
      </w:r>
    </w:p>
    <w:p w14:paraId="47E0AB91" w14:textId="77777777" w:rsidR="00F467D0" w:rsidRDefault="00F467D0" w:rsidP="009A2996">
      <w:pPr>
        <w:spacing w:line="240" w:lineRule="auto"/>
      </w:pPr>
    </w:p>
    <w:p w14:paraId="7CEFA63B" w14:textId="77777777" w:rsidR="0072186C" w:rsidRPr="00FA6E29" w:rsidRDefault="0072186C" w:rsidP="009A2996">
      <w:pPr>
        <w:spacing w:line="240" w:lineRule="auto"/>
      </w:pPr>
    </w:p>
    <w:sectPr w:rsidR="0072186C" w:rsidRP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011BD8" w:rsidRPr="00290C63" w:rsidRDefault="00011BD8" w:rsidP="00290C63">
      <w:r>
        <w:separator/>
      </w:r>
    </w:p>
    <w:p w14:paraId="56A58BED" w14:textId="77777777" w:rsidR="00011BD8" w:rsidRDefault="00011BD8"/>
  </w:endnote>
  <w:endnote w:type="continuationSeparator" w:id="0">
    <w:p w14:paraId="1E1B5582" w14:textId="77777777" w:rsidR="00011BD8" w:rsidRPr="00290C63" w:rsidRDefault="00011BD8" w:rsidP="00290C63">
      <w:r>
        <w:continuationSeparator/>
      </w:r>
    </w:p>
    <w:p w14:paraId="19AC23DC" w14:textId="77777777" w:rsidR="00011BD8" w:rsidRDefault="00011BD8"/>
  </w:endnote>
  <w:endnote w:type="continuationNotice" w:id="1">
    <w:p w14:paraId="20CE09CB" w14:textId="77777777" w:rsidR="00011BD8" w:rsidRDefault="00011B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011BD8" w:rsidRPr="00290C63" w:rsidRDefault="00011BD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011BD8" w:rsidRDefault="00011BD8"/>
  <w:p w14:paraId="534BB993" w14:textId="77777777" w:rsidR="00011BD8" w:rsidRDefault="00011BD8"/>
  <w:p w14:paraId="1B1B2874" w14:textId="77777777" w:rsidR="00011BD8" w:rsidRDefault="00011BD8"/>
  <w:p w14:paraId="7BEB9AC4" w14:textId="77777777" w:rsidR="00011BD8" w:rsidRDefault="00011BD8"/>
  <w:p w14:paraId="189D4CFD" w14:textId="77777777" w:rsidR="00011BD8" w:rsidRDefault="00011BD8"/>
  <w:p w14:paraId="659F3C15" w14:textId="77777777" w:rsidR="00011BD8" w:rsidRDefault="00011BD8"/>
  <w:p w14:paraId="28D0D7FC" w14:textId="77777777" w:rsidR="00011BD8" w:rsidRDefault="00011B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827107"/>
      <w:docPartObj>
        <w:docPartGallery w:val="Page Numbers (Bottom of Page)"/>
        <w:docPartUnique/>
      </w:docPartObj>
    </w:sdtPr>
    <w:sdtEndPr>
      <w:rPr>
        <w:noProof/>
        <w:szCs w:val="16"/>
      </w:rPr>
    </w:sdtEndPr>
    <w:sdtContent>
      <w:p w14:paraId="1E72F9D6" w14:textId="17CFBA9F" w:rsidR="00011BD8" w:rsidRPr="009B6F84" w:rsidRDefault="00011BD8">
        <w:pPr>
          <w:pStyle w:val="Footer"/>
          <w:rPr>
            <w:sz w:val="20"/>
          </w:rPr>
        </w:pPr>
        <w:r>
          <w:fldChar w:fldCharType="begin"/>
        </w:r>
        <w:r>
          <w:instrText xml:space="preserve"> PAGE   \* MERGEFORMAT </w:instrText>
        </w:r>
        <w:r>
          <w:fldChar w:fldCharType="separate"/>
        </w:r>
        <w:r w:rsidR="008004E9">
          <w:rPr>
            <w:noProof/>
          </w:rPr>
          <w:t>4-2</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rsidR="0048174C" w:rsidRPr="0048174C">
          <w:t>Draft decision: Amadeus Gas Pipeline Access Arrangement 2016–21</w:t>
        </w:r>
      </w:p>
    </w:sdtContent>
  </w:sdt>
  <w:p w14:paraId="3BE746CE" w14:textId="77777777" w:rsidR="00011BD8" w:rsidRDefault="00011B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011BD8" w:rsidRPr="00290C63" w:rsidRDefault="00011BD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011BD8" w:rsidRDefault="00011BD8">
    <w:pPr>
      <w:pStyle w:val="Footer"/>
    </w:pPr>
  </w:p>
  <w:p w14:paraId="0D14B469" w14:textId="77777777" w:rsidR="00011BD8" w:rsidRDefault="00011BD8"/>
  <w:p w14:paraId="6E59E334" w14:textId="77777777" w:rsidR="00011BD8" w:rsidRDefault="00011BD8"/>
  <w:p w14:paraId="096E318A" w14:textId="77777777" w:rsidR="00011BD8" w:rsidRDefault="00011BD8"/>
  <w:p w14:paraId="636F211F" w14:textId="77777777" w:rsidR="00011BD8" w:rsidRDefault="00011BD8"/>
  <w:p w14:paraId="39567FA0" w14:textId="77777777" w:rsidR="00011BD8" w:rsidRDefault="00011BD8"/>
  <w:p w14:paraId="466ADD0A" w14:textId="77777777" w:rsidR="00011BD8" w:rsidRDefault="00011BD8"/>
  <w:p w14:paraId="0CAEA027" w14:textId="77777777" w:rsidR="00011BD8" w:rsidRDefault="00011BD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011BD8" w:rsidRPr="00824CC8" w:rsidRDefault="00011BD8"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5B330F5C" w:rsidR="00011BD8" w:rsidRPr="0048174C" w:rsidRDefault="00011BD8" w:rsidP="0048174C">
    <w:pPr>
      <w:pStyle w:val="Footer"/>
      <w:rPr>
        <w:rStyle w:val="AERbody"/>
        <w:color w:val="076A92" w:themeColor="text1"/>
        <w:sz w:val="18"/>
      </w:rPr>
    </w:pPr>
    <w:r w:rsidRPr="0048174C">
      <w:rPr>
        <w:rStyle w:val="AERbody"/>
        <w:color w:val="076A92" w:themeColor="text1"/>
        <w:sz w:val="18"/>
      </w:rPr>
      <w:fldChar w:fldCharType="begin"/>
    </w:r>
    <w:r w:rsidRPr="0048174C">
      <w:rPr>
        <w:rStyle w:val="AERbody"/>
        <w:color w:val="076A92" w:themeColor="text1"/>
        <w:sz w:val="18"/>
      </w:rPr>
      <w:instrText xml:space="preserve"> PAGE   \* MERGEFORMAT </w:instrText>
    </w:r>
    <w:r w:rsidRPr="0048174C">
      <w:rPr>
        <w:rStyle w:val="AERbody"/>
        <w:color w:val="076A92" w:themeColor="text1"/>
        <w:sz w:val="18"/>
      </w:rPr>
      <w:fldChar w:fldCharType="separate"/>
    </w:r>
    <w:r w:rsidR="00415E71">
      <w:rPr>
        <w:rStyle w:val="AERbody"/>
        <w:noProof/>
        <w:color w:val="076A92" w:themeColor="text1"/>
        <w:sz w:val="18"/>
      </w:rPr>
      <w:t>4-121</w:t>
    </w:r>
    <w:r w:rsidRPr="0048174C">
      <w:rPr>
        <w:rStyle w:val="AERbody"/>
        <w:color w:val="076A92" w:themeColor="text1"/>
        <w:sz w:val="18"/>
      </w:rPr>
      <w:fldChar w:fldCharType="end"/>
    </w:r>
    <w:r w:rsidRPr="0048174C">
      <w:rPr>
        <w:rStyle w:val="AERbody"/>
        <w:color w:val="076A92" w:themeColor="text1"/>
        <w:sz w:val="18"/>
      </w:rPr>
      <w:t xml:space="preserve">                Attachment 4 </w:t>
    </w:r>
    <w:r w:rsidR="0048174C">
      <w:rPr>
        <w:rStyle w:val="AERbody"/>
        <w:color w:val="076A92" w:themeColor="text1"/>
        <w:sz w:val="18"/>
      </w:rPr>
      <w:t>–</w:t>
    </w:r>
    <w:r w:rsidRPr="0048174C">
      <w:rPr>
        <w:rStyle w:val="AERbody"/>
        <w:color w:val="076A92" w:themeColor="text1"/>
        <w:sz w:val="18"/>
      </w:rPr>
      <w:t xml:space="preserve"> Value of imputation credits | </w:t>
    </w:r>
    <w:r w:rsidR="0048174C">
      <w:t>Draft decision: Amadeus Gas Pipeline Access Arrangement 2016</w:t>
    </w:r>
    <w:r w:rsidR="0048174C" w:rsidRPr="00CA52A2">
      <w:t>–</w:t>
    </w:r>
    <w:r w:rsidR="0048174C">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011BD8" w:rsidRPr="00290C63" w:rsidRDefault="00011BD8" w:rsidP="00290C63">
      <w:r>
        <w:separator/>
      </w:r>
    </w:p>
    <w:p w14:paraId="4D603AE2" w14:textId="77777777" w:rsidR="00011BD8" w:rsidRDefault="00011BD8"/>
  </w:footnote>
  <w:footnote w:type="continuationSeparator" w:id="0">
    <w:p w14:paraId="7A5443FF" w14:textId="77777777" w:rsidR="00011BD8" w:rsidRPr="00290C63" w:rsidRDefault="00011BD8" w:rsidP="00290C63">
      <w:r>
        <w:continuationSeparator/>
      </w:r>
    </w:p>
    <w:p w14:paraId="0DC19170" w14:textId="77777777" w:rsidR="00011BD8" w:rsidRDefault="00011BD8"/>
  </w:footnote>
  <w:footnote w:type="continuationNotice" w:id="1">
    <w:p w14:paraId="3C24604E" w14:textId="77777777" w:rsidR="00011BD8" w:rsidRDefault="00011BD8">
      <w:pPr>
        <w:spacing w:before="0" w:line="240" w:lineRule="auto"/>
      </w:pPr>
    </w:p>
  </w:footnote>
  <w:footnote w:id="2">
    <w:p w14:paraId="524D37EB" w14:textId="77777777" w:rsidR="00011BD8" w:rsidRDefault="00011BD8"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011BD8" w:rsidRDefault="00011BD8">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39BBBAF2" w:rsidR="00011BD8" w:rsidRDefault="00011BD8" w:rsidP="00E356F9">
      <w:pPr>
        <w:pStyle w:val="FootnoteText"/>
      </w:pPr>
      <w:r>
        <w:rPr>
          <w:rStyle w:val="FootnoteReference"/>
        </w:rPr>
        <w:footnoteRef/>
      </w:r>
      <w:r>
        <w:t xml:space="preserve"> </w:t>
      </w:r>
      <w:r>
        <w:tab/>
        <w:t>NER, cll. 6.4.3(a)(4), 6.4.3(b)(4), 6.5.3, 6A.5.4(a)(4), 6A.5.4(b)(4), 6A.6.4; NGR, rr. 76(c), 87A.</w:t>
      </w:r>
    </w:p>
  </w:footnote>
  <w:footnote w:id="5">
    <w:p w14:paraId="0731C26F" w14:textId="77777777" w:rsidR="00011BD8" w:rsidRDefault="00011BD8"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t>A.1</w:t>
      </w:r>
      <w:r>
        <w:fldChar w:fldCharType="end"/>
      </w:r>
      <w:r>
        <w:t xml:space="preserve"> of appendix A.</w:t>
      </w:r>
    </w:p>
  </w:footnote>
  <w:footnote w:id="6">
    <w:p w14:paraId="1AFCCDEE" w14:textId="77777777" w:rsidR="00011BD8" w:rsidRDefault="00011BD8"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011BD8" w:rsidRDefault="00011BD8"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t>4.4</w:t>
      </w:r>
      <w:r>
        <w:fldChar w:fldCharType="end"/>
      </w:r>
      <w:r>
        <w:t>.</w:t>
      </w:r>
    </w:p>
  </w:footnote>
  <w:footnote w:id="8">
    <w:p w14:paraId="0FF31FE9" w14:textId="01A13CBF" w:rsidR="00011BD8" w:rsidRDefault="00011BD8">
      <w:pPr>
        <w:pStyle w:val="FootnoteText"/>
      </w:pPr>
      <w:r>
        <w:rPr>
          <w:rStyle w:val="FootnoteReference"/>
        </w:rPr>
        <w:footnoteRef/>
      </w:r>
      <w:r>
        <w:t xml:space="preserve"> </w:t>
      </w:r>
      <w:r>
        <w:tab/>
        <w:t xml:space="preserve">Amadeus Gas Pipeline, </w:t>
      </w:r>
      <w:r w:rsidRPr="001123B0">
        <w:rPr>
          <w:rStyle w:val="Emphasis"/>
        </w:rPr>
        <w:t>Access Arrangement Revision Proposal Submission</w:t>
      </w:r>
      <w:r>
        <w:t>, August 2015.</w:t>
      </w:r>
    </w:p>
  </w:footnote>
  <w:footnote w:id="9">
    <w:p w14:paraId="52C067E9" w14:textId="77777777"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0">
    <w:p w14:paraId="3A5F3913" w14:textId="360FBDAB" w:rsidR="00011BD8" w:rsidRDefault="00011BD8">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t>A.14.1</w:t>
      </w:r>
      <w:r>
        <w:fldChar w:fldCharType="end"/>
      </w:r>
      <w:r>
        <w:t>.</w:t>
      </w:r>
    </w:p>
  </w:footnote>
  <w:footnote w:id="11">
    <w:p w14:paraId="444D5AC0" w14:textId="2D798F1F"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Estimating Distribution and Redemption Rates: </w:t>
      </w:r>
      <w:r w:rsidRPr="00596AF9">
        <w:rPr>
          <w:i/>
        </w:rPr>
        <w:t>Response to the AER's Final Decisions for the NSW and ACT Electricity Distributors, and for Jemena Gas Networks</w:t>
      </w:r>
      <w:r>
        <w:t>, June 2015.</w:t>
      </w:r>
    </w:p>
  </w:footnote>
  <w:footnote w:id="12">
    <w:p w14:paraId="48EE2BEA" w14:textId="2B7460A5" w:rsidR="00011BD8" w:rsidRDefault="00011BD8">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3">
    <w:p w14:paraId="721D692A" w14:textId="77777777" w:rsidR="00011BD8" w:rsidRDefault="00011BD8">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t>4.4</w:t>
      </w:r>
      <w:r>
        <w:fldChar w:fldCharType="end"/>
      </w:r>
      <w:r>
        <w:t xml:space="preserve"> for more detail.</w:t>
      </w:r>
    </w:p>
  </w:footnote>
  <w:footnote w:id="14">
    <w:p w14:paraId="3A328102" w14:textId="2AAC5F40" w:rsidR="00011BD8" w:rsidRDefault="00011BD8"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w:t>
      </w:r>
      <w:r w:rsidRPr="00596AF9">
        <w:rPr>
          <w:i/>
        </w:rPr>
        <w:t>Estimating Distribution and Redemption Rates: Response to the AER's Final Decisions for the NSW and ACT Electricity Distributors, and for Jemena Gas Networks</w:t>
      </w:r>
      <w:r>
        <w:t>, June 2015.</w:t>
      </w:r>
    </w:p>
  </w:footnote>
  <w:footnote w:id="15">
    <w:p w14:paraId="78DAD982" w14:textId="77599455" w:rsidR="00011BD8" w:rsidRDefault="00011BD8">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6">
    <w:p w14:paraId="6D58533C" w14:textId="5768D4BF" w:rsidR="00011BD8" w:rsidRDefault="00011BD8" w:rsidP="00A90D90">
      <w:pPr>
        <w:pStyle w:val="FootnoteText"/>
      </w:pPr>
      <w:r>
        <w:rPr>
          <w:rStyle w:val="FootnoteReference"/>
        </w:rPr>
        <w:footnoteRef/>
      </w:r>
      <w:r>
        <w:t xml:space="preserve"> </w:t>
      </w:r>
      <w:r>
        <w:tab/>
        <w:t>NER, cll. 6.5.3, 6A.6.4; NGR, r. 87A.</w:t>
      </w:r>
    </w:p>
  </w:footnote>
  <w:footnote w:id="17">
    <w:p w14:paraId="707E230C" w14:textId="3583B46E" w:rsidR="00011BD8" w:rsidRDefault="00011BD8" w:rsidP="00A90D90">
      <w:pPr>
        <w:pStyle w:val="FootnoteText"/>
      </w:pPr>
      <w:r>
        <w:rPr>
          <w:rStyle w:val="FootnoteReference"/>
        </w:rPr>
        <w:footnoteRef/>
      </w:r>
      <w:r>
        <w:t xml:space="preserve"> </w:t>
      </w:r>
      <w:r>
        <w:tab/>
        <w:t>NER, cll. 6.5.2(d)(2), 6A.6.2(d)(2); NGR, r. 87(4)(b).</w:t>
      </w:r>
    </w:p>
  </w:footnote>
  <w:footnote w:id="18">
    <w:p w14:paraId="3213861C" w14:textId="77777777" w:rsidR="00011BD8" w:rsidRDefault="00011BD8"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9">
    <w:p w14:paraId="320CB8AA" w14:textId="77777777" w:rsidR="00011BD8" w:rsidRDefault="00011BD8"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0">
    <w:p w14:paraId="2D151917" w14:textId="77777777" w:rsidR="00011BD8" w:rsidRDefault="00011BD8"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1">
    <w:p w14:paraId="1D705E33" w14:textId="77777777" w:rsidR="00011BD8" w:rsidRDefault="00011BD8"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2">
    <w:p w14:paraId="7ADA9201" w14:textId="77777777" w:rsidR="00011BD8" w:rsidRDefault="00011BD8">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3">
    <w:p w14:paraId="2E203B82" w14:textId="2B932BA6" w:rsidR="00011BD8" w:rsidRDefault="00011BD8" w:rsidP="008C1870">
      <w:pPr>
        <w:pStyle w:val="FootnoteText"/>
      </w:pPr>
      <w:r>
        <w:rPr>
          <w:rStyle w:val="FootnoteReference"/>
        </w:rPr>
        <w:footnoteRef/>
      </w:r>
      <w:r>
        <w:t xml:space="preserve"> </w:t>
      </w:r>
      <w:r>
        <w:tab/>
        <w:t>NER, cll. 6.5.2, 6A.6.2;</w:t>
      </w:r>
      <w:r w:rsidRPr="0042735A">
        <w:t xml:space="preserve"> </w:t>
      </w:r>
      <w:r>
        <w:t>NGR, r. 87.</w:t>
      </w:r>
    </w:p>
  </w:footnote>
  <w:footnote w:id="24">
    <w:p w14:paraId="2597A98B" w14:textId="77777777" w:rsidR="00011BD8" w:rsidRDefault="00011BD8">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5">
    <w:p w14:paraId="464FFFA1" w14:textId="77777777" w:rsidR="00011BD8" w:rsidRDefault="00011BD8"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6">
    <w:p w14:paraId="060E9DEE"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7">
    <w:p w14:paraId="79CD7026" w14:textId="77777777" w:rsidR="00011BD8" w:rsidRDefault="00011BD8" w:rsidP="00A90D90">
      <w:pPr>
        <w:pStyle w:val="FootnoteText"/>
      </w:pPr>
      <w:r>
        <w:rPr>
          <w:rStyle w:val="FootnoteReference"/>
        </w:rPr>
        <w:footnoteRef/>
      </w:r>
      <w:r>
        <w:tab/>
        <w:t xml:space="preserve">NEL, s. 16(1)(a); NGL, s. 28(1)(a). </w:t>
      </w:r>
    </w:p>
  </w:footnote>
  <w:footnote w:id="28">
    <w:p w14:paraId="595466F3" w14:textId="77777777" w:rsidR="00011BD8" w:rsidRDefault="00011BD8" w:rsidP="00A90D90">
      <w:pPr>
        <w:pStyle w:val="FootnoteText"/>
      </w:pPr>
      <w:r>
        <w:rPr>
          <w:rStyle w:val="FootnoteReference"/>
        </w:rPr>
        <w:footnoteRef/>
      </w:r>
      <w:r>
        <w:t xml:space="preserve"> </w:t>
      </w:r>
      <w:r>
        <w:tab/>
        <w:t>NEL, s. 16(2)(a)(i); NGL, s. 28(2)(a)(i).</w:t>
      </w:r>
    </w:p>
  </w:footnote>
  <w:footnote w:id="29">
    <w:p w14:paraId="15FE6FF1" w14:textId="77777777" w:rsidR="00011BD8" w:rsidRDefault="00011BD8" w:rsidP="00112FED">
      <w:pPr>
        <w:pStyle w:val="FootnoteText"/>
      </w:pPr>
      <w:r>
        <w:rPr>
          <w:rStyle w:val="FootnoteReference"/>
        </w:rPr>
        <w:footnoteRef/>
      </w:r>
      <w:r>
        <w:t xml:space="preserve"> </w:t>
      </w:r>
      <w:r>
        <w:tab/>
        <w:t>NEL, ss. 7A(2)–(7); NGL, ss. 24(2)–(7).</w:t>
      </w:r>
    </w:p>
  </w:footnote>
  <w:footnote w:id="30">
    <w:p w14:paraId="5D192719" w14:textId="38847832" w:rsidR="00011BD8" w:rsidRDefault="00011BD8" w:rsidP="00A90D90">
      <w:pPr>
        <w:pStyle w:val="FootnoteText"/>
      </w:pPr>
      <w:r>
        <w:rPr>
          <w:rStyle w:val="FootnoteReference"/>
        </w:rPr>
        <w:footnoteRef/>
      </w:r>
      <w:r>
        <w:t xml:space="preserve"> </w:t>
      </w:r>
      <w:r>
        <w:tab/>
        <w:t xml:space="preserve">The requirements to make and publish the Guideline are set out in: NER, cls. 6.5.2(m), 6A.6.2(m); NGR, r. 87(13). </w:t>
      </w:r>
      <w:r w:rsidRPr="004B0617">
        <w:t xml:space="preserve">The </w:t>
      </w:r>
      <w:r>
        <w:t>Guideline</w:t>
      </w:r>
      <w:r w:rsidRPr="004B0617">
        <w:t xml:space="preserve"> is available at: </w:t>
      </w:r>
      <w:r w:rsidRPr="00F8556F">
        <w:t>http://www.aer.gov.au/node/18859</w:t>
      </w:r>
      <w:r>
        <w:t>.</w:t>
      </w:r>
    </w:p>
  </w:footnote>
  <w:footnote w:id="31">
    <w:p w14:paraId="28FDCCEA" w14:textId="24BDE382" w:rsidR="00011BD8" w:rsidRDefault="00011BD8" w:rsidP="00A90D90">
      <w:pPr>
        <w:pStyle w:val="FootnoteText"/>
      </w:pPr>
      <w:r>
        <w:rPr>
          <w:rStyle w:val="FootnoteReference"/>
        </w:rPr>
        <w:footnoteRef/>
      </w:r>
      <w:r>
        <w:t xml:space="preserve"> </w:t>
      </w:r>
      <w:r>
        <w:tab/>
        <w:t>NER, cll. 6.5.2(n</w:t>
      </w:r>
      <w:r w:rsidRPr="0090536E">
        <w:t>)</w:t>
      </w:r>
      <w:r>
        <w:t>,</w:t>
      </w:r>
      <w:r w:rsidRPr="0090536E">
        <w:t xml:space="preserve"> </w:t>
      </w:r>
      <w:r>
        <w:t>6A.6.2(n); NGR, r. 87(14).</w:t>
      </w:r>
    </w:p>
  </w:footnote>
  <w:footnote w:id="32">
    <w:p w14:paraId="2BAAF6E4" w14:textId="6F517093" w:rsidR="00011BD8" w:rsidRDefault="00011BD8" w:rsidP="00A90D90">
      <w:pPr>
        <w:pStyle w:val="FootnoteText"/>
      </w:pPr>
      <w:r>
        <w:rPr>
          <w:rStyle w:val="FootnoteReference"/>
        </w:rPr>
        <w:footnoteRef/>
      </w:r>
      <w:r>
        <w:t xml:space="preserve"> </w:t>
      </w:r>
      <w:r>
        <w:tab/>
        <w:t xml:space="preserve">NER, cll. </w:t>
      </w:r>
      <w:r w:rsidRPr="001E5B06">
        <w:t>6.5.2(n)</w:t>
      </w:r>
      <w:r>
        <w:t>(2), 6.A.6.2(n)(2); NGR, r. 87(14)(b).</w:t>
      </w:r>
    </w:p>
  </w:footnote>
  <w:footnote w:id="33">
    <w:p w14:paraId="58CE400D" w14:textId="4E043F3D" w:rsidR="00011BD8" w:rsidRDefault="00011BD8" w:rsidP="00A90D90">
      <w:pPr>
        <w:pStyle w:val="FootnoteText"/>
      </w:pPr>
      <w:r>
        <w:rPr>
          <w:rStyle w:val="FootnoteReference"/>
        </w:rPr>
        <w:footnoteRef/>
      </w:r>
      <w:r>
        <w:t xml:space="preserve"> </w:t>
      </w:r>
      <w:r>
        <w:tab/>
        <w:t>NER, cll. 6.2.8(c), 6A.2.3(c); NGR, r. 87(18).</w:t>
      </w:r>
    </w:p>
  </w:footnote>
  <w:footnote w:id="34">
    <w:p w14:paraId="7B7C078A" w14:textId="026A957C" w:rsidR="00011BD8" w:rsidRDefault="00011BD8" w:rsidP="00A90D90">
      <w:pPr>
        <w:pStyle w:val="FootnoteText"/>
      </w:pPr>
      <w:r>
        <w:rPr>
          <w:rStyle w:val="FootnoteReference"/>
        </w:rPr>
        <w:footnoteRef/>
      </w:r>
      <w:r>
        <w:t xml:space="preserve"> </w:t>
      </w:r>
      <w:r>
        <w:tab/>
        <w:t xml:space="preserve">NER, ss. </w:t>
      </w:r>
      <w:r w:rsidRPr="00A609E3">
        <w:t>S6.1.3</w:t>
      </w:r>
      <w:r>
        <w:t>(9)–(9B), S6A.1.3(4)(vi),(4A)–(4C); NGR, r. 72(1)(g).</w:t>
      </w:r>
    </w:p>
  </w:footnote>
  <w:footnote w:id="35">
    <w:p w14:paraId="603A2AA6" w14:textId="77777777" w:rsidR="00011BD8" w:rsidRDefault="00011BD8"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6">
    <w:p w14:paraId="32830357" w14:textId="77777777" w:rsidR="00011BD8" w:rsidRDefault="00011BD8">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7">
    <w:p w14:paraId="6723DCB2" w14:textId="77777777" w:rsidR="00011BD8" w:rsidRDefault="00011BD8">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8">
    <w:p w14:paraId="65D68C6D" w14:textId="54BD851F" w:rsidR="00011BD8" w:rsidRDefault="00011BD8" w:rsidP="009661BA">
      <w:pPr>
        <w:pStyle w:val="FootnoteText"/>
      </w:pPr>
      <w:r>
        <w:rPr>
          <w:rStyle w:val="FootnoteReference"/>
        </w:rPr>
        <w:footnoteRef/>
      </w:r>
      <w:r>
        <w:t xml:space="preserve"> </w:t>
      </w:r>
      <w:r>
        <w:tab/>
        <w:t>NER, cll. 6.5.2(d)(2), 6A.6.2(d)(2); NGR, r. 87(4)(b).</w:t>
      </w:r>
    </w:p>
  </w:footnote>
  <w:footnote w:id="39">
    <w:p w14:paraId="72D623C9" w14:textId="77777777" w:rsidR="00011BD8" w:rsidRDefault="00011BD8"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0">
    <w:p w14:paraId="1C27CF55" w14:textId="77777777" w:rsidR="00011BD8" w:rsidRDefault="00011BD8"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1">
    <w:p w14:paraId="3E49A65A" w14:textId="77777777" w:rsidR="00011BD8" w:rsidRDefault="00011BD8"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2">
    <w:p w14:paraId="2A7FA68F" w14:textId="77777777" w:rsidR="00011BD8" w:rsidRDefault="00011BD8">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3">
    <w:p w14:paraId="7E2589F2" w14:textId="14EC0C56" w:rsidR="00011BD8" w:rsidRDefault="00011BD8"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4">
    <w:p w14:paraId="012A0C7E" w14:textId="77777777" w:rsidR="00011BD8" w:rsidRDefault="00011BD8"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5">
    <w:p w14:paraId="452DEFC0" w14:textId="77777777" w:rsidR="00011BD8" w:rsidRDefault="00011BD8"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6">
    <w:p w14:paraId="0E537883" w14:textId="77777777" w:rsidR="00011BD8" w:rsidRDefault="00011BD8"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7">
    <w:p w14:paraId="3342FDC7" w14:textId="77777777" w:rsidR="00011BD8" w:rsidRDefault="00011BD8"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t>A.1</w:t>
      </w:r>
      <w:r>
        <w:fldChar w:fldCharType="end"/>
      </w:r>
      <w:r>
        <w:t xml:space="preserve"> and </w:t>
      </w:r>
      <w:r>
        <w:fldChar w:fldCharType="begin"/>
      </w:r>
      <w:r>
        <w:instrText xml:space="preserve"> REF _Ref414621875 \r \h </w:instrText>
      </w:r>
      <w:r>
        <w:fldChar w:fldCharType="separate"/>
      </w:r>
      <w:r>
        <w:t>A.2</w:t>
      </w:r>
      <w:r>
        <w:fldChar w:fldCharType="end"/>
      </w:r>
      <w:r>
        <w:t xml:space="preserve"> of appendix A.</w:t>
      </w:r>
    </w:p>
  </w:footnote>
  <w:footnote w:id="48">
    <w:p w14:paraId="2C0E7A02" w14:textId="77777777" w:rsidR="00011BD8" w:rsidRDefault="00011BD8"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t>A.5</w:t>
      </w:r>
      <w:r>
        <w:fldChar w:fldCharType="end"/>
      </w:r>
      <w:r>
        <w:t xml:space="preserve"> of appendix A.</w:t>
      </w:r>
    </w:p>
  </w:footnote>
  <w:footnote w:id="49">
    <w:p w14:paraId="426B79D7" w14:textId="77777777" w:rsidR="00011BD8" w:rsidRDefault="00011BD8"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t>4.3.1</w:t>
      </w:r>
      <w:r>
        <w:fldChar w:fldCharType="end"/>
      </w:r>
      <w:r>
        <w:t xml:space="preserve"> and </w:t>
      </w:r>
      <w:r>
        <w:fldChar w:fldCharType="begin"/>
      </w:r>
      <w:r>
        <w:instrText xml:space="preserve"> REF _Ref400965182 \r \h </w:instrText>
      </w:r>
      <w:r>
        <w:fldChar w:fldCharType="separate"/>
      </w:r>
      <w:r>
        <w:t>A.6</w:t>
      </w:r>
      <w:r>
        <w:fldChar w:fldCharType="end"/>
      </w:r>
      <w:r>
        <w:t xml:space="preserve"> of appendix A.</w:t>
      </w:r>
    </w:p>
  </w:footnote>
  <w:footnote w:id="50">
    <w:p w14:paraId="302E0226" w14:textId="77777777" w:rsidR="00011BD8" w:rsidRDefault="00011BD8"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t>A.6</w:t>
      </w:r>
      <w:r>
        <w:fldChar w:fldCharType="end"/>
      </w:r>
      <w:r>
        <w:t xml:space="preserve"> of appendix A.</w:t>
      </w:r>
    </w:p>
  </w:footnote>
  <w:footnote w:id="51">
    <w:p w14:paraId="70154BDC" w14:textId="77777777" w:rsidR="00011BD8" w:rsidRDefault="00011BD8"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t>A.9.1</w:t>
      </w:r>
      <w:r>
        <w:fldChar w:fldCharType="end"/>
      </w:r>
      <w:r>
        <w:t xml:space="preserve"> of appendix A for more discussion. </w:t>
      </w:r>
    </w:p>
  </w:footnote>
  <w:footnote w:id="52">
    <w:p w14:paraId="7C0C31E0" w14:textId="77777777" w:rsidR="00011BD8" w:rsidRDefault="00011BD8"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3">
    <w:p w14:paraId="7AE2616C" w14:textId="77777777" w:rsidR="00011BD8" w:rsidRDefault="00011BD8"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4">
    <w:p w14:paraId="59C06099" w14:textId="77777777" w:rsidR="00011BD8" w:rsidRDefault="00011BD8"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5">
    <w:p w14:paraId="4446AADE" w14:textId="77777777" w:rsidR="00011BD8" w:rsidRDefault="00011BD8"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t>A.1</w:t>
      </w:r>
      <w:r>
        <w:fldChar w:fldCharType="end"/>
      </w:r>
      <w:r>
        <w:t xml:space="preserve"> of appendix A.</w:t>
      </w:r>
    </w:p>
  </w:footnote>
  <w:footnote w:id="56">
    <w:p w14:paraId="6615E5F5" w14:textId="77777777" w:rsidR="00011BD8" w:rsidRDefault="00011BD8"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7">
    <w:p w14:paraId="7123C3A3" w14:textId="77777777" w:rsidR="00011BD8" w:rsidRDefault="00011BD8">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8">
    <w:p w14:paraId="04154A0A" w14:textId="77777777" w:rsidR="00011BD8" w:rsidRDefault="00011BD8"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59">
    <w:p w14:paraId="3FC624FE" w14:textId="77777777" w:rsidR="00011BD8" w:rsidRDefault="00011BD8"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t>4.4.2</w:t>
      </w:r>
      <w:r>
        <w:fldChar w:fldCharType="end"/>
      </w:r>
      <w:r>
        <w:t>.</w:t>
      </w:r>
    </w:p>
  </w:footnote>
  <w:footnote w:id="60">
    <w:p w14:paraId="2F86096E" w14:textId="77777777" w:rsidR="00011BD8" w:rsidRDefault="00011BD8"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1">
    <w:p w14:paraId="44247CAE" w14:textId="77777777" w:rsidR="00011BD8" w:rsidRDefault="00011BD8">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2">
    <w:p w14:paraId="46CFF022" w14:textId="77777777" w:rsidR="00011BD8" w:rsidRDefault="00011BD8"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t>4.4.2</w:t>
      </w:r>
      <w:r>
        <w:fldChar w:fldCharType="end"/>
      </w:r>
      <w:r>
        <w:t>.</w:t>
      </w:r>
    </w:p>
  </w:footnote>
  <w:footnote w:id="63">
    <w:p w14:paraId="323C28C9" w14:textId="77777777" w:rsidR="00011BD8" w:rsidRDefault="00011BD8">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4">
    <w:p w14:paraId="48F57817" w14:textId="77777777" w:rsidR="00011BD8" w:rsidRPr="001966E3" w:rsidRDefault="00011BD8"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5">
    <w:p w14:paraId="0C0CF8BA" w14:textId="77777777" w:rsidR="00011BD8" w:rsidRDefault="00011BD8"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6">
    <w:p w14:paraId="68AEC066" w14:textId="77777777" w:rsidR="00011BD8" w:rsidRDefault="00011BD8">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7">
    <w:p w14:paraId="1317F82D" w14:textId="77777777" w:rsidR="00011BD8" w:rsidRDefault="00011BD8"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8">
    <w:p w14:paraId="19989823" w14:textId="77777777" w:rsidR="00011BD8" w:rsidRDefault="00011BD8"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69">
    <w:p w14:paraId="0E113CA0" w14:textId="77777777" w:rsidR="00011BD8" w:rsidRDefault="00011BD8">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0">
    <w:p w14:paraId="464F8BA9" w14:textId="77777777" w:rsidR="00011BD8" w:rsidRDefault="00011BD8" w:rsidP="00B36753">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71">
    <w:p w14:paraId="3CBDF6D9" w14:textId="205CD6F4" w:rsidR="00011BD8" w:rsidRDefault="00011BD8">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2">
    <w:p w14:paraId="74AD9B72" w14:textId="77777777" w:rsidR="00011BD8" w:rsidRDefault="00011BD8" w:rsidP="003504FC">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73">
    <w:p w14:paraId="0A639FE5" w14:textId="135494ED" w:rsidR="00011BD8" w:rsidRDefault="00011BD8"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4">
    <w:p w14:paraId="43316870" w14:textId="77777777" w:rsidR="00011BD8" w:rsidRDefault="00011BD8"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5">
    <w:p w14:paraId="59806CA0" w14:textId="39F53624" w:rsidR="00011BD8" w:rsidRDefault="00011BD8"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2015-­2020</w:t>
      </w:r>
      <w:r>
        <w:t>, 30 January 2015, p. 24.</w:t>
      </w:r>
    </w:p>
  </w:footnote>
  <w:footnote w:id="76">
    <w:p w14:paraId="522A8DCE" w14:textId="0F2AD008" w:rsidR="00011BD8" w:rsidRDefault="00011BD8"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w:t>
      </w:r>
      <w:r>
        <w:t>–</w:t>
      </w:r>
      <w:r w:rsidRPr="00B239C6">
        <w:t>20 from SA Power Networks, and AER Preliminary Determination, July 2015, p. 29.</w:t>
      </w:r>
    </w:p>
  </w:footnote>
  <w:footnote w:id="77">
    <w:p w14:paraId="2ED40B18" w14:textId="77777777" w:rsidR="00011BD8" w:rsidRDefault="00011BD8"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8">
    <w:p w14:paraId="17BA70D0" w14:textId="77777777" w:rsidR="00011BD8" w:rsidRDefault="00011BD8"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t>A.10</w:t>
      </w:r>
      <w:r>
        <w:fldChar w:fldCharType="end"/>
      </w:r>
      <w:r w:rsidRPr="007F4E38">
        <w:t xml:space="preserve"> of </w:t>
      </w:r>
      <w:r>
        <w:t>appendix A.</w:t>
      </w:r>
    </w:p>
  </w:footnote>
  <w:footnote w:id="79">
    <w:p w14:paraId="66868DEA" w14:textId="77777777" w:rsidR="00011BD8" w:rsidRDefault="00011BD8"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0">
    <w:p w14:paraId="52FF263E" w14:textId="77777777" w:rsidR="00011BD8" w:rsidRDefault="00011BD8"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1">
    <w:p w14:paraId="216B095E" w14:textId="77777777" w:rsidR="00011BD8" w:rsidRDefault="00011BD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2">
    <w:p w14:paraId="225323C2" w14:textId="27533756" w:rsidR="00011BD8" w:rsidRDefault="00011BD8"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w:t>
      </w:r>
      <w:r w:rsidR="008C687C">
        <w:t>p</w:t>
      </w:r>
      <w:r>
        <w:t xml:space="preserve">p. 25–30; M. McKenzie and G. Partington, </w:t>
      </w:r>
      <w:r w:rsidRPr="00523EF7">
        <w:rPr>
          <w:rStyle w:val="AERtextitalic"/>
        </w:rPr>
        <w:t>Report to the Queensland Resources Council: Review of Aurizon Network’s draft access undertaking</w:t>
      </w:r>
      <w:r>
        <w:t>, 5 October 2013, p. 31.</w:t>
      </w:r>
    </w:p>
  </w:footnote>
  <w:footnote w:id="83">
    <w:p w14:paraId="6A8F7D53" w14:textId="77777777" w:rsidR="00011BD8" w:rsidRDefault="00011BD8"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4">
    <w:p w14:paraId="1DC7CDAB" w14:textId="77777777" w:rsidR="00011BD8" w:rsidRDefault="00011BD8">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85">
    <w:p w14:paraId="1529DDE9" w14:textId="77777777" w:rsidR="00011BD8" w:rsidRDefault="00011BD8"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w:t>
      </w:r>
    </w:p>
  </w:footnote>
  <w:footnote w:id="86">
    <w:p w14:paraId="0232DD62" w14:textId="79885769"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596AF9">
        <w:rPr>
          <w:i/>
        </w:rPr>
        <w:t>2016-20 Regulatory Proposal</w:t>
      </w:r>
      <w:r>
        <w:t xml:space="preserve">, April 2015, p. 354; United Energy, </w:t>
      </w:r>
      <w:r w:rsidRPr="00596AF9">
        <w:rPr>
          <w:i/>
        </w:rPr>
        <w:t>Assessment of the Value of Imputation Credits - Gamma, Proposal for 2016 to 2020</w:t>
      </w:r>
      <w:r>
        <w:t>, April 2015, pp. 2, 6</w:t>
      </w:r>
      <w:r w:rsidR="008C687C">
        <w:t>–</w:t>
      </w:r>
      <w:r>
        <w:t xml:space="preserve">8; CitiPower - </w:t>
      </w:r>
      <w:r w:rsidRPr="00596AF9">
        <w:rPr>
          <w:i/>
        </w:rPr>
        <w:t xml:space="preserve">Appendix J - Gamma, April 2015, </w:t>
      </w:r>
      <w:r w:rsidRPr="009A60DD">
        <w:t>pp. 6-7</w:t>
      </w:r>
      <w:r w:rsidRPr="00596AF9">
        <w:rPr>
          <w:i/>
        </w:rPr>
        <w:t>; Powercor, Appendix J - Gamma</w:t>
      </w:r>
      <w:r>
        <w:t xml:space="preserve">, April 2015, pp. 6-7; Jemena Electricity, </w:t>
      </w:r>
      <w:r w:rsidRPr="00596AF9">
        <w:rPr>
          <w:i/>
        </w:rPr>
        <w:t>Attachment 06-06 Gamma proposal</w:t>
      </w:r>
      <w:r>
        <w:t xml:space="preserve">, April 2015, p. 2; SA Power Networks, </w:t>
      </w:r>
      <w:r w:rsidRPr="00596AF9">
        <w:rPr>
          <w:i/>
        </w:rPr>
        <w:t>2015-20 Revised Regulatory Proposal</w:t>
      </w:r>
      <w:r>
        <w:t>, July 2015, pp. 376</w:t>
      </w:r>
      <w:r w:rsidR="008C687C">
        <w:t>–</w:t>
      </w:r>
      <w:r>
        <w:t xml:space="preserve">379; Energex, </w:t>
      </w:r>
      <w:r w:rsidRPr="00596AF9">
        <w:rPr>
          <w:i/>
        </w:rPr>
        <w:t>Revised Regulatory Proposal</w:t>
      </w:r>
      <w:r>
        <w:t xml:space="preserve">, July 2015, pp. 124–125; Ergon, </w:t>
      </w:r>
      <w:r w:rsidRPr="00596AF9">
        <w:rPr>
          <w:i/>
        </w:rPr>
        <w:t>Revised Regulatory Proposal</w:t>
      </w:r>
      <w:r>
        <w:t xml:space="preserve">, July 2015, p. 153,; ActewAGL Distribution, </w:t>
      </w:r>
      <w:r w:rsidRPr="00596AF9">
        <w:rPr>
          <w:i/>
        </w:rPr>
        <w:t>Attachment 8 Detailed gamma proposal</w:t>
      </w:r>
      <w:r>
        <w:t xml:space="preserve">, June 2015, pp. 4–6; Australian Gas Networks, </w:t>
      </w:r>
      <w:r w:rsidRPr="00596AF9">
        <w:rPr>
          <w:i/>
        </w:rPr>
        <w:t>Access Arrangement Information for Australian Gas Networks' South Australian Natural Gas Distribution Network</w:t>
      </w:r>
      <w:r>
        <w:t xml:space="preserve">, July 2015, pp. 183-184; Amadeus Gas Pipeline, </w:t>
      </w:r>
      <w:r w:rsidRPr="00596AF9">
        <w:rPr>
          <w:i/>
        </w:rPr>
        <w:t>Access Arrangement revision submission</w:t>
      </w:r>
      <w:r>
        <w:t>, August 2015, p. 153.</w:t>
      </w:r>
    </w:p>
  </w:footnote>
  <w:footnote w:id="87">
    <w:p w14:paraId="7463B2BE" w14:textId="77777777" w:rsidR="00011BD8" w:rsidRDefault="00011BD8"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t>A.8.1</w:t>
      </w:r>
      <w:r>
        <w:fldChar w:fldCharType="end"/>
      </w:r>
      <w:r>
        <w:t xml:space="preserve"> of appendix A.</w:t>
      </w:r>
    </w:p>
  </w:footnote>
  <w:footnote w:id="88">
    <w:p w14:paraId="2FCD216E" w14:textId="77777777" w:rsidR="00011BD8" w:rsidRDefault="00011BD8"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89">
    <w:p w14:paraId="6B8853D9" w14:textId="77777777" w:rsidR="00011BD8" w:rsidRDefault="00011BD8"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t>A.11</w:t>
      </w:r>
      <w:r>
        <w:fldChar w:fldCharType="end"/>
      </w:r>
      <w:r>
        <w:t xml:space="preserve"> of appendix A.</w:t>
      </w:r>
    </w:p>
  </w:footnote>
  <w:footnote w:id="90">
    <w:p w14:paraId="68059255" w14:textId="77777777" w:rsidR="00011BD8" w:rsidRDefault="00011BD8"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1">
    <w:p w14:paraId="38CBB34D" w14:textId="65A477DB" w:rsidR="00011BD8" w:rsidRDefault="00011BD8"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2016–20 Regulatory Proposal, April 2015, p. 364; United Energy, </w:t>
      </w:r>
      <w:r w:rsidRPr="00596AF9">
        <w:rPr>
          <w:i/>
        </w:rPr>
        <w:t>Assessment of the Value of Imputation Credits - Gamma, Proposal for 2016 to 2020</w:t>
      </w:r>
      <w:r>
        <w:t xml:space="preserve">, April 2015, p. 10; CitiPower, </w:t>
      </w:r>
      <w:r w:rsidRPr="00596AF9">
        <w:rPr>
          <w:i/>
        </w:rPr>
        <w:t>Appendix J - Gamma</w:t>
      </w:r>
      <w:r>
        <w:t xml:space="preserve">, April 2015, p. 10; Powercor, </w:t>
      </w:r>
      <w:r w:rsidRPr="00596AF9">
        <w:rPr>
          <w:i/>
        </w:rPr>
        <w:t>Appendix J - Gamma</w:t>
      </w:r>
      <w:r>
        <w:t xml:space="preserve">, April 2015, p. 10; Jemena Electricity, </w:t>
      </w:r>
      <w:r w:rsidRPr="00596AF9">
        <w:rPr>
          <w:i/>
        </w:rPr>
        <w:t>Attachment 06-06 Gamma proposal</w:t>
      </w:r>
      <w:r>
        <w:t xml:space="preserve">, April 2015, p. 11; Energex, </w:t>
      </w:r>
      <w:r w:rsidRPr="00596AF9">
        <w:rPr>
          <w:i/>
        </w:rPr>
        <w:t>Revised Regulatory Proposal</w:t>
      </w:r>
      <w:r>
        <w:t xml:space="preserve">, July 2015, p. 118; ActewAGL Distribution, </w:t>
      </w:r>
      <w:r w:rsidRPr="00596AF9">
        <w:rPr>
          <w:i/>
        </w:rPr>
        <w:t>Attachment 8 Detailed gamma proposal</w:t>
      </w:r>
      <w:r>
        <w:t xml:space="preserve">, June 2015, p. 13; Australian Gas Networks, </w:t>
      </w:r>
      <w:r w:rsidRPr="00596AF9">
        <w:rPr>
          <w:i/>
        </w:rPr>
        <w:t>Access Arrangement Information for Australian Gas Networks' South Australian Natural Gas Distribution Network</w:t>
      </w:r>
      <w:r>
        <w:t>, July 2015, p. 184</w:t>
      </w:r>
      <w:r w:rsidR="008C687C">
        <w:t>.</w:t>
      </w:r>
    </w:p>
  </w:footnote>
  <w:footnote w:id="92">
    <w:p w14:paraId="79AA6471" w14:textId="77777777" w:rsidR="00011BD8" w:rsidRDefault="00011BD8"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3">
    <w:p w14:paraId="18DC2A3B" w14:textId="77777777" w:rsidR="00011BD8" w:rsidRDefault="00011BD8"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4">
    <w:p w14:paraId="514CD18E" w14:textId="77777777" w:rsidR="00011BD8" w:rsidRDefault="00011BD8"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5">
    <w:p w14:paraId="0B10104D" w14:textId="129DA3A0" w:rsidR="00011BD8" w:rsidRDefault="00011BD8">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6">
    <w:p w14:paraId="024E1A0A" w14:textId="77777777" w:rsidR="00011BD8" w:rsidRDefault="00011BD8"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7">
    <w:p w14:paraId="0949B0BA" w14:textId="77777777" w:rsidR="00011BD8" w:rsidRDefault="00011BD8"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98">
    <w:p w14:paraId="6B0D80CC" w14:textId="77777777" w:rsidR="00011BD8" w:rsidRDefault="00011BD8"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t>A.9.1</w:t>
      </w:r>
      <w:r>
        <w:fldChar w:fldCharType="end"/>
      </w:r>
      <w:r>
        <w:t xml:space="preserve"> of appendix A.</w:t>
      </w:r>
    </w:p>
  </w:footnote>
  <w:footnote w:id="99">
    <w:p w14:paraId="00130FE9" w14:textId="77777777" w:rsidR="00011BD8" w:rsidRDefault="00011BD8"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0">
    <w:p w14:paraId="765600EF" w14:textId="77777777" w:rsidR="00011BD8" w:rsidRDefault="00011BD8"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1">
    <w:p w14:paraId="5C6EBFDE" w14:textId="77777777" w:rsidR="00011BD8" w:rsidRDefault="00011BD8">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2">
    <w:p w14:paraId="1FC3969F" w14:textId="4537070C" w:rsidR="00011BD8" w:rsidRDefault="00011BD8" w:rsidP="001123B0">
      <w:pPr>
        <w:pStyle w:val="FootnoteText"/>
        <w:ind w:left="284" w:hanging="284"/>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xml:space="preserve">, February 2015, pp. 8–9; AusNet Services, </w:t>
      </w:r>
      <w:r w:rsidRPr="00596AF9">
        <w:rPr>
          <w:i/>
        </w:rPr>
        <w:t>2016</w:t>
      </w:r>
      <w:r>
        <w:rPr>
          <w:i/>
        </w:rPr>
        <w:t>–</w:t>
      </w:r>
      <w:r w:rsidRPr="00596AF9">
        <w:rPr>
          <w:i/>
        </w:rPr>
        <w:t>20 Regulatory Proposal</w:t>
      </w:r>
      <w:r>
        <w:t xml:space="preserve">, April 2015, p. 364; United Energy, </w:t>
      </w:r>
      <w:r w:rsidRPr="00596AF9">
        <w:rPr>
          <w:i/>
        </w:rPr>
        <w:t>Assessment of the Value of Imputation Credits - Gamma, Proposal for 2016 to 2020</w:t>
      </w:r>
      <w:r>
        <w:t xml:space="preserve">, April 2015, p. 10; CitiPower, </w:t>
      </w:r>
      <w:r w:rsidRPr="00596AF9">
        <w:rPr>
          <w:i/>
        </w:rPr>
        <w:t>Appendix J</w:t>
      </w:r>
      <w:r>
        <w:t xml:space="preserve"> </w:t>
      </w:r>
      <w:r w:rsidRPr="00596AF9">
        <w:rPr>
          <w:i/>
        </w:rPr>
        <w:t>- Gamma</w:t>
      </w:r>
      <w:r>
        <w:t xml:space="preserve">, April 2015, p. 10; Powercor, </w:t>
      </w:r>
      <w:r w:rsidRPr="00596AF9">
        <w:rPr>
          <w:i/>
        </w:rPr>
        <w:t>Appendix J - Gamma</w:t>
      </w:r>
      <w:r>
        <w:t xml:space="preserve">, April 2015, p. 10; Jemena Electricity, </w:t>
      </w:r>
      <w:r w:rsidRPr="00596AF9">
        <w:rPr>
          <w:i/>
        </w:rPr>
        <w:t>Attachment 06-06 Gamma proposa</w:t>
      </w:r>
      <w:r>
        <w:t xml:space="preserve">l, April 2015, p. 11; Energex, </w:t>
      </w:r>
      <w:r w:rsidRPr="00596AF9">
        <w:rPr>
          <w:i/>
        </w:rPr>
        <w:t>Revised Regulatory Proposal</w:t>
      </w:r>
      <w:r>
        <w:t xml:space="preserve">, July 2015, p. 118; ActewAGL Distribution, </w:t>
      </w:r>
      <w:r w:rsidRPr="00596AF9">
        <w:rPr>
          <w:i/>
        </w:rPr>
        <w:t>Attachment 8 Detailed gamma proposal,</w:t>
      </w:r>
      <w:r>
        <w:t xml:space="preserve"> June 2015, p. 13; Australian Gas Networks, </w:t>
      </w:r>
      <w:r w:rsidRPr="00596AF9">
        <w:rPr>
          <w:i/>
        </w:rPr>
        <w:t>Access Arrangement Information for Australian Gas Networks' South Australian Natural Gas Distribution Network</w:t>
      </w:r>
      <w:r>
        <w:t>, July 2015, p. 184</w:t>
      </w:r>
      <w:r w:rsidR="008C687C">
        <w:t>.</w:t>
      </w:r>
    </w:p>
  </w:footnote>
  <w:footnote w:id="103">
    <w:p w14:paraId="2D76059D" w14:textId="77777777" w:rsidR="00011BD8" w:rsidRDefault="00011BD8"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4">
    <w:p w14:paraId="23C22630" w14:textId="77777777" w:rsidR="00011BD8" w:rsidRDefault="00011BD8"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5">
    <w:p w14:paraId="6A3FC438" w14:textId="77777777" w:rsidR="00011BD8" w:rsidRDefault="00011BD8"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6">
    <w:p w14:paraId="2B578ECF" w14:textId="77777777" w:rsidR="00011BD8" w:rsidRDefault="00011BD8"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7">
    <w:p w14:paraId="590E5558" w14:textId="77777777" w:rsidR="00011BD8" w:rsidRDefault="00011BD8"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8">
    <w:p w14:paraId="15ECE903" w14:textId="77777777" w:rsidR="00011BD8" w:rsidRDefault="00011BD8">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09">
    <w:p w14:paraId="3CB3DBFA" w14:textId="77777777" w:rsidR="00011BD8" w:rsidRDefault="00011BD8"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0">
    <w:p w14:paraId="2F540AF3" w14:textId="1F52B8A3"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1">
    <w:p w14:paraId="5B0ACF06" w14:textId="652705DA"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12">
    <w:p w14:paraId="48B504C7" w14:textId="77777777" w:rsidR="00011BD8" w:rsidRDefault="00011BD8"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3">
    <w:p w14:paraId="18DE4297" w14:textId="25185EBA"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37–38.</w:t>
      </w:r>
    </w:p>
  </w:footnote>
  <w:footnote w:id="114">
    <w:p w14:paraId="638519D6" w14:textId="77777777" w:rsidR="00011BD8" w:rsidRDefault="00011BD8">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5">
    <w:p w14:paraId="043D14E4" w14:textId="77777777" w:rsidR="00011BD8" w:rsidRDefault="00011BD8">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6">
    <w:p w14:paraId="69CDD191" w14:textId="6B16219C"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33.</w:t>
      </w:r>
    </w:p>
  </w:footnote>
  <w:footnote w:id="117">
    <w:p w14:paraId="786BC8C6" w14:textId="4B145E19"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8">
    <w:p w14:paraId="365722C1" w14:textId="676ACBA8"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xml:space="preserve">, January 2015, pp. 8–9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596AF9">
        <w:rPr>
          <w:i/>
        </w:rPr>
        <w:t>2016-20 Regulatory Proposal</w:t>
      </w:r>
      <w:r>
        <w:t xml:space="preserve">, April 2015, pp. 363-367; United Energy, </w:t>
      </w:r>
      <w:r w:rsidRPr="00596AF9">
        <w:rPr>
          <w:i/>
        </w:rPr>
        <w:t>Assessment of the Value of Imputation Credits - Gamma, Proposal for 2016 to 2020</w:t>
      </w:r>
      <w:r>
        <w:t xml:space="preserve">, April 2015, p. 13; CitiPower, </w:t>
      </w:r>
      <w:r w:rsidRPr="00596AF9">
        <w:rPr>
          <w:i/>
        </w:rPr>
        <w:t>Appendix J - Gamma</w:t>
      </w:r>
      <w:r>
        <w:t xml:space="preserve">, April 2015, p. 16; Powercor, </w:t>
      </w:r>
      <w:r w:rsidRPr="00596AF9">
        <w:rPr>
          <w:i/>
        </w:rPr>
        <w:t>Appendix J - Gamma</w:t>
      </w:r>
      <w:r>
        <w:t xml:space="preserve">, April 2015, p. 16; Jemena Electricity, </w:t>
      </w:r>
      <w:r w:rsidRPr="00596AF9">
        <w:rPr>
          <w:i/>
        </w:rPr>
        <w:t>Attachment 06-06 Gamma proposal</w:t>
      </w:r>
      <w:r>
        <w:t xml:space="preserve">, April 2015, pp. 12-16; Energex, </w:t>
      </w:r>
      <w:r w:rsidRPr="00596AF9">
        <w:rPr>
          <w:i/>
        </w:rPr>
        <w:t>Revised Regulatory Proposal</w:t>
      </w:r>
      <w:r>
        <w:t xml:space="preserve">, July 2015, pp. 118–119; ActewAGL Distribution, </w:t>
      </w:r>
      <w:r w:rsidRPr="00596AF9">
        <w:rPr>
          <w:i/>
        </w:rPr>
        <w:t>Attachment 8 Detailed gamma proposal</w:t>
      </w:r>
      <w:r>
        <w:t xml:space="preserve">, June 2015, pp. 12-15; Australian Gas Networks, </w:t>
      </w:r>
      <w:r w:rsidRPr="00596AF9">
        <w:rPr>
          <w:i/>
        </w:rPr>
        <w:t>Access Arrangement Information for Australian Gas Networks' South Australian Natural Gas Distribution Network</w:t>
      </w:r>
      <w:r>
        <w:t>, July 2015, p. 184.</w:t>
      </w:r>
    </w:p>
  </w:footnote>
  <w:footnote w:id="119">
    <w:p w14:paraId="09327938" w14:textId="60165E39" w:rsidR="00011BD8" w:rsidRDefault="00011BD8"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596AF9">
        <w:rPr>
          <w:i/>
        </w:rPr>
        <w:t>2016-20 Regulatory Proposal</w:t>
      </w:r>
      <w:r>
        <w:t xml:space="preserve">, April 2015, p. 364; United Energy, </w:t>
      </w:r>
      <w:r w:rsidRPr="00596AF9">
        <w:rPr>
          <w:i/>
        </w:rPr>
        <w:t>Assessment of the Value of Imputation Credits - Gamma, Proposal for 2016 to 2020</w:t>
      </w:r>
      <w:r>
        <w:t xml:space="preserve">, April 2015, p. 14; CitiPower, </w:t>
      </w:r>
      <w:r w:rsidRPr="00596AF9">
        <w:rPr>
          <w:i/>
        </w:rPr>
        <w:t>Appendix J - Gamma</w:t>
      </w:r>
      <w:r>
        <w:t xml:space="preserve">, April 2015, p. 13; Powercor, </w:t>
      </w:r>
      <w:r w:rsidRPr="00596AF9">
        <w:rPr>
          <w:i/>
        </w:rPr>
        <w:t>Appendix J - Gamma</w:t>
      </w:r>
      <w:r>
        <w:t xml:space="preserve">, April 2015, p. 13; Jemena Electricity, </w:t>
      </w:r>
      <w:r w:rsidRPr="00596AF9">
        <w:rPr>
          <w:i/>
        </w:rPr>
        <w:t>Attachment 06-06 Gamma proposal</w:t>
      </w:r>
      <w:r>
        <w:t xml:space="preserve">, April 2015, p. 13; ActewAGL Distribution, </w:t>
      </w:r>
      <w:r w:rsidRPr="00596AF9">
        <w:rPr>
          <w:i/>
        </w:rPr>
        <w:t>Attachment 8 Detailed gamma proposal</w:t>
      </w:r>
      <w:r>
        <w:t>, June 2015, p. 13.</w:t>
      </w:r>
    </w:p>
  </w:footnote>
  <w:footnote w:id="120">
    <w:p w14:paraId="0C334F48" w14:textId="53082B25"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1">
    <w:p w14:paraId="1CDE8AEF" w14:textId="233EDC30"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2">
    <w:p w14:paraId="47DD1B3B" w14:textId="553640AA" w:rsidR="00011BD8" w:rsidRDefault="00011BD8">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3">
    <w:p w14:paraId="38BA94AB" w14:textId="27E06BD5" w:rsidR="00011BD8" w:rsidRDefault="00011BD8">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124">
    <w:p w14:paraId="086A8D77" w14:textId="77777777" w:rsidR="00011BD8" w:rsidRDefault="00011BD8"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5">
    <w:p w14:paraId="7AC1B856" w14:textId="77777777" w:rsidR="00011BD8" w:rsidRDefault="00011BD8"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6">
    <w:p w14:paraId="74C9BE97" w14:textId="77777777" w:rsidR="00011BD8" w:rsidRDefault="00011BD8"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7">
    <w:p w14:paraId="7AA190BA" w14:textId="77777777" w:rsidR="00011BD8" w:rsidRPr="00EB47DF" w:rsidRDefault="00011BD8"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8">
    <w:p w14:paraId="233A22BD" w14:textId="77777777" w:rsidR="00011BD8" w:rsidRDefault="00011BD8"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29">
    <w:p w14:paraId="0853672F" w14:textId="77777777" w:rsidR="00011BD8" w:rsidRDefault="00011BD8"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0">
    <w:p w14:paraId="1ABA4E76" w14:textId="61397836"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1">
    <w:p w14:paraId="02AA243C" w14:textId="77777777" w:rsidR="00011BD8" w:rsidRDefault="00011BD8"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2">
    <w:p w14:paraId="543CC113" w14:textId="77777777" w:rsidR="00011BD8" w:rsidRDefault="00011BD8"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3">
    <w:p w14:paraId="39C7E759" w14:textId="77777777" w:rsidR="00011BD8" w:rsidRDefault="00011BD8"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4">
    <w:p w14:paraId="45030BF6" w14:textId="77777777" w:rsidR="00011BD8" w:rsidRDefault="00011BD8"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5">
    <w:p w14:paraId="20EEB2E9" w14:textId="77777777" w:rsidR="00011BD8" w:rsidRDefault="00011BD8"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6">
    <w:p w14:paraId="0052669F" w14:textId="48F640E3" w:rsidR="00011BD8" w:rsidRDefault="00011BD8" w:rsidP="001123B0">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footnote>
  <w:footnote w:id="137">
    <w:p w14:paraId="4825C632" w14:textId="55A440A0" w:rsidR="00011BD8" w:rsidRDefault="00011BD8">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8">
    <w:p w14:paraId="74378A4C" w14:textId="77777777" w:rsidR="00011BD8" w:rsidRDefault="00011BD8"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39">
    <w:p w14:paraId="11C169B8" w14:textId="77777777" w:rsidR="00011BD8" w:rsidRDefault="00011BD8"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0">
    <w:p w14:paraId="44016D1E" w14:textId="77777777" w:rsidR="00011BD8" w:rsidRDefault="00011BD8"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1">
    <w:p w14:paraId="05C3F75C" w14:textId="77777777" w:rsidR="00011BD8" w:rsidRDefault="00011BD8"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2">
    <w:p w14:paraId="49F547A2" w14:textId="77777777" w:rsidR="00011BD8" w:rsidRDefault="00011BD8"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3">
    <w:p w14:paraId="61C9E911" w14:textId="77777777" w:rsidR="00011BD8" w:rsidRDefault="00011BD8"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4">
    <w:p w14:paraId="19FF1B80" w14:textId="77777777" w:rsidR="00011BD8" w:rsidRDefault="00011BD8"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5">
    <w:p w14:paraId="6ACECDAC" w14:textId="77777777" w:rsidR="00011BD8" w:rsidRDefault="00011BD8"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6">
    <w:p w14:paraId="1AB526F7" w14:textId="77777777" w:rsidR="00011BD8" w:rsidRDefault="00011BD8"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7">
    <w:p w14:paraId="32A47F5D" w14:textId="77777777" w:rsidR="00011BD8" w:rsidRDefault="00011BD8"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48">
    <w:p w14:paraId="6BB6DE03" w14:textId="552998A2" w:rsidR="00011BD8" w:rsidRDefault="00011BD8">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pp. 1–2;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49">
    <w:p w14:paraId="27E0D6E8" w14:textId="103537B6" w:rsidR="00011BD8" w:rsidRDefault="00011BD8" w:rsidP="001123B0">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note Gray did not explicitly identify these as the key issues in dispute, although they featured prominently in his report. </w:t>
      </w:r>
    </w:p>
  </w:footnote>
  <w:footnote w:id="150">
    <w:p w14:paraId="4C96CF06" w14:textId="5D9C98AE" w:rsidR="00011BD8" w:rsidRDefault="00011BD8">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 7; Frontier Economics, An appropriate regulatory estimate of gamma, p. 8</w:t>
      </w:r>
      <w:r w:rsidR="008C687C">
        <w:t>.</w:t>
      </w:r>
      <w:r>
        <w:t xml:space="preserve"> June 2015; Australian Gas Networks, Attachment 11.2 Value of Imputation Credits, p. 3, July 2015; ; ActewAGL Distribution, Attachment 8 Detailed gamma proposal, pp. 2</w:t>
      </w:r>
      <w:r w:rsidR="008C687C">
        <w:t>–</w:t>
      </w:r>
      <w:r>
        <w:t>3.</w:t>
      </w:r>
    </w:p>
  </w:footnote>
  <w:footnote w:id="151">
    <w:p w14:paraId="0E91DD89" w14:textId="133D3E41" w:rsidR="00011BD8" w:rsidRDefault="00011BD8">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Submission on value of imputation credits (gamma), July 2015, p. 7; Frontier Economics, </w:t>
      </w:r>
      <w:r w:rsidRPr="00596AF9">
        <w:rPr>
          <w:i/>
        </w:rPr>
        <w:t>An appropriate regulatory estimate of gamma, pp. 26-30, June 2015; Australian Gas Networks, Attachment 11.2 Value of Imputation Credits</w:t>
      </w:r>
      <w:r>
        <w:t>, July 2015, p. 3.</w:t>
      </w:r>
    </w:p>
  </w:footnote>
  <w:footnote w:id="152">
    <w:p w14:paraId="5153D67A" w14:textId="38922B32" w:rsidR="00011BD8" w:rsidRDefault="00011BD8">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3">
    <w:p w14:paraId="33F99EC6" w14:textId="5B9A2619" w:rsidR="00011BD8" w:rsidRDefault="00011BD8">
      <w:pPr>
        <w:pStyle w:val="FootnoteText"/>
      </w:pPr>
      <w:r>
        <w:rPr>
          <w:rStyle w:val="FootnoteReference"/>
        </w:rPr>
        <w:footnoteRef/>
      </w:r>
      <w:r>
        <w:t xml:space="preserve"> </w:t>
      </w:r>
      <w:r>
        <w:tab/>
        <w:t xml:space="preserve">AusNet Services, </w:t>
      </w:r>
      <w:r w:rsidRPr="00596AF9">
        <w:rPr>
          <w:i/>
        </w:rPr>
        <w:t>2016-20 Regulatory Proposal</w:t>
      </w:r>
      <w:r>
        <w:t xml:space="preserve">, April 2015, p. 354; United Energy, </w:t>
      </w:r>
      <w:r w:rsidRPr="00596AF9">
        <w:rPr>
          <w:i/>
        </w:rPr>
        <w:t>Assessment of the Value of Imputation Credits - Gamma, Proposal for 2016 to 2020</w:t>
      </w:r>
      <w:r>
        <w:t xml:space="preserve">, April 2015, p. 2; CitiPower, </w:t>
      </w:r>
      <w:r w:rsidRPr="00596AF9">
        <w:rPr>
          <w:i/>
        </w:rPr>
        <w:t>Appendix J - Gamma</w:t>
      </w:r>
      <w:r>
        <w:t xml:space="preserve">, April 2015, p. 4; Powercor, </w:t>
      </w:r>
      <w:r w:rsidRPr="00596AF9">
        <w:rPr>
          <w:i/>
        </w:rPr>
        <w:t>Appendix J - Gamma</w:t>
      </w:r>
      <w:r>
        <w:t xml:space="preserve">, April 2015, p. 4; Jemena Electricity, </w:t>
      </w:r>
      <w:r w:rsidRPr="00596AF9">
        <w:rPr>
          <w:i/>
        </w:rPr>
        <w:t>Attachment 06-06 Gamma proposal</w:t>
      </w:r>
      <w:r>
        <w:t xml:space="preserve">, April 2015, p. 5; SA Power Networks, </w:t>
      </w:r>
      <w:r>
        <w:rPr>
          <w:rStyle w:val="AERtextitalic"/>
        </w:rPr>
        <w:t>Revised regulatory proposal 2015-20</w:t>
      </w:r>
      <w:r>
        <w:t xml:space="preserve">, July 2015, pp. 370–371 ; Ergon, </w:t>
      </w:r>
      <w:r w:rsidRPr="00596AF9">
        <w:rPr>
          <w:i/>
        </w:rPr>
        <w:t>Submission on value of imputation credits (gamma),</w:t>
      </w:r>
      <w:r>
        <w:t xml:space="preserve"> July 2015, p. 7; ActewAGL Distribution, </w:t>
      </w:r>
      <w:r w:rsidRPr="00596AF9">
        <w:rPr>
          <w:i/>
        </w:rPr>
        <w:t>Attachment 8 Detailed gamma proposal</w:t>
      </w:r>
      <w:r>
        <w:t xml:space="preserve">, p. 2; Australian Gas Networks, </w:t>
      </w:r>
      <w:r w:rsidRPr="00596AF9">
        <w:rPr>
          <w:i/>
        </w:rPr>
        <w:t>Attachment 11.2 Value of Imputation Credits</w:t>
      </w:r>
      <w:r>
        <w:t xml:space="preserve">, pp. 9–10, July 2015; Amadeus Gas Pipeline, </w:t>
      </w:r>
      <w:r w:rsidRPr="00596AF9">
        <w:rPr>
          <w:i/>
        </w:rPr>
        <w:t>Access Arrangement revision submission</w:t>
      </w:r>
      <w:r>
        <w:t>, August 2015, p. 151.</w:t>
      </w:r>
    </w:p>
  </w:footnote>
  <w:footnote w:id="154">
    <w:p w14:paraId="3CBB78E1" w14:textId="0197C3BE" w:rsidR="00011BD8" w:rsidRDefault="00011BD8">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Submission on value of imputation credits (gamma), July 2015, p. 7; Australian Gas Networks, </w:t>
      </w:r>
      <w:r w:rsidRPr="00596AF9">
        <w:rPr>
          <w:i/>
        </w:rPr>
        <w:t>Attachment 11.2 Value of Imputation Credits</w:t>
      </w:r>
      <w:r>
        <w:t>, July 2015, p. 3.</w:t>
      </w:r>
    </w:p>
  </w:footnote>
  <w:footnote w:id="155">
    <w:p w14:paraId="10C837D4" w14:textId="43B47396" w:rsidR="00011BD8" w:rsidRDefault="00011BD8">
      <w:pPr>
        <w:pStyle w:val="FootnoteText"/>
      </w:pPr>
      <w:r>
        <w:rPr>
          <w:rStyle w:val="FootnoteReference"/>
        </w:rPr>
        <w:footnoteRef/>
      </w:r>
      <w:r>
        <w:t xml:space="preserve"> </w:t>
      </w:r>
      <w:r>
        <w:tab/>
        <w:t xml:space="preserve">AusNet Services, </w:t>
      </w:r>
      <w:r w:rsidRPr="00596AF9">
        <w:rPr>
          <w:i/>
        </w:rPr>
        <w:t>2016-20 Regulatory Proposal</w:t>
      </w:r>
      <w:r>
        <w:t xml:space="preserve">, April 2015, p. 367; United Energy, </w:t>
      </w:r>
      <w:r w:rsidRPr="00596AF9">
        <w:rPr>
          <w:i/>
        </w:rPr>
        <w:t>Assessment of the Value of Imputation Credits - Gamma, Proposal for 2016 to 2020</w:t>
      </w:r>
      <w:r>
        <w:t xml:space="preserve">, April 2015, p. 18; CitiPower, </w:t>
      </w:r>
      <w:r w:rsidRPr="00596AF9">
        <w:rPr>
          <w:i/>
        </w:rPr>
        <w:t>Appendix J - Gamma</w:t>
      </w:r>
      <w:r>
        <w:t xml:space="preserve">, April 2015, p. 16; Powercor, </w:t>
      </w:r>
      <w:r w:rsidRPr="00596AF9">
        <w:rPr>
          <w:i/>
        </w:rPr>
        <w:t>Appendix J - Gamma</w:t>
      </w:r>
      <w:r>
        <w:t xml:space="preserve">, April 2015, p. 16; Jemena Electricity, </w:t>
      </w:r>
      <w:r w:rsidRPr="00596AF9">
        <w:rPr>
          <w:i/>
        </w:rPr>
        <w:t>Attachment 06-06 Gamma proposal</w:t>
      </w:r>
      <w:r>
        <w:t xml:space="preserve">, April 2015, p.  </w:t>
      </w:r>
      <w:r w:rsidRPr="00EF0AE9">
        <w:t>7;</w:t>
      </w:r>
      <w:r>
        <w:t xml:space="preserve"> SA Power Networks, </w:t>
      </w:r>
      <w:r>
        <w:rPr>
          <w:rStyle w:val="AERtextitalic"/>
        </w:rPr>
        <w:t>Revised regulatory proposal 2015-20</w:t>
      </w:r>
      <w:r>
        <w:t xml:space="preserve">, July 2015, pp. 370-371; Ergon, </w:t>
      </w:r>
      <w:r w:rsidRPr="00596AF9">
        <w:rPr>
          <w:i/>
        </w:rPr>
        <w:t>Submission on value of imputation credits (gamma)</w:t>
      </w:r>
      <w:r>
        <w:t xml:space="preserve">, July 2015, p. 8; ActewAGL Distribution, </w:t>
      </w:r>
      <w:r w:rsidRPr="00596AF9">
        <w:rPr>
          <w:i/>
        </w:rPr>
        <w:t>Attachment 8 Detailed gamma proposal</w:t>
      </w:r>
      <w:r>
        <w:t xml:space="preserve">, p. 15; Australian Gas Networks, </w:t>
      </w:r>
      <w:r w:rsidRPr="00596AF9">
        <w:rPr>
          <w:i/>
        </w:rPr>
        <w:t>Attachment 11.2 Value of Imputation Credits</w:t>
      </w:r>
      <w:r>
        <w:t>, p. 3, July 2015.</w:t>
      </w:r>
    </w:p>
  </w:footnote>
  <w:footnote w:id="156">
    <w:p w14:paraId="61700104" w14:textId="5676CDF8" w:rsidR="00011BD8" w:rsidRDefault="00011BD8" w:rsidP="00615CE6">
      <w:pPr>
        <w:pStyle w:val="FootnoteText"/>
      </w:pPr>
      <w:r>
        <w:rPr>
          <w:rStyle w:val="FootnoteReference"/>
        </w:rPr>
        <w:footnoteRef/>
      </w:r>
      <w:r>
        <w:t xml:space="preserve"> </w:t>
      </w:r>
      <w:r>
        <w:tab/>
      </w:r>
      <w:r w:rsidRPr="00FF5DB5">
        <w:t>NER, cl</w:t>
      </w:r>
      <w:r>
        <w:t xml:space="preserve">l. 6.4.3, </w:t>
      </w:r>
      <w:r w:rsidRPr="00FF5DB5">
        <w:t>6A.5.4; NGR, r. 76.</w:t>
      </w:r>
    </w:p>
  </w:footnote>
  <w:footnote w:id="157">
    <w:p w14:paraId="20E3CDE6" w14:textId="77777777" w:rsidR="00011BD8" w:rsidRDefault="00011BD8"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8">
    <w:p w14:paraId="1C89B2F9" w14:textId="31EB74BD" w:rsidR="00011BD8" w:rsidRDefault="00011BD8">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59">
    <w:p w14:paraId="0C358B4D" w14:textId="61057FB1" w:rsidR="00011BD8" w:rsidRDefault="00011BD8">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rsidR="008A4B8E">
        <w:t xml:space="preserve"> </w:t>
      </w:r>
      <w:r>
        <w:t>p</w:t>
      </w:r>
      <w:r w:rsidRPr="00800E44">
        <w:t>.</w:t>
      </w:r>
      <w:r>
        <w:t xml:space="preserve"> 6.</w:t>
      </w:r>
    </w:p>
  </w:footnote>
  <w:footnote w:id="160">
    <w:p w14:paraId="4F974B60" w14:textId="4489576D" w:rsidR="00011BD8" w:rsidRDefault="00011BD8">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1">
    <w:p w14:paraId="5E5EA30E" w14:textId="515FBFB9" w:rsidR="00011BD8" w:rsidRDefault="00011BD8" w:rsidP="00615CE6">
      <w:pPr>
        <w:pStyle w:val="FootnoteText"/>
      </w:pPr>
      <w:r>
        <w:rPr>
          <w:rStyle w:val="FootnoteReference"/>
        </w:rPr>
        <w:footnoteRef/>
      </w:r>
      <w:r>
        <w:t xml:space="preserve"> </w:t>
      </w:r>
      <w:r>
        <w:tab/>
        <w:t>NER, cll. 6.5.2, 6A.6.2;</w:t>
      </w:r>
      <w:r w:rsidRPr="0042735A">
        <w:t xml:space="preserve"> </w:t>
      </w:r>
      <w:r>
        <w:t>NGR, r. 87.</w:t>
      </w:r>
    </w:p>
  </w:footnote>
  <w:footnote w:id="162">
    <w:p w14:paraId="6FA23A42" w14:textId="77777777" w:rsidR="00011BD8" w:rsidRDefault="00011BD8">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3">
    <w:p w14:paraId="3DA1DE94" w14:textId="77777777" w:rsidR="00011BD8" w:rsidRDefault="00011BD8"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4">
    <w:p w14:paraId="05E49D20" w14:textId="77777777" w:rsidR="00011BD8" w:rsidRDefault="00011BD8"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5">
    <w:p w14:paraId="2E6C816F" w14:textId="77777777" w:rsidR="00011BD8" w:rsidRDefault="00011BD8"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6">
    <w:p w14:paraId="13AE4AA1" w14:textId="1D19F387" w:rsidR="00011BD8" w:rsidRDefault="00011BD8" w:rsidP="00A3557D">
      <w:pPr>
        <w:pStyle w:val="FootnoteText"/>
      </w:pPr>
      <w:r>
        <w:rPr>
          <w:rStyle w:val="FootnoteReference"/>
        </w:rPr>
        <w:footnoteRef/>
      </w:r>
      <w:r>
        <w:t xml:space="preserve"> </w:t>
      </w:r>
      <w:r>
        <w:tab/>
        <w:t>NER, cll. 6.5.2, 6A.6.2;</w:t>
      </w:r>
      <w:r w:rsidRPr="0042735A">
        <w:t xml:space="preserve"> </w:t>
      </w:r>
      <w:r>
        <w:t>NGR, r. 87.</w:t>
      </w:r>
    </w:p>
  </w:footnote>
  <w:footnote w:id="167">
    <w:p w14:paraId="2071CB05" w14:textId="77777777" w:rsidR="00011BD8" w:rsidRDefault="00011BD8"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8">
    <w:p w14:paraId="48865210" w14:textId="77777777" w:rsidR="00011BD8" w:rsidRDefault="00011BD8" w:rsidP="00A3557D">
      <w:pPr>
        <w:pStyle w:val="FootnoteText"/>
      </w:pPr>
      <w:r>
        <w:rPr>
          <w:rStyle w:val="FootnoteReference"/>
        </w:rPr>
        <w:footnoteRef/>
      </w:r>
      <w:r>
        <w:t xml:space="preserve"> </w:t>
      </w:r>
      <w:r>
        <w:tab/>
        <w:t>This is evident in companies having positive franking account balances in aggregate.</w:t>
      </w:r>
    </w:p>
  </w:footnote>
  <w:footnote w:id="169">
    <w:p w14:paraId="64070215" w14:textId="77777777" w:rsidR="00011BD8" w:rsidRDefault="00011BD8"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0">
    <w:p w14:paraId="7BE7CA66" w14:textId="77777777" w:rsidR="00011BD8" w:rsidRDefault="00011BD8"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1">
    <w:p w14:paraId="064CA50B" w14:textId="77777777" w:rsidR="00011BD8" w:rsidRDefault="00011BD8"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2">
    <w:p w14:paraId="45643F62" w14:textId="77777777" w:rsidR="00011BD8" w:rsidRDefault="00011BD8"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3">
    <w:p w14:paraId="31E068C5" w14:textId="77777777" w:rsidR="00011BD8" w:rsidRDefault="00011BD8">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4">
    <w:p w14:paraId="09D3253C" w14:textId="4FEF218C" w:rsidR="00011BD8" w:rsidRDefault="00011BD8">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5">
    <w:p w14:paraId="037BD821" w14:textId="5A083F48" w:rsidR="00011BD8" w:rsidRDefault="00011BD8">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176">
    <w:p w14:paraId="09202310"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7">
    <w:p w14:paraId="30EDD9F5"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8">
    <w:p w14:paraId="2FCF47DF"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79">
    <w:p w14:paraId="3E0514DF" w14:textId="77777777" w:rsidR="00011BD8" w:rsidRDefault="00011BD8">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0">
    <w:p w14:paraId="63FE8733" w14:textId="77777777" w:rsidR="00011BD8" w:rsidRDefault="00011BD8">
      <w:pPr>
        <w:pStyle w:val="FootnoteText"/>
      </w:pPr>
      <w:r>
        <w:rPr>
          <w:rStyle w:val="FootnoteReference"/>
        </w:rPr>
        <w:footnoteRef/>
      </w:r>
      <w:r>
        <w:t xml:space="preserve"> </w:t>
      </w:r>
      <w:r>
        <w:tab/>
        <w:t>See section A.6.1 of the draft decisions.</w:t>
      </w:r>
    </w:p>
  </w:footnote>
  <w:footnote w:id="181">
    <w:p w14:paraId="3695A7B7"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2">
    <w:p w14:paraId="264FD872"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3">
    <w:p w14:paraId="602F5365" w14:textId="77777777"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4">
    <w:p w14:paraId="129F3C8F"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5">
    <w:p w14:paraId="01E2FEE3" w14:textId="77777777" w:rsidR="00011BD8" w:rsidRDefault="00011BD8">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6">
    <w:p w14:paraId="7C590222"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7">
    <w:p w14:paraId="7DB3D0FB" w14:textId="77777777" w:rsidR="00011BD8" w:rsidRDefault="00011BD8" w:rsidP="00C7355B">
      <w:pPr>
        <w:pStyle w:val="FootnoteText"/>
      </w:pPr>
      <w:r>
        <w:rPr>
          <w:rStyle w:val="FootnoteReference"/>
        </w:rPr>
        <w:footnoteRef/>
      </w:r>
      <w:r>
        <w:t xml:space="preserve"> </w:t>
      </w:r>
      <w:r>
        <w:tab/>
        <w:t>Recall that the utilisation rate equals gamma under Officer's perpetuity framework.</w:t>
      </w:r>
    </w:p>
  </w:footnote>
  <w:footnote w:id="188">
    <w:p w14:paraId="76651D0C" w14:textId="77777777" w:rsidR="00011BD8" w:rsidRDefault="00011BD8">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89">
    <w:p w14:paraId="20185CE8" w14:textId="77777777" w:rsidR="00011BD8" w:rsidRDefault="00011BD8">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0">
    <w:p w14:paraId="61B0FA62"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1">
    <w:p w14:paraId="5D827417"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2">
    <w:p w14:paraId="70AC852C" w14:textId="77777777"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3">
    <w:p w14:paraId="257DDBA0" w14:textId="77777777" w:rsidR="00011BD8" w:rsidRDefault="00011BD8">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4">
    <w:p w14:paraId="685F5FAA" w14:textId="77777777" w:rsidR="00011BD8" w:rsidRDefault="00011BD8">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5">
    <w:p w14:paraId="2DE5F518" w14:textId="77777777" w:rsidR="00011BD8" w:rsidRDefault="00011BD8">
      <w:pPr>
        <w:pStyle w:val="FootnoteText"/>
      </w:pPr>
      <w:r>
        <w:rPr>
          <w:rStyle w:val="FootnoteReference"/>
        </w:rPr>
        <w:footnoteRef/>
      </w:r>
      <w:r>
        <w:t xml:space="preserve"> </w:t>
      </w:r>
      <w:r>
        <w:tab/>
        <w:t>L. Gitman, R. Juchau and J. Flanagan, Principles of Managerial Finance, 6th Edition, 2011, pp. 543 and 546.</w:t>
      </w:r>
    </w:p>
  </w:footnote>
  <w:footnote w:id="196">
    <w:p w14:paraId="69F8689E" w14:textId="77777777" w:rsidR="00011BD8" w:rsidRDefault="00011BD8"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7">
    <w:p w14:paraId="79D25980" w14:textId="77777777"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8">
    <w:p w14:paraId="15C0771E" w14:textId="77777777" w:rsidR="00011BD8" w:rsidRDefault="00011BD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199">
    <w:p w14:paraId="13A677DE" w14:textId="77777777" w:rsidR="00011BD8" w:rsidRDefault="00011BD8"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0">
    <w:p w14:paraId="74513B70" w14:textId="77777777" w:rsidR="00011BD8" w:rsidRDefault="00011BD8"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1">
    <w:p w14:paraId="6B6235F0" w14:textId="77777777"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2">
    <w:p w14:paraId="31BC3AF0" w14:textId="77777777"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3">
    <w:p w14:paraId="1D2DE1AE" w14:textId="77777777" w:rsidR="00011BD8" w:rsidRDefault="00011BD8">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4">
    <w:p w14:paraId="52A180DB" w14:textId="039B72CC" w:rsidR="00011BD8" w:rsidRDefault="00011BD8">
      <w:pPr>
        <w:pStyle w:val="FootnoteText"/>
      </w:pPr>
      <w:r>
        <w:rPr>
          <w:rStyle w:val="FootnoteReference"/>
        </w:rPr>
        <w:footnoteRef/>
      </w:r>
      <w:r>
        <w:t xml:space="preserve"> </w:t>
      </w:r>
      <w:r>
        <w:tab/>
        <w:t xml:space="preserve">Access Arrangement Information for Australian Gas Networks' South Australian Natural Gas Distribution Network, p. 11, July 2015; Frontier Economics, </w:t>
      </w:r>
      <w:r w:rsidRPr="00D14DE4">
        <w:rPr>
          <w:rStyle w:val="AERtextitalic"/>
        </w:rPr>
        <w:t>An appropriate regulatory estimate of gamma</w:t>
      </w:r>
      <w:r>
        <w:t>, June 2015, pp. 45-48.</w:t>
      </w:r>
    </w:p>
  </w:footnote>
  <w:footnote w:id="205">
    <w:p w14:paraId="40622068" w14:textId="2BF3E021" w:rsidR="00011BD8" w:rsidRDefault="00011BD8">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w:t>
      </w:r>
    </w:p>
  </w:footnote>
  <w:footnote w:id="206">
    <w:p w14:paraId="77655950" w14:textId="45EA0D68" w:rsidR="00011BD8" w:rsidRDefault="00011BD8">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14.</w:t>
      </w:r>
    </w:p>
  </w:footnote>
  <w:footnote w:id="207">
    <w:p w14:paraId="33CF4CC3" w14:textId="238EB9E3"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08">
    <w:p w14:paraId="78E86F5B" w14:textId="2B00907B" w:rsidR="00011BD8" w:rsidRDefault="00011BD8">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09">
    <w:p w14:paraId="43A6CCB6" w14:textId="4FB376BB" w:rsidR="00011BD8" w:rsidRDefault="00011BD8">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10">
    <w:p w14:paraId="0437978C" w14:textId="77777777" w:rsidR="00011BD8" w:rsidRDefault="00011BD8">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1">
    <w:p w14:paraId="2B4D0686" w14:textId="255FAF66"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17</w:t>
      </w:r>
      <w:r w:rsidR="008C687C">
        <w:t>–</w:t>
      </w:r>
      <w:r>
        <w:t>18.</w:t>
      </w:r>
    </w:p>
  </w:footnote>
  <w:footnote w:id="212">
    <w:p w14:paraId="63BD8656" w14:textId="77777777"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3">
    <w:p w14:paraId="78D77F15"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4">
    <w:p w14:paraId="7E3353C4"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5">
    <w:p w14:paraId="1221923F" w14:textId="77777777" w:rsidR="00011BD8" w:rsidRDefault="00011BD8">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6">
    <w:p w14:paraId="2CF44119"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7">
    <w:p w14:paraId="31721720" w14:textId="77777777"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8">
    <w:p w14:paraId="00EE0590" w14:textId="77777777" w:rsidR="00011BD8" w:rsidRDefault="00011BD8"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19">
    <w:p w14:paraId="46581E1C" w14:textId="77777777" w:rsidR="00011BD8" w:rsidRDefault="00011BD8"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0">
    <w:p w14:paraId="07A0476E" w14:textId="2AB652AE" w:rsidR="00011BD8" w:rsidRDefault="00011BD8" w:rsidP="001123B0">
      <w:pPr>
        <w:pStyle w:val="FootnoteText"/>
      </w:pPr>
      <w:r>
        <w:rPr>
          <w:rStyle w:val="FootnoteReference"/>
        </w:rPr>
        <w:footnoteRef/>
      </w:r>
      <w:r>
        <w:t xml:space="preserve"> </w:t>
      </w:r>
      <w:r>
        <w:tab/>
        <w:t xml:space="preserve">ActewAGL, </w:t>
      </w:r>
      <w:r w:rsidRPr="009E4F6C">
        <w:rPr>
          <w:rStyle w:val="AERtextitalic"/>
        </w:rPr>
        <w:t>Revised Regulatory Proposal 2015</w:t>
      </w:r>
      <w:r>
        <w:rPr>
          <w:rStyle w:val="AERtextitalic"/>
        </w:rPr>
        <w:t>–</w:t>
      </w:r>
      <w:r w:rsidRPr="009E4F6C">
        <w:rPr>
          <w:rStyle w:val="AERtextitalic"/>
        </w:rPr>
        <w:t>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596AF9">
        <w:rPr>
          <w:i/>
        </w:rPr>
        <w:t>2016-20 Regulatory Proposal</w:t>
      </w:r>
      <w:r>
        <w:t xml:space="preserve">, April 2015, p. 354. ; United Energy, </w:t>
      </w:r>
      <w:r w:rsidRPr="00596AF9">
        <w:rPr>
          <w:i/>
        </w:rPr>
        <w:t>Assessment of the Value of Imputation Credits - Gamma, Proposal for 2016 to 2020</w:t>
      </w:r>
      <w:r>
        <w:t xml:space="preserve">, April 2015, p. 9; CitiPower, </w:t>
      </w:r>
      <w:r w:rsidRPr="00596AF9">
        <w:rPr>
          <w:i/>
        </w:rPr>
        <w:t>Appendix J - Gamma</w:t>
      </w:r>
      <w:r>
        <w:t xml:space="preserve">, April 2015, p. 241; Powercor, </w:t>
      </w:r>
      <w:r w:rsidRPr="00596AF9">
        <w:rPr>
          <w:i/>
        </w:rPr>
        <w:t>Regulatory Proposal 2016</w:t>
      </w:r>
      <w:r>
        <w:rPr>
          <w:i/>
        </w:rPr>
        <w:t>–</w:t>
      </w:r>
      <w:r w:rsidRPr="00596AF9">
        <w:rPr>
          <w:i/>
        </w:rPr>
        <w:t>20</w:t>
      </w:r>
      <w:r>
        <w:t xml:space="preserve">, April 2015, p. 249; Jemena Electricity, </w:t>
      </w:r>
      <w:r w:rsidRPr="00596AF9">
        <w:rPr>
          <w:i/>
        </w:rPr>
        <w:t>Attachment 06-06 Gamma proposal</w:t>
      </w:r>
      <w:r>
        <w:t xml:space="preserve">, April 2015, p. 2; Energex, </w:t>
      </w:r>
      <w:r w:rsidRPr="00596AF9">
        <w:rPr>
          <w:i/>
        </w:rPr>
        <w:t>Revised Regulatory Proposal</w:t>
      </w:r>
      <w:r>
        <w:t xml:space="preserve">, July 2015, p. 13; Ergon Energy, </w:t>
      </w:r>
      <w:r w:rsidRPr="00596AF9">
        <w:rPr>
          <w:i/>
        </w:rPr>
        <w:t>Submission on draft decision NSW &amp; ACT DNSPs &amp; Ors</w:t>
      </w:r>
      <w:r>
        <w:t xml:space="preserve">, February 2015, p. 8. ActewAGL Distribution, </w:t>
      </w:r>
      <w:r w:rsidRPr="00596AF9">
        <w:rPr>
          <w:i/>
        </w:rPr>
        <w:t>Attachment 8 Detailed gamma proposal,</w:t>
      </w:r>
      <w:r>
        <w:t xml:space="preserve"> June 2015, p. 7.  </w:t>
      </w:r>
    </w:p>
  </w:footnote>
  <w:footnote w:id="221">
    <w:p w14:paraId="218A8F2E" w14:textId="2F8EB242" w:rsidR="00011BD8" w:rsidRDefault="00011BD8" w:rsidP="001123B0">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596AF9">
        <w:rPr>
          <w:i/>
        </w:rPr>
        <w:t>2016-20 Regulatory Proposal</w:t>
      </w:r>
      <w:r>
        <w:t xml:space="preserve">, April 2015, p. 360; United Energy, </w:t>
      </w:r>
      <w:r w:rsidRPr="00596AF9">
        <w:rPr>
          <w:i/>
        </w:rPr>
        <w:t>Assessment of the Value of Imputation Credits - Gamma, Proposal for 2016 to 2020</w:t>
      </w:r>
      <w:r>
        <w:t xml:space="preserve">, April 2015, p. 9; CitiPower,- </w:t>
      </w:r>
      <w:r w:rsidRPr="00596AF9">
        <w:rPr>
          <w:i/>
        </w:rPr>
        <w:t>Appendix J - Gamma</w:t>
      </w:r>
      <w:r>
        <w:t xml:space="preserve">, April 2015, p. 9; Powercor, </w:t>
      </w:r>
      <w:r w:rsidRPr="00596AF9">
        <w:rPr>
          <w:i/>
        </w:rPr>
        <w:t>Appendix J - Gamma</w:t>
      </w:r>
      <w:r>
        <w:t xml:space="preserve">, April 2015, p. 9; Jemena Electricity, </w:t>
      </w:r>
      <w:r w:rsidRPr="00596AF9">
        <w:rPr>
          <w:i/>
        </w:rPr>
        <w:t>Attachment 06-06 Gamma proposal</w:t>
      </w:r>
      <w:r>
        <w:t xml:space="preserve">, April 2015, p. 9 ; Energex, </w:t>
      </w:r>
      <w:r w:rsidRPr="00596AF9">
        <w:rPr>
          <w:i/>
        </w:rPr>
        <w:t>Submission on Energex's regulatory proposal 2015-20 and AER issues paper - attachment 2</w:t>
      </w:r>
      <w:r>
        <w:t xml:space="preserve">, January 2015, p. 6. ; ActewAGL Distribution, </w:t>
      </w:r>
      <w:r w:rsidRPr="00596AF9">
        <w:rPr>
          <w:i/>
        </w:rPr>
        <w:t xml:space="preserve">Attachment 8 Detailed gamma proposal, </w:t>
      </w:r>
      <w:r>
        <w:t xml:space="preserve">June 2015, p. 7.  </w:t>
      </w:r>
    </w:p>
  </w:footnote>
  <w:footnote w:id="222">
    <w:p w14:paraId="5BA39227" w14:textId="756B6BB6" w:rsidR="00011BD8" w:rsidRDefault="00011BD8">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223">
    <w:p w14:paraId="7ACD1DA1" w14:textId="105947AD"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w:t>
      </w:r>
      <w:r w:rsidR="005048D8">
        <w:t>–</w:t>
      </w:r>
      <w:r>
        <w:t>4.</w:t>
      </w:r>
    </w:p>
  </w:footnote>
  <w:footnote w:id="224">
    <w:p w14:paraId="590C5BFD" w14:textId="6B9BE9E0"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xml:space="preserve">, 16 April 2015, </w:t>
      </w:r>
      <w:r w:rsidR="005048D8">
        <w:t>p</w:t>
      </w:r>
      <w:r>
        <w:t>p. 2</w:t>
      </w:r>
      <w:r w:rsidR="005048D8">
        <w:t>–</w:t>
      </w:r>
      <w:r>
        <w:t xml:space="preserve"> 3.</w:t>
      </w:r>
    </w:p>
  </w:footnote>
  <w:footnote w:id="225">
    <w:p w14:paraId="53ABBE8C" w14:textId="223FB881"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226">
    <w:p w14:paraId="2D2AD615" w14:textId="4436DDB2"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7">
    <w:p w14:paraId="5F63BD64" w14:textId="77777777" w:rsidR="00011BD8" w:rsidRDefault="00011BD8"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28">
    <w:p w14:paraId="10659666" w14:textId="07E3D846" w:rsidR="00011BD8" w:rsidRDefault="00011BD8"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29">
    <w:p w14:paraId="24477E34" w14:textId="77777777" w:rsidR="00011BD8" w:rsidRDefault="00011BD8"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0">
    <w:p w14:paraId="65C15EBD" w14:textId="77777777" w:rsidR="00011BD8" w:rsidRDefault="00011BD8"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465C6E4C"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2">
    <w:p w14:paraId="63003A31" w14:textId="77777777" w:rsidR="00011BD8" w:rsidRDefault="00011BD8"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3">
    <w:p w14:paraId="1AC548D0" w14:textId="77777777" w:rsidR="00011BD8" w:rsidRDefault="00011BD8">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4">
    <w:p w14:paraId="1D871354" w14:textId="77777777" w:rsidR="00011BD8" w:rsidRDefault="00011BD8"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t>4.4.2</w:t>
      </w:r>
      <w:r>
        <w:fldChar w:fldCharType="end"/>
      </w:r>
      <w:r>
        <w:t xml:space="preserve"> of attachment 4.  </w:t>
      </w:r>
    </w:p>
  </w:footnote>
  <w:footnote w:id="235">
    <w:p w14:paraId="61FD4718" w14:textId="77777777"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6">
    <w:p w14:paraId="4C9D4BCB" w14:textId="77777777" w:rsidR="00011BD8" w:rsidRDefault="00011BD8"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7">
    <w:p w14:paraId="7B96560C" w14:textId="576823B2" w:rsidR="00011BD8" w:rsidRDefault="00011BD8">
      <w:pPr>
        <w:pStyle w:val="FootnoteText"/>
      </w:pPr>
      <w:r>
        <w:rPr>
          <w:rStyle w:val="FootnoteReference"/>
        </w:rPr>
        <w:footnoteRef/>
      </w:r>
      <w:r>
        <w:t xml:space="preserve"> </w:t>
      </w:r>
      <w:r>
        <w:tab/>
        <w:t xml:space="preserve">AusNet Services, </w:t>
      </w:r>
      <w:r w:rsidRPr="00596AF9">
        <w:rPr>
          <w:i/>
        </w:rPr>
        <w:t>2016-20 Regulatory Proposal</w:t>
      </w:r>
      <w:r>
        <w:t xml:space="preserve">, April 2015, p. 374; United Energy, </w:t>
      </w:r>
      <w:r w:rsidRPr="00596AF9">
        <w:rPr>
          <w:i/>
        </w:rPr>
        <w:t>Assessment of the Value of Imputation Credits - Gamma, Proposal for 2016 to 2020</w:t>
      </w:r>
      <w:r>
        <w:t xml:space="preserve">, April 2015, p. 24; Jemena Electricity, </w:t>
      </w:r>
      <w:r w:rsidRPr="00596AF9">
        <w:rPr>
          <w:i/>
        </w:rPr>
        <w:t>Attachment 06-06 Gamma proposal</w:t>
      </w:r>
      <w:r>
        <w:t xml:space="preserve">, April 2015, p. 4; CitiPower, </w:t>
      </w:r>
      <w:r w:rsidRPr="00596AF9">
        <w:rPr>
          <w:i/>
        </w:rPr>
        <w:t>Appendix J - Gamma</w:t>
      </w:r>
      <w:r>
        <w:t xml:space="preserve">, April 2015, p. 20; Powercor, </w:t>
      </w:r>
      <w:r w:rsidRPr="00596AF9">
        <w:rPr>
          <w:i/>
        </w:rPr>
        <w:t>Appendix J - Gamma</w:t>
      </w:r>
      <w:r>
        <w:t xml:space="preserve">, April 2015, p. 20; Energex, </w:t>
      </w:r>
      <w:r w:rsidRPr="00596AF9">
        <w:rPr>
          <w:i/>
        </w:rPr>
        <w:t>submission on Energex's regulatory proposal 2015-20 and AER issues paper - attachment 2</w:t>
      </w:r>
      <w:r>
        <w:t>, January 2015, p. 18.</w:t>
      </w:r>
    </w:p>
  </w:footnote>
  <w:footnote w:id="238">
    <w:p w14:paraId="1E5FBF9A" w14:textId="1C92767A"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41.  </w:t>
      </w:r>
    </w:p>
  </w:footnote>
  <w:footnote w:id="239">
    <w:p w14:paraId="4971900D" w14:textId="77777777" w:rsidR="00011BD8" w:rsidRDefault="00011BD8"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0">
    <w:p w14:paraId="24B00C61" w14:textId="77777777" w:rsidR="00011BD8" w:rsidRDefault="00011BD8"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1">
    <w:p w14:paraId="10D7ADEC" w14:textId="77777777" w:rsidR="00011BD8" w:rsidRDefault="00011BD8"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2">
    <w:p w14:paraId="3D37F18E" w14:textId="77777777" w:rsidR="00011BD8" w:rsidRDefault="00011BD8"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3">
    <w:p w14:paraId="263A9E9E" w14:textId="39D7DC58" w:rsidR="00011BD8" w:rsidRDefault="00011BD8"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xml:space="preserve">, February 2015, p. 9; Access Arrangement Information for Australian Gas Networks' South Australian Natural Gas Distribution Network, p. 9, July 2015; </w:t>
      </w:r>
    </w:p>
  </w:footnote>
  <w:footnote w:id="244">
    <w:p w14:paraId="31E3D88F" w14:textId="77777777" w:rsidR="00011BD8" w:rsidRDefault="00011BD8"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5">
    <w:p w14:paraId="0CF7B288" w14:textId="512E3E1A" w:rsidR="00011BD8" w:rsidRPr="006C07EA" w:rsidRDefault="00011BD8"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xml:space="preserve">, February 2015, p. 9. </w:t>
      </w:r>
    </w:p>
  </w:footnote>
  <w:footnote w:id="246">
    <w:p w14:paraId="1588B0F3" w14:textId="77777777" w:rsidR="00011BD8" w:rsidRDefault="00011BD8"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7">
    <w:p w14:paraId="37F90DD4" w14:textId="77777777"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8">
    <w:p w14:paraId="689456A7"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49">
    <w:p w14:paraId="1DCD404D" w14:textId="77777777" w:rsidR="00011BD8" w:rsidRDefault="00011BD8">
      <w:pPr>
        <w:pStyle w:val="FootnoteText"/>
      </w:pPr>
      <w:r>
        <w:rPr>
          <w:rStyle w:val="FootnoteReference"/>
        </w:rPr>
        <w:footnoteRef/>
      </w:r>
      <w:r>
        <w:t xml:space="preserve"> </w:t>
      </w:r>
      <w:r>
        <w:tab/>
        <w:t>The refined foreign ownership share of all equity between June 2001 and December 2012 was 0.39 on average.</w:t>
      </w:r>
    </w:p>
  </w:footnote>
  <w:footnote w:id="250">
    <w:p w14:paraId="66289892" w14:textId="77777777" w:rsidR="00011BD8" w:rsidRDefault="00011BD8">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1">
    <w:p w14:paraId="393AAC8D" w14:textId="76114E7F" w:rsidR="00011BD8" w:rsidRDefault="00011BD8">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2">
    <w:p w14:paraId="1BCCE722" w14:textId="74521B5D"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253">
    <w:p w14:paraId="42B65BDD" w14:textId="2E63235C" w:rsidR="00011BD8" w:rsidRDefault="00011BD8">
      <w:pPr>
        <w:pStyle w:val="FootnoteText"/>
      </w:pPr>
      <w:r>
        <w:rPr>
          <w:rStyle w:val="FootnoteReference"/>
        </w:rPr>
        <w:footnoteRef/>
      </w:r>
      <w:r>
        <w:t xml:space="preserve"> </w:t>
      </w:r>
      <w:r>
        <w:tab/>
        <w:t>Neville Hathaway, Imputation Credit Redemption ATO data 1988–2011 Where have all the credits gone?, September 2013, p. 25.</w:t>
      </w:r>
    </w:p>
  </w:footnote>
  <w:footnote w:id="254">
    <w:p w14:paraId="6EF60F68" w14:textId="09F00C44" w:rsidR="00011BD8" w:rsidRDefault="00011BD8">
      <w:pPr>
        <w:pStyle w:val="FootnoteText"/>
      </w:pPr>
      <w:r>
        <w:rPr>
          <w:rStyle w:val="FootnoteReference"/>
        </w:rPr>
        <w:footnoteRef/>
      </w:r>
      <w:r>
        <w:t xml:space="preserve"> </w:t>
      </w:r>
      <w:r>
        <w:tab/>
        <w:t>Neville Hathaway, Franking Credit Redemption ATO data 1988–2012 Where have all the credits gone? Draft only comments welcome, October 2014.</w:t>
      </w:r>
    </w:p>
  </w:footnote>
  <w:footnote w:id="255">
    <w:p w14:paraId="032549B1" w14:textId="10FD634A" w:rsidR="00011BD8" w:rsidRDefault="00011BD8" w:rsidP="00DC6340">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r w:rsidRPr="0022220C">
        <w:t xml:space="preserve"> </w:t>
      </w:r>
      <w:r>
        <w:t>Access Arrangement Information for Australian Gas Networks' South Australian Natural Gas Distribution Network, p. 10, July 2015.</w:t>
      </w:r>
    </w:p>
  </w:footnote>
  <w:footnote w:id="256">
    <w:p w14:paraId="0106CD72" w14:textId="104DE9D5" w:rsidR="00011BD8" w:rsidRDefault="00011BD8">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7">
    <w:p w14:paraId="3E7207A2" w14:textId="77777777" w:rsidR="00011BD8" w:rsidRDefault="00011BD8">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8">
    <w:p w14:paraId="379BAF96" w14:textId="77777777" w:rsidR="00011BD8" w:rsidRDefault="00011BD8">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59">
    <w:p w14:paraId="6AABF03F" w14:textId="77777777" w:rsidR="00011BD8" w:rsidRDefault="00011BD8">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0">
    <w:p w14:paraId="612C8A29" w14:textId="77777777" w:rsidR="00011BD8" w:rsidRDefault="00011BD8">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1">
    <w:p w14:paraId="5CB4B5F5" w14:textId="7E3CE96D" w:rsidR="00011BD8" w:rsidRDefault="00011BD8">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2">
    <w:p w14:paraId="36DE6F5D" w14:textId="63D6B8D1" w:rsidR="00011BD8" w:rsidRDefault="00011BD8">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w:t>
      </w:r>
      <w:r w:rsidR="005048D8">
        <w:rPr>
          <w:rFonts w:ascii="Times New Roman" w:hAnsi="Times New Roman" w:cs="Times New Roman"/>
        </w:rPr>
        <w:t>–</w:t>
      </w:r>
      <w:r>
        <w:t>7.</w:t>
      </w:r>
    </w:p>
  </w:footnote>
  <w:footnote w:id="263">
    <w:p w14:paraId="66ECC352" w14:textId="079F5A33" w:rsidR="00011BD8" w:rsidRDefault="00011BD8">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4">
    <w:p w14:paraId="1C3BA924" w14:textId="3F7D06D6" w:rsidR="00011BD8" w:rsidRDefault="00011BD8">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w:t>
      </w:r>
      <w:r w:rsidR="005048D8">
        <w:t>–</w:t>
      </w:r>
      <w:r>
        <w:t>7.</w:t>
      </w:r>
    </w:p>
  </w:footnote>
  <w:footnote w:id="265">
    <w:p w14:paraId="51C9548D" w14:textId="54F9624C" w:rsidR="00011BD8" w:rsidRDefault="00011BD8" w:rsidP="0074038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7.</w:t>
      </w:r>
    </w:p>
  </w:footnote>
  <w:footnote w:id="266">
    <w:p w14:paraId="091F7E4D" w14:textId="01D4096A" w:rsidR="00011BD8" w:rsidRDefault="00011BD8">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7">
    <w:p w14:paraId="524C13CD" w14:textId="3E79E2ED" w:rsidR="00011BD8" w:rsidRDefault="00011BD8">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268">
    <w:p w14:paraId="29E91CAD" w14:textId="3A7C2293" w:rsidR="00011BD8" w:rsidRDefault="00011BD8">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269">
    <w:p w14:paraId="30F92847" w14:textId="0753FA46" w:rsidR="00011BD8" w:rsidRDefault="00011BD8">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270">
    <w:p w14:paraId="02925FFC" w14:textId="5F67B2E5" w:rsidR="00011BD8" w:rsidRDefault="00011BD8">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271">
    <w:p w14:paraId="178279DB" w14:textId="4BE21976" w:rsidR="00011BD8" w:rsidRDefault="00011BD8">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272">
    <w:p w14:paraId="4C4BD5F0" w14:textId="2F89F584" w:rsidR="00011BD8" w:rsidRDefault="00011BD8" w:rsidP="00507D00">
      <w:pPr>
        <w:pStyle w:val="FootnoteText"/>
      </w:pPr>
      <w:r>
        <w:rPr>
          <w:rStyle w:val="FootnoteReference"/>
        </w:rPr>
        <w:footnoteRef/>
      </w:r>
      <w:r>
        <w:t xml:space="preserve"> </w:t>
      </w:r>
      <w:r>
        <w:tab/>
        <w:t>Lally, The estimation of gamma, November 2013, pp. 39–43.</w:t>
      </w:r>
    </w:p>
  </w:footnote>
  <w:footnote w:id="273">
    <w:p w14:paraId="04BD289B" w14:textId="77777777" w:rsidR="00011BD8" w:rsidRDefault="00011BD8"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4">
    <w:p w14:paraId="67CB7063" w14:textId="77777777" w:rsidR="00011BD8" w:rsidRDefault="00011BD8"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5">
    <w:p w14:paraId="02A37B02" w14:textId="77777777" w:rsidR="00011BD8" w:rsidRDefault="00011BD8"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6">
    <w:p w14:paraId="54B2A490"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7">
    <w:p w14:paraId="646001ED" w14:textId="47472B48"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w:t>
      </w:r>
      <w:r>
        <w:rPr>
          <w:i/>
        </w:rPr>
        <w:t>–</w:t>
      </w:r>
      <w:r w:rsidRPr="00596AF9">
        <w:rPr>
          <w:i/>
        </w:rPr>
        <w:t>20,</w:t>
      </w:r>
      <w:r>
        <w:t xml:space="preserve"> April 2015, p. 6; Energex, </w:t>
      </w:r>
      <w:r w:rsidRPr="003B17FF">
        <w:t>Submission on Energex's regulatory proposal 2015-20 and the AER issues paper,</w:t>
      </w:r>
      <w:r>
        <w:t xml:space="preserve"> January 2015, p. 4.</w:t>
      </w:r>
    </w:p>
  </w:footnote>
  <w:footnote w:id="278">
    <w:p w14:paraId="5236DB3B" w14:textId="0C2ABBD9"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w:t>
      </w:r>
      <w:r w:rsidRPr="00596AF9">
        <w:rPr>
          <w:i/>
        </w:rPr>
        <w:t>Appendix J - Gamma</w:t>
      </w:r>
      <w:r>
        <w:t>, April 2015, pp. 4</w:t>
      </w:r>
      <w:r w:rsidR="0072186C">
        <w:t>–</w:t>
      </w:r>
      <w:r>
        <w:t xml:space="preserve">5; Powercor, </w:t>
      </w:r>
      <w:r w:rsidRPr="00596AF9">
        <w:rPr>
          <w:i/>
        </w:rPr>
        <w:t>Regulatory Proposal 2016-20</w:t>
      </w:r>
      <w:r>
        <w:t>, April 2015, pp. 4</w:t>
      </w:r>
      <w:r w:rsidR="0072186C">
        <w:t>–</w:t>
      </w:r>
      <w:r>
        <w:t xml:space="preserve">5; Energex, </w:t>
      </w:r>
      <w:r w:rsidRPr="00596AF9">
        <w:rPr>
          <w:i/>
        </w:rPr>
        <w:t>Revised regulatory proposal 2015-20</w:t>
      </w:r>
      <w:r>
        <w:t xml:space="preserve">, July 2015, p. 13. </w:t>
      </w:r>
    </w:p>
  </w:footnote>
  <w:footnote w:id="279">
    <w:p w14:paraId="67A08E1B" w14:textId="0F7A6583"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0">
    <w:p w14:paraId="460FCF1B" w14:textId="51FCE031"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17–18.</w:t>
      </w:r>
    </w:p>
  </w:footnote>
  <w:footnote w:id="281">
    <w:p w14:paraId="77D876D6" w14:textId="5E75189F"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28</w:t>
      </w:r>
      <w:r w:rsidR="0072186C">
        <w:t>–</w:t>
      </w:r>
      <w:r>
        <w:t xml:space="preserve">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2">
    <w:p w14:paraId="7F0C7153" w14:textId="74E01A68"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83">
    <w:p w14:paraId="1D85431F" w14:textId="77777777" w:rsidR="00011BD8" w:rsidRDefault="00011BD8"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4">
    <w:p w14:paraId="1C6CCA31" w14:textId="77777777" w:rsidR="00011BD8" w:rsidRDefault="00011BD8"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5">
    <w:p w14:paraId="149569AF" w14:textId="77777777" w:rsidR="00011BD8" w:rsidRDefault="00011BD8"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6">
    <w:p w14:paraId="430414AC" w14:textId="77777777" w:rsidR="00011BD8" w:rsidRDefault="00011BD8"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7">
    <w:p w14:paraId="0E99E9DF" w14:textId="77777777" w:rsidR="00011BD8" w:rsidRDefault="00011BD8">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8">
    <w:p w14:paraId="41ADCC41" w14:textId="77777777" w:rsidR="00011BD8" w:rsidRDefault="00011BD8">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t>A.13</w:t>
      </w:r>
      <w:r>
        <w:fldChar w:fldCharType="end"/>
      </w:r>
      <w:r>
        <w:t xml:space="preserve">, we have regard to </w:t>
      </w:r>
      <w:r w:rsidRPr="007938F1">
        <w:t>Hathaway's finding that the ATO statistics are subject to a number of issues prior to 2004</w:t>
      </w:r>
      <w:r>
        <w:t>.</w:t>
      </w:r>
    </w:p>
  </w:footnote>
  <w:footnote w:id="289">
    <w:p w14:paraId="4381B4F3" w14:textId="02E4D943" w:rsidR="00011BD8" w:rsidRDefault="00011BD8"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2016-20</w:t>
      </w:r>
      <w:r>
        <w:t xml:space="preserve">, April 2015, p. 6; Energex, </w:t>
      </w:r>
      <w:r w:rsidRPr="00596AF9">
        <w:rPr>
          <w:i/>
        </w:rPr>
        <w:t>Submission on Energex's regulatory proposal 2015-20 and the AER issues paper</w:t>
      </w:r>
      <w:r>
        <w:t>, January 2015, p. 4.</w:t>
      </w:r>
    </w:p>
  </w:footnote>
  <w:footnote w:id="290">
    <w:p w14:paraId="6207B839" w14:textId="77777777" w:rsidR="00011BD8" w:rsidRDefault="00011BD8"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1">
    <w:p w14:paraId="5D335CC4"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2">
    <w:p w14:paraId="167AA0ED"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3">
    <w:p w14:paraId="797C4FC7"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4">
    <w:p w14:paraId="310D8186"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5">
    <w:p w14:paraId="6E2ED1CF"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6">
    <w:p w14:paraId="1533F421" w14:textId="77777777" w:rsidR="00011BD8" w:rsidRDefault="00011BD8">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7">
    <w:p w14:paraId="32C050D2" w14:textId="4D3E6CB8"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28.</w:t>
      </w:r>
    </w:p>
  </w:footnote>
  <w:footnote w:id="298">
    <w:p w14:paraId="5FF691DD" w14:textId="05217785" w:rsidR="00011BD8" w:rsidRDefault="00011BD8" w:rsidP="0072186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18.</w:t>
      </w:r>
    </w:p>
  </w:footnote>
  <w:footnote w:id="299">
    <w:p w14:paraId="018F358A" w14:textId="31017969" w:rsidR="00011BD8" w:rsidRDefault="00011BD8">
      <w:pPr>
        <w:pStyle w:val="FootnoteText"/>
      </w:pPr>
      <w:r>
        <w:rPr>
          <w:rStyle w:val="FootnoteReference"/>
        </w:rPr>
        <w:footnoteRef/>
      </w:r>
      <w:r>
        <w:t xml:space="preserve"> </w:t>
      </w:r>
      <w:r>
        <w:tab/>
        <w:t xml:space="preserve">AusNet Services, 2016-20 Regulatory Proposal, April 2015, pp. 353-354; United Energy, Assessment of the Value of Imputation Credits - Gamma, Proposal for 2016 to 2020, April 2015, pp. 1–4.; CitiPower, </w:t>
      </w:r>
      <w:r w:rsidRPr="00596AF9">
        <w:rPr>
          <w:i/>
        </w:rPr>
        <w:t>Appendix J - Gamma</w:t>
      </w:r>
      <w:r>
        <w:t>, April 2015, pp. 4–7.; Powercor, Appendix J - Gamma, April 2015, pp. 4–7; Jemena Electricity, Attachment 06-06 Gamma proposal, April 2015, pp. 6–8;</w:t>
      </w:r>
      <w:r w:rsidRPr="00A427FF">
        <w:t xml:space="preserve"> </w:t>
      </w:r>
      <w:r>
        <w:t xml:space="preserve">SA Power Networks, </w:t>
      </w:r>
      <w:r>
        <w:rPr>
          <w:rStyle w:val="AERtextitalic"/>
        </w:rPr>
        <w:t>Revised regulatory proposal 2015-20</w:t>
      </w:r>
      <w:r>
        <w:t xml:space="preserve">, July 2015, p. 378; Energex, Revised Regulatory Proposal, July 2015, pp. 124–125; Ergon, </w:t>
      </w:r>
      <w:r w:rsidRPr="00596AF9">
        <w:rPr>
          <w:i/>
        </w:rPr>
        <w:t>Revised Regulatory Proposal</w:t>
      </w:r>
      <w:r>
        <w:t xml:space="preserve">, July 2015, p. 153; ActewAGL Distribution, Attachment 8 Detailed gamma proposal, June 2015, pp. 4-6; Australian Gas Networks, </w:t>
      </w:r>
      <w:r w:rsidRPr="00596AF9">
        <w:rPr>
          <w:i/>
        </w:rPr>
        <w:t>Access Arrangement Information - Attachment 11.2 Value of Imputation Credits</w:t>
      </w:r>
      <w:r>
        <w:t xml:space="preserve">, July 2015; pp. 3–6. Amadeus Gas Pipeline </w:t>
      </w:r>
      <w:r w:rsidRPr="00596AF9">
        <w:rPr>
          <w:i/>
        </w:rPr>
        <w:t>Access Arrangement Revision Proposal Submission</w:t>
      </w:r>
      <w:r>
        <w:t>, August 2015, p. 153.</w:t>
      </w:r>
    </w:p>
  </w:footnote>
  <w:footnote w:id="300">
    <w:p w14:paraId="05294845"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301">
    <w:p w14:paraId="1BC62DF9" w14:textId="77777777" w:rsidR="00011BD8" w:rsidRDefault="00011BD8">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2">
    <w:p w14:paraId="5A28E871" w14:textId="77F4E04C" w:rsidR="00011BD8" w:rsidRDefault="00011BD8">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3">
    <w:p w14:paraId="5CB4EBE7" w14:textId="397EB824" w:rsidR="00011BD8" w:rsidRDefault="00011BD8">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4">
    <w:p w14:paraId="1CDE780F" w14:textId="77777777" w:rsidR="00011BD8" w:rsidRDefault="00011BD8"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5">
    <w:p w14:paraId="1DB09FAF" w14:textId="77777777" w:rsidR="00011BD8" w:rsidRDefault="00011BD8"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6">
    <w:p w14:paraId="1BEAB3F3" w14:textId="77777777" w:rsidR="00011BD8" w:rsidRDefault="00011BD8"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6062DAC" w14:textId="77777777" w:rsidR="00011BD8" w:rsidRDefault="00011BD8"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08">
    <w:p w14:paraId="0612E266" w14:textId="77777777" w:rsidR="00011BD8" w:rsidRDefault="00011BD8"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09">
    <w:p w14:paraId="1D841E66" w14:textId="77777777" w:rsidR="00011BD8" w:rsidRDefault="00011BD8"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0">
    <w:p w14:paraId="708F037F" w14:textId="77777777" w:rsidR="00011BD8" w:rsidRDefault="00011BD8">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xml:space="preserve">, October 2014, p. </w:t>
      </w:r>
    </w:p>
  </w:footnote>
  <w:footnote w:id="311">
    <w:p w14:paraId="3986142D" w14:textId="77777777" w:rsidR="00011BD8" w:rsidRDefault="00011BD8"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2">
    <w:p w14:paraId="67C0D1B2" w14:textId="77777777" w:rsidR="00011BD8" w:rsidRDefault="00011BD8"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3">
    <w:p w14:paraId="6B398136" w14:textId="77777777" w:rsidR="00011BD8" w:rsidRDefault="00011BD8"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4">
    <w:p w14:paraId="181EF5DF" w14:textId="77777777" w:rsidR="00011BD8" w:rsidRDefault="00011BD8"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5">
    <w:p w14:paraId="76CB2C39" w14:textId="77777777" w:rsidR="00011BD8" w:rsidRDefault="00011BD8">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6">
    <w:p w14:paraId="6B6C7A18" w14:textId="6EDDAA54" w:rsidR="00011BD8" w:rsidRDefault="00011BD8">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596AF9">
        <w:rPr>
          <w:i/>
        </w:rPr>
        <w:t>Attachment 06-06 Gamma proposal</w:t>
      </w:r>
      <w:r>
        <w:t>, April 2015, p. 1;</w:t>
      </w:r>
      <w:r w:rsidRPr="00080933">
        <w:t xml:space="preserve"> </w:t>
      </w:r>
      <w:r>
        <w:t xml:space="preserve">; Energex, </w:t>
      </w:r>
      <w:r w:rsidRPr="00596AF9">
        <w:rPr>
          <w:i/>
        </w:rPr>
        <w:t>Revised Regulatory Proposal</w:t>
      </w:r>
      <w:r>
        <w:t xml:space="preserve">, July 2015, p. 13;   Powercor, </w:t>
      </w:r>
      <w:r w:rsidRPr="00596AF9">
        <w:rPr>
          <w:i/>
        </w:rPr>
        <w:t>Regulatory Proposal 2016</w:t>
      </w:r>
      <w:r>
        <w:rPr>
          <w:i/>
        </w:rPr>
        <w:t>–</w:t>
      </w:r>
      <w:r w:rsidRPr="00596AF9">
        <w:rPr>
          <w:i/>
        </w:rPr>
        <w:t>20</w:t>
      </w:r>
      <w:r>
        <w:t xml:space="preserve">, April 2015, p. 249; CitiPower, </w:t>
      </w:r>
      <w:r w:rsidRPr="00596AF9">
        <w:rPr>
          <w:i/>
        </w:rPr>
        <w:t>Regulatory Proposal</w:t>
      </w:r>
      <w:r>
        <w:t xml:space="preserve">, April 2015, p. 241; AusNet Services, </w:t>
      </w:r>
      <w:r w:rsidRPr="00596AF9">
        <w:rPr>
          <w:i/>
        </w:rPr>
        <w:t>2016-20 Regulatory Proposal</w:t>
      </w:r>
      <w:r>
        <w:t xml:space="preserve">, April 2015, pp. 367–368; United Energy, </w:t>
      </w:r>
      <w:r w:rsidRPr="00596AF9">
        <w:rPr>
          <w:i/>
        </w:rPr>
        <w:t>Assessment of the Value of Imputation Credits - Gamma, Proposal for 2016 to 2020</w:t>
      </w:r>
      <w:r>
        <w:t xml:space="preserve">, April 2015, pp. 19–20.  </w:t>
      </w:r>
    </w:p>
  </w:footnote>
  <w:footnote w:id="317">
    <w:p w14:paraId="3B94E06F" w14:textId="5D5EA0A8"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318">
    <w:p w14:paraId="5972C396" w14:textId="073E62C3"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and JGN, </w:t>
      </w:r>
      <w:r w:rsidRPr="000E181F">
        <w:rPr>
          <w:rStyle w:val="AERtextitalic"/>
        </w:rPr>
        <w:t>Gamma - response to the draft decision</w:t>
      </w:r>
      <w:r>
        <w:t xml:space="preserve">, February 2015, p. 14; Access Arrangement Information for Australian Gas Networks' South Australian Natural Gas Distribution Network, July 2015, p. 14; Jemena Electricity, </w:t>
      </w:r>
      <w:r w:rsidRPr="00596AF9">
        <w:rPr>
          <w:i/>
        </w:rPr>
        <w:t>Attachment 06-06 Gamma proposal,</w:t>
      </w:r>
      <w:r>
        <w:t xml:space="preserve"> April 2015, p. 17; Powercor, </w:t>
      </w:r>
      <w:r w:rsidRPr="00596AF9">
        <w:rPr>
          <w:i/>
        </w:rPr>
        <w:t>Regulatory Proposal 2016-20</w:t>
      </w:r>
      <w:r>
        <w:t xml:space="preserve">, April 2015, p. 17; CitiPower, </w:t>
      </w:r>
      <w:r w:rsidRPr="00596AF9">
        <w:rPr>
          <w:i/>
        </w:rPr>
        <w:t>Regulatory Proposal</w:t>
      </w:r>
      <w:r>
        <w:t xml:space="preserve">, April 2015, p. 17; AusNet Services, </w:t>
      </w:r>
      <w:r w:rsidRPr="00596AF9">
        <w:rPr>
          <w:i/>
        </w:rPr>
        <w:t>2016-20 Regulatory Proposal</w:t>
      </w:r>
      <w:r>
        <w:t xml:space="preserve">, April 2015, p. 368; United Energy, </w:t>
      </w:r>
      <w:r w:rsidRPr="00596AF9">
        <w:rPr>
          <w:i/>
        </w:rPr>
        <w:t>Assessment of the Value of Imputation Credits - Gamma, Proposal for 2016 to 2020</w:t>
      </w:r>
      <w:r>
        <w:t>, April 2015, p. 20;</w:t>
      </w:r>
      <w:r w:rsidRPr="0066139F">
        <w:t xml:space="preserve"> </w:t>
      </w:r>
      <w:r>
        <w:t xml:space="preserve">ActewAGL Distribution, </w:t>
      </w:r>
      <w:r w:rsidRPr="00596AF9">
        <w:rPr>
          <w:i/>
        </w:rPr>
        <w:t>Attachment 8 Detailed gamma proposal</w:t>
      </w:r>
      <w:r>
        <w:t>, June 2015, p. 16.</w:t>
      </w:r>
    </w:p>
  </w:footnote>
  <w:footnote w:id="319">
    <w:p w14:paraId="22C6335A"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0">
    <w:p w14:paraId="28ACBFB7"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1">
    <w:p w14:paraId="064395EB"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2">
    <w:p w14:paraId="01839D67" w14:textId="5A9CA1BE"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31–32.</w:t>
      </w:r>
    </w:p>
  </w:footnote>
  <w:footnote w:id="323">
    <w:p w14:paraId="69DB01F4" w14:textId="77777777" w:rsidR="00011BD8" w:rsidRDefault="00011BD8"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4">
    <w:p w14:paraId="11E6E694" w14:textId="77777777" w:rsidR="00011BD8" w:rsidRDefault="00011BD8"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5">
    <w:p w14:paraId="622875AF" w14:textId="77777777" w:rsidR="00011BD8" w:rsidRDefault="00011BD8"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6">
    <w:p w14:paraId="4537A413" w14:textId="77777777" w:rsidR="00011BD8" w:rsidRDefault="00011BD8"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7">
    <w:p w14:paraId="029E3D28" w14:textId="77777777" w:rsidR="00011BD8" w:rsidRDefault="00011BD8"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28">
    <w:p w14:paraId="0B9CC941" w14:textId="77777777" w:rsidR="00011BD8" w:rsidRDefault="00011BD8"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29">
    <w:p w14:paraId="18E16C0E" w14:textId="77777777" w:rsidR="00011BD8" w:rsidRDefault="00011BD8"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0">
    <w:p w14:paraId="1AFB0A5A" w14:textId="77777777" w:rsidR="00011BD8" w:rsidRDefault="00011BD8"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1">
    <w:p w14:paraId="2BC8EEE8" w14:textId="77777777" w:rsidR="00011BD8" w:rsidRDefault="00011BD8"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2">
    <w:p w14:paraId="5682120F" w14:textId="77777777" w:rsidR="00011BD8" w:rsidRDefault="00011BD8"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3">
    <w:p w14:paraId="56FBAE7D" w14:textId="77777777" w:rsidR="00011BD8" w:rsidRDefault="00011BD8"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4">
    <w:p w14:paraId="1061DC43" w14:textId="77777777" w:rsidR="00011BD8" w:rsidRDefault="00011BD8"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5">
    <w:p w14:paraId="154BAA91" w14:textId="77777777" w:rsidR="00011BD8" w:rsidRDefault="00011BD8"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6">
    <w:p w14:paraId="12DB474F" w14:textId="77777777" w:rsidR="00011BD8" w:rsidRDefault="00011BD8"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7">
    <w:p w14:paraId="014B51E2" w14:textId="77777777" w:rsidR="00011BD8" w:rsidRDefault="00011BD8"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38">
    <w:p w14:paraId="4190F6B6" w14:textId="77777777" w:rsidR="00011BD8" w:rsidRDefault="00011BD8"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39">
    <w:p w14:paraId="71557304" w14:textId="77777777" w:rsidR="00011BD8" w:rsidRDefault="00011BD8"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0">
    <w:p w14:paraId="762A5005" w14:textId="77777777" w:rsidR="00011BD8" w:rsidRDefault="00011BD8"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1">
    <w:p w14:paraId="504CBB7D" w14:textId="77777777" w:rsidR="00011BD8" w:rsidRDefault="00011BD8"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2">
    <w:p w14:paraId="2AC18500" w14:textId="77777777" w:rsidR="00011BD8" w:rsidRDefault="00011BD8"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3">
    <w:p w14:paraId="43F47671" w14:textId="48DC5067" w:rsidR="00011BD8" w:rsidRDefault="00011BD8"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r>
        <w:t xml:space="preserve"> Vol. 55, 2015, pp. 241–277.</w:t>
      </w:r>
    </w:p>
  </w:footnote>
  <w:footnote w:id="344">
    <w:p w14:paraId="710A0648" w14:textId="3ACAF405" w:rsidR="00011BD8" w:rsidRDefault="00011BD8">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345">
    <w:p w14:paraId="5D181BA1" w14:textId="77777777" w:rsidR="00011BD8" w:rsidRDefault="00011BD8"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6">
    <w:p w14:paraId="00E8C609" w14:textId="77777777" w:rsidR="00011BD8" w:rsidRDefault="00011BD8"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7">
    <w:p w14:paraId="7D01F2E0" w14:textId="77777777" w:rsidR="00011BD8" w:rsidRDefault="00011BD8"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8">
    <w:p w14:paraId="4ECF70A3" w14:textId="77777777" w:rsidR="00011BD8" w:rsidRDefault="00011BD8"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49">
    <w:p w14:paraId="07210CF0" w14:textId="77777777" w:rsidR="00011BD8" w:rsidRDefault="00011BD8"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0">
    <w:p w14:paraId="19F9FFFF" w14:textId="77777777" w:rsidR="00011BD8" w:rsidRDefault="00011BD8"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1">
    <w:p w14:paraId="26DEA4F1" w14:textId="77777777" w:rsidR="00011BD8" w:rsidRDefault="00011BD8"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2">
    <w:p w14:paraId="466A7A15" w14:textId="77777777" w:rsidR="00011BD8" w:rsidRDefault="00011BD8"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3">
    <w:p w14:paraId="7DDA4ADF" w14:textId="77777777" w:rsidR="00011BD8" w:rsidRDefault="00011BD8"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4">
    <w:p w14:paraId="3A7745A6" w14:textId="77777777" w:rsidR="00011BD8" w:rsidRDefault="00011BD8"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5">
    <w:p w14:paraId="0CB7B5DE" w14:textId="77777777" w:rsidR="00011BD8" w:rsidRDefault="00011BD8"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6">
    <w:p w14:paraId="7EC8C0D7" w14:textId="77777777" w:rsidR="00011BD8" w:rsidRDefault="00011BD8"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7">
    <w:p w14:paraId="769AE4F9" w14:textId="77777777" w:rsidR="00011BD8" w:rsidRDefault="00011BD8"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8">
    <w:p w14:paraId="2F4F21D0" w14:textId="77777777" w:rsidR="00011BD8" w:rsidRDefault="00011BD8"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59">
    <w:p w14:paraId="09D0FE0F" w14:textId="77777777" w:rsidR="00011BD8" w:rsidRDefault="00011BD8"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0">
    <w:p w14:paraId="31AF4298" w14:textId="77777777" w:rsidR="00011BD8" w:rsidRDefault="00011BD8"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1">
    <w:p w14:paraId="2B9A7D17" w14:textId="77777777" w:rsidR="00011BD8" w:rsidRDefault="00011BD8"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2">
    <w:p w14:paraId="60BD93DA" w14:textId="77777777" w:rsidR="00011BD8" w:rsidRDefault="00011BD8"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3">
    <w:p w14:paraId="63DDEA62" w14:textId="77777777" w:rsidR="00011BD8" w:rsidRDefault="00011BD8"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4">
    <w:p w14:paraId="3A95487A" w14:textId="47054ADF" w:rsidR="00011BD8" w:rsidRDefault="00011BD8"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r>
        <w:t xml:space="preserve"> Vol. 55, 2015, pp. 241–277.</w:t>
      </w:r>
    </w:p>
  </w:footnote>
  <w:footnote w:id="365">
    <w:p w14:paraId="06DEB387" w14:textId="71DC6243" w:rsidR="00011BD8" w:rsidRDefault="00011BD8" w:rsidP="005A6A8F">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 23.</w:t>
      </w:r>
    </w:p>
    <w:p w14:paraId="1CB87336" w14:textId="40E0B078" w:rsidR="00011BD8" w:rsidRDefault="00011BD8" w:rsidP="00913061">
      <w:pPr>
        <w:pStyle w:val="FootnoteText"/>
        <w:ind w:left="0" w:firstLine="0"/>
      </w:pPr>
    </w:p>
  </w:footnote>
  <w:footnote w:id="366">
    <w:p w14:paraId="5375A9C9" w14:textId="77777777" w:rsidR="00011BD8" w:rsidRDefault="00011BD8"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7">
    <w:p w14:paraId="63FF6B58" w14:textId="77777777" w:rsidR="00011BD8" w:rsidRDefault="00011BD8"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68">
    <w:p w14:paraId="58C5FB50" w14:textId="77777777" w:rsidR="00011BD8" w:rsidRDefault="00011BD8"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69">
    <w:p w14:paraId="48E5C1C2" w14:textId="64842105" w:rsidR="00011BD8" w:rsidRDefault="00011BD8">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0">
    <w:p w14:paraId="0AA284AB" w14:textId="74D2B5AD" w:rsidR="00011BD8" w:rsidRDefault="00011BD8" w:rsidP="007E4A0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1">
    <w:p w14:paraId="060591F7" w14:textId="4DBAEB98" w:rsidR="0072186C" w:rsidRDefault="0072186C">
      <w:pPr>
        <w:pStyle w:val="FootnoteText"/>
      </w:pPr>
      <w:r>
        <w:rPr>
          <w:rStyle w:val="FootnoteReference"/>
        </w:rPr>
        <w:footnoteRef/>
      </w:r>
      <w:r>
        <w:t xml:space="preserve"> </w:t>
      </w:r>
      <w:r>
        <w:tab/>
      </w:r>
      <w:r w:rsidRPr="0072186C">
        <w:t>NERA, Do Imputation Credits Lower the Cost of Equity? Cross-Sectional Tests A report for United Energy, April 2015, p vii.</w:t>
      </w:r>
    </w:p>
  </w:footnote>
  <w:footnote w:id="372">
    <w:p w14:paraId="6BF69D87" w14:textId="6889985A" w:rsidR="00011BD8" w:rsidRDefault="00011BD8">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r w:rsidR="0072186C">
        <w:t>.</w:t>
      </w:r>
    </w:p>
  </w:footnote>
  <w:footnote w:id="373">
    <w:p w14:paraId="3E471EEE" w14:textId="433A34BC" w:rsidR="00011BD8" w:rsidRDefault="00011BD8" w:rsidP="000E3E59">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AusNet Services, 2016-20 Regulatory Proposal, April 2015, p. 364; United Energy, Assessment of the Value of Imputation Credits - Gamma, Proposal for 2016 to 2020, April 2015, p. 14; CitiPower - Appendix J - Gamma, April 2015, p. 13; Powercor, Appendix J - Gamma, April 2015, p. 13; Jemena Electricity, Attachment 06-06 Gamma proposal, April 2015, p. 13; ActewAGL Distribution, Attachment 8 Detailed gamma proposal, June 2015, p. 13</w:t>
      </w:r>
      <w:r w:rsidR="000E3E59">
        <w:t>.</w:t>
      </w:r>
    </w:p>
  </w:footnote>
  <w:footnote w:id="374">
    <w:p w14:paraId="497A5565"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5">
    <w:p w14:paraId="752AE1B9" w14:textId="7FF3F79B" w:rsidR="00011BD8" w:rsidRDefault="00011BD8"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376">
    <w:p w14:paraId="092274D7" w14:textId="77777777" w:rsidR="00011BD8" w:rsidRDefault="00011BD8"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7">
    <w:p w14:paraId="09E90EB0"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78">
    <w:p w14:paraId="4CE51A5A" w14:textId="77777777" w:rsidR="00011BD8" w:rsidRDefault="00011BD8"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79">
    <w:p w14:paraId="0C30D32D" w14:textId="075D04B9" w:rsidR="00011BD8" w:rsidRDefault="00011BD8"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xml:space="preserve">, February 2015, p. 10. </w:t>
      </w:r>
    </w:p>
  </w:footnote>
  <w:footnote w:id="380">
    <w:p w14:paraId="48222F14"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1">
    <w:p w14:paraId="6274E1EA" w14:textId="77777777" w:rsidR="00011BD8" w:rsidRDefault="00011BD8">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2">
    <w:p w14:paraId="390BAB12" w14:textId="77777777"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3">
    <w:p w14:paraId="4EF8B945" w14:textId="2EB28FA3" w:rsidR="00011BD8" w:rsidRDefault="00011BD8">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35–38.</w:t>
      </w:r>
    </w:p>
  </w:footnote>
  <w:footnote w:id="384">
    <w:p w14:paraId="0FAE9BF2" w14:textId="67171F8C"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385">
    <w:p w14:paraId="38A1548D" w14:textId="77777777" w:rsidR="00011BD8" w:rsidRDefault="00011BD8">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6">
    <w:p w14:paraId="2035838F" w14:textId="77777777" w:rsidR="00011BD8" w:rsidRDefault="00011BD8">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7">
    <w:p w14:paraId="4004D2BA" w14:textId="77777777" w:rsidR="00011BD8" w:rsidRDefault="00011BD8">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8">
    <w:p w14:paraId="1414F1E1" w14:textId="77777777" w:rsidR="00011BD8" w:rsidRDefault="00011BD8">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89">
    <w:p w14:paraId="02900315" w14:textId="77777777" w:rsidR="00011BD8" w:rsidRDefault="00011BD8">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0">
    <w:p w14:paraId="69D2F4E6" w14:textId="77777777" w:rsidR="00011BD8" w:rsidRDefault="00011BD8">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1">
    <w:p w14:paraId="5D0A0534" w14:textId="77777777" w:rsidR="00011BD8" w:rsidRDefault="00011BD8">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2">
    <w:p w14:paraId="64769114" w14:textId="77777777" w:rsidR="00011BD8" w:rsidRDefault="00011BD8">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3">
    <w:p w14:paraId="33A88967" w14:textId="77777777" w:rsidR="00011BD8" w:rsidRDefault="00011BD8">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4">
    <w:p w14:paraId="63AC05CA" w14:textId="77777777" w:rsidR="00011BD8" w:rsidRDefault="00011BD8"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5">
    <w:p w14:paraId="5966FA43" w14:textId="77777777" w:rsidR="00011BD8" w:rsidRDefault="00011BD8"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6">
    <w:p w14:paraId="5E9BBB0C" w14:textId="2B05E112" w:rsidR="00011BD8" w:rsidRDefault="00011BD8"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8–9</w:t>
      </w:r>
      <w:r>
        <w:t>.</w:t>
      </w:r>
    </w:p>
  </w:footnote>
  <w:footnote w:id="397">
    <w:p w14:paraId="1763ABFB" w14:textId="77777777" w:rsidR="00011BD8" w:rsidRDefault="00011BD8"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8">
    <w:p w14:paraId="65C96FE2" w14:textId="77777777" w:rsidR="00011BD8" w:rsidRDefault="00011BD8"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399">
    <w:p w14:paraId="7BD617AD" w14:textId="77777777" w:rsidR="00011BD8" w:rsidRDefault="00011BD8"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0">
    <w:p w14:paraId="5F573B3C" w14:textId="77777777" w:rsidR="00011BD8" w:rsidRDefault="00011BD8">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1">
    <w:p w14:paraId="30886283" w14:textId="77777777" w:rsidR="00011BD8" w:rsidRDefault="00011BD8"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2">
    <w:p w14:paraId="7B37FCC6" w14:textId="77777777" w:rsidR="00011BD8" w:rsidRDefault="00011BD8"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3">
    <w:p w14:paraId="71988926" w14:textId="7D223870" w:rsidR="00011BD8" w:rsidRDefault="00011BD8">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404">
    <w:p w14:paraId="2DE9392F" w14:textId="77777777" w:rsidR="00011BD8" w:rsidRDefault="00011BD8"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5">
    <w:p w14:paraId="67438049" w14:textId="77777777" w:rsidR="00011BD8" w:rsidRDefault="00011BD8"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6">
    <w:p w14:paraId="239D63E9" w14:textId="77777777" w:rsidR="00011BD8" w:rsidRDefault="00011BD8"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7">
    <w:p w14:paraId="680EB0FE" w14:textId="77777777" w:rsidR="00011BD8" w:rsidRDefault="00011BD8"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08">
    <w:p w14:paraId="16A8E7D4" w14:textId="77777777" w:rsidR="00011BD8" w:rsidRDefault="00011BD8"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09">
    <w:p w14:paraId="68D2648A" w14:textId="77777777" w:rsidR="00011BD8" w:rsidRDefault="00011BD8"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0">
    <w:p w14:paraId="6A67E8A2" w14:textId="77777777" w:rsidR="00011BD8" w:rsidRDefault="00011BD8"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1">
    <w:p w14:paraId="2F547B46" w14:textId="77777777" w:rsidR="00011BD8" w:rsidRDefault="00011BD8"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2">
    <w:p w14:paraId="5709FFE6" w14:textId="77777777" w:rsidR="00011BD8" w:rsidRDefault="00011BD8"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3">
    <w:p w14:paraId="35AB01BB" w14:textId="77777777" w:rsidR="00011BD8" w:rsidRDefault="00011BD8"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4">
    <w:p w14:paraId="7C6E4157" w14:textId="77777777" w:rsidR="00011BD8" w:rsidRDefault="00011BD8"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5">
    <w:p w14:paraId="2CCDA1B7" w14:textId="77777777" w:rsidR="00011BD8" w:rsidRDefault="00011BD8"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esmit\aer - draft decision australian gas networks access arrangement - attachment 4 - november 2015 (AER2015-004312).docx"/>
  </w:docVars>
  <w:rsids>
    <w:rsidRoot w:val="00961A4A"/>
    <w:rsid w:val="00000225"/>
    <w:rsid w:val="00005796"/>
    <w:rsid w:val="000066F6"/>
    <w:rsid w:val="00006EFD"/>
    <w:rsid w:val="0000771B"/>
    <w:rsid w:val="0000799A"/>
    <w:rsid w:val="00011245"/>
    <w:rsid w:val="00011BD8"/>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78A"/>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A7749"/>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8D"/>
    <w:rsid w:val="000D67D1"/>
    <w:rsid w:val="000D6A3C"/>
    <w:rsid w:val="000D7365"/>
    <w:rsid w:val="000D7B2D"/>
    <w:rsid w:val="000D7C93"/>
    <w:rsid w:val="000E0997"/>
    <w:rsid w:val="000E1819"/>
    <w:rsid w:val="000E181F"/>
    <w:rsid w:val="000E35CD"/>
    <w:rsid w:val="000E3BA4"/>
    <w:rsid w:val="000E3E59"/>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3B0"/>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324"/>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2CAD"/>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797"/>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51B"/>
    <w:rsid w:val="001A4F7C"/>
    <w:rsid w:val="001A7E18"/>
    <w:rsid w:val="001B0396"/>
    <w:rsid w:val="001B054B"/>
    <w:rsid w:val="001B05B4"/>
    <w:rsid w:val="001B1D7E"/>
    <w:rsid w:val="001B1D8E"/>
    <w:rsid w:val="001B45A0"/>
    <w:rsid w:val="001B5324"/>
    <w:rsid w:val="001B5415"/>
    <w:rsid w:val="001B6BD3"/>
    <w:rsid w:val="001B77CE"/>
    <w:rsid w:val="001C0341"/>
    <w:rsid w:val="001C0460"/>
    <w:rsid w:val="001C0549"/>
    <w:rsid w:val="001C1CFF"/>
    <w:rsid w:val="001C1EBE"/>
    <w:rsid w:val="001C24A0"/>
    <w:rsid w:val="001C274C"/>
    <w:rsid w:val="001C3E2B"/>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10"/>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3F38"/>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35F"/>
    <w:rsid w:val="002515CC"/>
    <w:rsid w:val="00251745"/>
    <w:rsid w:val="002519FD"/>
    <w:rsid w:val="00252549"/>
    <w:rsid w:val="00253C46"/>
    <w:rsid w:val="00254F30"/>
    <w:rsid w:val="00256041"/>
    <w:rsid w:val="002564C1"/>
    <w:rsid w:val="00256619"/>
    <w:rsid w:val="00257FBE"/>
    <w:rsid w:val="00261628"/>
    <w:rsid w:val="002630C5"/>
    <w:rsid w:val="00263AC0"/>
    <w:rsid w:val="00264264"/>
    <w:rsid w:val="0026524C"/>
    <w:rsid w:val="00265983"/>
    <w:rsid w:val="002671BD"/>
    <w:rsid w:val="00267663"/>
    <w:rsid w:val="0026772D"/>
    <w:rsid w:val="00270474"/>
    <w:rsid w:val="0027049E"/>
    <w:rsid w:val="00270CD3"/>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6D31"/>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CBE"/>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3682"/>
    <w:rsid w:val="002C3D9F"/>
    <w:rsid w:val="002C45CC"/>
    <w:rsid w:val="002C46E3"/>
    <w:rsid w:val="002C640C"/>
    <w:rsid w:val="002C6AF7"/>
    <w:rsid w:val="002C7412"/>
    <w:rsid w:val="002C75FE"/>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34FD"/>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45BDA"/>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1B6"/>
    <w:rsid w:val="0038032B"/>
    <w:rsid w:val="003803A3"/>
    <w:rsid w:val="00380B80"/>
    <w:rsid w:val="003817F2"/>
    <w:rsid w:val="003822C4"/>
    <w:rsid w:val="00382A92"/>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7FF"/>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5DD"/>
    <w:rsid w:val="003E38A3"/>
    <w:rsid w:val="003E4445"/>
    <w:rsid w:val="003E4F74"/>
    <w:rsid w:val="003E6B35"/>
    <w:rsid w:val="003E7CEB"/>
    <w:rsid w:val="003F04C0"/>
    <w:rsid w:val="003F0C5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E71"/>
    <w:rsid w:val="00415F31"/>
    <w:rsid w:val="00416B6D"/>
    <w:rsid w:val="00417647"/>
    <w:rsid w:val="004179E8"/>
    <w:rsid w:val="00420456"/>
    <w:rsid w:val="004224A2"/>
    <w:rsid w:val="004224DB"/>
    <w:rsid w:val="00422781"/>
    <w:rsid w:val="004235C1"/>
    <w:rsid w:val="00423A77"/>
    <w:rsid w:val="00423BA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2F05"/>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511"/>
    <w:rsid w:val="0048174C"/>
    <w:rsid w:val="00481B0E"/>
    <w:rsid w:val="00481B86"/>
    <w:rsid w:val="00481C5C"/>
    <w:rsid w:val="0048512F"/>
    <w:rsid w:val="00485DC4"/>
    <w:rsid w:val="00485FF7"/>
    <w:rsid w:val="00486A2F"/>
    <w:rsid w:val="00486FC1"/>
    <w:rsid w:val="00490637"/>
    <w:rsid w:val="00490C29"/>
    <w:rsid w:val="00491828"/>
    <w:rsid w:val="00494584"/>
    <w:rsid w:val="00494C30"/>
    <w:rsid w:val="00495EA5"/>
    <w:rsid w:val="004A0169"/>
    <w:rsid w:val="004A21A8"/>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006C"/>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48D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3A7"/>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0AC"/>
    <w:rsid w:val="00593797"/>
    <w:rsid w:val="005941AB"/>
    <w:rsid w:val="005947EE"/>
    <w:rsid w:val="00596AF9"/>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6CB"/>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CFE"/>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5F66D2"/>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67B06"/>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C71"/>
    <w:rsid w:val="006F2F17"/>
    <w:rsid w:val="006F3583"/>
    <w:rsid w:val="006F37D6"/>
    <w:rsid w:val="006F41AD"/>
    <w:rsid w:val="006F4EB9"/>
    <w:rsid w:val="006F670B"/>
    <w:rsid w:val="0070011E"/>
    <w:rsid w:val="00700D28"/>
    <w:rsid w:val="00700E74"/>
    <w:rsid w:val="007017ED"/>
    <w:rsid w:val="00701BF2"/>
    <w:rsid w:val="00701CAB"/>
    <w:rsid w:val="00702609"/>
    <w:rsid w:val="007034CE"/>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186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36112"/>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C0A"/>
    <w:rsid w:val="00763E5D"/>
    <w:rsid w:val="00764017"/>
    <w:rsid w:val="007651D1"/>
    <w:rsid w:val="00765A31"/>
    <w:rsid w:val="007661C9"/>
    <w:rsid w:val="00766333"/>
    <w:rsid w:val="00766B3F"/>
    <w:rsid w:val="00767740"/>
    <w:rsid w:val="00767F4B"/>
    <w:rsid w:val="00770A2A"/>
    <w:rsid w:val="00771934"/>
    <w:rsid w:val="00773310"/>
    <w:rsid w:val="00773E5F"/>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3B35"/>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4E9"/>
    <w:rsid w:val="008006B0"/>
    <w:rsid w:val="008008F6"/>
    <w:rsid w:val="00800C8B"/>
    <w:rsid w:val="0080290B"/>
    <w:rsid w:val="008033C4"/>
    <w:rsid w:val="0080443B"/>
    <w:rsid w:val="00804BB8"/>
    <w:rsid w:val="008061F1"/>
    <w:rsid w:val="00806C88"/>
    <w:rsid w:val="00806F4F"/>
    <w:rsid w:val="0080798E"/>
    <w:rsid w:val="0081034E"/>
    <w:rsid w:val="008113A0"/>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057D"/>
    <w:rsid w:val="00831776"/>
    <w:rsid w:val="00831F0B"/>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667F"/>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EA3"/>
    <w:rsid w:val="00887F2D"/>
    <w:rsid w:val="00892201"/>
    <w:rsid w:val="008928B0"/>
    <w:rsid w:val="00895E9C"/>
    <w:rsid w:val="0089793A"/>
    <w:rsid w:val="00897CEC"/>
    <w:rsid w:val="008A0008"/>
    <w:rsid w:val="008A3558"/>
    <w:rsid w:val="008A369B"/>
    <w:rsid w:val="008A3987"/>
    <w:rsid w:val="008A403F"/>
    <w:rsid w:val="008A4877"/>
    <w:rsid w:val="008A4B8E"/>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87C"/>
    <w:rsid w:val="008C6974"/>
    <w:rsid w:val="008C7338"/>
    <w:rsid w:val="008C744F"/>
    <w:rsid w:val="008D0136"/>
    <w:rsid w:val="008D1661"/>
    <w:rsid w:val="008D1665"/>
    <w:rsid w:val="008D17D5"/>
    <w:rsid w:val="008D20A2"/>
    <w:rsid w:val="008D32C8"/>
    <w:rsid w:val="008D330C"/>
    <w:rsid w:val="008D3927"/>
    <w:rsid w:val="008D3ED0"/>
    <w:rsid w:val="008D4FA8"/>
    <w:rsid w:val="008D59B7"/>
    <w:rsid w:val="008D6800"/>
    <w:rsid w:val="008D729A"/>
    <w:rsid w:val="008D7B18"/>
    <w:rsid w:val="008D7EEE"/>
    <w:rsid w:val="008E03C8"/>
    <w:rsid w:val="008E1CD0"/>
    <w:rsid w:val="008E2948"/>
    <w:rsid w:val="008E2B5E"/>
    <w:rsid w:val="008E3B4F"/>
    <w:rsid w:val="008E408D"/>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906"/>
    <w:rsid w:val="00902DB6"/>
    <w:rsid w:val="00903798"/>
    <w:rsid w:val="00903E4D"/>
    <w:rsid w:val="009058A2"/>
    <w:rsid w:val="00905F96"/>
    <w:rsid w:val="00906B59"/>
    <w:rsid w:val="00907570"/>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0B2C"/>
    <w:rsid w:val="00930E26"/>
    <w:rsid w:val="009320CE"/>
    <w:rsid w:val="009329B8"/>
    <w:rsid w:val="00933E11"/>
    <w:rsid w:val="009346EA"/>
    <w:rsid w:val="00937536"/>
    <w:rsid w:val="00937B90"/>
    <w:rsid w:val="0094112A"/>
    <w:rsid w:val="0094160D"/>
    <w:rsid w:val="009421FF"/>
    <w:rsid w:val="00943109"/>
    <w:rsid w:val="00943DC0"/>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0B"/>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2EA6"/>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17A8"/>
    <w:rsid w:val="009A2292"/>
    <w:rsid w:val="009A2996"/>
    <w:rsid w:val="009A2D83"/>
    <w:rsid w:val="009A3578"/>
    <w:rsid w:val="009A3916"/>
    <w:rsid w:val="009A3ED2"/>
    <w:rsid w:val="009A4376"/>
    <w:rsid w:val="009A4592"/>
    <w:rsid w:val="009A4A80"/>
    <w:rsid w:val="009A53F8"/>
    <w:rsid w:val="009A5E98"/>
    <w:rsid w:val="009A5FC3"/>
    <w:rsid w:val="009A60DD"/>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3BAE"/>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37F2"/>
    <w:rsid w:val="009E40F2"/>
    <w:rsid w:val="009E4411"/>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214"/>
    <w:rsid w:val="00A33583"/>
    <w:rsid w:val="00A34FE2"/>
    <w:rsid w:val="00A3557D"/>
    <w:rsid w:val="00A35A6E"/>
    <w:rsid w:val="00A35C46"/>
    <w:rsid w:val="00A36459"/>
    <w:rsid w:val="00A368C5"/>
    <w:rsid w:val="00A3725A"/>
    <w:rsid w:val="00A37907"/>
    <w:rsid w:val="00A40349"/>
    <w:rsid w:val="00A4070F"/>
    <w:rsid w:val="00A427FF"/>
    <w:rsid w:val="00A428EE"/>
    <w:rsid w:val="00A4478A"/>
    <w:rsid w:val="00A44852"/>
    <w:rsid w:val="00A458D5"/>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AC0"/>
    <w:rsid w:val="00A57BA6"/>
    <w:rsid w:val="00A57D04"/>
    <w:rsid w:val="00A60A26"/>
    <w:rsid w:val="00A61598"/>
    <w:rsid w:val="00A62897"/>
    <w:rsid w:val="00A62899"/>
    <w:rsid w:val="00A644CA"/>
    <w:rsid w:val="00A64F19"/>
    <w:rsid w:val="00A6605F"/>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57F8"/>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A7C29"/>
    <w:rsid w:val="00BB0325"/>
    <w:rsid w:val="00BB1615"/>
    <w:rsid w:val="00BB2FB2"/>
    <w:rsid w:val="00BB3304"/>
    <w:rsid w:val="00BB3C6E"/>
    <w:rsid w:val="00BB4507"/>
    <w:rsid w:val="00BB533D"/>
    <w:rsid w:val="00BB5BE7"/>
    <w:rsid w:val="00BB5D41"/>
    <w:rsid w:val="00BB6681"/>
    <w:rsid w:val="00BB7352"/>
    <w:rsid w:val="00BC20A5"/>
    <w:rsid w:val="00BC2E57"/>
    <w:rsid w:val="00BC2F08"/>
    <w:rsid w:val="00BC2F8D"/>
    <w:rsid w:val="00BC3784"/>
    <w:rsid w:val="00BC4484"/>
    <w:rsid w:val="00BC57BA"/>
    <w:rsid w:val="00BC5CB4"/>
    <w:rsid w:val="00BC681D"/>
    <w:rsid w:val="00BC6D79"/>
    <w:rsid w:val="00BD1CE0"/>
    <w:rsid w:val="00BD2387"/>
    <w:rsid w:val="00BD2B34"/>
    <w:rsid w:val="00BD315D"/>
    <w:rsid w:val="00BD3446"/>
    <w:rsid w:val="00BD6358"/>
    <w:rsid w:val="00BD732B"/>
    <w:rsid w:val="00BD7A68"/>
    <w:rsid w:val="00BE171B"/>
    <w:rsid w:val="00BE1E99"/>
    <w:rsid w:val="00BE1F1B"/>
    <w:rsid w:val="00BE1FD8"/>
    <w:rsid w:val="00BE2FAB"/>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4B2"/>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2094"/>
    <w:rsid w:val="00C22113"/>
    <w:rsid w:val="00C233FC"/>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2DAA"/>
    <w:rsid w:val="00C441F6"/>
    <w:rsid w:val="00C449C9"/>
    <w:rsid w:val="00C468CA"/>
    <w:rsid w:val="00C477A7"/>
    <w:rsid w:val="00C47CCD"/>
    <w:rsid w:val="00C50844"/>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394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BFE"/>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27D"/>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AF"/>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705"/>
    <w:rsid w:val="00D64DEA"/>
    <w:rsid w:val="00D65619"/>
    <w:rsid w:val="00D65DB1"/>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074"/>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389E"/>
    <w:rsid w:val="00DA4752"/>
    <w:rsid w:val="00DA5DCC"/>
    <w:rsid w:val="00DA61F3"/>
    <w:rsid w:val="00DA68FA"/>
    <w:rsid w:val="00DA76A4"/>
    <w:rsid w:val="00DB036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35E8"/>
    <w:rsid w:val="00DD48C9"/>
    <w:rsid w:val="00DD4B8D"/>
    <w:rsid w:val="00DD577F"/>
    <w:rsid w:val="00DD7B9A"/>
    <w:rsid w:val="00DE0079"/>
    <w:rsid w:val="00DE1093"/>
    <w:rsid w:val="00DE115F"/>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2BBB"/>
    <w:rsid w:val="00E34483"/>
    <w:rsid w:val="00E356F9"/>
    <w:rsid w:val="00E36DF4"/>
    <w:rsid w:val="00E373C8"/>
    <w:rsid w:val="00E37B79"/>
    <w:rsid w:val="00E402E3"/>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0DD"/>
    <w:rsid w:val="00EA524C"/>
    <w:rsid w:val="00EA6667"/>
    <w:rsid w:val="00EA6B1B"/>
    <w:rsid w:val="00EA6B60"/>
    <w:rsid w:val="00EA6D49"/>
    <w:rsid w:val="00EA6FAD"/>
    <w:rsid w:val="00EA7DA9"/>
    <w:rsid w:val="00EB09CB"/>
    <w:rsid w:val="00EB10C5"/>
    <w:rsid w:val="00EB16EF"/>
    <w:rsid w:val="00EB1D7C"/>
    <w:rsid w:val="00EB21FE"/>
    <w:rsid w:val="00EB25AD"/>
    <w:rsid w:val="00EB355F"/>
    <w:rsid w:val="00EB47DF"/>
    <w:rsid w:val="00EB4959"/>
    <w:rsid w:val="00EB60BB"/>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0AE9"/>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A20"/>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22DF"/>
    <w:rsid w:val="00F6250E"/>
    <w:rsid w:val="00F627D8"/>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6756"/>
    <w:rsid w:val="00F77A67"/>
    <w:rsid w:val="00F8046B"/>
    <w:rsid w:val="00F80D91"/>
    <w:rsid w:val="00F815FE"/>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074C"/>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09F9"/>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table" w:customStyle="1" w:styleId="AERtable-numbers1">
    <w:name w:val="AER table - numbers1"/>
    <w:basedOn w:val="TableNormal"/>
    <w:uiPriority w:val="99"/>
    <w:rsid w:val="00C22094"/>
    <w:pPr>
      <w:spacing w:before="120" w:after="80"/>
      <w:jc w:val="right"/>
    </w:pPr>
    <w:rPr>
      <w:rFonts w:ascii="Arial" w:eastAsia="Calibri" w:hAnsi="Arial" w:cs="Times New Roman"/>
      <w:sz w:val="16"/>
      <w:szCs w:val="20"/>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numbering" w:customStyle="1" w:styleId="AERnumberedlist1">
    <w:name w:val="AER numbered list1"/>
    <w:uiPriority w:val="99"/>
    <w:rsid w:val="00C220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table" w:customStyle="1" w:styleId="AERtable-numbers1">
    <w:name w:val="AER table - numbers1"/>
    <w:basedOn w:val="TableNormal"/>
    <w:uiPriority w:val="99"/>
    <w:rsid w:val="00C22094"/>
    <w:pPr>
      <w:spacing w:before="120" w:after="80"/>
      <w:jc w:val="right"/>
    </w:pPr>
    <w:rPr>
      <w:rFonts w:ascii="Arial" w:eastAsia="Calibri" w:hAnsi="Arial" w:cs="Times New Roman"/>
      <w:sz w:val="16"/>
      <w:szCs w:val="20"/>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numbering" w:customStyle="1" w:styleId="AERnumberedlist1">
    <w:name w:val="AER numbered list1"/>
    <w:uiPriority w:val="99"/>
    <w:rsid w:val="00C22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925190201">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206486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282208896"/>
        <c:axId val="282214784"/>
      </c:lineChart>
      <c:dateAx>
        <c:axId val="282208896"/>
        <c:scaling>
          <c:orientation val="minMax"/>
        </c:scaling>
        <c:delete val="0"/>
        <c:axPos val="b"/>
        <c:numFmt formatCode="mmm\-yyyy" sourceLinked="1"/>
        <c:majorTickMark val="out"/>
        <c:minorTickMark val="none"/>
        <c:tickLblPos val="nextTo"/>
        <c:crossAx val="282214784"/>
        <c:crosses val="autoZero"/>
        <c:auto val="0"/>
        <c:lblOffset val="100"/>
        <c:baseTimeUnit val="months"/>
        <c:majorUnit val="12"/>
        <c:majorTimeUnit val="months"/>
      </c:dateAx>
      <c:valAx>
        <c:axId val="282214784"/>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282208896"/>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45B6AC-F65B-434B-9D1E-2195C4A9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E52C6830</Template>
  <TotalTime>0</TotalTime>
  <Pages>122</Pages>
  <Words>39034</Words>
  <Characters>222500</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2015-11-22T23:52:00Z</dcterms:created>
  <dcterms:modified xsi:type="dcterms:W3CDTF">2015-11-23T05:51:00Z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