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5781CE0" wp14:editId="4BF8B9D5">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3C33B0">
            <w:t>DRAFT</w:t>
          </w:r>
          <w:r w:rsidR="00DA4752">
            <w:t xml:space="preserve"> DECISION</w:t>
          </w:r>
        </w:p>
        <w:p w:rsidR="00415F31" w:rsidRDefault="00A06085" w:rsidP="008F07A3">
          <w:pPr>
            <w:pStyle w:val="ReportSubtitle"/>
          </w:pPr>
          <w:r>
            <w:t xml:space="preserve">ActewAGL </w:t>
          </w:r>
          <w:r w:rsidR="003C33B0">
            <w:t>D</w:t>
          </w:r>
          <w:r w:rsidR="0070011E">
            <w:t>istribution</w:t>
          </w:r>
          <w:r w:rsidR="003C33B0">
            <w:br/>
            <w:t>Access Arrang</w:t>
          </w:r>
          <w:r w:rsidR="00E44FB7">
            <w:t>e</w:t>
          </w:r>
          <w:r w:rsidR="003C33B0">
            <w:t>ment</w:t>
          </w:r>
        </w:p>
        <w:p w:rsidR="000A6C7B" w:rsidRDefault="005C0A7F" w:rsidP="008F07A3">
          <w:pPr>
            <w:pStyle w:val="ReportSubtitle"/>
          </w:pPr>
          <w:r>
            <w:t xml:space="preserve"> 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F04B3C">
            <w:t>9</w:t>
          </w:r>
          <w:r w:rsidR="00DA4752">
            <w:t xml:space="preserve"> </w:t>
          </w:r>
          <w:r w:rsidR="00415F31">
            <w:rPr>
              <w:rFonts w:cs="Arial"/>
            </w:rPr>
            <w:t>–</w:t>
          </w:r>
          <w:r w:rsidR="00DA4752">
            <w:t xml:space="preserve"> </w:t>
          </w:r>
          <w:r w:rsidR="00F04B3C">
            <w:t>Efficiency carryover mechanism</w:t>
          </w:r>
        </w:p>
        <w:p w:rsidR="000A6C7B" w:rsidRPr="00327A1E" w:rsidRDefault="00A06085" w:rsidP="00327A1E">
          <w:pPr>
            <w:pStyle w:val="ReportDate"/>
          </w:pPr>
          <w:r>
            <w:t>November</w:t>
          </w:r>
          <w:r w:rsidR="005C0A7F">
            <w:t xml:space="preserve">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36044125"/>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3C33B0">
        <w:t>draft</w:t>
      </w:r>
      <w:r w:rsidR="00415F31">
        <w:t xml:space="preserve"> decision on </w:t>
      </w:r>
      <w:r w:rsidR="005B140A">
        <w:t>ActewAGL</w:t>
      </w:r>
      <w:r w:rsidR="00897517">
        <w:t xml:space="preserve"> Distribution</w:t>
      </w:r>
      <w:r w:rsidR="005C0A7F">
        <w:t>'s</w:t>
      </w:r>
      <w:r w:rsidR="00415F31">
        <w:t xml:space="preserve"> </w:t>
      </w:r>
      <w:r w:rsidR="003C33B0">
        <w:t xml:space="preserve">access arrangement for </w:t>
      </w:r>
      <w:r w:rsidR="00415F31">
        <w:t>201</w:t>
      </w:r>
      <w:r w:rsidR="005C0A7F">
        <w:t>6</w:t>
      </w:r>
      <w:r w:rsidR="00415F31" w:rsidRPr="00D904FA">
        <w:t>–</w:t>
      </w:r>
      <w:r w:rsidR="005B140A">
        <w:t>21.</w:t>
      </w:r>
      <w:r w:rsidR="00415F31">
        <w:t xml:space="preserve"> It should be read with </w:t>
      </w:r>
      <w:r w:rsidR="005C0A7F">
        <w:t xml:space="preserve">all </w:t>
      </w:r>
      <w:r w:rsidR="00415F31">
        <w:t xml:space="preserve">other parts of the </w:t>
      </w:r>
      <w:r w:rsidR="003C33B0">
        <w:t>draft</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3C33B0">
        <w:t>draft</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6" w:name="_Toc403144133"/>
      <w:bookmarkStart w:id="7" w:name="_Toc436044126"/>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DD384A"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6044125" w:history="1">
            <w:r w:rsidR="00DD384A" w:rsidRPr="00162CEB">
              <w:rPr>
                <w:rStyle w:val="Hyperlink"/>
              </w:rPr>
              <w:t>Note</w:t>
            </w:r>
            <w:r w:rsidR="00DD384A">
              <w:rPr>
                <w:webHidden/>
              </w:rPr>
              <w:tab/>
            </w:r>
            <w:r w:rsidR="00DD384A">
              <w:rPr>
                <w:webHidden/>
              </w:rPr>
              <w:fldChar w:fldCharType="begin"/>
            </w:r>
            <w:r w:rsidR="00DD384A">
              <w:rPr>
                <w:webHidden/>
              </w:rPr>
              <w:instrText xml:space="preserve"> PAGEREF _Toc436044125 \h </w:instrText>
            </w:r>
            <w:r w:rsidR="00DD384A">
              <w:rPr>
                <w:webHidden/>
              </w:rPr>
            </w:r>
            <w:r w:rsidR="00DD384A">
              <w:rPr>
                <w:webHidden/>
              </w:rPr>
              <w:fldChar w:fldCharType="separate"/>
            </w:r>
            <w:r w:rsidR="00DD384A">
              <w:rPr>
                <w:webHidden/>
              </w:rPr>
              <w:t>9-2</w:t>
            </w:r>
            <w:r w:rsidR="00DD384A">
              <w:rPr>
                <w:webHidden/>
              </w:rPr>
              <w:fldChar w:fldCharType="end"/>
            </w:r>
          </w:hyperlink>
        </w:p>
        <w:p w:rsidR="00DD384A" w:rsidRDefault="00DD384A">
          <w:pPr>
            <w:pStyle w:val="TOC1"/>
            <w:rPr>
              <w:rFonts w:asciiTheme="minorHAnsi" w:eastAsiaTheme="minorEastAsia" w:hAnsiTheme="minorHAnsi"/>
              <w:b w:val="0"/>
              <w:color w:val="auto"/>
              <w:sz w:val="22"/>
              <w:lang w:val="en-AU" w:eastAsia="en-AU"/>
            </w:rPr>
          </w:pPr>
          <w:hyperlink w:anchor="_Toc436044126" w:history="1">
            <w:r w:rsidRPr="00162CEB">
              <w:rPr>
                <w:rStyle w:val="Hyperlink"/>
              </w:rPr>
              <w:t>Contents</w:t>
            </w:r>
            <w:r>
              <w:rPr>
                <w:webHidden/>
              </w:rPr>
              <w:tab/>
            </w:r>
            <w:r>
              <w:rPr>
                <w:webHidden/>
              </w:rPr>
              <w:fldChar w:fldCharType="begin"/>
            </w:r>
            <w:r>
              <w:rPr>
                <w:webHidden/>
              </w:rPr>
              <w:instrText xml:space="preserve"> PAGEREF _Toc436044126 \h </w:instrText>
            </w:r>
            <w:r>
              <w:rPr>
                <w:webHidden/>
              </w:rPr>
            </w:r>
            <w:r>
              <w:rPr>
                <w:webHidden/>
              </w:rPr>
              <w:fldChar w:fldCharType="separate"/>
            </w:r>
            <w:r>
              <w:rPr>
                <w:webHidden/>
              </w:rPr>
              <w:t>9-3</w:t>
            </w:r>
            <w:r>
              <w:rPr>
                <w:webHidden/>
              </w:rPr>
              <w:fldChar w:fldCharType="end"/>
            </w:r>
          </w:hyperlink>
        </w:p>
        <w:p w:rsidR="00DD384A" w:rsidRDefault="00DD384A">
          <w:pPr>
            <w:pStyle w:val="TOC1"/>
            <w:rPr>
              <w:rFonts w:asciiTheme="minorHAnsi" w:eastAsiaTheme="minorEastAsia" w:hAnsiTheme="minorHAnsi"/>
              <w:b w:val="0"/>
              <w:color w:val="auto"/>
              <w:sz w:val="22"/>
              <w:lang w:val="en-AU" w:eastAsia="en-AU"/>
            </w:rPr>
          </w:pPr>
          <w:hyperlink w:anchor="_Toc436044127" w:history="1">
            <w:r w:rsidRPr="00162CEB">
              <w:rPr>
                <w:rStyle w:val="Hyperlink"/>
              </w:rPr>
              <w:t>Shortened forms</w:t>
            </w:r>
            <w:r>
              <w:rPr>
                <w:webHidden/>
              </w:rPr>
              <w:tab/>
            </w:r>
            <w:r>
              <w:rPr>
                <w:webHidden/>
              </w:rPr>
              <w:fldChar w:fldCharType="begin"/>
            </w:r>
            <w:r>
              <w:rPr>
                <w:webHidden/>
              </w:rPr>
              <w:instrText xml:space="preserve"> PAGEREF _Toc436044127 \h </w:instrText>
            </w:r>
            <w:r>
              <w:rPr>
                <w:webHidden/>
              </w:rPr>
            </w:r>
            <w:r>
              <w:rPr>
                <w:webHidden/>
              </w:rPr>
              <w:fldChar w:fldCharType="separate"/>
            </w:r>
            <w:r>
              <w:rPr>
                <w:webHidden/>
              </w:rPr>
              <w:t>9-4</w:t>
            </w:r>
            <w:r>
              <w:rPr>
                <w:webHidden/>
              </w:rPr>
              <w:fldChar w:fldCharType="end"/>
            </w:r>
          </w:hyperlink>
        </w:p>
        <w:p w:rsidR="00DD384A" w:rsidRDefault="00DD384A">
          <w:pPr>
            <w:pStyle w:val="TOC1"/>
            <w:rPr>
              <w:rFonts w:asciiTheme="minorHAnsi" w:eastAsiaTheme="minorEastAsia" w:hAnsiTheme="minorHAnsi"/>
              <w:b w:val="0"/>
              <w:color w:val="auto"/>
              <w:sz w:val="22"/>
              <w:lang w:val="en-AU" w:eastAsia="en-AU"/>
            </w:rPr>
          </w:pPr>
          <w:hyperlink w:anchor="_Toc436044128" w:history="1">
            <w:r w:rsidRPr="00162CEB">
              <w:rPr>
                <w:rStyle w:val="Hyperlink"/>
              </w:rPr>
              <w:t>9</w:t>
            </w:r>
            <w:r>
              <w:rPr>
                <w:rFonts w:asciiTheme="minorHAnsi" w:eastAsiaTheme="minorEastAsia" w:hAnsiTheme="minorHAnsi"/>
                <w:b w:val="0"/>
                <w:color w:val="auto"/>
                <w:sz w:val="22"/>
                <w:lang w:val="en-AU" w:eastAsia="en-AU"/>
              </w:rPr>
              <w:tab/>
            </w:r>
            <w:r w:rsidRPr="00162CEB">
              <w:rPr>
                <w:rStyle w:val="Hyperlink"/>
              </w:rPr>
              <w:t>Efficiency carryover mechanism</w:t>
            </w:r>
            <w:r>
              <w:rPr>
                <w:webHidden/>
              </w:rPr>
              <w:tab/>
            </w:r>
            <w:r>
              <w:rPr>
                <w:webHidden/>
              </w:rPr>
              <w:fldChar w:fldCharType="begin"/>
            </w:r>
            <w:r>
              <w:rPr>
                <w:webHidden/>
              </w:rPr>
              <w:instrText xml:space="preserve"> PAGEREF _Toc436044128 \h </w:instrText>
            </w:r>
            <w:r>
              <w:rPr>
                <w:webHidden/>
              </w:rPr>
            </w:r>
            <w:r>
              <w:rPr>
                <w:webHidden/>
              </w:rPr>
              <w:fldChar w:fldCharType="separate"/>
            </w:r>
            <w:r>
              <w:rPr>
                <w:webHidden/>
              </w:rPr>
              <w:t>9-6</w:t>
            </w:r>
            <w:r>
              <w:rPr>
                <w:webHidden/>
              </w:rPr>
              <w:fldChar w:fldCharType="end"/>
            </w:r>
          </w:hyperlink>
        </w:p>
        <w:p w:rsidR="00DD384A" w:rsidRDefault="00DD384A">
          <w:pPr>
            <w:pStyle w:val="TOC2"/>
            <w:rPr>
              <w:rFonts w:asciiTheme="minorHAnsi" w:eastAsiaTheme="minorEastAsia" w:hAnsiTheme="minorHAnsi"/>
              <w:b w:val="0"/>
              <w:color w:val="auto"/>
              <w:sz w:val="22"/>
              <w:lang w:eastAsia="en-AU"/>
            </w:rPr>
          </w:pPr>
          <w:hyperlink w:anchor="_Toc436044129" w:history="1">
            <w:r w:rsidRPr="00162CEB">
              <w:rPr>
                <w:rStyle w:val="Hyperlink"/>
              </w:rPr>
              <w:t>9.1</w:t>
            </w:r>
            <w:r>
              <w:rPr>
                <w:rFonts w:asciiTheme="minorHAnsi" w:eastAsiaTheme="minorEastAsia" w:hAnsiTheme="minorHAnsi"/>
                <w:b w:val="0"/>
                <w:color w:val="auto"/>
                <w:sz w:val="22"/>
                <w:lang w:eastAsia="en-AU"/>
              </w:rPr>
              <w:tab/>
            </w:r>
            <w:r w:rsidRPr="00162CEB">
              <w:rPr>
                <w:rStyle w:val="Hyperlink"/>
              </w:rPr>
              <w:t>Draft decision</w:t>
            </w:r>
            <w:r>
              <w:rPr>
                <w:webHidden/>
              </w:rPr>
              <w:tab/>
            </w:r>
            <w:r>
              <w:rPr>
                <w:webHidden/>
              </w:rPr>
              <w:fldChar w:fldCharType="begin"/>
            </w:r>
            <w:r>
              <w:rPr>
                <w:webHidden/>
              </w:rPr>
              <w:instrText xml:space="preserve"> PAGEREF _Toc436044129 \h </w:instrText>
            </w:r>
            <w:r>
              <w:rPr>
                <w:webHidden/>
              </w:rPr>
            </w:r>
            <w:r>
              <w:rPr>
                <w:webHidden/>
              </w:rPr>
              <w:fldChar w:fldCharType="separate"/>
            </w:r>
            <w:r>
              <w:rPr>
                <w:webHidden/>
              </w:rPr>
              <w:t>9-6</w:t>
            </w:r>
            <w:r>
              <w:rPr>
                <w:webHidden/>
              </w:rPr>
              <w:fldChar w:fldCharType="end"/>
            </w:r>
          </w:hyperlink>
        </w:p>
        <w:p w:rsidR="00DD384A" w:rsidRDefault="00DD384A">
          <w:pPr>
            <w:pStyle w:val="TOC3"/>
            <w:rPr>
              <w:rFonts w:asciiTheme="minorHAnsi" w:eastAsiaTheme="minorEastAsia" w:hAnsiTheme="minorHAnsi"/>
              <w:lang w:eastAsia="en-AU"/>
            </w:rPr>
          </w:pPr>
          <w:hyperlink w:anchor="_Toc436044130" w:history="1">
            <w:r w:rsidRPr="00162CEB">
              <w:rPr>
                <w:rStyle w:val="Hyperlink"/>
              </w:rPr>
              <w:t>9.1.1</w:t>
            </w:r>
            <w:r>
              <w:rPr>
                <w:rFonts w:asciiTheme="minorHAnsi" w:eastAsiaTheme="minorEastAsia" w:hAnsiTheme="minorHAnsi"/>
                <w:lang w:eastAsia="en-AU"/>
              </w:rPr>
              <w:tab/>
            </w:r>
            <w:r w:rsidRPr="00162CEB">
              <w:rPr>
                <w:rStyle w:val="Hyperlink"/>
              </w:rPr>
              <w:t>Carryover amounts from the 2010–15 period</w:t>
            </w:r>
            <w:r>
              <w:rPr>
                <w:webHidden/>
              </w:rPr>
              <w:tab/>
            </w:r>
            <w:r>
              <w:rPr>
                <w:webHidden/>
              </w:rPr>
              <w:fldChar w:fldCharType="begin"/>
            </w:r>
            <w:r>
              <w:rPr>
                <w:webHidden/>
              </w:rPr>
              <w:instrText xml:space="preserve"> PAGEREF _Toc436044130 \h </w:instrText>
            </w:r>
            <w:r>
              <w:rPr>
                <w:webHidden/>
              </w:rPr>
            </w:r>
            <w:r>
              <w:rPr>
                <w:webHidden/>
              </w:rPr>
              <w:fldChar w:fldCharType="separate"/>
            </w:r>
            <w:r>
              <w:rPr>
                <w:webHidden/>
              </w:rPr>
              <w:t>9-6</w:t>
            </w:r>
            <w:r>
              <w:rPr>
                <w:webHidden/>
              </w:rPr>
              <w:fldChar w:fldCharType="end"/>
            </w:r>
          </w:hyperlink>
        </w:p>
        <w:p w:rsidR="00DD384A" w:rsidRDefault="00DD384A">
          <w:pPr>
            <w:pStyle w:val="TOC3"/>
            <w:rPr>
              <w:rFonts w:asciiTheme="minorHAnsi" w:eastAsiaTheme="minorEastAsia" w:hAnsiTheme="minorHAnsi"/>
              <w:lang w:eastAsia="en-AU"/>
            </w:rPr>
          </w:pPr>
          <w:hyperlink w:anchor="_Toc436044131" w:history="1">
            <w:r w:rsidRPr="00162CEB">
              <w:rPr>
                <w:rStyle w:val="Hyperlink"/>
              </w:rPr>
              <w:t>9.1.2</w:t>
            </w:r>
            <w:r>
              <w:rPr>
                <w:rFonts w:asciiTheme="minorHAnsi" w:eastAsiaTheme="minorEastAsia" w:hAnsiTheme="minorHAnsi"/>
                <w:lang w:eastAsia="en-AU"/>
              </w:rPr>
              <w:tab/>
            </w:r>
            <w:r w:rsidRPr="00162CEB">
              <w:rPr>
                <w:rStyle w:val="Hyperlink"/>
              </w:rPr>
              <w:t>Incentive mechanism proposed for the 2016–21 period</w:t>
            </w:r>
            <w:r>
              <w:rPr>
                <w:webHidden/>
              </w:rPr>
              <w:tab/>
            </w:r>
            <w:r>
              <w:rPr>
                <w:webHidden/>
              </w:rPr>
              <w:fldChar w:fldCharType="begin"/>
            </w:r>
            <w:r>
              <w:rPr>
                <w:webHidden/>
              </w:rPr>
              <w:instrText xml:space="preserve"> PAGEREF _Toc436044131 \h </w:instrText>
            </w:r>
            <w:r>
              <w:rPr>
                <w:webHidden/>
              </w:rPr>
            </w:r>
            <w:r>
              <w:rPr>
                <w:webHidden/>
              </w:rPr>
              <w:fldChar w:fldCharType="separate"/>
            </w:r>
            <w:r>
              <w:rPr>
                <w:webHidden/>
              </w:rPr>
              <w:t>9-7</w:t>
            </w:r>
            <w:r>
              <w:rPr>
                <w:webHidden/>
              </w:rPr>
              <w:fldChar w:fldCharType="end"/>
            </w:r>
          </w:hyperlink>
        </w:p>
        <w:p w:rsidR="00DD384A" w:rsidRDefault="00DD384A">
          <w:pPr>
            <w:pStyle w:val="TOC2"/>
            <w:rPr>
              <w:rFonts w:asciiTheme="minorHAnsi" w:eastAsiaTheme="minorEastAsia" w:hAnsiTheme="minorHAnsi"/>
              <w:b w:val="0"/>
              <w:color w:val="auto"/>
              <w:sz w:val="22"/>
              <w:lang w:eastAsia="en-AU"/>
            </w:rPr>
          </w:pPr>
          <w:hyperlink w:anchor="_Toc436044132" w:history="1">
            <w:r w:rsidRPr="00162CEB">
              <w:rPr>
                <w:rStyle w:val="Hyperlink"/>
              </w:rPr>
              <w:t>9.2</w:t>
            </w:r>
            <w:r>
              <w:rPr>
                <w:rFonts w:asciiTheme="minorHAnsi" w:eastAsiaTheme="minorEastAsia" w:hAnsiTheme="minorHAnsi"/>
                <w:b w:val="0"/>
                <w:color w:val="auto"/>
                <w:sz w:val="22"/>
                <w:lang w:eastAsia="en-AU"/>
              </w:rPr>
              <w:tab/>
            </w:r>
            <w:r w:rsidRPr="00162CEB">
              <w:rPr>
                <w:rStyle w:val="Hyperlink"/>
              </w:rPr>
              <w:t>ActewAGL's proposal</w:t>
            </w:r>
            <w:r>
              <w:rPr>
                <w:webHidden/>
              </w:rPr>
              <w:tab/>
            </w:r>
            <w:r>
              <w:rPr>
                <w:webHidden/>
              </w:rPr>
              <w:fldChar w:fldCharType="begin"/>
            </w:r>
            <w:r>
              <w:rPr>
                <w:webHidden/>
              </w:rPr>
              <w:instrText xml:space="preserve"> PAGEREF _Toc436044132 \h </w:instrText>
            </w:r>
            <w:r>
              <w:rPr>
                <w:webHidden/>
              </w:rPr>
            </w:r>
            <w:r>
              <w:rPr>
                <w:webHidden/>
              </w:rPr>
              <w:fldChar w:fldCharType="separate"/>
            </w:r>
            <w:r>
              <w:rPr>
                <w:webHidden/>
              </w:rPr>
              <w:t>9-8</w:t>
            </w:r>
            <w:r>
              <w:rPr>
                <w:webHidden/>
              </w:rPr>
              <w:fldChar w:fldCharType="end"/>
            </w:r>
          </w:hyperlink>
        </w:p>
        <w:p w:rsidR="00DD384A" w:rsidRDefault="00DD384A">
          <w:pPr>
            <w:pStyle w:val="TOC3"/>
            <w:rPr>
              <w:rFonts w:asciiTheme="minorHAnsi" w:eastAsiaTheme="minorEastAsia" w:hAnsiTheme="minorHAnsi"/>
              <w:lang w:eastAsia="en-AU"/>
            </w:rPr>
          </w:pPr>
          <w:hyperlink w:anchor="_Toc436044133" w:history="1">
            <w:r w:rsidRPr="00162CEB">
              <w:rPr>
                <w:rStyle w:val="Hyperlink"/>
              </w:rPr>
              <w:t>9.2.1</w:t>
            </w:r>
            <w:r>
              <w:rPr>
                <w:rFonts w:asciiTheme="minorHAnsi" w:eastAsiaTheme="minorEastAsia" w:hAnsiTheme="minorHAnsi"/>
                <w:lang w:eastAsia="en-AU"/>
              </w:rPr>
              <w:tab/>
            </w:r>
            <w:r w:rsidRPr="00162CEB">
              <w:rPr>
                <w:rStyle w:val="Hyperlink"/>
              </w:rPr>
              <w:t>Carryover amounts from the 2010–15 period</w:t>
            </w:r>
            <w:r>
              <w:rPr>
                <w:webHidden/>
              </w:rPr>
              <w:tab/>
            </w:r>
            <w:r>
              <w:rPr>
                <w:webHidden/>
              </w:rPr>
              <w:fldChar w:fldCharType="begin"/>
            </w:r>
            <w:r>
              <w:rPr>
                <w:webHidden/>
              </w:rPr>
              <w:instrText xml:space="preserve"> PAGEREF _Toc436044133 \h </w:instrText>
            </w:r>
            <w:r>
              <w:rPr>
                <w:webHidden/>
              </w:rPr>
            </w:r>
            <w:r>
              <w:rPr>
                <w:webHidden/>
              </w:rPr>
              <w:fldChar w:fldCharType="separate"/>
            </w:r>
            <w:r>
              <w:rPr>
                <w:webHidden/>
              </w:rPr>
              <w:t>9-8</w:t>
            </w:r>
            <w:r>
              <w:rPr>
                <w:webHidden/>
              </w:rPr>
              <w:fldChar w:fldCharType="end"/>
            </w:r>
          </w:hyperlink>
        </w:p>
        <w:p w:rsidR="00DD384A" w:rsidRDefault="00DD384A">
          <w:pPr>
            <w:pStyle w:val="TOC3"/>
            <w:rPr>
              <w:rFonts w:asciiTheme="minorHAnsi" w:eastAsiaTheme="minorEastAsia" w:hAnsiTheme="minorHAnsi"/>
              <w:lang w:eastAsia="en-AU"/>
            </w:rPr>
          </w:pPr>
          <w:hyperlink w:anchor="_Toc436044134" w:history="1">
            <w:r w:rsidRPr="00162CEB">
              <w:rPr>
                <w:rStyle w:val="Hyperlink"/>
              </w:rPr>
              <w:t>9.2.2</w:t>
            </w:r>
            <w:r>
              <w:rPr>
                <w:rFonts w:asciiTheme="minorHAnsi" w:eastAsiaTheme="minorEastAsia" w:hAnsiTheme="minorHAnsi"/>
                <w:lang w:eastAsia="en-AU"/>
              </w:rPr>
              <w:tab/>
            </w:r>
            <w:r w:rsidRPr="00162CEB">
              <w:rPr>
                <w:rStyle w:val="Hyperlink"/>
              </w:rPr>
              <w:t>Incentive mechanism proposed for the 2016–21 period</w:t>
            </w:r>
            <w:r>
              <w:rPr>
                <w:webHidden/>
              </w:rPr>
              <w:tab/>
            </w:r>
            <w:r>
              <w:rPr>
                <w:webHidden/>
              </w:rPr>
              <w:fldChar w:fldCharType="begin"/>
            </w:r>
            <w:r>
              <w:rPr>
                <w:webHidden/>
              </w:rPr>
              <w:instrText xml:space="preserve"> PAGEREF _Toc436044134 \h </w:instrText>
            </w:r>
            <w:r>
              <w:rPr>
                <w:webHidden/>
              </w:rPr>
            </w:r>
            <w:r>
              <w:rPr>
                <w:webHidden/>
              </w:rPr>
              <w:fldChar w:fldCharType="separate"/>
            </w:r>
            <w:r>
              <w:rPr>
                <w:webHidden/>
              </w:rPr>
              <w:t>9-9</w:t>
            </w:r>
            <w:r>
              <w:rPr>
                <w:webHidden/>
              </w:rPr>
              <w:fldChar w:fldCharType="end"/>
            </w:r>
          </w:hyperlink>
        </w:p>
        <w:p w:rsidR="00DD384A" w:rsidRDefault="00DD384A">
          <w:pPr>
            <w:pStyle w:val="TOC2"/>
            <w:rPr>
              <w:rFonts w:asciiTheme="minorHAnsi" w:eastAsiaTheme="minorEastAsia" w:hAnsiTheme="minorHAnsi"/>
              <w:b w:val="0"/>
              <w:color w:val="auto"/>
              <w:sz w:val="22"/>
              <w:lang w:eastAsia="en-AU"/>
            </w:rPr>
          </w:pPr>
          <w:hyperlink w:anchor="_Toc436044135" w:history="1">
            <w:r w:rsidRPr="00162CEB">
              <w:rPr>
                <w:rStyle w:val="Hyperlink"/>
              </w:rPr>
              <w:t>9.3</w:t>
            </w:r>
            <w:r>
              <w:rPr>
                <w:rFonts w:asciiTheme="minorHAnsi" w:eastAsiaTheme="minorEastAsia" w:hAnsiTheme="minorHAnsi"/>
                <w:b w:val="0"/>
                <w:color w:val="auto"/>
                <w:sz w:val="22"/>
                <w:lang w:eastAsia="en-AU"/>
              </w:rPr>
              <w:tab/>
            </w:r>
            <w:r w:rsidRPr="00162CEB">
              <w:rPr>
                <w:rStyle w:val="Hyperlink"/>
              </w:rPr>
              <w:t>AER’s assessment approach</w:t>
            </w:r>
            <w:r>
              <w:rPr>
                <w:webHidden/>
              </w:rPr>
              <w:tab/>
            </w:r>
            <w:r>
              <w:rPr>
                <w:webHidden/>
              </w:rPr>
              <w:fldChar w:fldCharType="begin"/>
            </w:r>
            <w:r>
              <w:rPr>
                <w:webHidden/>
              </w:rPr>
              <w:instrText xml:space="preserve"> PAGEREF _Toc436044135 \h </w:instrText>
            </w:r>
            <w:r>
              <w:rPr>
                <w:webHidden/>
              </w:rPr>
            </w:r>
            <w:r>
              <w:rPr>
                <w:webHidden/>
              </w:rPr>
              <w:fldChar w:fldCharType="separate"/>
            </w:r>
            <w:r>
              <w:rPr>
                <w:webHidden/>
              </w:rPr>
              <w:t>9-11</w:t>
            </w:r>
            <w:r>
              <w:rPr>
                <w:webHidden/>
              </w:rPr>
              <w:fldChar w:fldCharType="end"/>
            </w:r>
          </w:hyperlink>
        </w:p>
        <w:p w:rsidR="00DD384A" w:rsidRDefault="00DD384A">
          <w:pPr>
            <w:pStyle w:val="TOC3"/>
            <w:rPr>
              <w:rFonts w:asciiTheme="minorHAnsi" w:eastAsiaTheme="minorEastAsia" w:hAnsiTheme="minorHAnsi"/>
              <w:lang w:eastAsia="en-AU"/>
            </w:rPr>
          </w:pPr>
          <w:hyperlink w:anchor="_Toc436044136" w:history="1">
            <w:r w:rsidRPr="00162CEB">
              <w:rPr>
                <w:rStyle w:val="Hyperlink"/>
              </w:rPr>
              <w:t>9.3.1</w:t>
            </w:r>
            <w:r>
              <w:rPr>
                <w:rFonts w:asciiTheme="minorHAnsi" w:eastAsiaTheme="minorEastAsia" w:hAnsiTheme="minorHAnsi"/>
                <w:lang w:eastAsia="en-AU"/>
              </w:rPr>
              <w:tab/>
            </w:r>
            <w:r w:rsidRPr="00162CEB">
              <w:rPr>
                <w:rStyle w:val="Hyperlink"/>
              </w:rPr>
              <w:t>Interrelationships</w:t>
            </w:r>
            <w:r>
              <w:rPr>
                <w:webHidden/>
              </w:rPr>
              <w:tab/>
            </w:r>
            <w:r>
              <w:rPr>
                <w:webHidden/>
              </w:rPr>
              <w:fldChar w:fldCharType="begin"/>
            </w:r>
            <w:r>
              <w:rPr>
                <w:webHidden/>
              </w:rPr>
              <w:instrText xml:space="preserve"> PAGEREF _Toc436044136 \h </w:instrText>
            </w:r>
            <w:r>
              <w:rPr>
                <w:webHidden/>
              </w:rPr>
            </w:r>
            <w:r>
              <w:rPr>
                <w:webHidden/>
              </w:rPr>
              <w:fldChar w:fldCharType="separate"/>
            </w:r>
            <w:r>
              <w:rPr>
                <w:webHidden/>
              </w:rPr>
              <w:t>9-12</w:t>
            </w:r>
            <w:r>
              <w:rPr>
                <w:webHidden/>
              </w:rPr>
              <w:fldChar w:fldCharType="end"/>
            </w:r>
          </w:hyperlink>
        </w:p>
        <w:p w:rsidR="00DD384A" w:rsidRDefault="00DD384A">
          <w:pPr>
            <w:pStyle w:val="TOC2"/>
            <w:rPr>
              <w:rFonts w:asciiTheme="minorHAnsi" w:eastAsiaTheme="minorEastAsia" w:hAnsiTheme="minorHAnsi"/>
              <w:b w:val="0"/>
              <w:color w:val="auto"/>
              <w:sz w:val="22"/>
              <w:lang w:eastAsia="en-AU"/>
            </w:rPr>
          </w:pPr>
          <w:hyperlink w:anchor="_Toc436044137" w:history="1">
            <w:r w:rsidRPr="00162CEB">
              <w:rPr>
                <w:rStyle w:val="Hyperlink"/>
              </w:rPr>
              <w:t>9.4</w:t>
            </w:r>
            <w:r>
              <w:rPr>
                <w:rFonts w:asciiTheme="minorHAnsi" w:eastAsiaTheme="minorEastAsia" w:hAnsiTheme="minorHAnsi"/>
                <w:b w:val="0"/>
                <w:color w:val="auto"/>
                <w:sz w:val="22"/>
                <w:lang w:eastAsia="en-AU"/>
              </w:rPr>
              <w:tab/>
            </w:r>
            <w:r w:rsidRPr="00162CEB">
              <w:rPr>
                <w:rStyle w:val="Hyperlink"/>
              </w:rPr>
              <w:t>Reasons for draft decision</w:t>
            </w:r>
            <w:r>
              <w:rPr>
                <w:webHidden/>
              </w:rPr>
              <w:tab/>
            </w:r>
            <w:r>
              <w:rPr>
                <w:webHidden/>
              </w:rPr>
              <w:fldChar w:fldCharType="begin"/>
            </w:r>
            <w:r>
              <w:rPr>
                <w:webHidden/>
              </w:rPr>
              <w:instrText xml:space="preserve"> PAGEREF _Toc436044137 \h </w:instrText>
            </w:r>
            <w:r>
              <w:rPr>
                <w:webHidden/>
              </w:rPr>
            </w:r>
            <w:r>
              <w:rPr>
                <w:webHidden/>
              </w:rPr>
              <w:fldChar w:fldCharType="separate"/>
            </w:r>
            <w:r>
              <w:rPr>
                <w:webHidden/>
              </w:rPr>
              <w:t>9-12</w:t>
            </w:r>
            <w:r>
              <w:rPr>
                <w:webHidden/>
              </w:rPr>
              <w:fldChar w:fldCharType="end"/>
            </w:r>
          </w:hyperlink>
        </w:p>
        <w:p w:rsidR="00DD384A" w:rsidRDefault="00DD384A">
          <w:pPr>
            <w:pStyle w:val="TOC3"/>
            <w:rPr>
              <w:rFonts w:asciiTheme="minorHAnsi" w:eastAsiaTheme="minorEastAsia" w:hAnsiTheme="minorHAnsi"/>
              <w:lang w:eastAsia="en-AU"/>
            </w:rPr>
          </w:pPr>
          <w:hyperlink w:anchor="_Toc436044138" w:history="1">
            <w:r w:rsidRPr="00162CEB">
              <w:rPr>
                <w:rStyle w:val="Hyperlink"/>
              </w:rPr>
              <w:t>9.4.1</w:t>
            </w:r>
            <w:r>
              <w:rPr>
                <w:rFonts w:asciiTheme="minorHAnsi" w:eastAsiaTheme="minorEastAsia" w:hAnsiTheme="minorHAnsi"/>
                <w:lang w:eastAsia="en-AU"/>
              </w:rPr>
              <w:tab/>
            </w:r>
            <w:r w:rsidRPr="00162CEB">
              <w:rPr>
                <w:rStyle w:val="Hyperlink"/>
              </w:rPr>
              <w:t>Carryover amounts from the 2010–15 period</w:t>
            </w:r>
            <w:r>
              <w:rPr>
                <w:webHidden/>
              </w:rPr>
              <w:tab/>
            </w:r>
            <w:r>
              <w:rPr>
                <w:webHidden/>
              </w:rPr>
              <w:fldChar w:fldCharType="begin"/>
            </w:r>
            <w:r>
              <w:rPr>
                <w:webHidden/>
              </w:rPr>
              <w:instrText xml:space="preserve"> PAGEREF _Toc436044138 \h </w:instrText>
            </w:r>
            <w:r>
              <w:rPr>
                <w:webHidden/>
              </w:rPr>
            </w:r>
            <w:r>
              <w:rPr>
                <w:webHidden/>
              </w:rPr>
              <w:fldChar w:fldCharType="separate"/>
            </w:r>
            <w:r>
              <w:rPr>
                <w:webHidden/>
              </w:rPr>
              <w:t>9-12</w:t>
            </w:r>
            <w:r>
              <w:rPr>
                <w:webHidden/>
              </w:rPr>
              <w:fldChar w:fldCharType="end"/>
            </w:r>
          </w:hyperlink>
        </w:p>
        <w:p w:rsidR="00DD384A" w:rsidRDefault="00DD384A">
          <w:pPr>
            <w:pStyle w:val="TOC3"/>
            <w:rPr>
              <w:rFonts w:asciiTheme="minorHAnsi" w:eastAsiaTheme="minorEastAsia" w:hAnsiTheme="minorHAnsi"/>
              <w:lang w:eastAsia="en-AU"/>
            </w:rPr>
          </w:pPr>
          <w:hyperlink w:anchor="_Toc436044139" w:history="1">
            <w:r w:rsidRPr="00162CEB">
              <w:rPr>
                <w:rStyle w:val="Hyperlink"/>
              </w:rPr>
              <w:t>9.4.2</w:t>
            </w:r>
            <w:r>
              <w:rPr>
                <w:rFonts w:asciiTheme="minorHAnsi" w:eastAsiaTheme="minorEastAsia" w:hAnsiTheme="minorHAnsi"/>
                <w:lang w:eastAsia="en-AU"/>
              </w:rPr>
              <w:tab/>
            </w:r>
            <w:r w:rsidRPr="00162CEB">
              <w:rPr>
                <w:rStyle w:val="Hyperlink"/>
              </w:rPr>
              <w:t>Incentive mechanism for the 2016–21 period</w:t>
            </w:r>
            <w:r>
              <w:rPr>
                <w:webHidden/>
              </w:rPr>
              <w:tab/>
            </w:r>
            <w:r>
              <w:rPr>
                <w:webHidden/>
              </w:rPr>
              <w:fldChar w:fldCharType="begin"/>
            </w:r>
            <w:r>
              <w:rPr>
                <w:webHidden/>
              </w:rPr>
              <w:instrText xml:space="preserve"> PAGEREF _Toc436044139 \h </w:instrText>
            </w:r>
            <w:r>
              <w:rPr>
                <w:webHidden/>
              </w:rPr>
            </w:r>
            <w:r>
              <w:rPr>
                <w:webHidden/>
              </w:rPr>
              <w:fldChar w:fldCharType="separate"/>
            </w:r>
            <w:r>
              <w:rPr>
                <w:webHidden/>
              </w:rPr>
              <w:t>9-14</w:t>
            </w:r>
            <w:r>
              <w:rPr>
                <w:webHidden/>
              </w:rPr>
              <w:fldChar w:fldCharType="end"/>
            </w:r>
          </w:hyperlink>
        </w:p>
        <w:p w:rsidR="00DD384A" w:rsidRDefault="00DD384A">
          <w:pPr>
            <w:pStyle w:val="TOC2"/>
            <w:rPr>
              <w:rFonts w:asciiTheme="minorHAnsi" w:eastAsiaTheme="minorEastAsia" w:hAnsiTheme="minorHAnsi"/>
              <w:b w:val="0"/>
              <w:color w:val="auto"/>
              <w:sz w:val="22"/>
              <w:lang w:eastAsia="en-AU"/>
            </w:rPr>
          </w:pPr>
          <w:hyperlink w:anchor="_Toc436044140" w:history="1">
            <w:r w:rsidRPr="00162CEB">
              <w:rPr>
                <w:rStyle w:val="Hyperlink"/>
              </w:rPr>
              <w:t>9.5</w:t>
            </w:r>
            <w:r>
              <w:rPr>
                <w:rFonts w:asciiTheme="minorHAnsi" w:eastAsiaTheme="minorEastAsia" w:hAnsiTheme="minorHAnsi"/>
                <w:b w:val="0"/>
                <w:color w:val="auto"/>
                <w:sz w:val="22"/>
                <w:lang w:eastAsia="en-AU"/>
              </w:rPr>
              <w:tab/>
            </w:r>
            <w:r w:rsidRPr="00162CEB">
              <w:rPr>
                <w:rStyle w:val="Hyperlink"/>
              </w:rPr>
              <w:t>Revisions to the proposed carryover mechanism</w:t>
            </w:r>
            <w:r>
              <w:rPr>
                <w:webHidden/>
              </w:rPr>
              <w:tab/>
            </w:r>
            <w:r>
              <w:rPr>
                <w:webHidden/>
              </w:rPr>
              <w:fldChar w:fldCharType="begin"/>
            </w:r>
            <w:r>
              <w:rPr>
                <w:webHidden/>
              </w:rPr>
              <w:instrText xml:space="preserve"> PAGEREF _Toc436044140 \h </w:instrText>
            </w:r>
            <w:r>
              <w:rPr>
                <w:webHidden/>
              </w:rPr>
            </w:r>
            <w:r>
              <w:rPr>
                <w:webHidden/>
              </w:rPr>
              <w:fldChar w:fldCharType="separate"/>
            </w:r>
            <w:r>
              <w:rPr>
                <w:webHidden/>
              </w:rPr>
              <w:t>9-20</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E77FA" w:rsidRDefault="00DE563D" w:rsidP="00DE772C">
      <w:pPr>
        <w:pStyle w:val="UnnumberedHeading"/>
        <w:numPr>
          <w:ilvl w:val="0"/>
          <w:numId w:val="23"/>
        </w:numPr>
      </w:pPr>
      <w:bookmarkStart w:id="8" w:name="_Toc404700925"/>
      <w:bookmarkStart w:id="9" w:name="_Toc436044127"/>
      <w:r>
        <w:lastRenderedPageBreak/>
        <w:t>Shortened forms</w:t>
      </w:r>
      <w:bookmarkEnd w:id="8"/>
      <w:bookmarkEnd w:id="9"/>
    </w:p>
    <w:tbl>
      <w:tblPr>
        <w:tblStyle w:val="AERtable-numbers"/>
        <w:tblW w:w="0" w:type="auto"/>
        <w:tblLook w:val="04A0" w:firstRow="1" w:lastRow="0" w:firstColumn="1" w:lastColumn="0" w:noHBand="0" w:noVBand="1"/>
      </w:tblPr>
      <w:tblGrid>
        <w:gridCol w:w="3652"/>
        <w:gridCol w:w="5041"/>
      </w:tblGrid>
      <w:tr w:rsidR="003838B4" w:rsidTr="000C05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Shortened form</w:t>
            </w:r>
          </w:p>
        </w:tc>
        <w:tc>
          <w:tcPr>
            <w:tcW w:w="5041" w:type="dxa"/>
          </w:tcPr>
          <w:p w:rsidR="003838B4" w:rsidRDefault="003838B4" w:rsidP="003838B4">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3838B4" w:rsidTr="000C0557">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AA</w:t>
            </w:r>
          </w:p>
        </w:tc>
        <w:tc>
          <w:tcPr>
            <w:tcW w:w="5041" w:type="dxa"/>
          </w:tcPr>
          <w:p w:rsidR="003838B4" w:rsidRDefault="003838B4" w:rsidP="000C0557">
            <w:pPr>
              <w:cnfStyle w:val="000000000000" w:firstRow="0" w:lastRow="0" w:firstColumn="0" w:lastColumn="0" w:oddVBand="0" w:evenVBand="0" w:oddHBand="0" w:evenHBand="0" w:firstRowFirstColumn="0" w:firstRowLastColumn="0" w:lastRowFirstColumn="0" w:lastRowLastColumn="0"/>
            </w:pPr>
            <w:r>
              <w:t>Access Arrangement</w:t>
            </w:r>
          </w:p>
        </w:tc>
      </w:tr>
      <w:tr w:rsidR="003838B4"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AAI</w:t>
            </w:r>
          </w:p>
        </w:tc>
        <w:tc>
          <w:tcPr>
            <w:tcW w:w="5041" w:type="dxa"/>
          </w:tcPr>
          <w:p w:rsidR="003838B4" w:rsidRDefault="003838B4" w:rsidP="000C0557">
            <w:pPr>
              <w:cnfStyle w:val="000000010000" w:firstRow="0" w:lastRow="0" w:firstColumn="0" w:lastColumn="0" w:oddVBand="0" w:evenVBand="0" w:oddHBand="0" w:evenHBand="1" w:firstRowFirstColumn="0" w:firstRowLastColumn="0" w:lastRowFirstColumn="0" w:lastRowLastColumn="0"/>
            </w:pPr>
            <w:r>
              <w:t>Access Arrangement Information</w:t>
            </w:r>
          </w:p>
        </w:tc>
      </w:tr>
      <w:tr w:rsidR="003838B4" w:rsidTr="000C0557">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AER</w:t>
            </w:r>
          </w:p>
        </w:tc>
        <w:tc>
          <w:tcPr>
            <w:tcW w:w="5041" w:type="dxa"/>
          </w:tcPr>
          <w:p w:rsidR="003838B4" w:rsidRDefault="003838B4" w:rsidP="003838B4">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3838B4"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ASA</w:t>
            </w:r>
          </w:p>
        </w:tc>
        <w:tc>
          <w:tcPr>
            <w:tcW w:w="5041" w:type="dxa"/>
          </w:tcPr>
          <w:p w:rsidR="003838B4" w:rsidRDefault="003838B4" w:rsidP="000C0557">
            <w:pPr>
              <w:cnfStyle w:val="000000010000" w:firstRow="0" w:lastRow="0" w:firstColumn="0" w:lastColumn="0" w:oddVBand="0" w:evenVBand="0" w:oddHBand="0" w:evenHBand="1" w:firstRowFirstColumn="0" w:firstRowLastColumn="0" w:lastRowFirstColumn="0" w:lastRowLastColumn="0"/>
            </w:pPr>
            <w:r>
              <w:t>Asset Services Agreement</w:t>
            </w:r>
          </w:p>
        </w:tc>
      </w:tr>
      <w:tr w:rsidR="003838B4" w:rsidTr="000C0557">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ATO</w:t>
            </w:r>
          </w:p>
        </w:tc>
        <w:tc>
          <w:tcPr>
            <w:tcW w:w="5041" w:type="dxa"/>
          </w:tcPr>
          <w:p w:rsidR="003838B4" w:rsidRDefault="003838B4" w:rsidP="000C0557">
            <w:pPr>
              <w:cnfStyle w:val="000000000000" w:firstRow="0" w:lastRow="0" w:firstColumn="0" w:lastColumn="0" w:oddVBand="0" w:evenVBand="0" w:oddHBand="0" w:evenHBand="0" w:firstRowFirstColumn="0" w:firstRowLastColumn="0" w:lastRowFirstColumn="0" w:lastRowLastColumn="0"/>
            </w:pPr>
            <w:r>
              <w:t>Australian Tax Office</w:t>
            </w:r>
          </w:p>
        </w:tc>
      </w:tr>
      <w:tr w:rsidR="003838B4"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capex</w:t>
            </w:r>
          </w:p>
        </w:tc>
        <w:tc>
          <w:tcPr>
            <w:tcW w:w="5041" w:type="dxa"/>
          </w:tcPr>
          <w:p w:rsidR="003838B4" w:rsidRDefault="003838B4" w:rsidP="003838B4">
            <w:pPr>
              <w:numPr>
                <w:ilvl w:val="0"/>
                <w:numId w:val="24"/>
              </w:numPr>
              <w:cnfStyle w:val="000000010000" w:firstRow="0" w:lastRow="0" w:firstColumn="0" w:lastColumn="0" w:oddVBand="0" w:evenVBand="0" w:oddHBand="0" w:evenHBand="1" w:firstRowFirstColumn="0" w:firstRowLastColumn="0" w:lastRowFirstColumn="0" w:lastRowLastColumn="0"/>
            </w:pPr>
            <w:r>
              <w:t>capital expenditure</w:t>
            </w:r>
          </w:p>
        </w:tc>
      </w:tr>
      <w:tr w:rsidR="003838B4" w:rsidTr="000C0557">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CAPM</w:t>
            </w:r>
          </w:p>
        </w:tc>
        <w:tc>
          <w:tcPr>
            <w:tcW w:w="5041" w:type="dxa"/>
          </w:tcPr>
          <w:p w:rsidR="003838B4" w:rsidRDefault="003838B4" w:rsidP="003838B4">
            <w:pPr>
              <w:numPr>
                <w:ilvl w:val="0"/>
                <w:numId w:val="24"/>
              </w:numPr>
              <w:cnfStyle w:val="000000000000" w:firstRow="0" w:lastRow="0" w:firstColumn="0" w:lastColumn="0" w:oddVBand="0" w:evenVBand="0" w:oddHBand="0" w:evenHBand="0" w:firstRowFirstColumn="0" w:firstRowLastColumn="0" w:lastRowFirstColumn="0" w:lastRowLastColumn="0"/>
            </w:pPr>
            <w:r>
              <w:t>capital asset pricing model</w:t>
            </w:r>
          </w:p>
        </w:tc>
      </w:tr>
      <w:tr w:rsidR="003838B4"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CCP</w:t>
            </w:r>
          </w:p>
        </w:tc>
        <w:tc>
          <w:tcPr>
            <w:tcW w:w="5041" w:type="dxa"/>
          </w:tcPr>
          <w:p w:rsidR="003838B4" w:rsidRDefault="003838B4" w:rsidP="003838B4">
            <w:pPr>
              <w:numPr>
                <w:ilvl w:val="0"/>
                <w:numId w:val="24"/>
              </w:numPr>
              <w:cnfStyle w:val="000000010000" w:firstRow="0" w:lastRow="0" w:firstColumn="0" w:lastColumn="0" w:oddVBand="0" w:evenVBand="0" w:oddHBand="0" w:evenHBand="1" w:firstRowFirstColumn="0" w:firstRowLastColumn="0" w:lastRowFirstColumn="0" w:lastRowLastColumn="0"/>
            </w:pPr>
            <w:r>
              <w:t>Consumer Challenge Panel</w:t>
            </w:r>
          </w:p>
        </w:tc>
      </w:tr>
      <w:tr w:rsidR="003838B4" w:rsidTr="000C0557">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CESS</w:t>
            </w:r>
          </w:p>
        </w:tc>
        <w:tc>
          <w:tcPr>
            <w:tcW w:w="5041" w:type="dxa"/>
          </w:tcPr>
          <w:p w:rsidR="003838B4" w:rsidRDefault="003838B4" w:rsidP="003838B4">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3838B4"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CMF</w:t>
            </w:r>
          </w:p>
        </w:tc>
        <w:tc>
          <w:tcPr>
            <w:tcW w:w="5041" w:type="dxa"/>
          </w:tcPr>
          <w:p w:rsidR="003838B4" w:rsidRDefault="003838B4" w:rsidP="000C0557">
            <w:pPr>
              <w:cnfStyle w:val="000000010000" w:firstRow="0" w:lastRow="0" w:firstColumn="0" w:lastColumn="0" w:oddVBand="0" w:evenVBand="0" w:oddHBand="0" w:evenHBand="1" w:firstRowFirstColumn="0" w:firstRowLastColumn="0" w:lastRowFirstColumn="0" w:lastRowLastColumn="0"/>
            </w:pPr>
            <w:r>
              <w:t>construction management fee</w:t>
            </w:r>
          </w:p>
        </w:tc>
      </w:tr>
      <w:tr w:rsidR="003838B4" w:rsidTr="000C0557">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CPI</w:t>
            </w:r>
          </w:p>
        </w:tc>
        <w:tc>
          <w:tcPr>
            <w:tcW w:w="5041" w:type="dxa"/>
          </w:tcPr>
          <w:p w:rsidR="003838B4" w:rsidRDefault="003838B4" w:rsidP="003838B4">
            <w:pPr>
              <w:numPr>
                <w:ilvl w:val="0"/>
                <w:numId w:val="24"/>
              </w:numPr>
              <w:cnfStyle w:val="000000000000" w:firstRow="0" w:lastRow="0" w:firstColumn="0" w:lastColumn="0" w:oddVBand="0" w:evenVBand="0" w:oddHBand="0" w:evenHBand="0" w:firstRowFirstColumn="0" w:firstRowLastColumn="0" w:lastRowFirstColumn="0" w:lastRowLastColumn="0"/>
            </w:pPr>
            <w:r>
              <w:t>consumer price index</w:t>
            </w:r>
          </w:p>
        </w:tc>
      </w:tr>
      <w:tr w:rsidR="003838B4"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DAMS</w:t>
            </w:r>
          </w:p>
        </w:tc>
        <w:tc>
          <w:tcPr>
            <w:tcW w:w="5041" w:type="dxa"/>
          </w:tcPr>
          <w:p w:rsidR="003838B4" w:rsidRDefault="003838B4" w:rsidP="000C0557">
            <w:pPr>
              <w:cnfStyle w:val="000000010000" w:firstRow="0" w:lastRow="0" w:firstColumn="0" w:lastColumn="0" w:oddVBand="0" w:evenVBand="0" w:oddHBand="0" w:evenHBand="1" w:firstRowFirstColumn="0" w:firstRowLastColumn="0" w:lastRowFirstColumn="0" w:lastRowLastColumn="0"/>
            </w:pPr>
            <w:r>
              <w:t>Distribution Asset Management Services</w:t>
            </w:r>
          </w:p>
        </w:tc>
      </w:tr>
      <w:tr w:rsidR="003838B4" w:rsidTr="000C0557">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DRP</w:t>
            </w:r>
          </w:p>
        </w:tc>
        <w:tc>
          <w:tcPr>
            <w:tcW w:w="5041" w:type="dxa"/>
          </w:tcPr>
          <w:p w:rsidR="003838B4" w:rsidRDefault="003838B4" w:rsidP="003838B4">
            <w:pPr>
              <w:numPr>
                <w:ilvl w:val="0"/>
                <w:numId w:val="24"/>
              </w:numPr>
              <w:cnfStyle w:val="000000000000" w:firstRow="0" w:lastRow="0" w:firstColumn="0" w:lastColumn="0" w:oddVBand="0" w:evenVBand="0" w:oddHBand="0" w:evenHBand="0" w:firstRowFirstColumn="0" w:firstRowLastColumn="0" w:lastRowFirstColumn="0" w:lastRowLastColumn="0"/>
            </w:pPr>
            <w:r>
              <w:t>debt risk premium</w:t>
            </w:r>
          </w:p>
        </w:tc>
      </w:tr>
      <w:tr w:rsidR="003838B4"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EBSS</w:t>
            </w:r>
          </w:p>
        </w:tc>
        <w:tc>
          <w:tcPr>
            <w:tcW w:w="5041" w:type="dxa"/>
          </w:tcPr>
          <w:p w:rsidR="003838B4" w:rsidRDefault="003838B4" w:rsidP="000C0557">
            <w:pPr>
              <w:cnfStyle w:val="000000010000" w:firstRow="0" w:lastRow="0" w:firstColumn="0" w:lastColumn="0" w:oddVBand="0" w:evenVBand="0" w:oddHBand="0" w:evenHBand="1" w:firstRowFirstColumn="0" w:firstRowLastColumn="0" w:lastRowFirstColumn="0" w:lastRowLastColumn="0"/>
            </w:pPr>
            <w:r>
              <w:t>Efficiency Benefit Sharing Scheme</w:t>
            </w:r>
          </w:p>
        </w:tc>
      </w:tr>
      <w:tr w:rsidR="003838B4" w:rsidTr="000C0557">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EIL</w:t>
            </w:r>
          </w:p>
        </w:tc>
        <w:tc>
          <w:tcPr>
            <w:tcW w:w="5041" w:type="dxa"/>
          </w:tcPr>
          <w:p w:rsidR="003838B4" w:rsidRDefault="003838B4" w:rsidP="000C0557">
            <w:pPr>
              <w:cnfStyle w:val="000000000000" w:firstRow="0" w:lastRow="0" w:firstColumn="0" w:lastColumn="0" w:oddVBand="0" w:evenVBand="0" w:oddHBand="0" w:evenHBand="0" w:firstRowFirstColumn="0" w:firstRowLastColumn="0" w:lastRowFirstColumn="0" w:lastRowLastColumn="0"/>
            </w:pPr>
            <w:r>
              <w:t>Energy Industry Levy</w:t>
            </w:r>
          </w:p>
        </w:tc>
      </w:tr>
      <w:tr w:rsidR="003838B4"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ERP</w:t>
            </w:r>
          </w:p>
        </w:tc>
        <w:tc>
          <w:tcPr>
            <w:tcW w:w="5041" w:type="dxa"/>
          </w:tcPr>
          <w:p w:rsidR="003838B4" w:rsidRDefault="003838B4" w:rsidP="003838B4">
            <w:pPr>
              <w:numPr>
                <w:ilvl w:val="0"/>
                <w:numId w:val="24"/>
              </w:numPr>
              <w:cnfStyle w:val="000000010000" w:firstRow="0" w:lastRow="0" w:firstColumn="0" w:lastColumn="0" w:oddVBand="0" w:evenVBand="0" w:oddHBand="0" w:evenHBand="1" w:firstRowFirstColumn="0" w:firstRowLastColumn="0" w:lastRowFirstColumn="0" w:lastRowLastColumn="0"/>
            </w:pPr>
            <w:r>
              <w:t>equity risk premium</w:t>
            </w:r>
          </w:p>
        </w:tc>
      </w:tr>
      <w:tr w:rsidR="003838B4" w:rsidTr="000C0557">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Expenditure Guideline</w:t>
            </w:r>
          </w:p>
        </w:tc>
        <w:tc>
          <w:tcPr>
            <w:tcW w:w="5041" w:type="dxa"/>
          </w:tcPr>
          <w:p w:rsidR="003838B4" w:rsidRDefault="003838B4" w:rsidP="000C0557">
            <w:pPr>
              <w:cnfStyle w:val="000000000000" w:firstRow="0" w:lastRow="0" w:firstColumn="0" w:lastColumn="0" w:oddVBand="0" w:evenVBand="0" w:oddHBand="0" w:evenHBand="0" w:firstRowFirstColumn="0" w:firstRowLastColumn="0" w:lastRowFirstColumn="0" w:lastRowLastColumn="0"/>
            </w:pPr>
            <w:r>
              <w:t>Expenditure Forecast Assessment Guideline</w:t>
            </w:r>
          </w:p>
        </w:tc>
      </w:tr>
      <w:tr w:rsidR="003838B4"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gamma</w:t>
            </w:r>
          </w:p>
        </w:tc>
        <w:tc>
          <w:tcPr>
            <w:tcW w:w="5041" w:type="dxa"/>
          </w:tcPr>
          <w:p w:rsidR="003838B4" w:rsidRDefault="003838B4" w:rsidP="000C0557">
            <w:pPr>
              <w:cnfStyle w:val="000000010000" w:firstRow="0" w:lastRow="0" w:firstColumn="0" w:lastColumn="0" w:oddVBand="0" w:evenVBand="0" w:oddHBand="0" w:evenHBand="1" w:firstRowFirstColumn="0" w:firstRowLastColumn="0" w:lastRowFirstColumn="0" w:lastRowLastColumn="0"/>
            </w:pPr>
            <w:r>
              <w:t>Value of Imputation Credits</w:t>
            </w:r>
          </w:p>
        </w:tc>
      </w:tr>
      <w:tr w:rsidR="003838B4" w:rsidTr="000C0557">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GSL</w:t>
            </w:r>
          </w:p>
        </w:tc>
        <w:tc>
          <w:tcPr>
            <w:tcW w:w="5041" w:type="dxa"/>
          </w:tcPr>
          <w:p w:rsidR="003838B4" w:rsidRDefault="003838B4" w:rsidP="000C0557">
            <w:pPr>
              <w:cnfStyle w:val="000000000000" w:firstRow="0" w:lastRow="0" w:firstColumn="0" w:lastColumn="0" w:oddVBand="0" w:evenVBand="0" w:oddHBand="0" w:evenHBand="0" w:firstRowFirstColumn="0" w:firstRowLastColumn="0" w:lastRowFirstColumn="0" w:lastRowLastColumn="0"/>
            </w:pPr>
            <w:r>
              <w:t>Guaranteed Service Level</w:t>
            </w:r>
          </w:p>
        </w:tc>
      </w:tr>
      <w:tr w:rsidR="003838B4"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GTA</w:t>
            </w:r>
          </w:p>
        </w:tc>
        <w:tc>
          <w:tcPr>
            <w:tcW w:w="5041" w:type="dxa"/>
          </w:tcPr>
          <w:p w:rsidR="003838B4" w:rsidRDefault="003838B4" w:rsidP="000C0557">
            <w:pPr>
              <w:cnfStyle w:val="000000010000" w:firstRow="0" w:lastRow="0" w:firstColumn="0" w:lastColumn="0" w:oddVBand="0" w:evenVBand="0" w:oddHBand="0" w:evenHBand="1" w:firstRowFirstColumn="0" w:firstRowLastColumn="0" w:lastRowFirstColumn="0" w:lastRowLastColumn="0"/>
            </w:pPr>
            <w:r>
              <w:t>gas transport services agreement</w:t>
            </w:r>
          </w:p>
        </w:tc>
      </w:tr>
      <w:tr w:rsidR="003838B4" w:rsidTr="000C0557">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ICRC</w:t>
            </w:r>
          </w:p>
        </w:tc>
        <w:tc>
          <w:tcPr>
            <w:tcW w:w="5041" w:type="dxa"/>
          </w:tcPr>
          <w:p w:rsidR="003838B4" w:rsidRDefault="003838B4" w:rsidP="000C0557">
            <w:pPr>
              <w:cnfStyle w:val="000000000000" w:firstRow="0" w:lastRow="0" w:firstColumn="0" w:lastColumn="0" w:oddVBand="0" w:evenVBand="0" w:oddHBand="0" w:evenHBand="0" w:firstRowFirstColumn="0" w:firstRowLastColumn="0" w:lastRowFirstColumn="0" w:lastRowLastColumn="0"/>
            </w:pPr>
            <w:r>
              <w:t>Independent Competition and Regulatory Commission</w:t>
            </w:r>
          </w:p>
        </w:tc>
      </w:tr>
      <w:tr w:rsidR="003838B4"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MRP</w:t>
            </w:r>
          </w:p>
        </w:tc>
        <w:tc>
          <w:tcPr>
            <w:tcW w:w="5041" w:type="dxa"/>
          </w:tcPr>
          <w:p w:rsidR="003838B4" w:rsidRDefault="003838B4" w:rsidP="003838B4">
            <w:pPr>
              <w:numPr>
                <w:ilvl w:val="0"/>
                <w:numId w:val="24"/>
              </w:numPr>
              <w:cnfStyle w:val="000000010000" w:firstRow="0" w:lastRow="0" w:firstColumn="0" w:lastColumn="0" w:oddVBand="0" w:evenVBand="0" w:oddHBand="0" w:evenHBand="1" w:firstRowFirstColumn="0" w:firstRowLastColumn="0" w:lastRowFirstColumn="0" w:lastRowLastColumn="0"/>
            </w:pPr>
            <w:r>
              <w:t>market risk premium</w:t>
            </w:r>
          </w:p>
        </w:tc>
      </w:tr>
      <w:tr w:rsidR="003838B4" w:rsidTr="000C0557">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NECF</w:t>
            </w:r>
          </w:p>
        </w:tc>
        <w:tc>
          <w:tcPr>
            <w:tcW w:w="5041" w:type="dxa"/>
          </w:tcPr>
          <w:p w:rsidR="003838B4" w:rsidRDefault="003838B4" w:rsidP="000C0557">
            <w:pPr>
              <w:cnfStyle w:val="000000000000" w:firstRow="0" w:lastRow="0" w:firstColumn="0" w:lastColumn="0" w:oddVBand="0" w:evenVBand="0" w:oddHBand="0" w:evenHBand="0" w:firstRowFirstColumn="0" w:firstRowLastColumn="0" w:lastRowFirstColumn="0" w:lastRowLastColumn="0"/>
            </w:pPr>
            <w:r>
              <w:t>National Energy Customer Framework</w:t>
            </w:r>
          </w:p>
        </w:tc>
      </w:tr>
      <w:tr w:rsidR="003838B4"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NERL</w:t>
            </w:r>
          </w:p>
        </w:tc>
        <w:tc>
          <w:tcPr>
            <w:tcW w:w="5041" w:type="dxa"/>
          </w:tcPr>
          <w:p w:rsidR="003838B4" w:rsidRDefault="003838B4" w:rsidP="000C0557">
            <w:pPr>
              <w:cnfStyle w:val="000000010000" w:firstRow="0" w:lastRow="0" w:firstColumn="0" w:lastColumn="0" w:oddVBand="0" w:evenVBand="0" w:oddHBand="0" w:evenHBand="1" w:firstRowFirstColumn="0" w:firstRowLastColumn="0" w:lastRowFirstColumn="0" w:lastRowLastColumn="0"/>
            </w:pPr>
            <w:r>
              <w:t>National Energy Retail Law</w:t>
            </w:r>
          </w:p>
        </w:tc>
      </w:tr>
      <w:tr w:rsidR="003838B4" w:rsidTr="000C0557">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NERR</w:t>
            </w:r>
          </w:p>
        </w:tc>
        <w:tc>
          <w:tcPr>
            <w:tcW w:w="5041" w:type="dxa"/>
          </w:tcPr>
          <w:p w:rsidR="003838B4" w:rsidRDefault="003838B4" w:rsidP="003838B4">
            <w:pPr>
              <w:numPr>
                <w:ilvl w:val="0"/>
                <w:numId w:val="24"/>
              </w:numPr>
              <w:cnfStyle w:val="000000000000" w:firstRow="0" w:lastRow="0" w:firstColumn="0" w:lastColumn="0" w:oddVBand="0" w:evenVBand="0" w:oddHBand="0" w:evenHBand="0" w:firstRowFirstColumn="0" w:firstRowLastColumn="0" w:lastRowFirstColumn="0" w:lastRowLastColumn="0"/>
            </w:pPr>
            <w:r>
              <w:t>National Energy Retail Rules</w:t>
            </w:r>
          </w:p>
        </w:tc>
      </w:tr>
      <w:tr w:rsidR="003838B4"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NGL</w:t>
            </w:r>
          </w:p>
        </w:tc>
        <w:tc>
          <w:tcPr>
            <w:tcW w:w="5041" w:type="dxa"/>
          </w:tcPr>
          <w:p w:rsidR="003838B4" w:rsidRDefault="003838B4" w:rsidP="003838B4">
            <w:pPr>
              <w:numPr>
                <w:ilvl w:val="0"/>
                <w:numId w:val="24"/>
              </w:numPr>
              <w:cnfStyle w:val="000000010000" w:firstRow="0" w:lastRow="0" w:firstColumn="0" w:lastColumn="0" w:oddVBand="0" w:evenVBand="0" w:oddHBand="0" w:evenHBand="1" w:firstRowFirstColumn="0" w:firstRowLastColumn="0" w:lastRowFirstColumn="0" w:lastRowLastColumn="0"/>
            </w:pPr>
            <w:r>
              <w:t>national gas law</w:t>
            </w:r>
          </w:p>
        </w:tc>
      </w:tr>
      <w:tr w:rsidR="003838B4" w:rsidTr="000C0557">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NGO</w:t>
            </w:r>
          </w:p>
        </w:tc>
        <w:tc>
          <w:tcPr>
            <w:tcW w:w="5041" w:type="dxa"/>
          </w:tcPr>
          <w:p w:rsidR="003838B4" w:rsidRDefault="003838B4" w:rsidP="003838B4">
            <w:pPr>
              <w:numPr>
                <w:ilvl w:val="0"/>
                <w:numId w:val="24"/>
              </w:numPr>
              <w:cnfStyle w:val="000000000000" w:firstRow="0" w:lastRow="0" w:firstColumn="0" w:lastColumn="0" w:oddVBand="0" w:evenVBand="0" w:oddHBand="0" w:evenHBand="0" w:firstRowFirstColumn="0" w:firstRowLastColumn="0" w:lastRowFirstColumn="0" w:lastRowLastColumn="0"/>
            </w:pPr>
            <w:r>
              <w:t>national gas objective</w:t>
            </w:r>
          </w:p>
        </w:tc>
      </w:tr>
      <w:tr w:rsidR="003838B4"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NGR</w:t>
            </w:r>
          </w:p>
        </w:tc>
        <w:tc>
          <w:tcPr>
            <w:tcW w:w="5041" w:type="dxa"/>
          </w:tcPr>
          <w:p w:rsidR="003838B4" w:rsidRDefault="003838B4" w:rsidP="003838B4">
            <w:pPr>
              <w:numPr>
                <w:ilvl w:val="0"/>
                <w:numId w:val="24"/>
              </w:numPr>
              <w:cnfStyle w:val="000000010000" w:firstRow="0" w:lastRow="0" w:firstColumn="0" w:lastColumn="0" w:oddVBand="0" w:evenVBand="0" w:oddHBand="0" w:evenHBand="1" w:firstRowFirstColumn="0" w:firstRowLastColumn="0" w:lastRowFirstColumn="0" w:lastRowLastColumn="0"/>
            </w:pPr>
            <w:r>
              <w:t>national gas rules</w:t>
            </w:r>
          </w:p>
        </w:tc>
      </w:tr>
      <w:tr w:rsidR="003838B4" w:rsidTr="000C0557">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NPV</w:t>
            </w:r>
          </w:p>
        </w:tc>
        <w:tc>
          <w:tcPr>
            <w:tcW w:w="5041" w:type="dxa"/>
          </w:tcPr>
          <w:p w:rsidR="003838B4" w:rsidRDefault="003838B4" w:rsidP="000C0557">
            <w:pPr>
              <w:cnfStyle w:val="000000000000" w:firstRow="0" w:lastRow="0" w:firstColumn="0" w:lastColumn="0" w:oddVBand="0" w:evenVBand="0" w:oddHBand="0" w:evenHBand="0" w:firstRowFirstColumn="0" w:firstRowLastColumn="0" w:lastRowFirstColumn="0" w:lastRowLastColumn="0"/>
            </w:pPr>
            <w:r>
              <w:t>net present value</w:t>
            </w:r>
          </w:p>
        </w:tc>
      </w:tr>
      <w:tr w:rsidR="003838B4"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opex</w:t>
            </w:r>
          </w:p>
        </w:tc>
        <w:tc>
          <w:tcPr>
            <w:tcW w:w="5041" w:type="dxa"/>
          </w:tcPr>
          <w:p w:rsidR="003838B4" w:rsidRDefault="003838B4" w:rsidP="003838B4">
            <w:pPr>
              <w:numPr>
                <w:ilvl w:val="0"/>
                <w:numId w:val="24"/>
              </w:numPr>
              <w:cnfStyle w:val="000000010000" w:firstRow="0" w:lastRow="0" w:firstColumn="0" w:lastColumn="0" w:oddVBand="0" w:evenVBand="0" w:oddHBand="0" w:evenHBand="1" w:firstRowFirstColumn="0" w:firstRowLastColumn="0" w:lastRowFirstColumn="0" w:lastRowLastColumn="0"/>
            </w:pPr>
            <w:r>
              <w:t>operating expenditure</w:t>
            </w:r>
          </w:p>
        </w:tc>
      </w:tr>
      <w:tr w:rsidR="003838B4" w:rsidTr="000C0557">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lastRenderedPageBreak/>
              <w:t>PFP</w:t>
            </w:r>
          </w:p>
        </w:tc>
        <w:tc>
          <w:tcPr>
            <w:tcW w:w="5041" w:type="dxa"/>
          </w:tcPr>
          <w:p w:rsidR="003838B4" w:rsidRDefault="003838B4" w:rsidP="000C0557">
            <w:pPr>
              <w:cnfStyle w:val="000000000000" w:firstRow="0" w:lastRow="0" w:firstColumn="0" w:lastColumn="0" w:oddVBand="0" w:evenVBand="0" w:oddHBand="0" w:evenHBand="0" w:firstRowFirstColumn="0" w:firstRowLastColumn="0" w:lastRowFirstColumn="0" w:lastRowLastColumn="0"/>
            </w:pPr>
            <w:r>
              <w:t>partial factor productivity</w:t>
            </w:r>
          </w:p>
        </w:tc>
      </w:tr>
      <w:tr w:rsidR="003838B4"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PPI</w:t>
            </w:r>
          </w:p>
        </w:tc>
        <w:tc>
          <w:tcPr>
            <w:tcW w:w="5041" w:type="dxa"/>
          </w:tcPr>
          <w:p w:rsidR="003838B4" w:rsidRDefault="003838B4" w:rsidP="003838B4">
            <w:pPr>
              <w:numPr>
                <w:ilvl w:val="0"/>
                <w:numId w:val="24"/>
              </w:numPr>
              <w:cnfStyle w:val="000000010000" w:firstRow="0" w:lastRow="0" w:firstColumn="0" w:lastColumn="0" w:oddVBand="0" w:evenVBand="0" w:oddHBand="0" w:evenHBand="1" w:firstRowFirstColumn="0" w:firstRowLastColumn="0" w:lastRowFirstColumn="0" w:lastRowLastColumn="0"/>
            </w:pPr>
            <w:r>
              <w:t>partial performance indicators</w:t>
            </w:r>
          </w:p>
        </w:tc>
      </w:tr>
      <w:tr w:rsidR="003838B4" w:rsidTr="000C0557">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PTRM</w:t>
            </w:r>
          </w:p>
        </w:tc>
        <w:tc>
          <w:tcPr>
            <w:tcW w:w="5041" w:type="dxa"/>
          </w:tcPr>
          <w:p w:rsidR="003838B4" w:rsidRDefault="003838B4" w:rsidP="003838B4">
            <w:pPr>
              <w:numPr>
                <w:ilvl w:val="0"/>
                <w:numId w:val="24"/>
              </w:numPr>
              <w:cnfStyle w:val="000000000000" w:firstRow="0" w:lastRow="0" w:firstColumn="0" w:lastColumn="0" w:oddVBand="0" w:evenVBand="0" w:oddHBand="0" w:evenHBand="0" w:firstRowFirstColumn="0" w:firstRowLastColumn="0" w:lastRowFirstColumn="0" w:lastRowLastColumn="0"/>
            </w:pPr>
            <w:r>
              <w:t>post-tax revenue model</w:t>
            </w:r>
          </w:p>
        </w:tc>
      </w:tr>
      <w:tr w:rsidR="003838B4"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RBA</w:t>
            </w:r>
          </w:p>
        </w:tc>
        <w:tc>
          <w:tcPr>
            <w:tcW w:w="5041" w:type="dxa"/>
          </w:tcPr>
          <w:p w:rsidR="003838B4" w:rsidRDefault="003838B4" w:rsidP="003838B4">
            <w:pPr>
              <w:numPr>
                <w:ilvl w:val="0"/>
                <w:numId w:val="24"/>
              </w:numPr>
              <w:cnfStyle w:val="000000010000" w:firstRow="0" w:lastRow="0" w:firstColumn="0" w:lastColumn="0" w:oddVBand="0" w:evenVBand="0" w:oddHBand="0" w:evenHBand="1" w:firstRowFirstColumn="0" w:firstRowLastColumn="0" w:lastRowFirstColumn="0" w:lastRowLastColumn="0"/>
            </w:pPr>
            <w:r>
              <w:t>Reserve Bank of Australia</w:t>
            </w:r>
          </w:p>
        </w:tc>
      </w:tr>
      <w:tr w:rsidR="003838B4" w:rsidTr="000C0557">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RFM</w:t>
            </w:r>
          </w:p>
        </w:tc>
        <w:tc>
          <w:tcPr>
            <w:tcW w:w="5041" w:type="dxa"/>
          </w:tcPr>
          <w:p w:rsidR="003838B4" w:rsidRDefault="003838B4" w:rsidP="003838B4">
            <w:pPr>
              <w:numPr>
                <w:ilvl w:val="0"/>
                <w:numId w:val="24"/>
              </w:numPr>
              <w:cnfStyle w:val="000000000000" w:firstRow="0" w:lastRow="0" w:firstColumn="0" w:lastColumn="0" w:oddVBand="0" w:evenVBand="0" w:oddHBand="0" w:evenHBand="0" w:firstRowFirstColumn="0" w:firstRowLastColumn="0" w:lastRowFirstColumn="0" w:lastRowLastColumn="0"/>
            </w:pPr>
            <w:r>
              <w:t>roll forward model</w:t>
            </w:r>
          </w:p>
        </w:tc>
      </w:tr>
      <w:tr w:rsidR="003838B4"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RIN</w:t>
            </w:r>
          </w:p>
        </w:tc>
        <w:tc>
          <w:tcPr>
            <w:tcW w:w="5041" w:type="dxa"/>
          </w:tcPr>
          <w:p w:rsidR="003838B4" w:rsidRDefault="003838B4" w:rsidP="003838B4">
            <w:pPr>
              <w:numPr>
                <w:ilvl w:val="0"/>
                <w:numId w:val="24"/>
              </w:numPr>
              <w:cnfStyle w:val="000000010000" w:firstRow="0" w:lastRow="0" w:firstColumn="0" w:lastColumn="0" w:oddVBand="0" w:evenVBand="0" w:oddHBand="0" w:evenHBand="1" w:firstRowFirstColumn="0" w:firstRowLastColumn="0" w:lastRowFirstColumn="0" w:lastRowLastColumn="0"/>
            </w:pPr>
            <w:r>
              <w:t>regulatory information notice</w:t>
            </w:r>
          </w:p>
        </w:tc>
      </w:tr>
      <w:tr w:rsidR="003838B4" w:rsidTr="000C0557">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RoLR</w:t>
            </w:r>
          </w:p>
        </w:tc>
        <w:tc>
          <w:tcPr>
            <w:tcW w:w="5041" w:type="dxa"/>
          </w:tcPr>
          <w:p w:rsidR="003838B4" w:rsidRDefault="003838B4" w:rsidP="000C0557">
            <w:pPr>
              <w:cnfStyle w:val="000000000000" w:firstRow="0" w:lastRow="0" w:firstColumn="0" w:lastColumn="0" w:oddVBand="0" w:evenVBand="0" w:oddHBand="0" w:evenHBand="0" w:firstRowFirstColumn="0" w:firstRowLastColumn="0" w:lastRowFirstColumn="0" w:lastRowLastColumn="0"/>
            </w:pPr>
            <w:r>
              <w:t>retailer of last resort</w:t>
            </w:r>
          </w:p>
        </w:tc>
      </w:tr>
      <w:tr w:rsidR="003838B4"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RSA</w:t>
            </w:r>
          </w:p>
        </w:tc>
        <w:tc>
          <w:tcPr>
            <w:tcW w:w="5041" w:type="dxa"/>
          </w:tcPr>
          <w:p w:rsidR="003838B4" w:rsidRDefault="003838B4" w:rsidP="000C0557">
            <w:pPr>
              <w:cnfStyle w:val="000000010000" w:firstRow="0" w:lastRow="0" w:firstColumn="0" w:lastColumn="0" w:oddVBand="0" w:evenVBand="0" w:oddHBand="0" w:evenHBand="1" w:firstRowFirstColumn="0" w:firstRowLastColumn="0" w:lastRowFirstColumn="0" w:lastRowLastColumn="0"/>
            </w:pPr>
            <w:r>
              <w:t>Reference Service Agreement</w:t>
            </w:r>
          </w:p>
        </w:tc>
      </w:tr>
      <w:tr w:rsidR="003838B4" w:rsidTr="000C0557">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RPP</w:t>
            </w:r>
          </w:p>
        </w:tc>
        <w:tc>
          <w:tcPr>
            <w:tcW w:w="5041" w:type="dxa"/>
          </w:tcPr>
          <w:p w:rsidR="003838B4" w:rsidRDefault="003838B4" w:rsidP="003838B4">
            <w:pPr>
              <w:numPr>
                <w:ilvl w:val="0"/>
                <w:numId w:val="24"/>
              </w:numPr>
              <w:cnfStyle w:val="000000000000" w:firstRow="0" w:lastRow="0" w:firstColumn="0" w:lastColumn="0" w:oddVBand="0" w:evenVBand="0" w:oddHBand="0" w:evenHBand="0" w:firstRowFirstColumn="0" w:firstRowLastColumn="0" w:lastRowFirstColumn="0" w:lastRowLastColumn="0"/>
            </w:pPr>
            <w:r>
              <w:t>revenue and pricing principles</w:t>
            </w:r>
          </w:p>
        </w:tc>
      </w:tr>
      <w:tr w:rsidR="003838B4"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SLCAPM</w:t>
            </w:r>
          </w:p>
        </w:tc>
        <w:tc>
          <w:tcPr>
            <w:tcW w:w="5041" w:type="dxa"/>
          </w:tcPr>
          <w:p w:rsidR="003838B4" w:rsidRDefault="003838B4" w:rsidP="003838B4">
            <w:pPr>
              <w:numPr>
                <w:ilvl w:val="0"/>
                <w:numId w:val="24"/>
              </w:numPr>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3838B4" w:rsidTr="000C0557">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STTM</w:t>
            </w:r>
          </w:p>
        </w:tc>
        <w:tc>
          <w:tcPr>
            <w:tcW w:w="5041" w:type="dxa"/>
          </w:tcPr>
          <w:p w:rsidR="003838B4" w:rsidRDefault="003838B4" w:rsidP="000C0557">
            <w:pPr>
              <w:cnfStyle w:val="000000000000" w:firstRow="0" w:lastRow="0" w:firstColumn="0" w:lastColumn="0" w:oddVBand="0" w:evenVBand="0" w:oddHBand="0" w:evenHBand="0" w:firstRowFirstColumn="0" w:firstRowLastColumn="0" w:lastRowFirstColumn="0" w:lastRowLastColumn="0"/>
            </w:pPr>
            <w:r>
              <w:t>Short Term Trading Market</w:t>
            </w:r>
          </w:p>
        </w:tc>
      </w:tr>
      <w:tr w:rsidR="003838B4"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TAB</w:t>
            </w:r>
          </w:p>
        </w:tc>
        <w:tc>
          <w:tcPr>
            <w:tcW w:w="5041" w:type="dxa"/>
          </w:tcPr>
          <w:p w:rsidR="003838B4" w:rsidRDefault="003838B4" w:rsidP="000C0557">
            <w:pPr>
              <w:cnfStyle w:val="000000010000" w:firstRow="0" w:lastRow="0" w:firstColumn="0" w:lastColumn="0" w:oddVBand="0" w:evenVBand="0" w:oddHBand="0" w:evenHBand="1" w:firstRowFirstColumn="0" w:firstRowLastColumn="0" w:lastRowFirstColumn="0" w:lastRowLastColumn="0"/>
            </w:pPr>
            <w:r>
              <w:t>Tax asset base</w:t>
            </w:r>
          </w:p>
        </w:tc>
      </w:tr>
      <w:tr w:rsidR="003838B4" w:rsidTr="000C0557">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UAFG</w:t>
            </w:r>
          </w:p>
        </w:tc>
        <w:tc>
          <w:tcPr>
            <w:tcW w:w="5041" w:type="dxa"/>
          </w:tcPr>
          <w:p w:rsidR="003838B4" w:rsidRDefault="003838B4" w:rsidP="000C0557">
            <w:pPr>
              <w:cnfStyle w:val="000000000000" w:firstRow="0" w:lastRow="0" w:firstColumn="0" w:lastColumn="0" w:oddVBand="0" w:evenVBand="0" w:oddHBand="0" w:evenHBand="0" w:firstRowFirstColumn="0" w:firstRowLastColumn="0" w:lastRowFirstColumn="0" w:lastRowLastColumn="0"/>
            </w:pPr>
            <w:r>
              <w:t>Unaccounted for gas</w:t>
            </w:r>
          </w:p>
        </w:tc>
      </w:tr>
      <w:tr w:rsidR="003838B4"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UNFT</w:t>
            </w:r>
          </w:p>
        </w:tc>
        <w:tc>
          <w:tcPr>
            <w:tcW w:w="5041" w:type="dxa"/>
          </w:tcPr>
          <w:p w:rsidR="003838B4" w:rsidRDefault="003838B4" w:rsidP="000C0557">
            <w:pPr>
              <w:cnfStyle w:val="000000010000" w:firstRow="0" w:lastRow="0" w:firstColumn="0" w:lastColumn="0" w:oddVBand="0" w:evenVBand="0" w:oddHBand="0" w:evenHBand="1" w:firstRowFirstColumn="0" w:firstRowLastColumn="0" w:lastRowFirstColumn="0" w:lastRowLastColumn="0"/>
            </w:pPr>
            <w:r>
              <w:t>Utilities Network Facilities Tax</w:t>
            </w:r>
          </w:p>
        </w:tc>
      </w:tr>
      <w:tr w:rsidR="003838B4" w:rsidTr="000C0557">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WACC</w:t>
            </w:r>
          </w:p>
        </w:tc>
        <w:tc>
          <w:tcPr>
            <w:tcW w:w="5041" w:type="dxa"/>
          </w:tcPr>
          <w:p w:rsidR="003838B4" w:rsidRDefault="003838B4" w:rsidP="003838B4">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3838B4" w:rsidTr="000C05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3838B4" w:rsidRDefault="003838B4" w:rsidP="003838B4">
            <w:pPr>
              <w:numPr>
                <w:ilvl w:val="0"/>
                <w:numId w:val="24"/>
              </w:numPr>
            </w:pPr>
            <w:r>
              <w:t>WPI</w:t>
            </w:r>
          </w:p>
        </w:tc>
        <w:tc>
          <w:tcPr>
            <w:tcW w:w="5041" w:type="dxa"/>
          </w:tcPr>
          <w:p w:rsidR="003838B4" w:rsidRDefault="003838B4" w:rsidP="000C0557">
            <w:pPr>
              <w:cnfStyle w:val="000000010000" w:firstRow="0" w:lastRow="0" w:firstColumn="0" w:lastColumn="0" w:oddVBand="0" w:evenVBand="0" w:oddHBand="0" w:evenHBand="1" w:firstRowFirstColumn="0" w:firstRowLastColumn="0" w:lastRowFirstColumn="0" w:lastRowLastColumn="0"/>
            </w:pPr>
            <w:r>
              <w:t>Wage Price Index</w:t>
            </w:r>
          </w:p>
        </w:tc>
      </w:tr>
    </w:tbl>
    <w:p w:rsidR="003838B4" w:rsidRPr="003838B4" w:rsidRDefault="003838B4" w:rsidP="003838B4"/>
    <w:p w:rsidR="00A2356E" w:rsidRDefault="00F04B3C" w:rsidP="00A2356E">
      <w:pPr>
        <w:pStyle w:val="Heading1"/>
      </w:pPr>
      <w:bookmarkStart w:id="10" w:name="_Toc436044128"/>
      <w:r>
        <w:lastRenderedPageBreak/>
        <w:t>Efficiency carryover mechanism</w:t>
      </w:r>
      <w:bookmarkEnd w:id="10"/>
    </w:p>
    <w:p w:rsidR="00A2356E" w:rsidRDefault="00A2356E" w:rsidP="00A2356E">
      <w:r>
        <w:t>An efficiency carryover mechanism provides an additional incentive for service providers to pursue efficiency improvements in opex.</w:t>
      </w:r>
    </w:p>
    <w:p w:rsidR="00A2356E" w:rsidRDefault="00A2356E" w:rsidP="00A2356E">
      <w:r>
        <w:t>It is often used as part of incentive regulation. Because opex is largely recurrent and predictable, opex in one period is generally a good indicator of opex in the next period. Where a service provider is relatively efficient, we use the actual opex it incurred in a chosen base year of the access arrangement period to forecast its opex for the next access arrangement period.</w:t>
      </w:r>
    </w:p>
    <w:p w:rsidR="00A2356E" w:rsidRDefault="00A2356E" w:rsidP="00A2356E">
      <w:r>
        <w:t xml:space="preserve">To encourage a service provider to become more efficient, it is allowed to keep any difference between its approved forecast and its actual opex within an access arrangement period. We typically supplement this by applying an efficiency carryover mechanism which provides a service provider with an additional reward for reductions in opex it makes and additional penalties for increases in opex. Together, these rewards and penalties provide a constant incentive for a service provider to pursue efficiency gains over the access arrangement period. An efficiency carryover mechanism also discourages a service provider from incurring opex in the expected base year in order to receive a higher opex allowance in the following access arrangement period.  </w:t>
      </w:r>
    </w:p>
    <w:p w:rsidR="0026103D" w:rsidRDefault="00A2356E" w:rsidP="0026103D">
      <w:r>
        <w:t>An efficiency carryover mechanism applied to ActewAGL in the 2010</w:t>
      </w:r>
      <w:r w:rsidR="00B91215">
        <w:t>–</w:t>
      </w:r>
      <w:r>
        <w:t>15 access arrangement period</w:t>
      </w:r>
      <w:r w:rsidR="00CD1992">
        <w:t xml:space="preserve"> and one has been proposed for the 2016</w:t>
      </w:r>
      <w:r w:rsidR="00B91215">
        <w:t>–</w:t>
      </w:r>
      <w:r w:rsidR="00CD1992">
        <w:t>21 access arrangement period</w:t>
      </w:r>
      <w:r>
        <w:t xml:space="preserve">. </w:t>
      </w:r>
    </w:p>
    <w:p w:rsidR="0026103D" w:rsidRDefault="0026103D" w:rsidP="0026103D">
      <w:r w:rsidRPr="0068026E">
        <w:t>ActewAGL requested a 12</w:t>
      </w:r>
      <w:r>
        <w:t> </w:t>
      </w:r>
      <w:r w:rsidRPr="0068026E">
        <w:t>month delay in the review of its access arrangement to avoid the overlap with the AER's ActewAGL electricity distribution determination.</w:t>
      </w:r>
      <w:r>
        <w:t xml:space="preserve"> ActewAGL therefore proposed to close the efficiency carryover mechanism in 2015</w:t>
      </w:r>
      <w:r w:rsidR="00B91215">
        <w:t>–</w:t>
      </w:r>
      <w:r>
        <w:t>16 and restart it in 2016</w:t>
      </w:r>
      <w:r w:rsidR="000742B7">
        <w:t>–</w:t>
      </w:r>
      <w:r>
        <w:t xml:space="preserve">17. </w:t>
      </w:r>
    </w:p>
    <w:p w:rsidR="00B6687B" w:rsidRDefault="00A706B4" w:rsidP="00CD1992">
      <w:r>
        <w:t>We consider t</w:t>
      </w:r>
      <w:r w:rsidR="00F97851">
        <w:t xml:space="preserve">he period between 1 July 2015 (the revision commencement date in the current access arrangement) and 1 July 2016, when revisions will actually take effect, constitutes an interval of delay for the purposes of rule 92(3) of the NGR. </w:t>
      </w:r>
    </w:p>
    <w:p w:rsidR="000320DA" w:rsidRPr="000320DA" w:rsidRDefault="00A2356E" w:rsidP="000320DA">
      <w:pPr>
        <w:pStyle w:val="Heading2"/>
      </w:pPr>
      <w:bookmarkStart w:id="11" w:name="_Toc431372703"/>
      <w:bookmarkStart w:id="12" w:name="_Toc436044129"/>
      <w:r>
        <w:t>Draft</w:t>
      </w:r>
      <w:r w:rsidRPr="0074565D">
        <w:t xml:space="preserve"> decision</w:t>
      </w:r>
      <w:bookmarkEnd w:id="11"/>
      <w:bookmarkEnd w:id="12"/>
    </w:p>
    <w:p w:rsidR="00A2356E" w:rsidRDefault="0061605F" w:rsidP="00A2356E">
      <w:pPr>
        <w:pStyle w:val="Heading3"/>
      </w:pPr>
      <w:bookmarkStart w:id="13" w:name="_Toc431372704"/>
      <w:bookmarkStart w:id="14" w:name="_Toc436044130"/>
      <w:r>
        <w:t>Carryover amounts from the 2010</w:t>
      </w:r>
      <w:r w:rsidR="00B91215">
        <w:t>–</w:t>
      </w:r>
      <w:r w:rsidR="00A2356E">
        <w:t xml:space="preserve">15 </w:t>
      </w:r>
      <w:bookmarkEnd w:id="13"/>
      <w:r w:rsidR="00CD1992">
        <w:t>period</w:t>
      </w:r>
      <w:bookmarkEnd w:id="14"/>
      <w:r w:rsidR="00487EE1">
        <w:t xml:space="preserve"> </w:t>
      </w:r>
    </w:p>
    <w:p w:rsidR="00A2356E" w:rsidRDefault="00A2356E" w:rsidP="00A2356E">
      <w:r>
        <w:t>We do not accept ActewAGL’s proposal to carryover $</w:t>
      </w:r>
      <w:r w:rsidR="00A706B4">
        <w:t>11.2</w:t>
      </w:r>
      <w:r>
        <w:t xml:space="preserve"> mill</w:t>
      </w:r>
      <w:r w:rsidR="00D4687B">
        <w:t>ion (</w:t>
      </w:r>
      <w:r w:rsidR="00B24E06">
        <w:t>$</w:t>
      </w:r>
      <w:r w:rsidR="00D4687B">
        <w:t>2015</w:t>
      </w:r>
      <w:r w:rsidR="00B91215">
        <w:t>–</w:t>
      </w:r>
      <w:r w:rsidR="00D4687B">
        <w:t>16) from the 2010</w:t>
      </w:r>
      <w:r w:rsidR="00B91215">
        <w:t>–</w:t>
      </w:r>
      <w:r>
        <w:t>15 period to the reven</w:t>
      </w:r>
      <w:r w:rsidR="00D4687B">
        <w:t>ue building blocks for the 2016</w:t>
      </w:r>
      <w:r w:rsidR="00B91215">
        <w:t>–</w:t>
      </w:r>
      <w:r>
        <w:t>21</w:t>
      </w:r>
      <w:r w:rsidR="00A706B4">
        <w:t xml:space="preserve"> </w:t>
      </w:r>
      <w:r>
        <w:t>period.</w:t>
      </w:r>
    </w:p>
    <w:p w:rsidR="00463320" w:rsidRDefault="00A2356E" w:rsidP="00A2356E">
      <w:r>
        <w:t>We consider ActewAGL should receive a carryover amount of $</w:t>
      </w:r>
      <w:r w:rsidR="00A706B4">
        <w:t>1.4</w:t>
      </w:r>
      <w:r w:rsidR="006168CC">
        <w:t xml:space="preserve"> million ($2015</w:t>
      </w:r>
      <w:r w:rsidR="00B91215">
        <w:t>–</w:t>
      </w:r>
      <w:r w:rsidR="006168CC">
        <w:t>16) in the 2016</w:t>
      </w:r>
      <w:r w:rsidR="00B91215">
        <w:t>–</w:t>
      </w:r>
      <w:r>
        <w:t xml:space="preserve">21 period from the application of the </w:t>
      </w:r>
      <w:r w:rsidR="00D029FC">
        <w:t xml:space="preserve">efficiency carryover mechanism </w:t>
      </w:r>
      <w:r w:rsidR="006168CC">
        <w:t>during the 2010</w:t>
      </w:r>
      <w:r w:rsidR="00B91215">
        <w:t>–</w:t>
      </w:r>
      <w:r>
        <w:t xml:space="preserve">15 period. </w:t>
      </w:r>
      <w:r w:rsidR="00463320">
        <w:t xml:space="preserve">We have also included in the revenue building blocks </w:t>
      </w:r>
      <w:r w:rsidR="00CD1992">
        <w:t xml:space="preserve">for </w:t>
      </w:r>
      <w:r w:rsidR="000742B7">
        <w:t>2015–16</w:t>
      </w:r>
      <w:r w:rsidR="00CD1992">
        <w:t xml:space="preserve"> </w:t>
      </w:r>
      <w:r w:rsidR="00463320">
        <w:t xml:space="preserve">a carryover </w:t>
      </w:r>
      <w:r w:rsidR="00885F6B">
        <w:t xml:space="preserve">amount </w:t>
      </w:r>
      <w:r w:rsidR="00463320">
        <w:t>of $1.</w:t>
      </w:r>
      <w:r w:rsidR="00C300FE">
        <w:t xml:space="preserve">5 </w:t>
      </w:r>
      <w:r w:rsidR="00463320">
        <w:t>million. This brings the total carryover amount included in the revenue building blocks to $</w:t>
      </w:r>
      <w:r w:rsidR="00B238AE">
        <w:t>2.</w:t>
      </w:r>
      <w:r w:rsidR="0025078C">
        <w:t xml:space="preserve">9 </w:t>
      </w:r>
      <w:r w:rsidR="00463320">
        <w:t xml:space="preserve">million. </w:t>
      </w:r>
      <w:r w:rsidR="000320DA">
        <w:t>Ou</w:t>
      </w:r>
      <w:r w:rsidR="008C3A92">
        <w:t xml:space="preserve">r decision is </w:t>
      </w:r>
      <w:r w:rsidR="00CD1992">
        <w:t xml:space="preserve">shown </w:t>
      </w:r>
      <w:r w:rsidR="008C3A92">
        <w:t>in</w:t>
      </w:r>
      <w:r w:rsidR="004D3ACE">
        <w:fldChar w:fldCharType="begin"/>
      </w:r>
      <w:r w:rsidR="004D3ACE">
        <w:instrText xml:space="preserve"> REF _Ref435101961 \h </w:instrText>
      </w:r>
      <w:r w:rsidR="004D3ACE">
        <w:fldChar w:fldCharType="end"/>
      </w:r>
      <w:r w:rsidR="004D3ACE">
        <w:t xml:space="preserve"> </w:t>
      </w:r>
      <w:r w:rsidR="004D3ACE">
        <w:fldChar w:fldCharType="begin"/>
      </w:r>
      <w:r w:rsidR="004D3ACE">
        <w:instrText xml:space="preserve"> REF _Ref435101961 \h </w:instrText>
      </w:r>
      <w:r w:rsidR="004D3ACE">
        <w:fldChar w:fldCharType="separate"/>
      </w:r>
      <w:r w:rsidR="00A706B4">
        <w:t>Table </w:t>
      </w:r>
      <w:r w:rsidR="004D3ACE">
        <w:rPr>
          <w:noProof/>
        </w:rPr>
        <w:t>9</w:t>
      </w:r>
      <w:r w:rsidR="004D3ACE">
        <w:t>.</w:t>
      </w:r>
      <w:r w:rsidR="004D3ACE">
        <w:rPr>
          <w:noProof/>
        </w:rPr>
        <w:t>1</w:t>
      </w:r>
      <w:r w:rsidR="004D3ACE">
        <w:fldChar w:fldCharType="end"/>
      </w:r>
      <w:r w:rsidR="000320DA">
        <w:t>.</w:t>
      </w:r>
      <w:r w:rsidR="008C3A92">
        <w:t xml:space="preserve"> </w:t>
      </w:r>
    </w:p>
    <w:p w:rsidR="00A2356E" w:rsidRDefault="00A2356E" w:rsidP="00A2356E">
      <w:r>
        <w:lastRenderedPageBreak/>
        <w:t>Two key reasons explain the difference in our total carryover amount compared to ActewAGL’s proposed carryover amount:</w:t>
      </w:r>
    </w:p>
    <w:p w:rsidR="00A2356E" w:rsidRDefault="00A2356E" w:rsidP="00A2356E">
      <w:pPr>
        <w:pStyle w:val="ListParagraph"/>
        <w:numPr>
          <w:ilvl w:val="0"/>
          <w:numId w:val="38"/>
        </w:numPr>
      </w:pPr>
      <w:r>
        <w:t>ActewA</w:t>
      </w:r>
      <w:r w:rsidR="006168CC">
        <w:t>GL</w:t>
      </w:r>
      <w:r w:rsidR="00D7408A">
        <w:t xml:space="preserve"> did not update the equations which calculate incremental gains (losses) to reflect a changed base year from that </w:t>
      </w:r>
      <w:r w:rsidR="006C5259">
        <w:t>implied</w:t>
      </w:r>
      <w:r w:rsidR="00D7408A">
        <w:t xml:space="preserve"> in its efficiency carryover mechanism for the 20</w:t>
      </w:r>
      <w:r w:rsidR="00822F5F">
        <w:t>10–</w:t>
      </w:r>
      <w:r w:rsidR="00D7408A">
        <w:t>15 access arrangement.</w:t>
      </w:r>
      <w:r w:rsidR="00C56313">
        <w:rPr>
          <w:rStyle w:val="FootnoteReference"/>
        </w:rPr>
        <w:footnoteReference w:id="1"/>
      </w:r>
      <w:r w:rsidR="00D7408A">
        <w:t xml:space="preserve"> </w:t>
      </w:r>
    </w:p>
    <w:p w:rsidR="00A2356E" w:rsidRDefault="00A2356E" w:rsidP="00A2356E">
      <w:pPr>
        <w:pStyle w:val="ListParagraph"/>
        <w:numPr>
          <w:ilvl w:val="0"/>
          <w:numId w:val="38"/>
        </w:numPr>
      </w:pPr>
      <w:r>
        <w:t>A</w:t>
      </w:r>
      <w:r w:rsidR="006168CC">
        <w:t xml:space="preserve">ctewAGL </w:t>
      </w:r>
      <w:r w:rsidR="00B71D67">
        <w:t xml:space="preserve">has not included a carryover amount for the </w:t>
      </w:r>
      <w:r w:rsidR="006168CC">
        <w:t>2015</w:t>
      </w:r>
      <w:r w:rsidR="00B91215">
        <w:t>–</w:t>
      </w:r>
      <w:r>
        <w:t xml:space="preserve">16 </w:t>
      </w:r>
      <w:r w:rsidR="00B71D67">
        <w:t xml:space="preserve">regulatory year. </w:t>
      </w:r>
    </w:p>
    <w:p w:rsidR="004D3ACE" w:rsidRPr="004D3ACE" w:rsidRDefault="004D3ACE" w:rsidP="004D3ACE">
      <w:pPr>
        <w:pStyle w:val="Caption"/>
      </w:pPr>
      <w:bookmarkStart w:id="15" w:name="_Ref435101961"/>
      <w:r>
        <w:t xml:space="preserve">Table </w:t>
      </w:r>
      <w:r w:rsidR="00870821">
        <w:fldChar w:fldCharType="begin"/>
      </w:r>
      <w:r w:rsidR="00870821">
        <w:instrText xml:space="preserve"> STYLEREF</w:instrText>
      </w:r>
      <w:r w:rsidR="00870821">
        <w:instrText xml:space="preserve"> 1 \s </w:instrText>
      </w:r>
      <w:r w:rsidR="00870821">
        <w:fldChar w:fldCharType="separate"/>
      </w:r>
      <w:r w:rsidR="002331B4">
        <w:rPr>
          <w:noProof/>
        </w:rPr>
        <w:t>9</w:t>
      </w:r>
      <w:r w:rsidR="00870821">
        <w:rPr>
          <w:noProof/>
        </w:rPr>
        <w:fldChar w:fldCharType="end"/>
      </w:r>
      <w:r w:rsidR="002331B4">
        <w:t>.</w:t>
      </w:r>
      <w:r w:rsidR="000742B7">
        <w:fldChar w:fldCharType="begin"/>
      </w:r>
      <w:r w:rsidR="000742B7">
        <w:instrText xml:space="preserve"> SEQ Table \* ARABIC \s 1 </w:instrText>
      </w:r>
      <w:r w:rsidR="000742B7">
        <w:fldChar w:fldCharType="separate"/>
      </w:r>
      <w:r w:rsidR="002331B4">
        <w:rPr>
          <w:noProof/>
        </w:rPr>
        <w:t>1</w:t>
      </w:r>
      <w:r w:rsidR="000742B7">
        <w:rPr>
          <w:noProof/>
        </w:rPr>
        <w:fldChar w:fldCharType="end"/>
      </w:r>
      <w:bookmarkEnd w:id="15"/>
      <w:r>
        <w:tab/>
      </w:r>
      <w:r w:rsidR="00487EE1" w:rsidRPr="004D3ACE">
        <w:t>AER decision on ca</w:t>
      </w:r>
      <w:r w:rsidR="006168CC" w:rsidRPr="004D3ACE">
        <w:t>rryover amounts from the 2010</w:t>
      </w:r>
      <w:r w:rsidR="00B91215">
        <w:t>–</w:t>
      </w:r>
      <w:r w:rsidR="00487EE1" w:rsidRPr="004D3ACE">
        <w:t>15 period</w:t>
      </w:r>
    </w:p>
    <w:tbl>
      <w:tblPr>
        <w:tblStyle w:val="AERtable-numbers"/>
        <w:tblW w:w="4937" w:type="pct"/>
        <w:tblInd w:w="108" w:type="dxa"/>
        <w:tblLayout w:type="fixed"/>
        <w:tblLook w:val="04A0" w:firstRow="1" w:lastRow="0" w:firstColumn="1" w:lastColumn="0" w:noHBand="0" w:noVBand="1"/>
      </w:tblPr>
      <w:tblGrid>
        <w:gridCol w:w="2318"/>
        <w:gridCol w:w="894"/>
        <w:gridCol w:w="898"/>
        <w:gridCol w:w="894"/>
        <w:gridCol w:w="896"/>
        <w:gridCol w:w="894"/>
        <w:gridCol w:w="896"/>
        <w:gridCol w:w="893"/>
      </w:tblGrid>
      <w:tr w:rsidR="00855764" w:rsidRPr="005764BE" w:rsidTr="004D3A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pct"/>
            <w:vAlign w:val="top"/>
          </w:tcPr>
          <w:p w:rsidR="00855764" w:rsidRPr="00CA6E53" w:rsidRDefault="00855764" w:rsidP="003E5ED1"/>
        </w:tc>
        <w:tc>
          <w:tcPr>
            <w:tcW w:w="521" w:type="pct"/>
            <w:vAlign w:val="top"/>
          </w:tcPr>
          <w:p w:rsidR="00855764" w:rsidRPr="00CA6E53" w:rsidRDefault="00855764" w:rsidP="003E5ED1">
            <w:pPr>
              <w:cnfStyle w:val="100000000000" w:firstRow="1" w:lastRow="0" w:firstColumn="0" w:lastColumn="0" w:oddVBand="0" w:evenVBand="0" w:oddHBand="0" w:evenHBand="0" w:firstRowFirstColumn="0" w:firstRowLastColumn="0" w:lastRowFirstColumn="0" w:lastRowLastColumn="0"/>
            </w:pPr>
            <w:r w:rsidRPr="00CA6E53">
              <w:t>2015</w:t>
            </w:r>
            <w:r w:rsidR="00B91215">
              <w:t>–</w:t>
            </w:r>
            <w:r w:rsidRPr="00CA6E53">
              <w:t>16</w:t>
            </w:r>
          </w:p>
        </w:tc>
        <w:tc>
          <w:tcPr>
            <w:tcW w:w="523" w:type="pct"/>
            <w:vAlign w:val="top"/>
          </w:tcPr>
          <w:p w:rsidR="00855764" w:rsidRPr="00CA6E53" w:rsidRDefault="00855764" w:rsidP="003E5ED1">
            <w:pPr>
              <w:cnfStyle w:val="100000000000" w:firstRow="1" w:lastRow="0" w:firstColumn="0" w:lastColumn="0" w:oddVBand="0" w:evenVBand="0" w:oddHBand="0" w:evenHBand="0" w:firstRowFirstColumn="0" w:firstRowLastColumn="0" w:lastRowFirstColumn="0" w:lastRowLastColumn="0"/>
            </w:pPr>
            <w:r w:rsidRPr="00CA6E53">
              <w:t>2016</w:t>
            </w:r>
            <w:r w:rsidR="00B91215">
              <w:t>–</w:t>
            </w:r>
            <w:r w:rsidRPr="00CA6E53">
              <w:t>17</w:t>
            </w:r>
          </w:p>
        </w:tc>
        <w:tc>
          <w:tcPr>
            <w:tcW w:w="521" w:type="pct"/>
            <w:vAlign w:val="top"/>
          </w:tcPr>
          <w:p w:rsidR="00855764" w:rsidRPr="00CA6E53" w:rsidRDefault="00855764" w:rsidP="003E5ED1">
            <w:pPr>
              <w:cnfStyle w:val="100000000000" w:firstRow="1" w:lastRow="0" w:firstColumn="0" w:lastColumn="0" w:oddVBand="0" w:evenVBand="0" w:oddHBand="0" w:evenHBand="0" w:firstRowFirstColumn="0" w:firstRowLastColumn="0" w:lastRowFirstColumn="0" w:lastRowLastColumn="0"/>
            </w:pPr>
            <w:r w:rsidRPr="00CA6E53">
              <w:t>2017</w:t>
            </w:r>
            <w:r w:rsidR="00B91215">
              <w:t>–</w:t>
            </w:r>
            <w:r w:rsidRPr="00CA6E53">
              <w:t>18</w:t>
            </w:r>
          </w:p>
        </w:tc>
        <w:tc>
          <w:tcPr>
            <w:tcW w:w="522" w:type="pct"/>
            <w:vAlign w:val="top"/>
          </w:tcPr>
          <w:p w:rsidR="00855764" w:rsidRPr="00CA6E53" w:rsidRDefault="00855764" w:rsidP="003E5ED1">
            <w:pPr>
              <w:cnfStyle w:val="100000000000" w:firstRow="1" w:lastRow="0" w:firstColumn="0" w:lastColumn="0" w:oddVBand="0" w:evenVBand="0" w:oddHBand="0" w:evenHBand="0" w:firstRowFirstColumn="0" w:firstRowLastColumn="0" w:lastRowFirstColumn="0" w:lastRowLastColumn="0"/>
            </w:pPr>
            <w:r w:rsidRPr="00CA6E53">
              <w:t>2018</w:t>
            </w:r>
            <w:r w:rsidR="00B91215">
              <w:t>–</w:t>
            </w:r>
            <w:r w:rsidRPr="00CA6E53">
              <w:t>19</w:t>
            </w:r>
          </w:p>
        </w:tc>
        <w:tc>
          <w:tcPr>
            <w:tcW w:w="521" w:type="pct"/>
            <w:vAlign w:val="top"/>
          </w:tcPr>
          <w:p w:rsidR="00855764" w:rsidRPr="00CA6E53" w:rsidRDefault="00855764" w:rsidP="003E5ED1">
            <w:pPr>
              <w:cnfStyle w:val="100000000000" w:firstRow="1" w:lastRow="0" w:firstColumn="0" w:lastColumn="0" w:oddVBand="0" w:evenVBand="0" w:oddHBand="0" w:evenHBand="0" w:firstRowFirstColumn="0" w:firstRowLastColumn="0" w:lastRowFirstColumn="0" w:lastRowLastColumn="0"/>
            </w:pPr>
            <w:r w:rsidRPr="00CA6E53">
              <w:t>2019</w:t>
            </w:r>
            <w:r w:rsidR="00B91215">
              <w:t>–</w:t>
            </w:r>
            <w:r w:rsidRPr="00CA6E53">
              <w:t>20</w:t>
            </w:r>
          </w:p>
        </w:tc>
        <w:tc>
          <w:tcPr>
            <w:tcW w:w="522" w:type="pct"/>
            <w:vAlign w:val="top"/>
          </w:tcPr>
          <w:p w:rsidR="00855764" w:rsidRPr="00CA6E53" w:rsidRDefault="00855764" w:rsidP="003E5ED1">
            <w:pPr>
              <w:cnfStyle w:val="100000000000" w:firstRow="1" w:lastRow="0" w:firstColumn="0" w:lastColumn="0" w:oddVBand="0" w:evenVBand="0" w:oddHBand="0" w:evenHBand="0" w:firstRowFirstColumn="0" w:firstRowLastColumn="0" w:lastRowFirstColumn="0" w:lastRowLastColumn="0"/>
            </w:pPr>
            <w:r w:rsidRPr="00CA6E53">
              <w:t>2020</w:t>
            </w:r>
            <w:r w:rsidR="00B91215">
              <w:t>–</w:t>
            </w:r>
            <w:r w:rsidRPr="00CA6E53">
              <w:t>21</w:t>
            </w:r>
          </w:p>
        </w:tc>
        <w:tc>
          <w:tcPr>
            <w:tcW w:w="520" w:type="pct"/>
            <w:vAlign w:val="top"/>
          </w:tcPr>
          <w:p w:rsidR="00855764" w:rsidRPr="00CA6E53" w:rsidRDefault="00855764" w:rsidP="003E5ED1">
            <w:pPr>
              <w:cnfStyle w:val="100000000000" w:firstRow="1" w:lastRow="0" w:firstColumn="0" w:lastColumn="0" w:oddVBand="0" w:evenVBand="0" w:oddHBand="0" w:evenHBand="0" w:firstRowFirstColumn="0" w:firstRowLastColumn="0" w:lastRowFirstColumn="0" w:lastRowLastColumn="0"/>
            </w:pPr>
            <w:r w:rsidRPr="00CA6E53">
              <w:t xml:space="preserve">Total </w:t>
            </w:r>
          </w:p>
        </w:tc>
      </w:tr>
      <w:tr w:rsidR="00855764" w:rsidRPr="005764BE" w:rsidTr="004D3ACE">
        <w:tc>
          <w:tcPr>
            <w:cnfStyle w:val="001000000000" w:firstRow="0" w:lastRow="0" w:firstColumn="1" w:lastColumn="0" w:oddVBand="0" w:evenVBand="0" w:oddHBand="0" w:evenHBand="0" w:firstRowFirstColumn="0" w:firstRowLastColumn="0" w:lastRowFirstColumn="0" w:lastRowLastColumn="0"/>
            <w:tcW w:w="1350" w:type="pct"/>
            <w:vAlign w:val="top"/>
          </w:tcPr>
          <w:p w:rsidR="00855764" w:rsidRPr="00CA6E53" w:rsidRDefault="00855764" w:rsidP="003E5ED1">
            <w:r w:rsidRPr="00CA6E53">
              <w:t>AER draft decision on carryover amounts</w:t>
            </w:r>
          </w:p>
        </w:tc>
        <w:tc>
          <w:tcPr>
            <w:tcW w:w="521" w:type="pct"/>
            <w:vAlign w:val="top"/>
          </w:tcPr>
          <w:p w:rsidR="00855764" w:rsidRPr="00CA6E53" w:rsidRDefault="00855764" w:rsidP="0025078C">
            <w:pPr>
              <w:cnfStyle w:val="000000000000" w:firstRow="0" w:lastRow="0" w:firstColumn="0" w:lastColumn="0" w:oddVBand="0" w:evenVBand="0" w:oddHBand="0" w:evenHBand="0" w:firstRowFirstColumn="0" w:firstRowLastColumn="0" w:lastRowFirstColumn="0" w:lastRowLastColumn="0"/>
            </w:pPr>
            <w:r w:rsidRPr="005764BE">
              <w:rPr>
                <w:szCs w:val="16"/>
              </w:rPr>
              <w:t>1.</w:t>
            </w:r>
            <w:r w:rsidR="0025078C">
              <w:rPr>
                <w:szCs w:val="16"/>
              </w:rPr>
              <w:t>5</w:t>
            </w:r>
          </w:p>
        </w:tc>
        <w:tc>
          <w:tcPr>
            <w:tcW w:w="523" w:type="pct"/>
            <w:vAlign w:val="top"/>
          </w:tcPr>
          <w:p w:rsidR="00855764" w:rsidRPr="00CA6E53" w:rsidRDefault="00855764" w:rsidP="003E5ED1">
            <w:pPr>
              <w:cnfStyle w:val="000000000000" w:firstRow="0" w:lastRow="0" w:firstColumn="0" w:lastColumn="0" w:oddVBand="0" w:evenVBand="0" w:oddHBand="0" w:evenHBand="0" w:firstRowFirstColumn="0" w:firstRowLastColumn="0" w:lastRowFirstColumn="0" w:lastRowLastColumn="0"/>
            </w:pPr>
            <w:r w:rsidRPr="00CA6E53">
              <w:t>3.</w:t>
            </w:r>
            <w:r w:rsidR="009D44E4">
              <w:t>6</w:t>
            </w:r>
          </w:p>
        </w:tc>
        <w:tc>
          <w:tcPr>
            <w:tcW w:w="521" w:type="pct"/>
            <w:vAlign w:val="top"/>
          </w:tcPr>
          <w:p w:rsidR="00855764" w:rsidRPr="00CA6E53" w:rsidRDefault="00855764" w:rsidP="003E5ED1">
            <w:pPr>
              <w:cnfStyle w:val="000000000000" w:firstRow="0" w:lastRow="0" w:firstColumn="0" w:lastColumn="0" w:oddVBand="0" w:evenVBand="0" w:oddHBand="0" w:evenHBand="0" w:firstRowFirstColumn="0" w:firstRowLastColumn="0" w:lastRowFirstColumn="0" w:lastRowLastColumn="0"/>
            </w:pPr>
            <w:r w:rsidRPr="00CA6E53">
              <w:t>0.</w:t>
            </w:r>
            <w:r w:rsidR="009D44E4">
              <w:t>6</w:t>
            </w:r>
          </w:p>
        </w:tc>
        <w:tc>
          <w:tcPr>
            <w:tcW w:w="522" w:type="pct"/>
            <w:vAlign w:val="top"/>
          </w:tcPr>
          <w:p w:rsidR="00855764" w:rsidRPr="00CA6E53" w:rsidRDefault="00855764" w:rsidP="003E5ED1">
            <w:pPr>
              <w:cnfStyle w:val="000000000000" w:firstRow="0" w:lastRow="0" w:firstColumn="0" w:lastColumn="0" w:oddVBand="0" w:evenVBand="0" w:oddHBand="0" w:evenHBand="0" w:firstRowFirstColumn="0" w:firstRowLastColumn="0" w:lastRowFirstColumn="0" w:lastRowLastColumn="0"/>
            </w:pPr>
            <w:r>
              <w:t>-</w:t>
            </w:r>
            <w:r w:rsidR="009D44E4">
              <w:t>0.4</w:t>
            </w:r>
          </w:p>
        </w:tc>
        <w:tc>
          <w:tcPr>
            <w:tcW w:w="521" w:type="pct"/>
            <w:vAlign w:val="top"/>
          </w:tcPr>
          <w:p w:rsidR="00855764" w:rsidRPr="00CA6E53" w:rsidRDefault="00855764" w:rsidP="003E5ED1">
            <w:pPr>
              <w:cnfStyle w:val="000000000000" w:firstRow="0" w:lastRow="0" w:firstColumn="0" w:lastColumn="0" w:oddVBand="0" w:evenVBand="0" w:oddHBand="0" w:evenHBand="0" w:firstRowFirstColumn="0" w:firstRowLastColumn="0" w:lastRowFirstColumn="0" w:lastRowLastColumn="0"/>
            </w:pPr>
            <w:r w:rsidRPr="00CA6E53">
              <w:t>-2.</w:t>
            </w:r>
            <w:r>
              <w:t>4</w:t>
            </w:r>
          </w:p>
        </w:tc>
        <w:tc>
          <w:tcPr>
            <w:tcW w:w="522" w:type="pct"/>
            <w:vAlign w:val="top"/>
          </w:tcPr>
          <w:p w:rsidR="00855764" w:rsidRPr="00CA6E53" w:rsidRDefault="00855764" w:rsidP="003E5ED1">
            <w:pPr>
              <w:cnfStyle w:val="000000000000" w:firstRow="0" w:lastRow="0" w:firstColumn="0" w:lastColumn="0" w:oddVBand="0" w:evenVBand="0" w:oddHBand="0" w:evenHBand="0" w:firstRowFirstColumn="0" w:firstRowLastColumn="0" w:lastRowFirstColumn="0" w:lastRowLastColumn="0"/>
            </w:pPr>
            <w:r w:rsidRPr="00CA6E53">
              <w:t>0.0</w:t>
            </w:r>
          </w:p>
        </w:tc>
        <w:tc>
          <w:tcPr>
            <w:tcW w:w="520" w:type="pct"/>
            <w:vAlign w:val="top"/>
          </w:tcPr>
          <w:p w:rsidR="00855764" w:rsidRPr="00CA6E53" w:rsidRDefault="009D44E4" w:rsidP="0025078C">
            <w:pPr>
              <w:cnfStyle w:val="000000000000" w:firstRow="0" w:lastRow="0" w:firstColumn="0" w:lastColumn="0" w:oddVBand="0" w:evenVBand="0" w:oddHBand="0" w:evenHBand="0" w:firstRowFirstColumn="0" w:firstRowLastColumn="0" w:lastRowFirstColumn="0" w:lastRowLastColumn="0"/>
            </w:pPr>
            <w:r>
              <w:t>2</w:t>
            </w:r>
            <w:r w:rsidR="00855764" w:rsidRPr="00CA6E53">
              <w:t>.</w:t>
            </w:r>
            <w:r w:rsidR="0025078C">
              <w:t>9</w:t>
            </w:r>
          </w:p>
        </w:tc>
      </w:tr>
    </w:tbl>
    <w:p w:rsidR="004D3ACE" w:rsidRDefault="004D3ACE" w:rsidP="004D3ACE">
      <w:pPr>
        <w:pStyle w:val="AERtablesource"/>
      </w:pPr>
      <w:bookmarkStart w:id="16" w:name="_Toc431372705"/>
      <w:r>
        <w:t>Source:</w:t>
      </w:r>
      <w:r>
        <w:tab/>
        <w:t>AER analysis.</w:t>
      </w:r>
    </w:p>
    <w:p w:rsidR="00A2356E" w:rsidRPr="007C7C29" w:rsidRDefault="00A2356E" w:rsidP="00A2356E">
      <w:pPr>
        <w:pStyle w:val="Heading3"/>
      </w:pPr>
      <w:bookmarkStart w:id="17" w:name="_Toc436044131"/>
      <w:r>
        <w:t xml:space="preserve">Incentive </w:t>
      </w:r>
      <w:r w:rsidR="00E27F7C">
        <w:t>mechanism proposed for the 2016</w:t>
      </w:r>
      <w:r w:rsidR="00B91215">
        <w:t>–</w:t>
      </w:r>
      <w:r>
        <w:t xml:space="preserve">21 </w:t>
      </w:r>
      <w:bookmarkEnd w:id="16"/>
      <w:r w:rsidR="00A706B4">
        <w:t>period</w:t>
      </w:r>
      <w:bookmarkEnd w:id="17"/>
    </w:p>
    <w:p w:rsidR="00A2356E" w:rsidRDefault="007C473C" w:rsidP="00A2356E">
      <w:r>
        <w:t xml:space="preserve">While we support the </w:t>
      </w:r>
      <w:r w:rsidR="00394A7E">
        <w:t xml:space="preserve">continued application </w:t>
      </w:r>
      <w:r>
        <w:t>of an efficiency carryover mechanism to ActewAGL in the 2016</w:t>
      </w:r>
      <w:r w:rsidR="00B91215">
        <w:t>–</w:t>
      </w:r>
      <w:r>
        <w:t>21 access arrangement</w:t>
      </w:r>
      <w:r w:rsidR="00394A7E">
        <w:t xml:space="preserve"> period</w:t>
      </w:r>
      <w:r>
        <w:t xml:space="preserve">, we </w:t>
      </w:r>
      <w:r w:rsidR="00394A7E">
        <w:t xml:space="preserve">do </w:t>
      </w:r>
      <w:r>
        <w:t xml:space="preserve">not </w:t>
      </w:r>
      <w:r w:rsidR="00C300FE">
        <w:t xml:space="preserve">approve </w:t>
      </w:r>
      <w:r>
        <w:t xml:space="preserve">the efficiency carryover mechanism proposed by ActewAGL. We have made amendments to </w:t>
      </w:r>
      <w:r w:rsidR="00A2356E">
        <w:t xml:space="preserve">ActewAGL’s </w:t>
      </w:r>
      <w:r w:rsidR="00394A7E">
        <w:t xml:space="preserve">proposed efficiency carryover mechanism </w:t>
      </w:r>
      <w:r>
        <w:t>which</w:t>
      </w:r>
      <w:r w:rsidR="00394A7E">
        <w:t>:</w:t>
      </w:r>
    </w:p>
    <w:p w:rsidR="00130877" w:rsidRDefault="00083BEA" w:rsidP="00130877">
      <w:pPr>
        <w:pStyle w:val="AERbulletlistfirststyle"/>
      </w:pPr>
      <w:r>
        <w:t xml:space="preserve">streamline </w:t>
      </w:r>
      <w:r w:rsidR="00B71D67">
        <w:t xml:space="preserve">and reduce </w:t>
      </w:r>
      <w:r>
        <w:t xml:space="preserve">the categories of costs that are excluded from the operation of the efficiency carryover mechanism. </w:t>
      </w:r>
    </w:p>
    <w:p w:rsidR="00A2356E" w:rsidRDefault="00A2356E" w:rsidP="00A2356E">
      <w:pPr>
        <w:pStyle w:val="AERbulletlistfirststyle"/>
      </w:pPr>
      <w:r>
        <w:t xml:space="preserve">adjust ActewAGL’s </w:t>
      </w:r>
      <w:r w:rsidR="00394A7E">
        <w:t xml:space="preserve">approved </w:t>
      </w:r>
      <w:r>
        <w:t>opex forecast</w:t>
      </w:r>
      <w:r w:rsidR="00394A7E">
        <w:t>s</w:t>
      </w:r>
      <w:r>
        <w:t xml:space="preserve"> to account for (1) approved pass through amounts and (2) capitalisation policy changes.</w:t>
      </w:r>
    </w:p>
    <w:p w:rsidR="00905CC1" w:rsidRPr="00C307DD" w:rsidRDefault="00791AA8" w:rsidP="00905CC1">
      <w:pPr>
        <w:pStyle w:val="AERbulletlistfirststyle"/>
      </w:pPr>
      <w:r>
        <w:t>applies a</w:t>
      </w:r>
      <w:r w:rsidR="00905CC1">
        <w:t xml:space="preserve"> </w:t>
      </w:r>
      <w:r>
        <w:t xml:space="preserve">different </w:t>
      </w:r>
      <w:r w:rsidR="00905CC1">
        <w:t>equation to calculate the incre</w:t>
      </w:r>
      <w:r>
        <w:t>mental efficiency gain (loss) for</w:t>
      </w:r>
      <w:r w:rsidR="00905CC1">
        <w:t xml:space="preserve"> the first regulatory year (2016</w:t>
      </w:r>
      <w:r w:rsidR="00B91215">
        <w:t>–</w:t>
      </w:r>
      <w:r w:rsidR="00905CC1">
        <w:t>17), given that we do not agree</w:t>
      </w:r>
      <w:r>
        <w:t xml:space="preserve"> that the </w:t>
      </w:r>
      <w:r w:rsidR="00D7408A">
        <w:t xml:space="preserve">efficiency carryover mechanism </w:t>
      </w:r>
      <w:r>
        <w:t>should be closed in 2015</w:t>
      </w:r>
      <w:r w:rsidR="00B91215">
        <w:t>–</w:t>
      </w:r>
      <w:r w:rsidR="00905CC1">
        <w:t>16 and restart</w:t>
      </w:r>
      <w:r>
        <w:t>ed</w:t>
      </w:r>
      <w:r w:rsidR="00905CC1">
        <w:t xml:space="preserve"> in </w:t>
      </w:r>
      <w:r>
        <w:t>2016</w:t>
      </w:r>
      <w:r w:rsidR="00B91215">
        <w:t>–</w:t>
      </w:r>
      <w:r w:rsidR="00905CC1">
        <w:t>1</w:t>
      </w:r>
      <w:r>
        <w:t>7</w:t>
      </w:r>
      <w:r w:rsidR="00905CC1">
        <w:t>.</w:t>
      </w:r>
    </w:p>
    <w:p w:rsidR="00A2356E" w:rsidRDefault="00007054" w:rsidP="00A2356E">
      <w:pPr>
        <w:pStyle w:val="AERbulletlistfirststyle"/>
      </w:pPr>
      <w:r>
        <w:t xml:space="preserve">removes </w:t>
      </w:r>
      <w:r w:rsidR="00394A7E">
        <w:t xml:space="preserve">a </w:t>
      </w:r>
      <w:r w:rsidR="00A2356E">
        <w:t>clause</w:t>
      </w:r>
      <w:r w:rsidR="00394A7E">
        <w:t xml:space="preserve"> which sets out how the efficiency carryover </w:t>
      </w:r>
      <w:r>
        <w:t>mechanism</w:t>
      </w:r>
      <w:r w:rsidR="00394A7E">
        <w:t xml:space="preserve"> would operate should an interval of delay take place after the </w:t>
      </w:r>
      <w:r w:rsidR="006168CC">
        <w:t>2016</w:t>
      </w:r>
      <w:r w:rsidR="00B91215">
        <w:t>–</w:t>
      </w:r>
      <w:r w:rsidR="00A2356E">
        <w:t xml:space="preserve">21 access arrangement period. </w:t>
      </w:r>
    </w:p>
    <w:p w:rsidR="00A2356E" w:rsidRDefault="00D7408A" w:rsidP="00A2356E">
      <w:r>
        <w:t xml:space="preserve">Based on </w:t>
      </w:r>
      <w:r w:rsidR="00B71D67">
        <w:t>our assessment of opex in Attachment 7 of this draft decision, we have determined the</w:t>
      </w:r>
      <w:r w:rsidR="00A2356E">
        <w:t xml:space="preserve"> total </w:t>
      </w:r>
      <w:r w:rsidR="00A706B4">
        <w:t xml:space="preserve">annual </w:t>
      </w:r>
      <w:r w:rsidR="00A2356E">
        <w:t>opex forecasts we will use to calculate efficienc</w:t>
      </w:r>
      <w:r w:rsidR="006168CC">
        <w:t>y gains and losses for the 2016</w:t>
      </w:r>
      <w:r w:rsidR="00B91215">
        <w:t>–</w:t>
      </w:r>
      <w:r w:rsidR="00A2356E">
        <w:t xml:space="preserve">21 period. </w:t>
      </w:r>
      <w:r w:rsidR="00007054">
        <w:t xml:space="preserve">We have also </w:t>
      </w:r>
      <w:r w:rsidR="00376507">
        <w:t>determined</w:t>
      </w:r>
      <w:r w:rsidR="00007054">
        <w:t xml:space="preserve"> a forecast for 2015</w:t>
      </w:r>
      <w:r w:rsidR="00B91215">
        <w:t>–</w:t>
      </w:r>
      <w:r w:rsidR="00007054">
        <w:t xml:space="preserve">16 </w:t>
      </w:r>
      <w:r w:rsidR="00A706B4">
        <w:t>as</w:t>
      </w:r>
      <w:r w:rsidR="001F3278">
        <w:t xml:space="preserve"> </w:t>
      </w:r>
      <w:r w:rsidR="00376507">
        <w:t>a forecast was not approved at the time the 2010</w:t>
      </w:r>
      <w:r w:rsidR="00B91215">
        <w:t>–</w:t>
      </w:r>
      <w:r w:rsidR="00376507">
        <w:t>15 access arrangement</w:t>
      </w:r>
      <w:r w:rsidR="00A706B4">
        <w:t>,</w:t>
      </w:r>
      <w:r w:rsidR="00376507">
        <w:t xml:space="preserve"> as </w:t>
      </w:r>
      <w:r w:rsidR="00A706B4">
        <w:t>the</w:t>
      </w:r>
      <w:r w:rsidR="00007054">
        <w:t xml:space="preserve"> delay </w:t>
      </w:r>
      <w:r w:rsidR="001F3278">
        <w:t xml:space="preserve">had </w:t>
      </w:r>
      <w:r w:rsidR="00007054">
        <w:t xml:space="preserve">not </w:t>
      </w:r>
      <w:r w:rsidR="001F3278">
        <w:t xml:space="preserve">been </w:t>
      </w:r>
      <w:r w:rsidR="00007054">
        <w:t>an</w:t>
      </w:r>
      <w:r w:rsidR="001F3278">
        <w:t>ticipated</w:t>
      </w:r>
      <w:r w:rsidR="00376507">
        <w:t>.</w:t>
      </w:r>
      <w:r w:rsidR="00946247">
        <w:t xml:space="preserve"> </w:t>
      </w:r>
      <w:r w:rsidR="00A706B4">
        <w:t>The</w:t>
      </w:r>
      <w:r w:rsidR="00FD69E1">
        <w:t xml:space="preserve"> 2015</w:t>
      </w:r>
      <w:r w:rsidR="00B91215">
        <w:t>–</w:t>
      </w:r>
      <w:r w:rsidR="008B3C97">
        <w:t xml:space="preserve">16 opex forecast is necessary to accurately calculate the </w:t>
      </w:r>
      <w:r w:rsidR="00FD69E1">
        <w:t>incremental gain (loss) in 2016</w:t>
      </w:r>
      <w:r w:rsidR="00B91215">
        <w:t>–</w:t>
      </w:r>
      <w:r w:rsidR="008B3C97">
        <w:t>17, t</w:t>
      </w:r>
      <w:r w:rsidR="00FD69E1">
        <w:t>he first year of the 2016</w:t>
      </w:r>
      <w:r w:rsidR="00B91215">
        <w:t>–</w:t>
      </w:r>
      <w:r w:rsidR="008B3C97">
        <w:t xml:space="preserve">21 period. Without this forecast, incremental efficiency gains in the </w:t>
      </w:r>
      <w:r w:rsidR="00FD69E1">
        <w:t>2015</w:t>
      </w:r>
      <w:r w:rsidR="00B91215">
        <w:t>–</w:t>
      </w:r>
      <w:r w:rsidR="008B3C97">
        <w:t xml:space="preserve">16 year would </w:t>
      </w:r>
      <w:r w:rsidR="00C56313">
        <w:t>carry</w:t>
      </w:r>
      <w:r w:rsidR="008B3C97">
        <w:t xml:space="preserve">over </w:t>
      </w:r>
      <w:r w:rsidR="008B3C97">
        <w:lastRenderedPageBreak/>
        <w:t xml:space="preserve">for six years rather than five years. </w:t>
      </w:r>
      <w:r w:rsidR="00B71D67">
        <w:t xml:space="preserve">Our draft decision on ActewAGL’s forecast opex is set out in </w:t>
      </w:r>
      <w:r w:rsidR="00B56C55">
        <w:t>Attachment 7</w:t>
      </w:r>
      <w:r w:rsidR="003C06ED">
        <w:t xml:space="preserve"> (Table 7.1)</w:t>
      </w:r>
      <w:r w:rsidR="00B71D67">
        <w:t>.</w:t>
      </w:r>
    </w:p>
    <w:p w:rsidR="00A2356E" w:rsidRDefault="00A2356E" w:rsidP="00A2356E">
      <w:pPr>
        <w:pStyle w:val="Heading2"/>
      </w:pPr>
      <w:bookmarkStart w:id="18" w:name="_Toc431372706"/>
      <w:bookmarkStart w:id="19" w:name="_Toc436044132"/>
      <w:r>
        <w:t>ActewAGL's proposal</w:t>
      </w:r>
      <w:bookmarkEnd w:id="18"/>
      <w:bookmarkEnd w:id="19"/>
    </w:p>
    <w:p w:rsidR="00A2356E" w:rsidRDefault="00A2356E" w:rsidP="00A2356E">
      <w:pPr>
        <w:pStyle w:val="Heading3"/>
      </w:pPr>
      <w:bookmarkStart w:id="20" w:name="_Toc431372707"/>
      <w:bookmarkStart w:id="21" w:name="_Toc436044133"/>
      <w:r>
        <w:t>Carryover amounts from the 2010</w:t>
      </w:r>
      <w:r w:rsidR="00B91215">
        <w:t>–</w:t>
      </w:r>
      <w:r>
        <w:t xml:space="preserve">15 </w:t>
      </w:r>
      <w:r w:rsidR="00D7408A">
        <w:t>period</w:t>
      </w:r>
      <w:bookmarkEnd w:id="21"/>
      <w:r>
        <w:t xml:space="preserve"> </w:t>
      </w:r>
      <w:bookmarkEnd w:id="20"/>
    </w:p>
    <w:p w:rsidR="00A2356E" w:rsidRDefault="00A2356E" w:rsidP="00A2356E">
      <w:r>
        <w:t>ActewAGL proposed that a total carryover amo</w:t>
      </w:r>
      <w:r w:rsidR="000A5AF0">
        <w:t>unt of $11.</w:t>
      </w:r>
      <w:r w:rsidR="00EC24CD">
        <w:t>2</w:t>
      </w:r>
      <w:r w:rsidR="00C2172A">
        <w:t> </w:t>
      </w:r>
      <w:r w:rsidR="000A5AF0">
        <w:t>million (2015</w:t>
      </w:r>
      <w:r w:rsidR="00B91215">
        <w:t>–</w:t>
      </w:r>
      <w:r w:rsidR="000A5AF0">
        <w:t>16) from the 2010</w:t>
      </w:r>
      <w:r w:rsidR="00B91215">
        <w:t>–</w:t>
      </w:r>
      <w:r>
        <w:t>15 access arrangement period be added to the reven</w:t>
      </w:r>
      <w:r w:rsidR="000A5AF0">
        <w:t>ue building blocks for the 2016</w:t>
      </w:r>
      <w:r w:rsidR="00B91215">
        <w:t>–</w:t>
      </w:r>
      <w:r>
        <w:t>21 access arrangement period.</w:t>
      </w:r>
    </w:p>
    <w:p w:rsidR="00385B82" w:rsidRDefault="00A2356E" w:rsidP="00A2356E">
      <w:r>
        <w:t>ActewAGL used the equations set out in clause 4.</w:t>
      </w:r>
      <w:r w:rsidR="00C300FE">
        <w:t xml:space="preserve">6 </w:t>
      </w:r>
      <w:r>
        <w:t xml:space="preserve">of </w:t>
      </w:r>
      <w:r w:rsidR="00D7408A">
        <w:t xml:space="preserve">its </w:t>
      </w:r>
      <w:r>
        <w:t>2010</w:t>
      </w:r>
      <w:r w:rsidR="00B91215">
        <w:t>–</w:t>
      </w:r>
      <w:r>
        <w:t>15 access arrangement to calculate incremental efficiency gains (losses).</w:t>
      </w:r>
      <w:r w:rsidR="00215AB6">
        <w:t xml:space="preserve"> </w:t>
      </w:r>
      <w:r>
        <w:t>These formulas assume the bas</w:t>
      </w:r>
      <w:r w:rsidR="000A5AF0">
        <w:t>e year is year four of the 2010</w:t>
      </w:r>
      <w:r w:rsidR="00B91215">
        <w:t>–</w:t>
      </w:r>
      <w:r>
        <w:t>15 access arrangement period (that is, 2013</w:t>
      </w:r>
      <w:r w:rsidR="00B91215">
        <w:t>–</w:t>
      </w:r>
      <w:r>
        <w:t>14) and that the first year of the subsequent access arrangement period would commence</w:t>
      </w:r>
      <w:r w:rsidR="00EC24CD">
        <w:t xml:space="preserve"> on </w:t>
      </w:r>
      <w:r>
        <w:t>1 July 2015.</w:t>
      </w:r>
    </w:p>
    <w:p w:rsidR="00FD696E" w:rsidRDefault="00FD696E" w:rsidP="00A2356E">
      <w:bookmarkStart w:id="22" w:name="_Toc430963588"/>
      <w:bookmarkStart w:id="23" w:name="_Toc430963590"/>
      <w:bookmarkStart w:id="24" w:name="_Toc430963591"/>
      <w:bookmarkStart w:id="25" w:name="_Toc430963592"/>
      <w:bookmarkStart w:id="26" w:name="_Toc430963710"/>
      <w:bookmarkEnd w:id="22"/>
      <w:bookmarkEnd w:id="23"/>
      <w:bookmarkEnd w:id="24"/>
      <w:bookmarkEnd w:id="25"/>
      <w:bookmarkEnd w:id="26"/>
      <w:r>
        <w:t xml:space="preserve">It was not known at the time the current access arrangement </w:t>
      </w:r>
      <w:r w:rsidR="00C300FE">
        <w:t xml:space="preserve">was made </w:t>
      </w:r>
      <w:r w:rsidR="00D7408A">
        <w:t xml:space="preserve">that an interval of delay would occur during </w:t>
      </w:r>
      <w:r w:rsidR="000742B7">
        <w:t>2015–16</w:t>
      </w:r>
      <w:r>
        <w:t>, with the next access arrangement commencing 1 July 2016.</w:t>
      </w:r>
    </w:p>
    <w:p w:rsidR="005C0FF6" w:rsidRDefault="00A2356E" w:rsidP="00A2356E">
      <w:r>
        <w:t xml:space="preserve">ActewAGL proposed </w:t>
      </w:r>
      <w:r w:rsidR="00EA37FE">
        <w:t xml:space="preserve">the </w:t>
      </w:r>
      <w:r w:rsidR="00605EA6">
        <w:t xml:space="preserve">efficiency </w:t>
      </w:r>
      <w:r w:rsidR="004F7AAD">
        <w:t>carryover</w:t>
      </w:r>
      <w:r>
        <w:t xml:space="preserve"> mechanism </w:t>
      </w:r>
      <w:r w:rsidR="00CE3994">
        <w:t xml:space="preserve">be closed in </w:t>
      </w:r>
      <w:r>
        <w:t>2015</w:t>
      </w:r>
      <w:r w:rsidR="00B91215">
        <w:t>–</w:t>
      </w:r>
      <w:r>
        <w:t>16</w:t>
      </w:r>
      <w:r w:rsidR="00CE3994">
        <w:t xml:space="preserve"> and restarted in 2016</w:t>
      </w:r>
      <w:r w:rsidR="00B91215">
        <w:t>–</w:t>
      </w:r>
      <w:r w:rsidR="00CE3994">
        <w:t>17 for the duration of the 2016</w:t>
      </w:r>
      <w:r w:rsidR="00B91215">
        <w:t>–</w:t>
      </w:r>
      <w:r w:rsidR="00CE3994">
        <w:t>21</w:t>
      </w:r>
      <w:r w:rsidR="00376507">
        <w:t> </w:t>
      </w:r>
      <w:r w:rsidR="00CE3994">
        <w:t>access arrangement period</w:t>
      </w:r>
      <w:r>
        <w:t xml:space="preserve">. </w:t>
      </w:r>
      <w:r w:rsidR="00CE3994">
        <w:t xml:space="preserve">This </w:t>
      </w:r>
      <w:r w:rsidR="00703A76">
        <w:t xml:space="preserve">treatment </w:t>
      </w:r>
      <w:r w:rsidR="00CE3994">
        <w:t>means</w:t>
      </w:r>
      <w:r w:rsidR="00703A76">
        <w:t xml:space="preserve"> </w:t>
      </w:r>
      <w:r w:rsidR="00CE3994">
        <w:t>no incremental efficiency gains would be calculated in the 2015</w:t>
      </w:r>
      <w:r w:rsidR="00B91215">
        <w:t>–</w:t>
      </w:r>
      <w:r w:rsidR="00CE3994">
        <w:t xml:space="preserve">16 regulatory year or </w:t>
      </w:r>
      <w:r w:rsidR="00703A76">
        <w:t xml:space="preserve">retained </w:t>
      </w:r>
      <w:r w:rsidR="00CE3994">
        <w:t>for the five year carryover period</w:t>
      </w:r>
      <w:r w:rsidR="00CA5974">
        <w:t>.</w:t>
      </w:r>
      <w:r w:rsidR="00703A76">
        <w:t xml:space="preserve"> </w:t>
      </w:r>
      <w:r w:rsidR="00CA5974">
        <w:t xml:space="preserve">This </w:t>
      </w:r>
      <w:r w:rsidR="002603AC">
        <w:t xml:space="preserve">does not </w:t>
      </w:r>
      <w:r w:rsidR="005C0FF6">
        <w:t>impact</w:t>
      </w:r>
      <w:r w:rsidR="00CA5974">
        <w:t xml:space="preserve"> </w:t>
      </w:r>
      <w:r w:rsidR="002603AC">
        <w:t>carryover</w:t>
      </w:r>
      <w:r w:rsidR="00EA37FE">
        <w:t xml:space="preserve"> of incremental efficiency gains (losses) </w:t>
      </w:r>
      <w:r w:rsidR="002603AC">
        <w:t>from</w:t>
      </w:r>
      <w:r w:rsidR="00703A76">
        <w:t xml:space="preserve"> the 2010</w:t>
      </w:r>
      <w:r w:rsidR="00B91215">
        <w:t>–</w:t>
      </w:r>
      <w:r w:rsidR="00703A76">
        <w:t xml:space="preserve">15 </w:t>
      </w:r>
      <w:r w:rsidR="00D7408A">
        <w:t>period</w:t>
      </w:r>
      <w:r w:rsidR="00EA37FE">
        <w:t>.</w:t>
      </w:r>
      <w:r w:rsidR="00703A76">
        <w:t xml:space="preserve"> </w:t>
      </w:r>
    </w:p>
    <w:p w:rsidR="00215AB6" w:rsidRDefault="00703A76" w:rsidP="00A2356E">
      <w:r>
        <w:t>ActewAGL therefore calculate</w:t>
      </w:r>
      <w:r w:rsidR="00F76DBF">
        <w:t>d</w:t>
      </w:r>
      <w:r>
        <w:t xml:space="preserve"> a total carryover amount of $14.9 million </w:t>
      </w:r>
      <w:r w:rsidR="00026F62">
        <w:t>($2015</w:t>
      </w:r>
      <w:r w:rsidR="00B91215">
        <w:t>–</w:t>
      </w:r>
      <w:r w:rsidR="00026F62">
        <w:t xml:space="preserve">16) </w:t>
      </w:r>
      <w:r>
        <w:t>from the 2010</w:t>
      </w:r>
      <w:r w:rsidR="00B91215">
        <w:t>–</w:t>
      </w:r>
      <w:r>
        <w:t xml:space="preserve">15 </w:t>
      </w:r>
      <w:r w:rsidR="002603AC">
        <w:t>period</w:t>
      </w:r>
      <w:r>
        <w:t xml:space="preserve"> to the 2015</w:t>
      </w:r>
      <w:r w:rsidR="00B91215">
        <w:t>–</w:t>
      </w:r>
      <w:r>
        <w:t>16 and the 2016</w:t>
      </w:r>
      <w:r w:rsidR="00B91215">
        <w:t>–</w:t>
      </w:r>
      <w:r>
        <w:t xml:space="preserve">21 period. </w:t>
      </w:r>
      <w:r w:rsidR="005C0FF6">
        <w:t xml:space="preserve">This includes a carryover </w:t>
      </w:r>
      <w:r w:rsidR="00C90BEA">
        <w:t xml:space="preserve">amount of $3.7 million </w:t>
      </w:r>
      <w:r w:rsidR="005C0FF6">
        <w:t xml:space="preserve">for the </w:t>
      </w:r>
      <w:r w:rsidR="000742B7">
        <w:t>2015–16</w:t>
      </w:r>
      <w:r w:rsidR="005C0FF6">
        <w:t xml:space="preserve"> regulatory year. </w:t>
      </w:r>
      <w:r w:rsidR="00A706B4">
        <w:t xml:space="preserve">However, </w:t>
      </w:r>
      <w:r w:rsidR="004B4266">
        <w:t xml:space="preserve">ActewAGL proposed </w:t>
      </w:r>
      <w:r w:rsidR="005C0FF6">
        <w:t xml:space="preserve">this amount </w:t>
      </w:r>
      <w:r w:rsidR="00A2356E">
        <w:t>not be added to the revenue building blocks</w:t>
      </w:r>
      <w:r w:rsidR="00C90BEA">
        <w:t>.</w:t>
      </w:r>
      <w:r w:rsidR="005C0FF6">
        <w:t xml:space="preserve"> </w:t>
      </w:r>
      <w:r w:rsidR="00A706B4">
        <w:t>As a result ActewAGL proposed</w:t>
      </w:r>
      <w:r w:rsidR="00CC5A71">
        <w:t xml:space="preserve"> a </w:t>
      </w:r>
      <w:r w:rsidR="0007695E">
        <w:t xml:space="preserve">total carryover </w:t>
      </w:r>
      <w:r w:rsidR="00E24C24">
        <w:t xml:space="preserve">amount </w:t>
      </w:r>
      <w:r w:rsidR="0007695E">
        <w:t xml:space="preserve">of </w:t>
      </w:r>
      <w:r w:rsidR="001E1ECC">
        <w:t xml:space="preserve">$11.2 million </w:t>
      </w:r>
      <w:r w:rsidR="00165C57">
        <w:t>($2015</w:t>
      </w:r>
      <w:r w:rsidR="00B91215">
        <w:t>–</w:t>
      </w:r>
      <w:r w:rsidR="00165C57">
        <w:t>16)</w:t>
      </w:r>
      <w:r w:rsidR="00A2356E">
        <w:t>.</w:t>
      </w:r>
      <w:r w:rsidR="004F5B56">
        <w:t xml:space="preserve"> </w:t>
      </w:r>
    </w:p>
    <w:p w:rsidR="006C75D7" w:rsidRDefault="002331B4" w:rsidP="00F246DD">
      <w:r>
        <w:fldChar w:fldCharType="begin"/>
      </w:r>
      <w:r>
        <w:instrText xml:space="preserve"> REF _Ref435188042 \h </w:instrText>
      </w:r>
      <w:r>
        <w:fldChar w:fldCharType="separate"/>
      </w:r>
      <w:r>
        <w:t xml:space="preserve">Table </w:t>
      </w:r>
      <w:r>
        <w:rPr>
          <w:noProof/>
        </w:rPr>
        <w:t>9</w:t>
      </w:r>
      <w:r>
        <w:t>.</w:t>
      </w:r>
      <w:r>
        <w:rPr>
          <w:noProof/>
        </w:rPr>
        <w:t>2</w:t>
      </w:r>
      <w:r>
        <w:fldChar w:fldCharType="end"/>
      </w:r>
      <w:r w:rsidR="00F246DD">
        <w:t xml:space="preserve"> </w:t>
      </w:r>
      <w:r w:rsidR="00571B70">
        <w:t xml:space="preserve">outlines ActewAGL’s proposed treatment of the incremental efficiency gains </w:t>
      </w:r>
      <w:r w:rsidR="00C90BEA">
        <w:t>(</w:t>
      </w:r>
      <w:r w:rsidR="00571B70">
        <w:t>losses</w:t>
      </w:r>
      <w:r w:rsidR="00C90BEA">
        <w:t>)</w:t>
      </w:r>
      <w:r w:rsidR="00571B70">
        <w:t xml:space="preserve"> to calculate the carryover amounts.</w:t>
      </w:r>
    </w:p>
    <w:p w:rsidR="00666841" w:rsidRPr="00F246DD" w:rsidRDefault="002331B4" w:rsidP="000742B7">
      <w:pPr>
        <w:pStyle w:val="Caption"/>
      </w:pPr>
      <w:bookmarkStart w:id="27" w:name="_Ref435188042"/>
      <w:r>
        <w:lastRenderedPageBreak/>
        <w:t xml:space="preserve">Table </w:t>
      </w:r>
      <w:r w:rsidR="00870821">
        <w:fldChar w:fldCharType="begin"/>
      </w:r>
      <w:r w:rsidR="00870821">
        <w:instrText xml:space="preserve"> STYLEREF 1 \s </w:instrText>
      </w:r>
      <w:r w:rsidR="00870821">
        <w:fldChar w:fldCharType="separate"/>
      </w:r>
      <w:r>
        <w:rPr>
          <w:noProof/>
        </w:rPr>
        <w:t>9</w:t>
      </w:r>
      <w:r w:rsidR="00870821">
        <w:rPr>
          <w:noProof/>
        </w:rPr>
        <w:fldChar w:fldCharType="end"/>
      </w:r>
      <w:r>
        <w:t>.</w:t>
      </w:r>
      <w:r w:rsidR="002B36D9">
        <w:fldChar w:fldCharType="begin"/>
      </w:r>
      <w:r w:rsidR="002B36D9">
        <w:instrText xml:space="preserve"> SEQ Table \* ARABIC \s 1 </w:instrText>
      </w:r>
      <w:r w:rsidR="002B36D9">
        <w:fldChar w:fldCharType="separate"/>
      </w:r>
      <w:r>
        <w:rPr>
          <w:noProof/>
        </w:rPr>
        <w:t>2</w:t>
      </w:r>
      <w:r w:rsidR="002B36D9">
        <w:rPr>
          <w:noProof/>
        </w:rPr>
        <w:fldChar w:fldCharType="end"/>
      </w:r>
      <w:bookmarkEnd w:id="27"/>
      <w:r w:rsidR="003C06ED">
        <w:tab/>
      </w:r>
      <w:r w:rsidR="00666841" w:rsidRPr="00F246DD">
        <w:rPr>
          <w:bCs w:val="0"/>
        </w:rPr>
        <w:t xml:space="preserve">ActewAGL’s carryover amount calculations ($million, </w:t>
      </w:r>
      <w:r w:rsidR="000742B7">
        <w:rPr>
          <w:bCs w:val="0"/>
        </w:rPr>
        <w:t>2015</w:t>
      </w:r>
      <w:r w:rsidR="00CC70BB">
        <w:rPr>
          <w:bCs w:val="0"/>
        </w:rPr>
        <w:noBreakHyphen/>
        <w:t>1</w:t>
      </w:r>
      <w:r w:rsidR="000742B7">
        <w:rPr>
          <w:bCs w:val="0"/>
        </w:rPr>
        <w:t>6</w:t>
      </w:r>
      <w:r w:rsidR="00666841" w:rsidRPr="00F246DD">
        <w:rPr>
          <w:bCs w:val="0"/>
        </w:rPr>
        <w:t xml:space="preserve">) </w:t>
      </w:r>
    </w:p>
    <w:tbl>
      <w:tblPr>
        <w:tblStyle w:val="AERtable-numbers"/>
        <w:tblW w:w="5300" w:type="pct"/>
        <w:tblInd w:w="108" w:type="dxa"/>
        <w:tblLayout w:type="fixed"/>
        <w:tblLook w:val="04A0" w:firstRow="1" w:lastRow="0" w:firstColumn="1" w:lastColumn="0" w:noHBand="0" w:noVBand="1"/>
      </w:tblPr>
      <w:tblGrid>
        <w:gridCol w:w="1241"/>
        <w:gridCol w:w="664"/>
        <w:gridCol w:w="666"/>
        <w:gridCol w:w="664"/>
        <w:gridCol w:w="666"/>
        <w:gridCol w:w="664"/>
        <w:gridCol w:w="666"/>
        <w:gridCol w:w="663"/>
        <w:gridCol w:w="665"/>
        <w:gridCol w:w="663"/>
        <w:gridCol w:w="665"/>
        <w:gridCol w:w="663"/>
        <w:gridCol w:w="665"/>
      </w:tblGrid>
      <w:tr w:rsidR="00B862DE" w:rsidTr="00B862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pct"/>
            <w:vAlign w:val="top"/>
          </w:tcPr>
          <w:p w:rsidR="00B862DE" w:rsidRDefault="00B862DE" w:rsidP="00DD384A">
            <w:pPr>
              <w:keepNext/>
              <w:spacing w:line="240" w:lineRule="auto"/>
            </w:pPr>
            <w:r>
              <w:t>Opex</w:t>
            </w:r>
          </w:p>
        </w:tc>
        <w:tc>
          <w:tcPr>
            <w:tcW w:w="360" w:type="pct"/>
          </w:tcPr>
          <w:p w:rsidR="00B862DE" w:rsidRDefault="00B862DE" w:rsidP="00DD384A">
            <w:pPr>
              <w:keepNext/>
              <w:spacing w:line="240" w:lineRule="auto"/>
              <w:cnfStyle w:val="100000000000" w:firstRow="1" w:lastRow="0" w:firstColumn="0" w:lastColumn="0" w:oddVBand="0" w:evenVBand="0" w:oddHBand="0" w:evenHBand="0" w:firstRowFirstColumn="0" w:firstRowLastColumn="0" w:lastRowFirstColumn="0" w:lastRowLastColumn="0"/>
            </w:pPr>
            <w:r>
              <w:t>10</w:t>
            </w:r>
            <w:r w:rsidR="00B91215">
              <w:t>–</w:t>
            </w:r>
            <w:r>
              <w:t>11</w:t>
            </w:r>
          </w:p>
        </w:tc>
        <w:tc>
          <w:tcPr>
            <w:tcW w:w="361" w:type="pct"/>
          </w:tcPr>
          <w:p w:rsidR="00B862DE" w:rsidRDefault="00B862DE" w:rsidP="00DD384A">
            <w:pPr>
              <w:keepNext/>
              <w:spacing w:line="240" w:lineRule="auto"/>
              <w:cnfStyle w:val="100000000000" w:firstRow="1" w:lastRow="0" w:firstColumn="0" w:lastColumn="0" w:oddVBand="0" w:evenVBand="0" w:oddHBand="0" w:evenHBand="0" w:firstRowFirstColumn="0" w:firstRowLastColumn="0" w:lastRowFirstColumn="0" w:lastRowLastColumn="0"/>
            </w:pPr>
            <w:r>
              <w:t>11</w:t>
            </w:r>
            <w:r w:rsidR="00B91215">
              <w:t>–</w:t>
            </w:r>
            <w:r>
              <w:t>12</w:t>
            </w:r>
          </w:p>
        </w:tc>
        <w:tc>
          <w:tcPr>
            <w:tcW w:w="360" w:type="pct"/>
          </w:tcPr>
          <w:p w:rsidR="00B862DE" w:rsidRDefault="00B862DE" w:rsidP="00DD384A">
            <w:pPr>
              <w:keepNext/>
              <w:spacing w:line="240" w:lineRule="auto"/>
              <w:cnfStyle w:val="100000000000" w:firstRow="1" w:lastRow="0" w:firstColumn="0" w:lastColumn="0" w:oddVBand="0" w:evenVBand="0" w:oddHBand="0" w:evenHBand="0" w:firstRowFirstColumn="0" w:firstRowLastColumn="0" w:lastRowFirstColumn="0" w:lastRowLastColumn="0"/>
            </w:pPr>
            <w:r>
              <w:t>12</w:t>
            </w:r>
            <w:r w:rsidR="00B91215">
              <w:t>–</w:t>
            </w:r>
            <w:r>
              <w:t>13</w:t>
            </w:r>
          </w:p>
        </w:tc>
        <w:tc>
          <w:tcPr>
            <w:tcW w:w="361" w:type="pct"/>
          </w:tcPr>
          <w:p w:rsidR="00B862DE" w:rsidRDefault="00B862DE" w:rsidP="00DD384A">
            <w:pPr>
              <w:keepNext/>
              <w:spacing w:line="240" w:lineRule="auto"/>
              <w:cnfStyle w:val="100000000000" w:firstRow="1" w:lastRow="0" w:firstColumn="0" w:lastColumn="0" w:oddVBand="0" w:evenVBand="0" w:oddHBand="0" w:evenHBand="0" w:firstRowFirstColumn="0" w:firstRowLastColumn="0" w:lastRowFirstColumn="0" w:lastRowLastColumn="0"/>
            </w:pPr>
            <w:r>
              <w:t>13</w:t>
            </w:r>
            <w:r w:rsidR="00B91215">
              <w:t>–</w:t>
            </w:r>
            <w:r>
              <w:t>14</w:t>
            </w:r>
          </w:p>
        </w:tc>
        <w:tc>
          <w:tcPr>
            <w:tcW w:w="360" w:type="pct"/>
          </w:tcPr>
          <w:p w:rsidR="00B862DE" w:rsidRDefault="00B862DE" w:rsidP="00DD384A">
            <w:pPr>
              <w:keepNext/>
              <w:spacing w:line="240" w:lineRule="auto"/>
              <w:cnfStyle w:val="100000000000" w:firstRow="1" w:lastRow="0" w:firstColumn="0" w:lastColumn="0" w:oddVBand="0" w:evenVBand="0" w:oddHBand="0" w:evenHBand="0" w:firstRowFirstColumn="0" w:firstRowLastColumn="0" w:lastRowFirstColumn="0" w:lastRowLastColumn="0"/>
            </w:pPr>
            <w:r>
              <w:t>14</w:t>
            </w:r>
            <w:r w:rsidR="00B91215">
              <w:t>–</w:t>
            </w:r>
            <w:r>
              <w:t>15</w:t>
            </w:r>
          </w:p>
        </w:tc>
        <w:tc>
          <w:tcPr>
            <w:tcW w:w="361" w:type="pct"/>
            <w:vAlign w:val="top"/>
          </w:tcPr>
          <w:p w:rsidR="00B862DE" w:rsidRDefault="00B862DE" w:rsidP="00DD384A">
            <w:pPr>
              <w:keepNext/>
              <w:spacing w:line="240" w:lineRule="auto"/>
              <w:cnfStyle w:val="100000000000" w:firstRow="1" w:lastRow="0" w:firstColumn="0" w:lastColumn="0" w:oddVBand="0" w:evenVBand="0" w:oddHBand="0" w:evenHBand="0" w:firstRowFirstColumn="0" w:firstRowLastColumn="0" w:lastRowFirstColumn="0" w:lastRowLastColumn="0"/>
            </w:pPr>
            <w:r>
              <w:t>15</w:t>
            </w:r>
            <w:r w:rsidR="00B91215">
              <w:t>–</w:t>
            </w:r>
            <w:r>
              <w:t>16</w:t>
            </w:r>
          </w:p>
        </w:tc>
        <w:tc>
          <w:tcPr>
            <w:tcW w:w="360" w:type="pct"/>
            <w:vAlign w:val="top"/>
          </w:tcPr>
          <w:p w:rsidR="00B862DE" w:rsidRDefault="00B862DE" w:rsidP="00DD384A">
            <w:pPr>
              <w:keepNext/>
              <w:spacing w:line="240" w:lineRule="auto"/>
              <w:cnfStyle w:val="100000000000" w:firstRow="1" w:lastRow="0" w:firstColumn="0" w:lastColumn="0" w:oddVBand="0" w:evenVBand="0" w:oddHBand="0" w:evenHBand="0" w:firstRowFirstColumn="0" w:firstRowLastColumn="0" w:lastRowFirstColumn="0" w:lastRowLastColumn="0"/>
            </w:pPr>
            <w:r>
              <w:t>16</w:t>
            </w:r>
            <w:r w:rsidR="00B91215">
              <w:t>–</w:t>
            </w:r>
            <w:r>
              <w:t>17</w:t>
            </w:r>
          </w:p>
        </w:tc>
        <w:tc>
          <w:tcPr>
            <w:tcW w:w="361" w:type="pct"/>
            <w:vAlign w:val="top"/>
          </w:tcPr>
          <w:p w:rsidR="00B862DE" w:rsidRDefault="00B862DE" w:rsidP="00DD384A">
            <w:pPr>
              <w:keepNext/>
              <w:spacing w:line="240" w:lineRule="auto"/>
              <w:cnfStyle w:val="100000000000" w:firstRow="1" w:lastRow="0" w:firstColumn="0" w:lastColumn="0" w:oddVBand="0" w:evenVBand="0" w:oddHBand="0" w:evenHBand="0" w:firstRowFirstColumn="0" w:firstRowLastColumn="0" w:lastRowFirstColumn="0" w:lastRowLastColumn="0"/>
            </w:pPr>
            <w:r>
              <w:t>17</w:t>
            </w:r>
            <w:r w:rsidR="00B91215">
              <w:t>–</w:t>
            </w:r>
            <w:r>
              <w:t>18</w:t>
            </w:r>
          </w:p>
        </w:tc>
        <w:tc>
          <w:tcPr>
            <w:tcW w:w="360" w:type="pct"/>
            <w:vAlign w:val="top"/>
          </w:tcPr>
          <w:p w:rsidR="00B862DE" w:rsidRDefault="00B862DE" w:rsidP="00DD384A">
            <w:pPr>
              <w:keepNext/>
              <w:spacing w:line="240" w:lineRule="auto"/>
              <w:cnfStyle w:val="100000000000" w:firstRow="1" w:lastRow="0" w:firstColumn="0" w:lastColumn="0" w:oddVBand="0" w:evenVBand="0" w:oddHBand="0" w:evenHBand="0" w:firstRowFirstColumn="0" w:firstRowLastColumn="0" w:lastRowFirstColumn="0" w:lastRowLastColumn="0"/>
            </w:pPr>
            <w:r>
              <w:t>18</w:t>
            </w:r>
            <w:r w:rsidR="00B91215">
              <w:t>–</w:t>
            </w:r>
            <w:r>
              <w:t>19</w:t>
            </w:r>
          </w:p>
        </w:tc>
        <w:tc>
          <w:tcPr>
            <w:tcW w:w="361" w:type="pct"/>
            <w:vAlign w:val="top"/>
          </w:tcPr>
          <w:p w:rsidR="00B862DE" w:rsidRDefault="00B862DE" w:rsidP="00DD384A">
            <w:pPr>
              <w:keepNext/>
              <w:spacing w:line="240" w:lineRule="auto"/>
              <w:cnfStyle w:val="100000000000" w:firstRow="1" w:lastRow="0" w:firstColumn="0" w:lastColumn="0" w:oddVBand="0" w:evenVBand="0" w:oddHBand="0" w:evenHBand="0" w:firstRowFirstColumn="0" w:firstRowLastColumn="0" w:lastRowFirstColumn="0" w:lastRowLastColumn="0"/>
            </w:pPr>
            <w:r>
              <w:t>19</w:t>
            </w:r>
            <w:r w:rsidR="00B91215">
              <w:t>–</w:t>
            </w:r>
            <w:r>
              <w:t>20</w:t>
            </w:r>
          </w:p>
        </w:tc>
        <w:tc>
          <w:tcPr>
            <w:tcW w:w="360" w:type="pct"/>
            <w:vAlign w:val="top"/>
          </w:tcPr>
          <w:p w:rsidR="00B862DE" w:rsidRDefault="00B862DE" w:rsidP="00DD384A">
            <w:pPr>
              <w:keepNext/>
              <w:spacing w:line="240" w:lineRule="auto"/>
              <w:cnfStyle w:val="100000000000" w:firstRow="1" w:lastRow="0" w:firstColumn="0" w:lastColumn="0" w:oddVBand="0" w:evenVBand="0" w:oddHBand="0" w:evenHBand="0" w:firstRowFirstColumn="0" w:firstRowLastColumn="0" w:lastRowFirstColumn="0" w:lastRowLastColumn="0"/>
            </w:pPr>
            <w:r>
              <w:t>20</w:t>
            </w:r>
            <w:r w:rsidR="00B91215">
              <w:t>–</w:t>
            </w:r>
            <w:r>
              <w:t>21</w:t>
            </w:r>
          </w:p>
        </w:tc>
        <w:tc>
          <w:tcPr>
            <w:tcW w:w="361" w:type="pct"/>
            <w:vAlign w:val="top"/>
          </w:tcPr>
          <w:p w:rsidR="00B862DE" w:rsidRDefault="00B862DE" w:rsidP="00DD384A">
            <w:pPr>
              <w:keepNext/>
              <w:spacing w:line="240" w:lineRule="auto"/>
              <w:cnfStyle w:val="100000000000" w:firstRow="1" w:lastRow="0" w:firstColumn="0" w:lastColumn="0" w:oddVBand="0" w:evenVBand="0" w:oddHBand="0" w:evenHBand="0" w:firstRowFirstColumn="0" w:firstRowLastColumn="0" w:lastRowFirstColumn="0" w:lastRowLastColumn="0"/>
            </w:pPr>
            <w:r>
              <w:t>Total</w:t>
            </w:r>
          </w:p>
        </w:tc>
      </w:tr>
      <w:tr w:rsidR="00B862DE" w:rsidTr="00B862DE">
        <w:tc>
          <w:tcPr>
            <w:cnfStyle w:val="001000000000" w:firstRow="0" w:lastRow="0" w:firstColumn="1" w:lastColumn="0" w:oddVBand="0" w:evenVBand="0" w:oddHBand="0" w:evenHBand="0" w:firstRowFirstColumn="0" w:firstRowLastColumn="0" w:lastRowFirstColumn="0" w:lastRowLastColumn="0"/>
            <w:tcW w:w="673" w:type="pct"/>
            <w:vAlign w:val="top"/>
          </w:tcPr>
          <w:p w:rsidR="00B862DE" w:rsidRPr="00713B51" w:rsidRDefault="00B862DE" w:rsidP="00DD384A">
            <w:pPr>
              <w:keepNext/>
              <w:spacing w:line="240" w:lineRule="auto"/>
              <w:rPr>
                <w:b/>
              </w:rPr>
            </w:pPr>
            <w:r>
              <w:rPr>
                <w:b/>
              </w:rPr>
              <w:t>Forecast opex</w:t>
            </w:r>
          </w:p>
        </w:tc>
        <w:tc>
          <w:tcPr>
            <w:tcW w:w="360" w:type="pct"/>
            <w:vAlign w:val="top"/>
          </w:tcPr>
          <w:p w:rsidR="00B862DE" w:rsidRDefault="00B862DE" w:rsidP="00DD384A">
            <w:pPr>
              <w:keepNext/>
              <w:spacing w:line="240" w:lineRule="auto"/>
              <w:cnfStyle w:val="000000000000" w:firstRow="0" w:lastRow="0" w:firstColumn="0" w:lastColumn="0" w:oddVBand="0" w:evenVBand="0" w:oddHBand="0" w:evenHBand="0" w:firstRowFirstColumn="0" w:firstRowLastColumn="0" w:lastRowFirstColumn="0" w:lastRowLastColumn="0"/>
            </w:pPr>
            <w:r>
              <w:t>18.4</w:t>
            </w:r>
          </w:p>
        </w:tc>
        <w:tc>
          <w:tcPr>
            <w:tcW w:w="361" w:type="pct"/>
            <w:vAlign w:val="top"/>
          </w:tcPr>
          <w:p w:rsidR="00B862DE" w:rsidRDefault="00B862DE" w:rsidP="00DD384A">
            <w:pPr>
              <w:keepNext/>
              <w:spacing w:line="240" w:lineRule="auto"/>
              <w:cnfStyle w:val="000000000000" w:firstRow="0" w:lastRow="0" w:firstColumn="0" w:lastColumn="0" w:oddVBand="0" w:evenVBand="0" w:oddHBand="0" w:evenHBand="0" w:firstRowFirstColumn="0" w:firstRowLastColumn="0" w:lastRowFirstColumn="0" w:lastRowLastColumn="0"/>
            </w:pPr>
            <w:r>
              <w:t>20.8</w:t>
            </w:r>
          </w:p>
        </w:tc>
        <w:tc>
          <w:tcPr>
            <w:tcW w:w="360" w:type="pct"/>
            <w:vAlign w:val="top"/>
          </w:tcPr>
          <w:p w:rsidR="00B862DE" w:rsidRDefault="00B862DE" w:rsidP="00DD384A">
            <w:pPr>
              <w:keepNext/>
              <w:spacing w:line="240" w:lineRule="auto"/>
              <w:cnfStyle w:val="000000000000" w:firstRow="0" w:lastRow="0" w:firstColumn="0" w:lastColumn="0" w:oddVBand="0" w:evenVBand="0" w:oddHBand="0" w:evenHBand="0" w:firstRowFirstColumn="0" w:firstRowLastColumn="0" w:lastRowFirstColumn="0" w:lastRowLastColumn="0"/>
            </w:pPr>
            <w:r>
              <w:t>21.6</w:t>
            </w:r>
          </w:p>
        </w:tc>
        <w:tc>
          <w:tcPr>
            <w:tcW w:w="361" w:type="pct"/>
            <w:vAlign w:val="top"/>
          </w:tcPr>
          <w:p w:rsidR="00B862DE" w:rsidRDefault="00B862DE" w:rsidP="00DD384A">
            <w:pPr>
              <w:keepNext/>
              <w:spacing w:line="240" w:lineRule="auto"/>
              <w:cnfStyle w:val="000000000000" w:firstRow="0" w:lastRow="0" w:firstColumn="0" w:lastColumn="0" w:oddVBand="0" w:evenVBand="0" w:oddHBand="0" w:evenHBand="0" w:firstRowFirstColumn="0" w:firstRowLastColumn="0" w:lastRowFirstColumn="0" w:lastRowLastColumn="0"/>
            </w:pPr>
            <w:r>
              <w:t>21.6</w:t>
            </w:r>
          </w:p>
        </w:tc>
        <w:tc>
          <w:tcPr>
            <w:tcW w:w="360" w:type="pct"/>
            <w:vAlign w:val="top"/>
          </w:tcPr>
          <w:p w:rsidR="00B862DE" w:rsidRDefault="00B862DE" w:rsidP="00DD384A">
            <w:pPr>
              <w:keepNext/>
              <w:spacing w:line="240" w:lineRule="auto"/>
              <w:cnfStyle w:val="000000000000" w:firstRow="0" w:lastRow="0" w:firstColumn="0" w:lastColumn="0" w:oddVBand="0" w:evenVBand="0" w:oddHBand="0" w:evenHBand="0" w:firstRowFirstColumn="0" w:firstRowLastColumn="0" w:lastRowFirstColumn="0" w:lastRowLastColumn="0"/>
            </w:pPr>
            <w:r>
              <w:t>20.9</w:t>
            </w:r>
          </w:p>
        </w:tc>
        <w:tc>
          <w:tcPr>
            <w:tcW w:w="361" w:type="pct"/>
            <w:vAlign w:val="top"/>
          </w:tcPr>
          <w:p w:rsidR="00B862DE" w:rsidRPr="00556B24" w:rsidRDefault="00854A96" w:rsidP="00DD384A">
            <w:pPr>
              <w:keepNext/>
              <w:spacing w:line="240" w:lineRule="auto"/>
              <w:cnfStyle w:val="000000000000" w:firstRow="0" w:lastRow="0" w:firstColumn="0" w:lastColumn="0" w:oddVBand="0" w:evenVBand="0" w:oddHBand="0" w:evenHBand="0" w:firstRowFirstColumn="0" w:firstRowLastColumn="0" w:lastRowFirstColumn="0" w:lastRowLastColumn="0"/>
              <w:rPr>
                <w:sz w:val="12"/>
                <w:szCs w:val="12"/>
              </w:rPr>
            </w:pPr>
            <w:r w:rsidRPr="004D6C4E">
              <w:rPr>
                <w:szCs w:val="16"/>
              </w:rPr>
              <w:t>n/a</w:t>
            </w:r>
          </w:p>
        </w:tc>
        <w:tc>
          <w:tcPr>
            <w:tcW w:w="360" w:type="pct"/>
            <w:vAlign w:val="top"/>
          </w:tcPr>
          <w:p w:rsidR="00B862DE" w:rsidRDefault="00B862DE"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vAlign w:val="top"/>
          </w:tcPr>
          <w:p w:rsidR="00B862DE" w:rsidRDefault="00B862DE"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c>
          <w:tcPr>
            <w:tcW w:w="360" w:type="pct"/>
            <w:vAlign w:val="top"/>
          </w:tcPr>
          <w:p w:rsidR="00B862DE" w:rsidRDefault="00B862DE"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vAlign w:val="top"/>
          </w:tcPr>
          <w:p w:rsidR="00B862DE" w:rsidRDefault="00B862DE"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c>
          <w:tcPr>
            <w:tcW w:w="360" w:type="pct"/>
            <w:vAlign w:val="top"/>
          </w:tcPr>
          <w:p w:rsidR="00B862DE" w:rsidRDefault="00B862DE"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vAlign w:val="top"/>
          </w:tcPr>
          <w:p w:rsidR="00B862DE" w:rsidRDefault="00B862DE"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r>
      <w:tr w:rsidR="004D6C4E" w:rsidTr="00B862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pct"/>
            <w:vAlign w:val="top"/>
          </w:tcPr>
          <w:p w:rsidR="004D6C4E" w:rsidRPr="00713B51" w:rsidRDefault="004D6C4E" w:rsidP="00DD384A">
            <w:pPr>
              <w:keepNext/>
              <w:spacing w:line="240" w:lineRule="auto"/>
              <w:rPr>
                <w:b/>
              </w:rPr>
            </w:pPr>
            <w:r w:rsidRPr="00713B51">
              <w:rPr>
                <w:b/>
              </w:rPr>
              <w:t>Actual</w:t>
            </w:r>
          </w:p>
        </w:tc>
        <w:tc>
          <w:tcPr>
            <w:tcW w:w="360" w:type="pct"/>
            <w:vAlign w:val="top"/>
          </w:tcPr>
          <w:p w:rsidR="004D6C4E" w:rsidRDefault="004D6C4E" w:rsidP="00DD384A">
            <w:pPr>
              <w:keepNext/>
              <w:spacing w:line="240" w:lineRule="auto"/>
              <w:cnfStyle w:val="000000010000" w:firstRow="0" w:lastRow="0" w:firstColumn="0" w:lastColumn="0" w:oddVBand="0" w:evenVBand="0" w:oddHBand="0" w:evenHBand="1" w:firstRowFirstColumn="0" w:firstRowLastColumn="0" w:lastRowFirstColumn="0" w:lastRowLastColumn="0"/>
            </w:pPr>
            <w:r>
              <w:t>26.7</w:t>
            </w:r>
          </w:p>
        </w:tc>
        <w:tc>
          <w:tcPr>
            <w:tcW w:w="361" w:type="pct"/>
            <w:vAlign w:val="top"/>
          </w:tcPr>
          <w:p w:rsidR="004D6C4E" w:rsidRDefault="004D6C4E" w:rsidP="00DD384A">
            <w:pPr>
              <w:keepNext/>
              <w:spacing w:line="240" w:lineRule="auto"/>
              <w:cnfStyle w:val="000000010000" w:firstRow="0" w:lastRow="0" w:firstColumn="0" w:lastColumn="0" w:oddVBand="0" w:evenVBand="0" w:oddHBand="0" w:evenHBand="1" w:firstRowFirstColumn="0" w:firstRowLastColumn="0" w:lastRowFirstColumn="0" w:lastRowLastColumn="0"/>
            </w:pPr>
            <w:r>
              <w:t>28.7</w:t>
            </w:r>
          </w:p>
        </w:tc>
        <w:tc>
          <w:tcPr>
            <w:tcW w:w="360" w:type="pct"/>
            <w:vAlign w:val="top"/>
          </w:tcPr>
          <w:p w:rsidR="004D6C4E" w:rsidRDefault="004D6C4E" w:rsidP="00DD384A">
            <w:pPr>
              <w:keepNext/>
              <w:spacing w:line="240" w:lineRule="auto"/>
              <w:cnfStyle w:val="000000010000" w:firstRow="0" w:lastRow="0" w:firstColumn="0" w:lastColumn="0" w:oddVBand="0" w:evenVBand="0" w:oddHBand="0" w:evenHBand="1" w:firstRowFirstColumn="0" w:firstRowLastColumn="0" w:lastRowFirstColumn="0" w:lastRowLastColumn="0"/>
            </w:pPr>
            <w:r>
              <w:t>27.8</w:t>
            </w:r>
          </w:p>
        </w:tc>
        <w:tc>
          <w:tcPr>
            <w:tcW w:w="361" w:type="pct"/>
            <w:vAlign w:val="top"/>
          </w:tcPr>
          <w:p w:rsidR="004D6C4E" w:rsidRDefault="004D6C4E" w:rsidP="00DD384A">
            <w:pPr>
              <w:keepNext/>
              <w:spacing w:line="240" w:lineRule="auto"/>
              <w:cnfStyle w:val="000000010000" w:firstRow="0" w:lastRow="0" w:firstColumn="0" w:lastColumn="0" w:oddVBand="0" w:evenVBand="0" w:oddHBand="0" w:evenHBand="1" w:firstRowFirstColumn="0" w:firstRowLastColumn="0" w:lastRowFirstColumn="0" w:lastRowLastColumn="0"/>
            </w:pPr>
            <w:r>
              <w:t>26.2</w:t>
            </w:r>
          </w:p>
        </w:tc>
        <w:tc>
          <w:tcPr>
            <w:tcW w:w="360" w:type="pct"/>
            <w:vAlign w:val="top"/>
          </w:tcPr>
          <w:p w:rsidR="004D6C4E" w:rsidRDefault="004D6C4E" w:rsidP="00DD384A">
            <w:pPr>
              <w:keepNext/>
              <w:spacing w:line="240" w:lineRule="auto"/>
              <w:cnfStyle w:val="000000010000" w:firstRow="0" w:lastRow="0" w:firstColumn="0" w:lastColumn="0" w:oddVBand="0" w:evenVBand="0" w:oddHBand="0" w:evenHBand="1" w:firstRowFirstColumn="0" w:firstRowLastColumn="0" w:lastRowFirstColumn="0" w:lastRowLastColumn="0"/>
            </w:pPr>
            <w:r>
              <w:t>27.6</w:t>
            </w:r>
          </w:p>
        </w:tc>
        <w:tc>
          <w:tcPr>
            <w:tcW w:w="361" w:type="pct"/>
            <w:vAlign w:val="top"/>
          </w:tcPr>
          <w:p w:rsidR="004D6C4E" w:rsidRDefault="004D6C4E" w:rsidP="00DD384A">
            <w:pPr>
              <w:keepNext/>
              <w:cnfStyle w:val="000000010000" w:firstRow="0" w:lastRow="0" w:firstColumn="0" w:lastColumn="0" w:oddVBand="0" w:evenVBand="0" w:oddHBand="0" w:evenHBand="1" w:firstRowFirstColumn="0" w:firstRowLastColumn="0" w:lastRowFirstColumn="0" w:lastRowLastColumn="0"/>
            </w:pPr>
            <w:r w:rsidRPr="00156AF2">
              <w:rPr>
                <w:szCs w:val="16"/>
              </w:rPr>
              <w:t>n/a</w:t>
            </w:r>
          </w:p>
        </w:tc>
        <w:tc>
          <w:tcPr>
            <w:tcW w:w="360" w:type="pct"/>
            <w:vAlign w:val="top"/>
          </w:tcPr>
          <w:p w:rsidR="004D6C4E" w:rsidRDefault="004D6C4E"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vAlign w:val="top"/>
          </w:tcPr>
          <w:p w:rsidR="004D6C4E" w:rsidRDefault="004D6C4E"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0" w:type="pct"/>
            <w:vAlign w:val="top"/>
          </w:tcPr>
          <w:p w:rsidR="004D6C4E" w:rsidRDefault="004D6C4E"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vAlign w:val="top"/>
          </w:tcPr>
          <w:p w:rsidR="004D6C4E" w:rsidRDefault="004D6C4E"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0" w:type="pct"/>
            <w:vAlign w:val="top"/>
          </w:tcPr>
          <w:p w:rsidR="004D6C4E" w:rsidRDefault="004D6C4E"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vAlign w:val="top"/>
          </w:tcPr>
          <w:p w:rsidR="004D6C4E" w:rsidRDefault="004D6C4E"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r>
      <w:tr w:rsidR="004D6C4E" w:rsidTr="00B862DE">
        <w:tc>
          <w:tcPr>
            <w:cnfStyle w:val="001000000000" w:firstRow="0" w:lastRow="0" w:firstColumn="1" w:lastColumn="0" w:oddVBand="0" w:evenVBand="0" w:oddHBand="0" w:evenHBand="0" w:firstRowFirstColumn="0" w:firstRowLastColumn="0" w:lastRowFirstColumn="0" w:lastRowLastColumn="0"/>
            <w:tcW w:w="673" w:type="pct"/>
            <w:vAlign w:val="top"/>
          </w:tcPr>
          <w:p w:rsidR="004D6C4E" w:rsidRPr="00713B51" w:rsidRDefault="004D6C4E" w:rsidP="00DD384A">
            <w:pPr>
              <w:keepNext/>
              <w:spacing w:line="240" w:lineRule="auto"/>
              <w:rPr>
                <w:b/>
              </w:rPr>
            </w:pPr>
            <w:r>
              <w:rPr>
                <w:b/>
              </w:rPr>
              <w:t>Excluded costs</w:t>
            </w:r>
          </w:p>
        </w:tc>
        <w:tc>
          <w:tcPr>
            <w:tcW w:w="360" w:type="pct"/>
            <w:vAlign w:val="top"/>
          </w:tcPr>
          <w:p w:rsidR="004D6C4E" w:rsidRDefault="004D6C4E" w:rsidP="00DD384A">
            <w:pPr>
              <w:keepNext/>
              <w:spacing w:line="240" w:lineRule="auto"/>
              <w:cnfStyle w:val="000000000000" w:firstRow="0" w:lastRow="0" w:firstColumn="0" w:lastColumn="0" w:oddVBand="0" w:evenVBand="0" w:oddHBand="0" w:evenHBand="0" w:firstRowFirstColumn="0" w:firstRowLastColumn="0" w:lastRowFirstColumn="0" w:lastRowLastColumn="0"/>
            </w:pPr>
            <w:r>
              <w:t>6.0</w:t>
            </w:r>
          </w:p>
        </w:tc>
        <w:tc>
          <w:tcPr>
            <w:tcW w:w="361" w:type="pct"/>
            <w:vAlign w:val="top"/>
          </w:tcPr>
          <w:p w:rsidR="004D6C4E" w:rsidRDefault="004D6C4E" w:rsidP="00DD384A">
            <w:pPr>
              <w:keepNext/>
              <w:spacing w:line="240" w:lineRule="auto"/>
              <w:cnfStyle w:val="000000000000" w:firstRow="0" w:lastRow="0" w:firstColumn="0" w:lastColumn="0" w:oddVBand="0" w:evenVBand="0" w:oddHBand="0" w:evenHBand="0" w:firstRowFirstColumn="0" w:firstRowLastColumn="0" w:lastRowFirstColumn="0" w:lastRowLastColumn="0"/>
            </w:pPr>
            <w:r>
              <w:t>8.5</w:t>
            </w:r>
          </w:p>
        </w:tc>
        <w:tc>
          <w:tcPr>
            <w:tcW w:w="360" w:type="pct"/>
            <w:vAlign w:val="top"/>
          </w:tcPr>
          <w:p w:rsidR="004D6C4E" w:rsidRDefault="004D6C4E" w:rsidP="00DD384A">
            <w:pPr>
              <w:keepNext/>
              <w:spacing w:line="240" w:lineRule="auto"/>
              <w:cnfStyle w:val="000000000000" w:firstRow="0" w:lastRow="0" w:firstColumn="0" w:lastColumn="0" w:oddVBand="0" w:evenVBand="0" w:oddHBand="0" w:evenHBand="0" w:firstRowFirstColumn="0" w:firstRowLastColumn="0" w:lastRowFirstColumn="0" w:lastRowLastColumn="0"/>
            </w:pPr>
            <w:r>
              <w:t>7.7</w:t>
            </w:r>
          </w:p>
        </w:tc>
        <w:tc>
          <w:tcPr>
            <w:tcW w:w="361" w:type="pct"/>
            <w:vAlign w:val="top"/>
          </w:tcPr>
          <w:p w:rsidR="004D6C4E" w:rsidRDefault="004D6C4E" w:rsidP="00DD384A">
            <w:pPr>
              <w:keepNext/>
              <w:spacing w:line="240" w:lineRule="auto"/>
              <w:cnfStyle w:val="000000000000" w:firstRow="0" w:lastRow="0" w:firstColumn="0" w:lastColumn="0" w:oddVBand="0" w:evenVBand="0" w:oddHBand="0" w:evenHBand="0" w:firstRowFirstColumn="0" w:firstRowLastColumn="0" w:lastRowFirstColumn="0" w:lastRowLastColumn="0"/>
            </w:pPr>
            <w:r>
              <w:t>8.3</w:t>
            </w:r>
          </w:p>
        </w:tc>
        <w:tc>
          <w:tcPr>
            <w:tcW w:w="360" w:type="pct"/>
            <w:vAlign w:val="top"/>
          </w:tcPr>
          <w:p w:rsidR="004D6C4E" w:rsidRDefault="004D6C4E" w:rsidP="00DD384A">
            <w:pPr>
              <w:keepNext/>
              <w:spacing w:line="240" w:lineRule="auto"/>
              <w:cnfStyle w:val="000000000000" w:firstRow="0" w:lastRow="0" w:firstColumn="0" w:lastColumn="0" w:oddVBand="0" w:evenVBand="0" w:oddHBand="0" w:evenHBand="0" w:firstRowFirstColumn="0" w:firstRowLastColumn="0" w:lastRowFirstColumn="0" w:lastRowLastColumn="0"/>
            </w:pPr>
            <w:r>
              <w:t>8.3</w:t>
            </w:r>
          </w:p>
        </w:tc>
        <w:tc>
          <w:tcPr>
            <w:tcW w:w="361" w:type="pct"/>
            <w:vAlign w:val="top"/>
          </w:tcPr>
          <w:p w:rsidR="004D6C4E" w:rsidRDefault="004D6C4E" w:rsidP="00DD384A">
            <w:pPr>
              <w:keepNext/>
              <w:cnfStyle w:val="000000000000" w:firstRow="0" w:lastRow="0" w:firstColumn="0" w:lastColumn="0" w:oddVBand="0" w:evenVBand="0" w:oddHBand="0" w:evenHBand="0" w:firstRowFirstColumn="0" w:firstRowLastColumn="0" w:lastRowFirstColumn="0" w:lastRowLastColumn="0"/>
            </w:pPr>
            <w:r w:rsidRPr="00156AF2">
              <w:rPr>
                <w:szCs w:val="16"/>
              </w:rPr>
              <w:t>n/a</w:t>
            </w:r>
          </w:p>
        </w:tc>
        <w:tc>
          <w:tcPr>
            <w:tcW w:w="360" w:type="pct"/>
            <w:vAlign w:val="top"/>
          </w:tcPr>
          <w:p w:rsidR="004D6C4E" w:rsidRDefault="004D6C4E"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vAlign w:val="top"/>
          </w:tcPr>
          <w:p w:rsidR="004D6C4E" w:rsidRDefault="004D6C4E"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c>
          <w:tcPr>
            <w:tcW w:w="360" w:type="pct"/>
            <w:vAlign w:val="top"/>
          </w:tcPr>
          <w:p w:rsidR="004D6C4E" w:rsidRDefault="004D6C4E"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vAlign w:val="top"/>
          </w:tcPr>
          <w:p w:rsidR="004D6C4E" w:rsidRDefault="004D6C4E"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c>
          <w:tcPr>
            <w:tcW w:w="360" w:type="pct"/>
            <w:vAlign w:val="top"/>
          </w:tcPr>
          <w:p w:rsidR="004D6C4E" w:rsidRDefault="004D6C4E"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vAlign w:val="top"/>
          </w:tcPr>
          <w:p w:rsidR="004D6C4E" w:rsidRDefault="004D6C4E"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r>
      <w:tr w:rsidR="004D6C4E" w:rsidTr="00B862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pct"/>
            <w:vAlign w:val="top"/>
          </w:tcPr>
          <w:p w:rsidR="004D6C4E" w:rsidRPr="00B862DE" w:rsidRDefault="004D6C4E" w:rsidP="00DD384A">
            <w:pPr>
              <w:keepNext/>
              <w:spacing w:line="240" w:lineRule="auto"/>
              <w:rPr>
                <w:b/>
              </w:rPr>
            </w:pPr>
            <w:r w:rsidRPr="00B862DE">
              <w:rPr>
                <w:b/>
              </w:rPr>
              <w:t>Opex subject to incentive mechanism</w:t>
            </w:r>
          </w:p>
        </w:tc>
        <w:tc>
          <w:tcPr>
            <w:tcW w:w="360" w:type="pct"/>
            <w:vAlign w:val="top"/>
          </w:tcPr>
          <w:p w:rsidR="004D6C4E" w:rsidRDefault="004D6C4E" w:rsidP="00DD384A">
            <w:pPr>
              <w:keepNext/>
              <w:spacing w:line="240" w:lineRule="auto"/>
              <w:cnfStyle w:val="000000010000" w:firstRow="0" w:lastRow="0" w:firstColumn="0" w:lastColumn="0" w:oddVBand="0" w:evenVBand="0" w:oddHBand="0" w:evenHBand="1" w:firstRowFirstColumn="0" w:firstRowLastColumn="0" w:lastRowFirstColumn="0" w:lastRowLastColumn="0"/>
            </w:pPr>
            <w:r>
              <w:t>20.7</w:t>
            </w:r>
          </w:p>
        </w:tc>
        <w:tc>
          <w:tcPr>
            <w:tcW w:w="361" w:type="pct"/>
            <w:vAlign w:val="top"/>
          </w:tcPr>
          <w:p w:rsidR="004D6C4E" w:rsidRDefault="004D6C4E" w:rsidP="00DD384A">
            <w:pPr>
              <w:keepNext/>
              <w:spacing w:line="240" w:lineRule="auto"/>
              <w:cnfStyle w:val="000000010000" w:firstRow="0" w:lastRow="0" w:firstColumn="0" w:lastColumn="0" w:oddVBand="0" w:evenVBand="0" w:oddHBand="0" w:evenHBand="1" w:firstRowFirstColumn="0" w:firstRowLastColumn="0" w:lastRowFirstColumn="0" w:lastRowLastColumn="0"/>
            </w:pPr>
            <w:r>
              <w:t>20.2</w:t>
            </w:r>
          </w:p>
        </w:tc>
        <w:tc>
          <w:tcPr>
            <w:tcW w:w="360" w:type="pct"/>
            <w:vAlign w:val="top"/>
          </w:tcPr>
          <w:p w:rsidR="004D6C4E" w:rsidRDefault="004D6C4E" w:rsidP="00DD384A">
            <w:pPr>
              <w:keepNext/>
              <w:spacing w:line="240" w:lineRule="auto"/>
              <w:cnfStyle w:val="000000010000" w:firstRow="0" w:lastRow="0" w:firstColumn="0" w:lastColumn="0" w:oddVBand="0" w:evenVBand="0" w:oddHBand="0" w:evenHBand="1" w:firstRowFirstColumn="0" w:firstRowLastColumn="0" w:lastRowFirstColumn="0" w:lastRowLastColumn="0"/>
            </w:pPr>
            <w:r>
              <w:t>20.1</w:t>
            </w:r>
          </w:p>
        </w:tc>
        <w:tc>
          <w:tcPr>
            <w:tcW w:w="361" w:type="pct"/>
            <w:vAlign w:val="top"/>
          </w:tcPr>
          <w:p w:rsidR="004D6C4E" w:rsidRDefault="004D6C4E" w:rsidP="00DD384A">
            <w:pPr>
              <w:keepNext/>
              <w:spacing w:line="240" w:lineRule="auto"/>
              <w:cnfStyle w:val="000000010000" w:firstRow="0" w:lastRow="0" w:firstColumn="0" w:lastColumn="0" w:oddVBand="0" w:evenVBand="0" w:oddHBand="0" w:evenHBand="1" w:firstRowFirstColumn="0" w:firstRowLastColumn="0" w:lastRowFirstColumn="0" w:lastRowLastColumn="0"/>
            </w:pPr>
            <w:r>
              <w:t>17.9</w:t>
            </w:r>
          </w:p>
        </w:tc>
        <w:tc>
          <w:tcPr>
            <w:tcW w:w="360" w:type="pct"/>
            <w:vAlign w:val="top"/>
          </w:tcPr>
          <w:p w:rsidR="004D6C4E" w:rsidRDefault="004D6C4E" w:rsidP="00DD384A">
            <w:pPr>
              <w:keepNext/>
              <w:spacing w:line="240" w:lineRule="auto"/>
              <w:cnfStyle w:val="000000010000" w:firstRow="0" w:lastRow="0" w:firstColumn="0" w:lastColumn="0" w:oddVBand="0" w:evenVBand="0" w:oddHBand="0" w:evenHBand="1" w:firstRowFirstColumn="0" w:firstRowLastColumn="0" w:lastRowFirstColumn="0" w:lastRowLastColumn="0"/>
            </w:pPr>
            <w:r>
              <w:t>1</w:t>
            </w:r>
            <w:r w:rsidR="00865C69">
              <w:t>7.2</w:t>
            </w:r>
          </w:p>
        </w:tc>
        <w:tc>
          <w:tcPr>
            <w:tcW w:w="361" w:type="pct"/>
            <w:vAlign w:val="top"/>
          </w:tcPr>
          <w:p w:rsidR="004D6C4E" w:rsidRDefault="004D6C4E" w:rsidP="00DD384A">
            <w:pPr>
              <w:keepNext/>
              <w:cnfStyle w:val="000000010000" w:firstRow="0" w:lastRow="0" w:firstColumn="0" w:lastColumn="0" w:oddVBand="0" w:evenVBand="0" w:oddHBand="0" w:evenHBand="1" w:firstRowFirstColumn="0" w:firstRowLastColumn="0" w:lastRowFirstColumn="0" w:lastRowLastColumn="0"/>
            </w:pPr>
            <w:r w:rsidRPr="00156AF2">
              <w:rPr>
                <w:szCs w:val="16"/>
              </w:rPr>
              <w:t>n/a</w:t>
            </w:r>
          </w:p>
        </w:tc>
        <w:tc>
          <w:tcPr>
            <w:tcW w:w="360" w:type="pct"/>
            <w:vAlign w:val="top"/>
          </w:tcPr>
          <w:p w:rsidR="004D6C4E" w:rsidRDefault="004D6C4E"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vAlign w:val="top"/>
          </w:tcPr>
          <w:p w:rsidR="004D6C4E" w:rsidRDefault="004D6C4E"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0" w:type="pct"/>
            <w:vAlign w:val="top"/>
          </w:tcPr>
          <w:p w:rsidR="004D6C4E" w:rsidRDefault="004D6C4E"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vAlign w:val="top"/>
          </w:tcPr>
          <w:p w:rsidR="004D6C4E" w:rsidRDefault="004D6C4E"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0" w:type="pct"/>
            <w:vAlign w:val="top"/>
          </w:tcPr>
          <w:p w:rsidR="004D6C4E" w:rsidRDefault="004D6C4E"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vAlign w:val="top"/>
          </w:tcPr>
          <w:p w:rsidR="004D6C4E" w:rsidRDefault="004D6C4E"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r>
      <w:tr w:rsidR="004D6C4E" w:rsidTr="00B862DE">
        <w:tc>
          <w:tcPr>
            <w:cnfStyle w:val="001000000000" w:firstRow="0" w:lastRow="0" w:firstColumn="1" w:lastColumn="0" w:oddVBand="0" w:evenVBand="0" w:oddHBand="0" w:evenHBand="0" w:firstRowFirstColumn="0" w:firstRowLastColumn="0" w:lastRowFirstColumn="0" w:lastRowLastColumn="0"/>
            <w:tcW w:w="673" w:type="pct"/>
            <w:vAlign w:val="top"/>
          </w:tcPr>
          <w:p w:rsidR="004D6C4E" w:rsidRPr="00713B51" w:rsidRDefault="004D6C4E" w:rsidP="00DD384A">
            <w:pPr>
              <w:keepNext/>
              <w:spacing w:line="240" w:lineRule="auto"/>
              <w:rPr>
                <w:b/>
              </w:rPr>
            </w:pPr>
            <w:r w:rsidRPr="00713B51">
              <w:rPr>
                <w:b/>
              </w:rPr>
              <w:t>Incremental gain (loss)</w:t>
            </w:r>
          </w:p>
        </w:tc>
        <w:tc>
          <w:tcPr>
            <w:tcW w:w="360" w:type="pct"/>
            <w:vAlign w:val="top"/>
          </w:tcPr>
          <w:p w:rsidR="004D6C4E" w:rsidRDefault="004D6C4E" w:rsidP="00DD384A">
            <w:pPr>
              <w:keepNext/>
              <w:spacing w:line="240" w:lineRule="auto"/>
              <w:cnfStyle w:val="000000000000" w:firstRow="0" w:lastRow="0" w:firstColumn="0" w:lastColumn="0" w:oddVBand="0" w:evenVBand="0" w:oddHBand="0" w:evenHBand="0" w:firstRowFirstColumn="0" w:firstRowLastColumn="0" w:lastRowFirstColumn="0" w:lastRowLastColumn="0"/>
            </w:pPr>
            <w:r>
              <w:t>-2.3</w:t>
            </w:r>
          </w:p>
        </w:tc>
        <w:tc>
          <w:tcPr>
            <w:tcW w:w="361" w:type="pct"/>
            <w:vAlign w:val="top"/>
          </w:tcPr>
          <w:p w:rsidR="004D6C4E" w:rsidRDefault="004D6C4E" w:rsidP="00DD384A">
            <w:pPr>
              <w:keepNext/>
              <w:spacing w:line="240" w:lineRule="auto"/>
              <w:cnfStyle w:val="000000000000" w:firstRow="0" w:lastRow="0" w:firstColumn="0" w:lastColumn="0" w:oddVBand="0" w:evenVBand="0" w:oddHBand="0" w:evenHBand="0" w:firstRowFirstColumn="0" w:firstRowLastColumn="0" w:lastRowFirstColumn="0" w:lastRowLastColumn="0"/>
            </w:pPr>
            <w:r>
              <w:t>3.0</w:t>
            </w:r>
          </w:p>
        </w:tc>
        <w:tc>
          <w:tcPr>
            <w:tcW w:w="360" w:type="pct"/>
            <w:vAlign w:val="top"/>
          </w:tcPr>
          <w:p w:rsidR="004D6C4E" w:rsidRDefault="004D6C4E" w:rsidP="00DD384A">
            <w:pPr>
              <w:keepNext/>
              <w:spacing w:line="240" w:lineRule="auto"/>
              <w:cnfStyle w:val="000000000000" w:firstRow="0" w:lastRow="0" w:firstColumn="0" w:lastColumn="0" w:oddVBand="0" w:evenVBand="0" w:oddHBand="0" w:evenHBand="0" w:firstRowFirstColumn="0" w:firstRowLastColumn="0" w:lastRowFirstColumn="0" w:lastRowLastColumn="0"/>
            </w:pPr>
            <w:r>
              <w:t>0.9</w:t>
            </w:r>
          </w:p>
        </w:tc>
        <w:tc>
          <w:tcPr>
            <w:tcW w:w="361" w:type="pct"/>
            <w:vAlign w:val="top"/>
          </w:tcPr>
          <w:p w:rsidR="004D6C4E" w:rsidRDefault="004D6C4E" w:rsidP="00DD384A">
            <w:pPr>
              <w:keepNext/>
              <w:spacing w:line="240" w:lineRule="auto"/>
              <w:cnfStyle w:val="000000000000" w:firstRow="0" w:lastRow="0" w:firstColumn="0" w:lastColumn="0" w:oddVBand="0" w:evenVBand="0" w:oddHBand="0" w:evenHBand="0" w:firstRowFirstColumn="0" w:firstRowLastColumn="0" w:lastRowFirstColumn="0" w:lastRowLastColumn="0"/>
            </w:pPr>
            <w:r>
              <w:t>2.1</w:t>
            </w:r>
          </w:p>
        </w:tc>
        <w:tc>
          <w:tcPr>
            <w:tcW w:w="360" w:type="pct"/>
            <w:vAlign w:val="top"/>
          </w:tcPr>
          <w:p w:rsidR="004D6C4E" w:rsidRDefault="004D6C4E" w:rsidP="00DD384A">
            <w:pPr>
              <w:keepNext/>
              <w:spacing w:line="240" w:lineRule="auto"/>
              <w:cnfStyle w:val="000000000000" w:firstRow="0" w:lastRow="0" w:firstColumn="0" w:lastColumn="0" w:oddVBand="0" w:evenVBand="0" w:oddHBand="0" w:evenHBand="0" w:firstRowFirstColumn="0" w:firstRowLastColumn="0" w:lastRowFirstColumn="0" w:lastRowLastColumn="0"/>
            </w:pPr>
            <w:r>
              <w:t>0.0</w:t>
            </w:r>
          </w:p>
        </w:tc>
        <w:tc>
          <w:tcPr>
            <w:tcW w:w="361" w:type="pct"/>
            <w:vAlign w:val="top"/>
          </w:tcPr>
          <w:p w:rsidR="004D6C4E" w:rsidRDefault="004D6C4E" w:rsidP="00DD384A">
            <w:pPr>
              <w:keepNext/>
              <w:cnfStyle w:val="000000000000" w:firstRow="0" w:lastRow="0" w:firstColumn="0" w:lastColumn="0" w:oddVBand="0" w:evenVBand="0" w:oddHBand="0" w:evenHBand="0" w:firstRowFirstColumn="0" w:firstRowLastColumn="0" w:lastRowFirstColumn="0" w:lastRowLastColumn="0"/>
            </w:pPr>
            <w:r w:rsidRPr="00156AF2">
              <w:rPr>
                <w:szCs w:val="16"/>
              </w:rPr>
              <w:t>n/a</w:t>
            </w:r>
          </w:p>
        </w:tc>
        <w:tc>
          <w:tcPr>
            <w:tcW w:w="360" w:type="pct"/>
            <w:vAlign w:val="top"/>
          </w:tcPr>
          <w:p w:rsidR="004D6C4E" w:rsidRDefault="004D6C4E"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vAlign w:val="top"/>
          </w:tcPr>
          <w:p w:rsidR="004D6C4E" w:rsidRDefault="004D6C4E"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c>
          <w:tcPr>
            <w:tcW w:w="360" w:type="pct"/>
            <w:vAlign w:val="top"/>
          </w:tcPr>
          <w:p w:rsidR="004D6C4E" w:rsidRDefault="004D6C4E"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vAlign w:val="top"/>
          </w:tcPr>
          <w:p w:rsidR="004D6C4E" w:rsidRDefault="004D6C4E"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c>
          <w:tcPr>
            <w:tcW w:w="360" w:type="pct"/>
            <w:vAlign w:val="top"/>
          </w:tcPr>
          <w:p w:rsidR="004D6C4E" w:rsidRDefault="004D6C4E"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vAlign w:val="top"/>
          </w:tcPr>
          <w:p w:rsidR="004D6C4E" w:rsidRDefault="004D6C4E"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r>
      <w:tr w:rsidR="00B862DE" w:rsidTr="00B862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pct"/>
            <w:vAlign w:val="top"/>
          </w:tcPr>
          <w:p w:rsidR="00B862DE" w:rsidRPr="00713B51" w:rsidRDefault="00B862DE" w:rsidP="00DD384A">
            <w:pPr>
              <w:keepNext/>
              <w:spacing w:line="240" w:lineRule="auto"/>
              <w:rPr>
                <w:b/>
              </w:rPr>
            </w:pPr>
            <w:r w:rsidRPr="00713B51">
              <w:rPr>
                <w:b/>
              </w:rPr>
              <w:t>Carryover</w:t>
            </w:r>
          </w:p>
        </w:tc>
        <w:tc>
          <w:tcPr>
            <w:tcW w:w="360" w:type="pct"/>
          </w:tcPr>
          <w:p w:rsidR="00B862DE" w:rsidRDefault="00B862DE"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tcPr>
          <w:p w:rsidR="00B862DE" w:rsidRDefault="00B862DE"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0" w:type="pct"/>
          </w:tcPr>
          <w:p w:rsidR="00B862DE" w:rsidRDefault="00B862DE"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tcPr>
          <w:p w:rsidR="00B862DE" w:rsidRDefault="00B862DE"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0" w:type="pct"/>
          </w:tcPr>
          <w:p w:rsidR="00B862DE" w:rsidRDefault="00B862DE"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vAlign w:val="top"/>
          </w:tcPr>
          <w:p w:rsidR="00B862DE" w:rsidRDefault="00B862DE"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0" w:type="pct"/>
            <w:vAlign w:val="top"/>
          </w:tcPr>
          <w:p w:rsidR="00B862DE" w:rsidRDefault="00B862DE"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vAlign w:val="top"/>
          </w:tcPr>
          <w:p w:rsidR="00B862DE" w:rsidRDefault="00B862DE"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0" w:type="pct"/>
            <w:vAlign w:val="top"/>
          </w:tcPr>
          <w:p w:rsidR="00B862DE" w:rsidRDefault="00B862DE"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vAlign w:val="top"/>
          </w:tcPr>
          <w:p w:rsidR="00B862DE" w:rsidRDefault="00B862DE"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0" w:type="pct"/>
            <w:vAlign w:val="top"/>
          </w:tcPr>
          <w:p w:rsidR="00B862DE" w:rsidRDefault="00B862DE"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vAlign w:val="top"/>
          </w:tcPr>
          <w:p w:rsidR="00B862DE" w:rsidRDefault="00B862DE"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r>
      <w:tr w:rsidR="00556B24" w:rsidTr="00DB6740">
        <w:tc>
          <w:tcPr>
            <w:cnfStyle w:val="001000000000" w:firstRow="0" w:lastRow="0" w:firstColumn="1" w:lastColumn="0" w:oddVBand="0" w:evenVBand="0" w:oddHBand="0" w:evenHBand="0" w:firstRowFirstColumn="0" w:firstRowLastColumn="0" w:lastRowFirstColumn="0" w:lastRowLastColumn="0"/>
            <w:tcW w:w="673" w:type="pct"/>
            <w:vAlign w:val="top"/>
          </w:tcPr>
          <w:p w:rsidR="00556B24" w:rsidRPr="00713B51" w:rsidRDefault="00556B24" w:rsidP="00DD384A">
            <w:pPr>
              <w:keepNext/>
              <w:spacing w:line="240" w:lineRule="auto"/>
              <w:rPr>
                <w:b/>
              </w:rPr>
            </w:pPr>
            <w:r>
              <w:t>2015</w:t>
            </w:r>
            <w:r w:rsidR="00B91215">
              <w:t>–</w:t>
            </w:r>
            <w:r>
              <w:t>16</w:t>
            </w:r>
          </w:p>
        </w:tc>
        <w:tc>
          <w:tcPr>
            <w:tcW w:w="360" w:type="pct"/>
          </w:tcPr>
          <w:p w:rsidR="00556B24" w:rsidRDefault="00556B24"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vAlign w:val="top"/>
          </w:tcPr>
          <w:p w:rsidR="00556B24" w:rsidRDefault="00556B24" w:rsidP="00DD384A">
            <w:pPr>
              <w:keepNext/>
              <w:cnfStyle w:val="000000000000" w:firstRow="0" w:lastRow="0" w:firstColumn="0" w:lastColumn="0" w:oddVBand="0" w:evenVBand="0" w:oddHBand="0" w:evenHBand="0" w:firstRowFirstColumn="0" w:firstRowLastColumn="0" w:lastRowFirstColumn="0" w:lastRowLastColumn="0"/>
            </w:pPr>
            <w:r w:rsidRPr="00525F7B">
              <w:t>-2.3</w:t>
            </w:r>
          </w:p>
        </w:tc>
        <w:tc>
          <w:tcPr>
            <w:tcW w:w="360" w:type="pct"/>
            <w:vAlign w:val="top"/>
          </w:tcPr>
          <w:p w:rsidR="00556B24" w:rsidRDefault="00556B24" w:rsidP="00DD384A">
            <w:pPr>
              <w:keepNext/>
              <w:cnfStyle w:val="000000000000" w:firstRow="0" w:lastRow="0" w:firstColumn="0" w:lastColumn="0" w:oddVBand="0" w:evenVBand="0" w:oddHBand="0" w:evenHBand="0" w:firstRowFirstColumn="0" w:firstRowLastColumn="0" w:lastRowFirstColumn="0" w:lastRowLastColumn="0"/>
            </w:pPr>
            <w:r w:rsidRPr="00525F7B">
              <w:t>-2.3</w:t>
            </w:r>
          </w:p>
        </w:tc>
        <w:tc>
          <w:tcPr>
            <w:tcW w:w="361" w:type="pct"/>
            <w:vAlign w:val="top"/>
          </w:tcPr>
          <w:p w:rsidR="00556B24" w:rsidRDefault="00556B24" w:rsidP="00DD384A">
            <w:pPr>
              <w:keepNext/>
              <w:cnfStyle w:val="000000000000" w:firstRow="0" w:lastRow="0" w:firstColumn="0" w:lastColumn="0" w:oddVBand="0" w:evenVBand="0" w:oddHBand="0" w:evenHBand="0" w:firstRowFirstColumn="0" w:firstRowLastColumn="0" w:lastRowFirstColumn="0" w:lastRowLastColumn="0"/>
            </w:pPr>
            <w:r w:rsidRPr="00525F7B">
              <w:t>-2.3</w:t>
            </w:r>
          </w:p>
        </w:tc>
        <w:tc>
          <w:tcPr>
            <w:tcW w:w="360" w:type="pct"/>
            <w:vAlign w:val="top"/>
          </w:tcPr>
          <w:p w:rsidR="00556B24" w:rsidRDefault="00556B24" w:rsidP="00DD384A">
            <w:pPr>
              <w:keepNext/>
              <w:cnfStyle w:val="000000000000" w:firstRow="0" w:lastRow="0" w:firstColumn="0" w:lastColumn="0" w:oddVBand="0" w:evenVBand="0" w:oddHBand="0" w:evenHBand="0" w:firstRowFirstColumn="0" w:firstRowLastColumn="0" w:lastRowFirstColumn="0" w:lastRowLastColumn="0"/>
            </w:pPr>
            <w:r w:rsidRPr="00525F7B">
              <w:t>-2.3</w:t>
            </w:r>
          </w:p>
        </w:tc>
        <w:tc>
          <w:tcPr>
            <w:tcW w:w="361" w:type="pct"/>
            <w:vAlign w:val="top"/>
          </w:tcPr>
          <w:p w:rsidR="00556B24" w:rsidRDefault="00556B24" w:rsidP="00DD384A">
            <w:pPr>
              <w:keepNext/>
              <w:spacing w:line="240" w:lineRule="auto"/>
              <w:cnfStyle w:val="000000000000" w:firstRow="0" w:lastRow="0" w:firstColumn="0" w:lastColumn="0" w:oddVBand="0" w:evenVBand="0" w:oddHBand="0" w:evenHBand="0" w:firstRowFirstColumn="0" w:firstRowLastColumn="0" w:lastRowFirstColumn="0" w:lastRowLastColumn="0"/>
            </w:pPr>
            <w:r>
              <w:t>-2.3</w:t>
            </w:r>
          </w:p>
        </w:tc>
        <w:tc>
          <w:tcPr>
            <w:tcW w:w="360" w:type="pct"/>
            <w:vAlign w:val="top"/>
          </w:tcPr>
          <w:p w:rsidR="00556B24" w:rsidRDefault="00556B24"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vAlign w:val="top"/>
          </w:tcPr>
          <w:p w:rsidR="00556B24" w:rsidRDefault="00556B24"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c>
          <w:tcPr>
            <w:tcW w:w="360" w:type="pct"/>
            <w:vAlign w:val="top"/>
          </w:tcPr>
          <w:p w:rsidR="00556B24" w:rsidRDefault="00556B24"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vAlign w:val="top"/>
          </w:tcPr>
          <w:p w:rsidR="00556B24" w:rsidRDefault="00556B24"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c>
          <w:tcPr>
            <w:tcW w:w="360" w:type="pct"/>
            <w:vAlign w:val="top"/>
          </w:tcPr>
          <w:p w:rsidR="00556B24" w:rsidRDefault="00556B24"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vAlign w:val="top"/>
          </w:tcPr>
          <w:p w:rsidR="00556B24" w:rsidRDefault="00556B24"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r>
      <w:tr w:rsidR="00556B24" w:rsidTr="00B862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pct"/>
            <w:vAlign w:val="top"/>
          </w:tcPr>
          <w:p w:rsidR="00556B24" w:rsidRDefault="00556B24" w:rsidP="00DD384A">
            <w:pPr>
              <w:keepNext/>
              <w:spacing w:line="240" w:lineRule="auto"/>
            </w:pPr>
            <w:r>
              <w:t>2016</w:t>
            </w:r>
            <w:r w:rsidR="00B91215">
              <w:t>–</w:t>
            </w:r>
            <w:r>
              <w:t>17</w:t>
            </w:r>
          </w:p>
        </w:tc>
        <w:tc>
          <w:tcPr>
            <w:tcW w:w="360" w:type="pct"/>
          </w:tcPr>
          <w:p w:rsidR="00556B24" w:rsidRDefault="00556B24"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vAlign w:val="top"/>
          </w:tcPr>
          <w:p w:rsidR="00556B24" w:rsidRDefault="00556B24" w:rsidP="00DD384A">
            <w:pPr>
              <w:keepNext/>
              <w:cnfStyle w:val="000000010000" w:firstRow="0" w:lastRow="0" w:firstColumn="0" w:lastColumn="0" w:oddVBand="0" w:evenVBand="0" w:oddHBand="0" w:evenHBand="1" w:firstRowFirstColumn="0" w:firstRowLastColumn="0" w:lastRowFirstColumn="0" w:lastRowLastColumn="0"/>
            </w:pPr>
          </w:p>
        </w:tc>
        <w:tc>
          <w:tcPr>
            <w:tcW w:w="360" w:type="pct"/>
            <w:vAlign w:val="top"/>
          </w:tcPr>
          <w:p w:rsidR="00556B24" w:rsidRDefault="00556B24" w:rsidP="00DD384A">
            <w:pPr>
              <w:keepNext/>
              <w:cnfStyle w:val="000000010000" w:firstRow="0" w:lastRow="0" w:firstColumn="0" w:lastColumn="0" w:oddVBand="0" w:evenVBand="0" w:oddHBand="0" w:evenHBand="1" w:firstRowFirstColumn="0" w:firstRowLastColumn="0" w:lastRowFirstColumn="0" w:lastRowLastColumn="0"/>
            </w:pPr>
            <w:r w:rsidRPr="00304781">
              <w:t>3.0</w:t>
            </w:r>
          </w:p>
        </w:tc>
        <w:tc>
          <w:tcPr>
            <w:tcW w:w="361" w:type="pct"/>
            <w:vAlign w:val="top"/>
          </w:tcPr>
          <w:p w:rsidR="00556B24" w:rsidRDefault="00556B24" w:rsidP="00DD384A">
            <w:pPr>
              <w:keepNext/>
              <w:cnfStyle w:val="000000010000" w:firstRow="0" w:lastRow="0" w:firstColumn="0" w:lastColumn="0" w:oddVBand="0" w:evenVBand="0" w:oddHBand="0" w:evenHBand="1" w:firstRowFirstColumn="0" w:firstRowLastColumn="0" w:lastRowFirstColumn="0" w:lastRowLastColumn="0"/>
            </w:pPr>
            <w:r w:rsidRPr="00304781">
              <w:t>3.0</w:t>
            </w:r>
          </w:p>
        </w:tc>
        <w:tc>
          <w:tcPr>
            <w:tcW w:w="360" w:type="pct"/>
            <w:vAlign w:val="top"/>
          </w:tcPr>
          <w:p w:rsidR="00556B24" w:rsidRDefault="00556B24" w:rsidP="00DD384A">
            <w:pPr>
              <w:keepNext/>
              <w:cnfStyle w:val="000000010000" w:firstRow="0" w:lastRow="0" w:firstColumn="0" w:lastColumn="0" w:oddVBand="0" w:evenVBand="0" w:oddHBand="0" w:evenHBand="1" w:firstRowFirstColumn="0" w:firstRowLastColumn="0" w:lastRowFirstColumn="0" w:lastRowLastColumn="0"/>
            </w:pPr>
            <w:r w:rsidRPr="00304781">
              <w:t>3.0</w:t>
            </w:r>
          </w:p>
        </w:tc>
        <w:tc>
          <w:tcPr>
            <w:tcW w:w="361" w:type="pct"/>
            <w:vAlign w:val="top"/>
          </w:tcPr>
          <w:p w:rsidR="00556B24" w:rsidRDefault="00556B24" w:rsidP="00DD384A">
            <w:pPr>
              <w:keepNext/>
              <w:cnfStyle w:val="000000010000" w:firstRow="0" w:lastRow="0" w:firstColumn="0" w:lastColumn="0" w:oddVBand="0" w:evenVBand="0" w:oddHBand="0" w:evenHBand="1" w:firstRowFirstColumn="0" w:firstRowLastColumn="0" w:lastRowFirstColumn="0" w:lastRowLastColumn="0"/>
            </w:pPr>
            <w:r w:rsidRPr="00304781">
              <w:t>3.0</w:t>
            </w:r>
          </w:p>
        </w:tc>
        <w:tc>
          <w:tcPr>
            <w:tcW w:w="360" w:type="pct"/>
            <w:vAlign w:val="top"/>
          </w:tcPr>
          <w:p w:rsidR="00556B24" w:rsidRDefault="00556B24" w:rsidP="00DD384A">
            <w:pPr>
              <w:keepNext/>
              <w:cnfStyle w:val="000000010000" w:firstRow="0" w:lastRow="0" w:firstColumn="0" w:lastColumn="0" w:oddVBand="0" w:evenVBand="0" w:oddHBand="0" w:evenHBand="1" w:firstRowFirstColumn="0" w:firstRowLastColumn="0" w:lastRowFirstColumn="0" w:lastRowLastColumn="0"/>
            </w:pPr>
            <w:r w:rsidRPr="00304781">
              <w:t>3.0</w:t>
            </w:r>
          </w:p>
        </w:tc>
        <w:tc>
          <w:tcPr>
            <w:tcW w:w="361" w:type="pct"/>
            <w:vAlign w:val="top"/>
          </w:tcPr>
          <w:p w:rsidR="00556B24" w:rsidRDefault="00556B24"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0" w:type="pct"/>
            <w:vAlign w:val="top"/>
          </w:tcPr>
          <w:p w:rsidR="00556B24" w:rsidRDefault="00556B24"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vAlign w:val="top"/>
          </w:tcPr>
          <w:p w:rsidR="00556B24" w:rsidRDefault="00556B24"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0" w:type="pct"/>
            <w:vAlign w:val="top"/>
          </w:tcPr>
          <w:p w:rsidR="00556B24" w:rsidRDefault="00556B24"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vAlign w:val="top"/>
          </w:tcPr>
          <w:p w:rsidR="00556B24" w:rsidRDefault="00556B24"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r>
      <w:tr w:rsidR="00556B24" w:rsidTr="00B862DE">
        <w:tc>
          <w:tcPr>
            <w:cnfStyle w:val="001000000000" w:firstRow="0" w:lastRow="0" w:firstColumn="1" w:lastColumn="0" w:oddVBand="0" w:evenVBand="0" w:oddHBand="0" w:evenHBand="0" w:firstRowFirstColumn="0" w:firstRowLastColumn="0" w:lastRowFirstColumn="0" w:lastRowLastColumn="0"/>
            <w:tcW w:w="673" w:type="pct"/>
            <w:vAlign w:val="top"/>
          </w:tcPr>
          <w:p w:rsidR="00556B24" w:rsidRDefault="00556B24" w:rsidP="00DD384A">
            <w:pPr>
              <w:keepNext/>
              <w:spacing w:line="240" w:lineRule="auto"/>
            </w:pPr>
            <w:r>
              <w:t>2017</w:t>
            </w:r>
            <w:r w:rsidR="00B91215">
              <w:t>–</w:t>
            </w:r>
            <w:r>
              <w:t>18</w:t>
            </w:r>
          </w:p>
        </w:tc>
        <w:tc>
          <w:tcPr>
            <w:tcW w:w="360" w:type="pct"/>
          </w:tcPr>
          <w:p w:rsidR="00556B24" w:rsidRDefault="00556B24"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vAlign w:val="top"/>
          </w:tcPr>
          <w:p w:rsidR="00556B24" w:rsidRDefault="00556B24"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c>
          <w:tcPr>
            <w:tcW w:w="360" w:type="pct"/>
            <w:vAlign w:val="top"/>
          </w:tcPr>
          <w:p w:rsidR="00556B24" w:rsidRDefault="00556B24" w:rsidP="00DD384A">
            <w:pPr>
              <w:keepNext/>
              <w:cnfStyle w:val="000000000000" w:firstRow="0" w:lastRow="0" w:firstColumn="0" w:lastColumn="0" w:oddVBand="0" w:evenVBand="0" w:oddHBand="0" w:evenHBand="0" w:firstRowFirstColumn="0" w:firstRowLastColumn="0" w:lastRowFirstColumn="0" w:lastRowLastColumn="0"/>
            </w:pPr>
          </w:p>
        </w:tc>
        <w:tc>
          <w:tcPr>
            <w:tcW w:w="361" w:type="pct"/>
            <w:vAlign w:val="top"/>
          </w:tcPr>
          <w:p w:rsidR="00556B24" w:rsidRDefault="00556B24" w:rsidP="00DD384A">
            <w:pPr>
              <w:keepNext/>
              <w:cnfStyle w:val="000000000000" w:firstRow="0" w:lastRow="0" w:firstColumn="0" w:lastColumn="0" w:oddVBand="0" w:evenVBand="0" w:oddHBand="0" w:evenHBand="0" w:firstRowFirstColumn="0" w:firstRowLastColumn="0" w:lastRowFirstColumn="0" w:lastRowLastColumn="0"/>
            </w:pPr>
            <w:r w:rsidRPr="00A43E19">
              <w:t>0.9</w:t>
            </w:r>
          </w:p>
        </w:tc>
        <w:tc>
          <w:tcPr>
            <w:tcW w:w="360" w:type="pct"/>
            <w:vAlign w:val="top"/>
          </w:tcPr>
          <w:p w:rsidR="00556B24" w:rsidRDefault="00556B24" w:rsidP="00DD384A">
            <w:pPr>
              <w:keepNext/>
              <w:cnfStyle w:val="000000000000" w:firstRow="0" w:lastRow="0" w:firstColumn="0" w:lastColumn="0" w:oddVBand="0" w:evenVBand="0" w:oddHBand="0" w:evenHBand="0" w:firstRowFirstColumn="0" w:firstRowLastColumn="0" w:lastRowFirstColumn="0" w:lastRowLastColumn="0"/>
            </w:pPr>
            <w:r w:rsidRPr="00A43E19">
              <w:t>0.9</w:t>
            </w:r>
          </w:p>
        </w:tc>
        <w:tc>
          <w:tcPr>
            <w:tcW w:w="361" w:type="pct"/>
            <w:vAlign w:val="top"/>
          </w:tcPr>
          <w:p w:rsidR="00556B24" w:rsidRDefault="00556B24" w:rsidP="00DD384A">
            <w:pPr>
              <w:keepNext/>
              <w:cnfStyle w:val="000000000000" w:firstRow="0" w:lastRow="0" w:firstColumn="0" w:lastColumn="0" w:oddVBand="0" w:evenVBand="0" w:oddHBand="0" w:evenHBand="0" w:firstRowFirstColumn="0" w:firstRowLastColumn="0" w:lastRowFirstColumn="0" w:lastRowLastColumn="0"/>
            </w:pPr>
            <w:r w:rsidRPr="00A43E19">
              <w:t>0.9</w:t>
            </w:r>
          </w:p>
        </w:tc>
        <w:tc>
          <w:tcPr>
            <w:tcW w:w="360" w:type="pct"/>
            <w:vAlign w:val="top"/>
          </w:tcPr>
          <w:p w:rsidR="00556B24" w:rsidRDefault="00556B24" w:rsidP="00DD384A">
            <w:pPr>
              <w:keepNext/>
              <w:cnfStyle w:val="000000000000" w:firstRow="0" w:lastRow="0" w:firstColumn="0" w:lastColumn="0" w:oddVBand="0" w:evenVBand="0" w:oddHBand="0" w:evenHBand="0" w:firstRowFirstColumn="0" w:firstRowLastColumn="0" w:lastRowFirstColumn="0" w:lastRowLastColumn="0"/>
            </w:pPr>
            <w:r w:rsidRPr="00A43E19">
              <w:t>0.9</w:t>
            </w:r>
          </w:p>
        </w:tc>
        <w:tc>
          <w:tcPr>
            <w:tcW w:w="361" w:type="pct"/>
            <w:vAlign w:val="top"/>
          </w:tcPr>
          <w:p w:rsidR="00556B24" w:rsidRDefault="00556B24" w:rsidP="00DD384A">
            <w:pPr>
              <w:keepNext/>
              <w:cnfStyle w:val="000000000000" w:firstRow="0" w:lastRow="0" w:firstColumn="0" w:lastColumn="0" w:oddVBand="0" w:evenVBand="0" w:oddHBand="0" w:evenHBand="0" w:firstRowFirstColumn="0" w:firstRowLastColumn="0" w:lastRowFirstColumn="0" w:lastRowLastColumn="0"/>
            </w:pPr>
            <w:r w:rsidRPr="00A43E19">
              <w:t>0.9</w:t>
            </w:r>
          </w:p>
        </w:tc>
        <w:tc>
          <w:tcPr>
            <w:tcW w:w="360" w:type="pct"/>
            <w:vAlign w:val="top"/>
          </w:tcPr>
          <w:p w:rsidR="00556B24" w:rsidRDefault="00556B24"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vAlign w:val="top"/>
          </w:tcPr>
          <w:p w:rsidR="00556B24" w:rsidRDefault="00556B24"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c>
          <w:tcPr>
            <w:tcW w:w="360" w:type="pct"/>
            <w:vAlign w:val="top"/>
          </w:tcPr>
          <w:p w:rsidR="00556B24" w:rsidRDefault="00556B24"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vAlign w:val="top"/>
          </w:tcPr>
          <w:p w:rsidR="00556B24" w:rsidRDefault="00556B24"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r>
      <w:tr w:rsidR="00556B24" w:rsidTr="00B862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pct"/>
            <w:vAlign w:val="top"/>
          </w:tcPr>
          <w:p w:rsidR="00556B24" w:rsidRDefault="00556B24" w:rsidP="00DD384A">
            <w:pPr>
              <w:keepNext/>
              <w:spacing w:line="240" w:lineRule="auto"/>
            </w:pPr>
            <w:r>
              <w:t>2018</w:t>
            </w:r>
            <w:r w:rsidR="00B91215">
              <w:t>–</w:t>
            </w:r>
            <w:r>
              <w:t>19</w:t>
            </w:r>
          </w:p>
        </w:tc>
        <w:tc>
          <w:tcPr>
            <w:tcW w:w="360" w:type="pct"/>
          </w:tcPr>
          <w:p w:rsidR="00556B24" w:rsidRDefault="00556B24"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vAlign w:val="top"/>
          </w:tcPr>
          <w:p w:rsidR="00556B24" w:rsidRDefault="00556B24"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0" w:type="pct"/>
            <w:vAlign w:val="top"/>
          </w:tcPr>
          <w:p w:rsidR="00556B24" w:rsidRDefault="00556B24"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vAlign w:val="top"/>
          </w:tcPr>
          <w:p w:rsidR="00556B24" w:rsidRDefault="00556B24" w:rsidP="00DD384A">
            <w:pPr>
              <w:keepNext/>
              <w:cnfStyle w:val="000000010000" w:firstRow="0" w:lastRow="0" w:firstColumn="0" w:lastColumn="0" w:oddVBand="0" w:evenVBand="0" w:oddHBand="0" w:evenHBand="1" w:firstRowFirstColumn="0" w:firstRowLastColumn="0" w:lastRowFirstColumn="0" w:lastRowLastColumn="0"/>
            </w:pPr>
          </w:p>
        </w:tc>
        <w:tc>
          <w:tcPr>
            <w:tcW w:w="360" w:type="pct"/>
            <w:vAlign w:val="top"/>
          </w:tcPr>
          <w:p w:rsidR="00556B24" w:rsidRDefault="00556B24" w:rsidP="00DD384A">
            <w:pPr>
              <w:keepNext/>
              <w:cnfStyle w:val="000000010000" w:firstRow="0" w:lastRow="0" w:firstColumn="0" w:lastColumn="0" w:oddVBand="0" w:evenVBand="0" w:oddHBand="0" w:evenHBand="1" w:firstRowFirstColumn="0" w:firstRowLastColumn="0" w:lastRowFirstColumn="0" w:lastRowLastColumn="0"/>
            </w:pPr>
            <w:r w:rsidRPr="00825EF9">
              <w:t>2.1</w:t>
            </w:r>
          </w:p>
        </w:tc>
        <w:tc>
          <w:tcPr>
            <w:tcW w:w="361" w:type="pct"/>
            <w:vAlign w:val="top"/>
          </w:tcPr>
          <w:p w:rsidR="00556B24" w:rsidRDefault="00556B24" w:rsidP="00DD384A">
            <w:pPr>
              <w:keepNext/>
              <w:cnfStyle w:val="000000010000" w:firstRow="0" w:lastRow="0" w:firstColumn="0" w:lastColumn="0" w:oddVBand="0" w:evenVBand="0" w:oddHBand="0" w:evenHBand="1" w:firstRowFirstColumn="0" w:firstRowLastColumn="0" w:lastRowFirstColumn="0" w:lastRowLastColumn="0"/>
            </w:pPr>
            <w:r w:rsidRPr="00825EF9">
              <w:t>2.1</w:t>
            </w:r>
          </w:p>
        </w:tc>
        <w:tc>
          <w:tcPr>
            <w:tcW w:w="360" w:type="pct"/>
            <w:vAlign w:val="top"/>
          </w:tcPr>
          <w:p w:rsidR="00556B24" w:rsidRDefault="00556B24" w:rsidP="00DD384A">
            <w:pPr>
              <w:keepNext/>
              <w:cnfStyle w:val="000000010000" w:firstRow="0" w:lastRow="0" w:firstColumn="0" w:lastColumn="0" w:oddVBand="0" w:evenVBand="0" w:oddHBand="0" w:evenHBand="1" w:firstRowFirstColumn="0" w:firstRowLastColumn="0" w:lastRowFirstColumn="0" w:lastRowLastColumn="0"/>
            </w:pPr>
            <w:r w:rsidRPr="00825EF9">
              <w:t>2.1</w:t>
            </w:r>
          </w:p>
        </w:tc>
        <w:tc>
          <w:tcPr>
            <w:tcW w:w="361" w:type="pct"/>
            <w:vAlign w:val="top"/>
          </w:tcPr>
          <w:p w:rsidR="00556B24" w:rsidRDefault="00556B24" w:rsidP="00DD384A">
            <w:pPr>
              <w:keepNext/>
              <w:cnfStyle w:val="000000010000" w:firstRow="0" w:lastRow="0" w:firstColumn="0" w:lastColumn="0" w:oddVBand="0" w:evenVBand="0" w:oddHBand="0" w:evenHBand="1" w:firstRowFirstColumn="0" w:firstRowLastColumn="0" w:lastRowFirstColumn="0" w:lastRowLastColumn="0"/>
            </w:pPr>
            <w:r w:rsidRPr="00825EF9">
              <w:t>2.1</w:t>
            </w:r>
          </w:p>
        </w:tc>
        <w:tc>
          <w:tcPr>
            <w:tcW w:w="360" w:type="pct"/>
            <w:vAlign w:val="top"/>
          </w:tcPr>
          <w:p w:rsidR="00556B24" w:rsidRDefault="00556B24" w:rsidP="00DD384A">
            <w:pPr>
              <w:keepNext/>
              <w:cnfStyle w:val="000000010000" w:firstRow="0" w:lastRow="0" w:firstColumn="0" w:lastColumn="0" w:oddVBand="0" w:evenVBand="0" w:oddHBand="0" w:evenHBand="1" w:firstRowFirstColumn="0" w:firstRowLastColumn="0" w:lastRowFirstColumn="0" w:lastRowLastColumn="0"/>
            </w:pPr>
            <w:r w:rsidRPr="00825EF9">
              <w:t>2.1</w:t>
            </w:r>
          </w:p>
        </w:tc>
        <w:tc>
          <w:tcPr>
            <w:tcW w:w="361" w:type="pct"/>
            <w:vAlign w:val="top"/>
          </w:tcPr>
          <w:p w:rsidR="00556B24" w:rsidRDefault="00556B24"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0" w:type="pct"/>
            <w:vAlign w:val="top"/>
          </w:tcPr>
          <w:p w:rsidR="00556B24" w:rsidRDefault="00556B24"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vAlign w:val="top"/>
          </w:tcPr>
          <w:p w:rsidR="00556B24" w:rsidRDefault="00556B24"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r>
      <w:tr w:rsidR="00556B24" w:rsidTr="00B862DE">
        <w:tc>
          <w:tcPr>
            <w:cnfStyle w:val="001000000000" w:firstRow="0" w:lastRow="0" w:firstColumn="1" w:lastColumn="0" w:oddVBand="0" w:evenVBand="0" w:oddHBand="0" w:evenHBand="0" w:firstRowFirstColumn="0" w:firstRowLastColumn="0" w:lastRowFirstColumn="0" w:lastRowLastColumn="0"/>
            <w:tcW w:w="673" w:type="pct"/>
            <w:vAlign w:val="top"/>
          </w:tcPr>
          <w:p w:rsidR="00556B24" w:rsidRDefault="00556B24" w:rsidP="00DD384A">
            <w:pPr>
              <w:keepNext/>
              <w:spacing w:line="240" w:lineRule="auto"/>
            </w:pPr>
            <w:r>
              <w:t>2019</w:t>
            </w:r>
            <w:r w:rsidR="00B91215">
              <w:t>–</w:t>
            </w:r>
            <w:r>
              <w:t>20</w:t>
            </w:r>
          </w:p>
        </w:tc>
        <w:tc>
          <w:tcPr>
            <w:tcW w:w="360" w:type="pct"/>
          </w:tcPr>
          <w:p w:rsidR="00556B24" w:rsidRDefault="00556B24"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vAlign w:val="top"/>
          </w:tcPr>
          <w:p w:rsidR="00556B24" w:rsidRDefault="00556B24"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c>
          <w:tcPr>
            <w:tcW w:w="360" w:type="pct"/>
            <w:vAlign w:val="top"/>
          </w:tcPr>
          <w:p w:rsidR="00556B24" w:rsidRDefault="00556B24"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vAlign w:val="top"/>
          </w:tcPr>
          <w:p w:rsidR="00556B24" w:rsidRDefault="00556B24"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c>
          <w:tcPr>
            <w:tcW w:w="360" w:type="pct"/>
            <w:vAlign w:val="top"/>
          </w:tcPr>
          <w:p w:rsidR="00556B24" w:rsidRDefault="00556B24" w:rsidP="00DD384A">
            <w:pPr>
              <w:keepNext/>
              <w:cnfStyle w:val="000000000000" w:firstRow="0" w:lastRow="0" w:firstColumn="0" w:lastColumn="0" w:oddVBand="0" w:evenVBand="0" w:oddHBand="0" w:evenHBand="0" w:firstRowFirstColumn="0" w:firstRowLastColumn="0" w:lastRowFirstColumn="0" w:lastRowLastColumn="0"/>
            </w:pPr>
          </w:p>
        </w:tc>
        <w:tc>
          <w:tcPr>
            <w:tcW w:w="361" w:type="pct"/>
            <w:vAlign w:val="top"/>
          </w:tcPr>
          <w:p w:rsidR="00556B24" w:rsidRDefault="00556B24" w:rsidP="00DD384A">
            <w:pPr>
              <w:keepNext/>
              <w:spacing w:line="240" w:lineRule="auto"/>
              <w:cnfStyle w:val="000000000000" w:firstRow="0" w:lastRow="0" w:firstColumn="0" w:lastColumn="0" w:oddVBand="0" w:evenVBand="0" w:oddHBand="0" w:evenHBand="0" w:firstRowFirstColumn="0" w:firstRowLastColumn="0" w:lastRowFirstColumn="0" w:lastRowLastColumn="0"/>
            </w:pPr>
            <w:r>
              <w:t>0.0</w:t>
            </w:r>
          </w:p>
        </w:tc>
        <w:tc>
          <w:tcPr>
            <w:tcW w:w="360" w:type="pct"/>
            <w:vAlign w:val="top"/>
          </w:tcPr>
          <w:p w:rsidR="00556B24" w:rsidRDefault="00556B24" w:rsidP="00DD384A">
            <w:pPr>
              <w:keepNext/>
              <w:spacing w:line="240" w:lineRule="auto"/>
              <w:cnfStyle w:val="000000000000" w:firstRow="0" w:lastRow="0" w:firstColumn="0" w:lastColumn="0" w:oddVBand="0" w:evenVBand="0" w:oddHBand="0" w:evenHBand="0" w:firstRowFirstColumn="0" w:firstRowLastColumn="0" w:lastRowFirstColumn="0" w:lastRowLastColumn="0"/>
            </w:pPr>
            <w:r>
              <w:t>0.0</w:t>
            </w:r>
          </w:p>
        </w:tc>
        <w:tc>
          <w:tcPr>
            <w:tcW w:w="361" w:type="pct"/>
            <w:vAlign w:val="top"/>
          </w:tcPr>
          <w:p w:rsidR="00556B24" w:rsidRDefault="00556B24" w:rsidP="00DD384A">
            <w:pPr>
              <w:keepNext/>
              <w:cnfStyle w:val="000000000000" w:firstRow="0" w:lastRow="0" w:firstColumn="0" w:lastColumn="0" w:oddVBand="0" w:evenVBand="0" w:oddHBand="0" w:evenHBand="0" w:firstRowFirstColumn="0" w:firstRowLastColumn="0" w:lastRowFirstColumn="0" w:lastRowLastColumn="0"/>
            </w:pPr>
            <w:r w:rsidRPr="002B1EC0">
              <w:t>0.0</w:t>
            </w:r>
          </w:p>
        </w:tc>
        <w:tc>
          <w:tcPr>
            <w:tcW w:w="360" w:type="pct"/>
            <w:vAlign w:val="top"/>
          </w:tcPr>
          <w:p w:rsidR="00556B24" w:rsidRDefault="00556B24" w:rsidP="00DD384A">
            <w:pPr>
              <w:keepNext/>
              <w:cnfStyle w:val="000000000000" w:firstRow="0" w:lastRow="0" w:firstColumn="0" w:lastColumn="0" w:oddVBand="0" w:evenVBand="0" w:oddHBand="0" w:evenHBand="0" w:firstRowFirstColumn="0" w:firstRowLastColumn="0" w:lastRowFirstColumn="0" w:lastRowLastColumn="0"/>
            </w:pPr>
            <w:r w:rsidRPr="002B1EC0">
              <w:t>0.0</w:t>
            </w:r>
          </w:p>
        </w:tc>
        <w:tc>
          <w:tcPr>
            <w:tcW w:w="361" w:type="pct"/>
            <w:vAlign w:val="top"/>
          </w:tcPr>
          <w:p w:rsidR="00556B24" w:rsidRDefault="00556B24" w:rsidP="00DD384A">
            <w:pPr>
              <w:keepNext/>
              <w:cnfStyle w:val="000000000000" w:firstRow="0" w:lastRow="0" w:firstColumn="0" w:lastColumn="0" w:oddVBand="0" w:evenVBand="0" w:oddHBand="0" w:evenHBand="0" w:firstRowFirstColumn="0" w:firstRowLastColumn="0" w:lastRowFirstColumn="0" w:lastRowLastColumn="0"/>
            </w:pPr>
            <w:r w:rsidRPr="002B1EC0">
              <w:t>0.0</w:t>
            </w:r>
          </w:p>
        </w:tc>
        <w:tc>
          <w:tcPr>
            <w:tcW w:w="360" w:type="pct"/>
            <w:vAlign w:val="top"/>
          </w:tcPr>
          <w:p w:rsidR="00556B24" w:rsidRDefault="00556B24"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vAlign w:val="top"/>
          </w:tcPr>
          <w:p w:rsidR="00556B24" w:rsidRDefault="00556B24" w:rsidP="00DD384A">
            <w:pPr>
              <w:keepNext/>
              <w:spacing w:line="240" w:lineRule="auto"/>
              <w:cnfStyle w:val="000000000000" w:firstRow="0" w:lastRow="0" w:firstColumn="0" w:lastColumn="0" w:oddVBand="0" w:evenVBand="0" w:oddHBand="0" w:evenHBand="0" w:firstRowFirstColumn="0" w:firstRowLastColumn="0" w:lastRowFirstColumn="0" w:lastRowLastColumn="0"/>
            </w:pPr>
          </w:p>
        </w:tc>
      </w:tr>
      <w:tr w:rsidR="004D6C4E" w:rsidTr="00B862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pct"/>
            <w:vAlign w:val="top"/>
          </w:tcPr>
          <w:p w:rsidR="004D6C4E" w:rsidRDefault="004D6C4E" w:rsidP="00DD384A">
            <w:pPr>
              <w:keepNext/>
              <w:spacing w:line="240" w:lineRule="auto"/>
            </w:pPr>
            <w:r>
              <w:t>2020</w:t>
            </w:r>
            <w:r w:rsidR="00B91215">
              <w:t>–</w:t>
            </w:r>
            <w:r>
              <w:t>21</w:t>
            </w:r>
          </w:p>
        </w:tc>
        <w:tc>
          <w:tcPr>
            <w:tcW w:w="360" w:type="pct"/>
          </w:tcPr>
          <w:p w:rsidR="004D6C4E" w:rsidRDefault="004D6C4E"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vAlign w:val="top"/>
          </w:tcPr>
          <w:p w:rsidR="004D6C4E" w:rsidRDefault="004D6C4E"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0" w:type="pct"/>
            <w:vAlign w:val="top"/>
          </w:tcPr>
          <w:p w:rsidR="004D6C4E" w:rsidRDefault="004D6C4E"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vAlign w:val="top"/>
          </w:tcPr>
          <w:p w:rsidR="004D6C4E" w:rsidRDefault="004D6C4E"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0" w:type="pct"/>
            <w:vAlign w:val="top"/>
          </w:tcPr>
          <w:p w:rsidR="004D6C4E" w:rsidRDefault="004D6C4E"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vAlign w:val="top"/>
          </w:tcPr>
          <w:p w:rsidR="004D6C4E" w:rsidRDefault="004D6C4E"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c>
          <w:tcPr>
            <w:tcW w:w="360" w:type="pct"/>
            <w:vAlign w:val="top"/>
          </w:tcPr>
          <w:p w:rsidR="004D6C4E" w:rsidRPr="004D6C4E" w:rsidRDefault="004D6C4E" w:rsidP="00DD384A">
            <w:pPr>
              <w:keepNext/>
              <w:cnfStyle w:val="000000010000" w:firstRow="0" w:lastRow="0" w:firstColumn="0" w:lastColumn="0" w:oddVBand="0" w:evenVBand="0" w:oddHBand="0" w:evenHBand="1" w:firstRowFirstColumn="0" w:firstRowLastColumn="0" w:lastRowFirstColumn="0" w:lastRowLastColumn="0"/>
              <w:rPr>
                <w:szCs w:val="16"/>
              </w:rPr>
            </w:pPr>
            <w:r w:rsidRPr="004D6C4E">
              <w:rPr>
                <w:szCs w:val="16"/>
              </w:rPr>
              <w:t>n/a</w:t>
            </w:r>
          </w:p>
        </w:tc>
        <w:tc>
          <w:tcPr>
            <w:tcW w:w="361" w:type="pct"/>
            <w:vAlign w:val="top"/>
          </w:tcPr>
          <w:p w:rsidR="004D6C4E" w:rsidRPr="004D6C4E" w:rsidRDefault="004D6C4E" w:rsidP="00DD384A">
            <w:pPr>
              <w:keepNext/>
              <w:cnfStyle w:val="000000010000" w:firstRow="0" w:lastRow="0" w:firstColumn="0" w:lastColumn="0" w:oddVBand="0" w:evenVBand="0" w:oddHBand="0" w:evenHBand="1" w:firstRowFirstColumn="0" w:firstRowLastColumn="0" w:lastRowFirstColumn="0" w:lastRowLastColumn="0"/>
              <w:rPr>
                <w:szCs w:val="16"/>
              </w:rPr>
            </w:pPr>
            <w:r w:rsidRPr="004D6C4E">
              <w:rPr>
                <w:szCs w:val="16"/>
              </w:rPr>
              <w:t>n/a</w:t>
            </w:r>
          </w:p>
        </w:tc>
        <w:tc>
          <w:tcPr>
            <w:tcW w:w="360" w:type="pct"/>
            <w:vAlign w:val="top"/>
          </w:tcPr>
          <w:p w:rsidR="004D6C4E" w:rsidRPr="004D6C4E" w:rsidRDefault="004D6C4E" w:rsidP="00DD384A">
            <w:pPr>
              <w:keepNext/>
              <w:cnfStyle w:val="000000010000" w:firstRow="0" w:lastRow="0" w:firstColumn="0" w:lastColumn="0" w:oddVBand="0" w:evenVBand="0" w:oddHBand="0" w:evenHBand="1" w:firstRowFirstColumn="0" w:firstRowLastColumn="0" w:lastRowFirstColumn="0" w:lastRowLastColumn="0"/>
              <w:rPr>
                <w:szCs w:val="16"/>
              </w:rPr>
            </w:pPr>
            <w:r w:rsidRPr="004D6C4E">
              <w:rPr>
                <w:szCs w:val="16"/>
              </w:rPr>
              <w:t>n/a</w:t>
            </w:r>
          </w:p>
        </w:tc>
        <w:tc>
          <w:tcPr>
            <w:tcW w:w="361" w:type="pct"/>
            <w:vAlign w:val="top"/>
          </w:tcPr>
          <w:p w:rsidR="004D6C4E" w:rsidRPr="004D6C4E" w:rsidRDefault="004D6C4E" w:rsidP="00DD384A">
            <w:pPr>
              <w:keepNext/>
              <w:cnfStyle w:val="000000010000" w:firstRow="0" w:lastRow="0" w:firstColumn="0" w:lastColumn="0" w:oddVBand="0" w:evenVBand="0" w:oddHBand="0" w:evenHBand="1" w:firstRowFirstColumn="0" w:firstRowLastColumn="0" w:lastRowFirstColumn="0" w:lastRowLastColumn="0"/>
              <w:rPr>
                <w:szCs w:val="16"/>
              </w:rPr>
            </w:pPr>
            <w:r w:rsidRPr="004D6C4E">
              <w:rPr>
                <w:szCs w:val="16"/>
              </w:rPr>
              <w:t>n/a</w:t>
            </w:r>
          </w:p>
        </w:tc>
        <w:tc>
          <w:tcPr>
            <w:tcW w:w="360" w:type="pct"/>
            <w:vAlign w:val="top"/>
          </w:tcPr>
          <w:p w:rsidR="004D6C4E" w:rsidRPr="004D6C4E" w:rsidRDefault="004D6C4E" w:rsidP="00DD384A">
            <w:pPr>
              <w:keepNext/>
              <w:cnfStyle w:val="000000010000" w:firstRow="0" w:lastRow="0" w:firstColumn="0" w:lastColumn="0" w:oddVBand="0" w:evenVBand="0" w:oddHBand="0" w:evenHBand="1" w:firstRowFirstColumn="0" w:firstRowLastColumn="0" w:lastRowFirstColumn="0" w:lastRowLastColumn="0"/>
              <w:rPr>
                <w:szCs w:val="16"/>
              </w:rPr>
            </w:pPr>
            <w:r w:rsidRPr="004D6C4E">
              <w:rPr>
                <w:szCs w:val="16"/>
              </w:rPr>
              <w:t>n/a</w:t>
            </w:r>
          </w:p>
        </w:tc>
        <w:tc>
          <w:tcPr>
            <w:tcW w:w="361" w:type="pct"/>
            <w:vAlign w:val="top"/>
          </w:tcPr>
          <w:p w:rsidR="004D6C4E" w:rsidRDefault="004D6C4E" w:rsidP="00DD384A">
            <w:pPr>
              <w:keepNext/>
              <w:spacing w:line="240" w:lineRule="auto"/>
              <w:cnfStyle w:val="000000010000" w:firstRow="0" w:lastRow="0" w:firstColumn="0" w:lastColumn="0" w:oddVBand="0" w:evenVBand="0" w:oddHBand="0" w:evenHBand="1" w:firstRowFirstColumn="0" w:firstRowLastColumn="0" w:lastRowFirstColumn="0" w:lastRowLastColumn="0"/>
            </w:pPr>
          </w:p>
        </w:tc>
      </w:tr>
      <w:tr w:rsidR="00556B24" w:rsidTr="00B862DE">
        <w:tc>
          <w:tcPr>
            <w:cnfStyle w:val="001000000000" w:firstRow="0" w:lastRow="0" w:firstColumn="1" w:lastColumn="0" w:oddVBand="0" w:evenVBand="0" w:oddHBand="0" w:evenHBand="0" w:firstRowFirstColumn="0" w:firstRowLastColumn="0" w:lastRowFirstColumn="0" w:lastRowLastColumn="0"/>
            <w:tcW w:w="673" w:type="pct"/>
            <w:vAlign w:val="top"/>
          </w:tcPr>
          <w:p w:rsidR="00556B24" w:rsidRPr="008227A6" w:rsidRDefault="00556B24" w:rsidP="00DD384A">
            <w:pPr>
              <w:keepNext/>
              <w:spacing w:line="240" w:lineRule="auto"/>
              <w:rPr>
                <w:b/>
              </w:rPr>
            </w:pPr>
            <w:r>
              <w:rPr>
                <w:b/>
              </w:rPr>
              <w:t>Efficiency c</w:t>
            </w:r>
            <w:r w:rsidRPr="008227A6">
              <w:rPr>
                <w:b/>
              </w:rPr>
              <w:t>arryover</w:t>
            </w:r>
          </w:p>
        </w:tc>
        <w:tc>
          <w:tcPr>
            <w:tcW w:w="360" w:type="pct"/>
          </w:tcPr>
          <w:p w:rsidR="00556B24" w:rsidRPr="008227A6" w:rsidRDefault="00556B24" w:rsidP="00DD384A">
            <w:pPr>
              <w:keepNext/>
              <w:spacing w:line="240" w:lineRule="auto"/>
              <w:cnfStyle w:val="000000000000" w:firstRow="0" w:lastRow="0" w:firstColumn="0" w:lastColumn="0" w:oddVBand="0" w:evenVBand="0" w:oddHBand="0" w:evenHBand="0" w:firstRowFirstColumn="0" w:firstRowLastColumn="0" w:lastRowFirstColumn="0" w:lastRowLastColumn="0"/>
              <w:rPr>
                <w:b/>
              </w:rPr>
            </w:pPr>
          </w:p>
        </w:tc>
        <w:tc>
          <w:tcPr>
            <w:tcW w:w="361" w:type="pct"/>
            <w:vAlign w:val="top"/>
          </w:tcPr>
          <w:p w:rsidR="00556B24" w:rsidRPr="008227A6" w:rsidRDefault="00556B24" w:rsidP="00DD384A">
            <w:pPr>
              <w:keepNext/>
              <w:spacing w:line="240" w:lineRule="auto"/>
              <w:cnfStyle w:val="000000000000" w:firstRow="0" w:lastRow="0" w:firstColumn="0" w:lastColumn="0" w:oddVBand="0" w:evenVBand="0" w:oddHBand="0" w:evenHBand="0" w:firstRowFirstColumn="0" w:firstRowLastColumn="0" w:lastRowFirstColumn="0" w:lastRowLastColumn="0"/>
              <w:rPr>
                <w:b/>
              </w:rPr>
            </w:pPr>
          </w:p>
        </w:tc>
        <w:tc>
          <w:tcPr>
            <w:tcW w:w="360" w:type="pct"/>
            <w:vAlign w:val="top"/>
          </w:tcPr>
          <w:p w:rsidR="00556B24" w:rsidRPr="008227A6" w:rsidRDefault="00556B24" w:rsidP="00DD384A">
            <w:pPr>
              <w:keepNext/>
              <w:spacing w:line="240" w:lineRule="auto"/>
              <w:cnfStyle w:val="000000000000" w:firstRow="0" w:lastRow="0" w:firstColumn="0" w:lastColumn="0" w:oddVBand="0" w:evenVBand="0" w:oddHBand="0" w:evenHBand="0" w:firstRowFirstColumn="0" w:firstRowLastColumn="0" w:lastRowFirstColumn="0" w:lastRowLastColumn="0"/>
              <w:rPr>
                <w:b/>
              </w:rPr>
            </w:pPr>
          </w:p>
        </w:tc>
        <w:tc>
          <w:tcPr>
            <w:tcW w:w="361" w:type="pct"/>
            <w:vAlign w:val="top"/>
          </w:tcPr>
          <w:p w:rsidR="00556B24" w:rsidRPr="008227A6" w:rsidRDefault="00556B24" w:rsidP="00DD384A">
            <w:pPr>
              <w:keepNext/>
              <w:spacing w:line="240" w:lineRule="auto"/>
              <w:cnfStyle w:val="000000000000" w:firstRow="0" w:lastRow="0" w:firstColumn="0" w:lastColumn="0" w:oddVBand="0" w:evenVBand="0" w:oddHBand="0" w:evenHBand="0" w:firstRowFirstColumn="0" w:firstRowLastColumn="0" w:lastRowFirstColumn="0" w:lastRowLastColumn="0"/>
              <w:rPr>
                <w:b/>
              </w:rPr>
            </w:pPr>
          </w:p>
        </w:tc>
        <w:tc>
          <w:tcPr>
            <w:tcW w:w="360" w:type="pct"/>
            <w:vAlign w:val="top"/>
          </w:tcPr>
          <w:p w:rsidR="00556B24" w:rsidRPr="008227A6" w:rsidRDefault="00556B24" w:rsidP="00DD384A">
            <w:pPr>
              <w:keepNext/>
              <w:spacing w:line="240" w:lineRule="auto"/>
              <w:cnfStyle w:val="000000000000" w:firstRow="0" w:lastRow="0" w:firstColumn="0" w:lastColumn="0" w:oddVBand="0" w:evenVBand="0" w:oddHBand="0" w:evenHBand="0" w:firstRowFirstColumn="0" w:firstRowLastColumn="0" w:lastRowFirstColumn="0" w:lastRowLastColumn="0"/>
              <w:rPr>
                <w:b/>
              </w:rPr>
            </w:pPr>
          </w:p>
        </w:tc>
        <w:tc>
          <w:tcPr>
            <w:tcW w:w="361" w:type="pct"/>
            <w:vAlign w:val="top"/>
          </w:tcPr>
          <w:p w:rsidR="00556B24" w:rsidRPr="00180C17" w:rsidRDefault="00556B24" w:rsidP="00DD384A">
            <w:pPr>
              <w:keepNext/>
              <w:spacing w:line="240" w:lineRule="auto"/>
              <w:cnfStyle w:val="000000000000" w:firstRow="0" w:lastRow="0" w:firstColumn="0" w:lastColumn="0" w:oddVBand="0" w:evenVBand="0" w:oddHBand="0" w:evenHBand="0" w:firstRowFirstColumn="0" w:firstRowLastColumn="0" w:lastRowFirstColumn="0" w:lastRowLastColumn="0"/>
              <w:rPr>
                <w:b/>
              </w:rPr>
            </w:pPr>
            <w:r w:rsidRPr="00180C17">
              <w:rPr>
                <w:b/>
              </w:rPr>
              <w:t>3.7</w:t>
            </w:r>
          </w:p>
        </w:tc>
        <w:tc>
          <w:tcPr>
            <w:tcW w:w="360" w:type="pct"/>
            <w:vAlign w:val="top"/>
          </w:tcPr>
          <w:p w:rsidR="00556B24" w:rsidRPr="00180C17" w:rsidRDefault="00556B24" w:rsidP="00DD384A">
            <w:pPr>
              <w:keepNext/>
              <w:spacing w:line="240" w:lineRule="auto"/>
              <w:cnfStyle w:val="000000000000" w:firstRow="0" w:lastRow="0" w:firstColumn="0" w:lastColumn="0" w:oddVBand="0" w:evenVBand="0" w:oddHBand="0" w:evenHBand="0" w:firstRowFirstColumn="0" w:firstRowLastColumn="0" w:lastRowFirstColumn="0" w:lastRowLastColumn="0"/>
              <w:rPr>
                <w:b/>
              </w:rPr>
            </w:pPr>
            <w:r w:rsidRPr="00180C17">
              <w:rPr>
                <w:b/>
              </w:rPr>
              <w:t>6.0</w:t>
            </w:r>
          </w:p>
        </w:tc>
        <w:tc>
          <w:tcPr>
            <w:tcW w:w="361" w:type="pct"/>
            <w:vAlign w:val="top"/>
          </w:tcPr>
          <w:p w:rsidR="00556B24" w:rsidRPr="00180C17" w:rsidRDefault="00556B24" w:rsidP="00DD384A">
            <w:pPr>
              <w:keepNext/>
              <w:spacing w:line="240" w:lineRule="auto"/>
              <w:cnfStyle w:val="000000000000" w:firstRow="0" w:lastRow="0" w:firstColumn="0" w:lastColumn="0" w:oddVBand="0" w:evenVBand="0" w:oddHBand="0" w:evenHBand="0" w:firstRowFirstColumn="0" w:firstRowLastColumn="0" w:lastRowFirstColumn="0" w:lastRowLastColumn="0"/>
              <w:rPr>
                <w:b/>
              </w:rPr>
            </w:pPr>
            <w:r w:rsidRPr="00180C17">
              <w:rPr>
                <w:b/>
              </w:rPr>
              <w:t>3.0</w:t>
            </w:r>
          </w:p>
        </w:tc>
        <w:tc>
          <w:tcPr>
            <w:tcW w:w="360" w:type="pct"/>
            <w:vAlign w:val="top"/>
          </w:tcPr>
          <w:p w:rsidR="00556B24" w:rsidRPr="00180C17" w:rsidRDefault="00556B24" w:rsidP="00DD384A">
            <w:pPr>
              <w:keepNext/>
              <w:spacing w:line="240" w:lineRule="auto"/>
              <w:cnfStyle w:val="000000000000" w:firstRow="0" w:lastRow="0" w:firstColumn="0" w:lastColumn="0" w:oddVBand="0" w:evenVBand="0" w:oddHBand="0" w:evenHBand="0" w:firstRowFirstColumn="0" w:firstRowLastColumn="0" w:lastRowFirstColumn="0" w:lastRowLastColumn="0"/>
              <w:rPr>
                <w:b/>
              </w:rPr>
            </w:pPr>
            <w:r w:rsidRPr="00180C17">
              <w:rPr>
                <w:b/>
              </w:rPr>
              <w:t>2.1</w:t>
            </w:r>
          </w:p>
        </w:tc>
        <w:tc>
          <w:tcPr>
            <w:tcW w:w="361" w:type="pct"/>
            <w:vAlign w:val="top"/>
          </w:tcPr>
          <w:p w:rsidR="00556B24" w:rsidRDefault="00556B24" w:rsidP="00DD384A">
            <w:pPr>
              <w:keepNext/>
              <w:cnfStyle w:val="000000000000" w:firstRow="0" w:lastRow="0" w:firstColumn="0" w:lastColumn="0" w:oddVBand="0" w:evenVBand="0" w:oddHBand="0" w:evenHBand="0" w:firstRowFirstColumn="0" w:firstRowLastColumn="0" w:lastRowFirstColumn="0" w:lastRowLastColumn="0"/>
            </w:pPr>
            <w:r w:rsidRPr="00C114CB">
              <w:rPr>
                <w:b/>
              </w:rPr>
              <w:t>0.0</w:t>
            </w:r>
          </w:p>
        </w:tc>
        <w:tc>
          <w:tcPr>
            <w:tcW w:w="360" w:type="pct"/>
            <w:vAlign w:val="top"/>
          </w:tcPr>
          <w:p w:rsidR="00556B24" w:rsidRDefault="00556B24" w:rsidP="00DD384A">
            <w:pPr>
              <w:keepNext/>
              <w:cnfStyle w:val="000000000000" w:firstRow="0" w:lastRow="0" w:firstColumn="0" w:lastColumn="0" w:oddVBand="0" w:evenVBand="0" w:oddHBand="0" w:evenHBand="0" w:firstRowFirstColumn="0" w:firstRowLastColumn="0" w:lastRowFirstColumn="0" w:lastRowLastColumn="0"/>
            </w:pPr>
            <w:r w:rsidRPr="00C114CB">
              <w:rPr>
                <w:b/>
              </w:rPr>
              <w:t>0.0</w:t>
            </w:r>
          </w:p>
        </w:tc>
        <w:tc>
          <w:tcPr>
            <w:tcW w:w="361" w:type="pct"/>
            <w:vAlign w:val="top"/>
          </w:tcPr>
          <w:p w:rsidR="00556B24" w:rsidRDefault="00556B24" w:rsidP="00DD384A">
            <w:pPr>
              <w:keepNext/>
              <w:cnfStyle w:val="000000000000" w:firstRow="0" w:lastRow="0" w:firstColumn="0" w:lastColumn="0" w:oddVBand="0" w:evenVBand="0" w:oddHBand="0" w:evenHBand="0" w:firstRowFirstColumn="0" w:firstRowLastColumn="0" w:lastRowFirstColumn="0" w:lastRowLastColumn="0"/>
            </w:pPr>
            <w:r>
              <w:t>14.9</w:t>
            </w:r>
            <w:r>
              <w:rPr>
                <w:rStyle w:val="FootnoteReference"/>
              </w:rPr>
              <w:footnoteReference w:id="2"/>
            </w:r>
          </w:p>
        </w:tc>
      </w:tr>
      <w:tr w:rsidR="00556B24" w:rsidTr="00B862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pct"/>
            <w:vAlign w:val="top"/>
          </w:tcPr>
          <w:p w:rsidR="00556B24" w:rsidRDefault="00556B24" w:rsidP="00DD384A">
            <w:pPr>
              <w:keepNext/>
              <w:spacing w:line="240" w:lineRule="auto"/>
              <w:rPr>
                <w:b/>
              </w:rPr>
            </w:pPr>
            <w:r>
              <w:rPr>
                <w:b/>
              </w:rPr>
              <w:t>PTRM input</w:t>
            </w:r>
          </w:p>
        </w:tc>
        <w:tc>
          <w:tcPr>
            <w:tcW w:w="360" w:type="pct"/>
          </w:tcPr>
          <w:p w:rsidR="00556B24" w:rsidRPr="008227A6" w:rsidRDefault="00556B24" w:rsidP="00DD384A">
            <w:pPr>
              <w:keepNext/>
              <w:spacing w:line="240" w:lineRule="auto"/>
              <w:cnfStyle w:val="000000010000" w:firstRow="0" w:lastRow="0" w:firstColumn="0" w:lastColumn="0" w:oddVBand="0" w:evenVBand="0" w:oddHBand="0" w:evenHBand="1" w:firstRowFirstColumn="0" w:firstRowLastColumn="0" w:lastRowFirstColumn="0" w:lastRowLastColumn="0"/>
              <w:rPr>
                <w:b/>
              </w:rPr>
            </w:pPr>
          </w:p>
        </w:tc>
        <w:tc>
          <w:tcPr>
            <w:tcW w:w="361" w:type="pct"/>
            <w:vAlign w:val="top"/>
          </w:tcPr>
          <w:p w:rsidR="00556B24" w:rsidRPr="008227A6" w:rsidRDefault="00556B24" w:rsidP="00DD384A">
            <w:pPr>
              <w:keepNext/>
              <w:spacing w:line="240" w:lineRule="auto"/>
              <w:cnfStyle w:val="000000010000" w:firstRow="0" w:lastRow="0" w:firstColumn="0" w:lastColumn="0" w:oddVBand="0" w:evenVBand="0" w:oddHBand="0" w:evenHBand="1" w:firstRowFirstColumn="0" w:firstRowLastColumn="0" w:lastRowFirstColumn="0" w:lastRowLastColumn="0"/>
              <w:rPr>
                <w:b/>
              </w:rPr>
            </w:pPr>
          </w:p>
        </w:tc>
        <w:tc>
          <w:tcPr>
            <w:tcW w:w="360" w:type="pct"/>
            <w:vAlign w:val="top"/>
          </w:tcPr>
          <w:p w:rsidR="00556B24" w:rsidRPr="008227A6" w:rsidRDefault="00556B24" w:rsidP="00DD384A">
            <w:pPr>
              <w:keepNext/>
              <w:spacing w:line="240" w:lineRule="auto"/>
              <w:cnfStyle w:val="000000010000" w:firstRow="0" w:lastRow="0" w:firstColumn="0" w:lastColumn="0" w:oddVBand="0" w:evenVBand="0" w:oddHBand="0" w:evenHBand="1" w:firstRowFirstColumn="0" w:firstRowLastColumn="0" w:lastRowFirstColumn="0" w:lastRowLastColumn="0"/>
              <w:rPr>
                <w:b/>
              </w:rPr>
            </w:pPr>
          </w:p>
        </w:tc>
        <w:tc>
          <w:tcPr>
            <w:tcW w:w="361" w:type="pct"/>
            <w:vAlign w:val="top"/>
          </w:tcPr>
          <w:p w:rsidR="00556B24" w:rsidRPr="008227A6" w:rsidRDefault="00556B24" w:rsidP="00DD384A">
            <w:pPr>
              <w:keepNext/>
              <w:spacing w:line="240" w:lineRule="auto"/>
              <w:cnfStyle w:val="000000010000" w:firstRow="0" w:lastRow="0" w:firstColumn="0" w:lastColumn="0" w:oddVBand="0" w:evenVBand="0" w:oddHBand="0" w:evenHBand="1" w:firstRowFirstColumn="0" w:firstRowLastColumn="0" w:lastRowFirstColumn="0" w:lastRowLastColumn="0"/>
              <w:rPr>
                <w:b/>
              </w:rPr>
            </w:pPr>
          </w:p>
        </w:tc>
        <w:tc>
          <w:tcPr>
            <w:tcW w:w="360" w:type="pct"/>
            <w:vAlign w:val="top"/>
          </w:tcPr>
          <w:p w:rsidR="00556B24" w:rsidRPr="008227A6" w:rsidRDefault="00556B24" w:rsidP="00DD384A">
            <w:pPr>
              <w:keepNext/>
              <w:spacing w:line="240" w:lineRule="auto"/>
              <w:cnfStyle w:val="000000010000" w:firstRow="0" w:lastRow="0" w:firstColumn="0" w:lastColumn="0" w:oddVBand="0" w:evenVBand="0" w:oddHBand="0" w:evenHBand="1" w:firstRowFirstColumn="0" w:firstRowLastColumn="0" w:lastRowFirstColumn="0" w:lastRowLastColumn="0"/>
              <w:rPr>
                <w:b/>
              </w:rPr>
            </w:pPr>
          </w:p>
        </w:tc>
        <w:tc>
          <w:tcPr>
            <w:tcW w:w="361" w:type="pct"/>
            <w:vAlign w:val="top"/>
          </w:tcPr>
          <w:p w:rsidR="00556B24" w:rsidRPr="00180C17" w:rsidRDefault="00556B24" w:rsidP="00DD384A">
            <w:pPr>
              <w:keepNext/>
              <w:spacing w:line="240" w:lineRule="auto"/>
              <w:cnfStyle w:val="000000010000" w:firstRow="0" w:lastRow="0" w:firstColumn="0" w:lastColumn="0" w:oddVBand="0" w:evenVBand="0" w:oddHBand="0" w:evenHBand="1" w:firstRowFirstColumn="0" w:firstRowLastColumn="0" w:lastRowFirstColumn="0" w:lastRowLastColumn="0"/>
              <w:rPr>
                <w:b/>
              </w:rPr>
            </w:pPr>
            <w:r>
              <w:rPr>
                <w:b/>
              </w:rPr>
              <w:t>0.0</w:t>
            </w:r>
          </w:p>
        </w:tc>
        <w:tc>
          <w:tcPr>
            <w:tcW w:w="360" w:type="pct"/>
            <w:vAlign w:val="top"/>
          </w:tcPr>
          <w:p w:rsidR="00556B24" w:rsidRPr="00180C17" w:rsidRDefault="00556B24" w:rsidP="00DD384A">
            <w:pPr>
              <w:keepNext/>
              <w:spacing w:line="240" w:lineRule="auto"/>
              <w:cnfStyle w:val="000000010000" w:firstRow="0" w:lastRow="0" w:firstColumn="0" w:lastColumn="0" w:oddVBand="0" w:evenVBand="0" w:oddHBand="0" w:evenHBand="1" w:firstRowFirstColumn="0" w:firstRowLastColumn="0" w:lastRowFirstColumn="0" w:lastRowLastColumn="0"/>
              <w:rPr>
                <w:b/>
              </w:rPr>
            </w:pPr>
            <w:r w:rsidRPr="00180C17">
              <w:rPr>
                <w:b/>
              </w:rPr>
              <w:t>6.0</w:t>
            </w:r>
          </w:p>
        </w:tc>
        <w:tc>
          <w:tcPr>
            <w:tcW w:w="361" w:type="pct"/>
            <w:vAlign w:val="top"/>
          </w:tcPr>
          <w:p w:rsidR="00556B24" w:rsidRPr="00180C17" w:rsidRDefault="00556B24" w:rsidP="00DD384A">
            <w:pPr>
              <w:keepNext/>
              <w:spacing w:line="240" w:lineRule="auto"/>
              <w:cnfStyle w:val="000000010000" w:firstRow="0" w:lastRow="0" w:firstColumn="0" w:lastColumn="0" w:oddVBand="0" w:evenVBand="0" w:oddHBand="0" w:evenHBand="1" w:firstRowFirstColumn="0" w:firstRowLastColumn="0" w:lastRowFirstColumn="0" w:lastRowLastColumn="0"/>
              <w:rPr>
                <w:b/>
              </w:rPr>
            </w:pPr>
            <w:r w:rsidRPr="00180C17">
              <w:rPr>
                <w:b/>
              </w:rPr>
              <w:t>3.0</w:t>
            </w:r>
          </w:p>
        </w:tc>
        <w:tc>
          <w:tcPr>
            <w:tcW w:w="360" w:type="pct"/>
            <w:vAlign w:val="top"/>
          </w:tcPr>
          <w:p w:rsidR="00556B24" w:rsidRPr="00180C17" w:rsidRDefault="00556B24" w:rsidP="00DD384A">
            <w:pPr>
              <w:keepNext/>
              <w:spacing w:line="240" w:lineRule="auto"/>
              <w:cnfStyle w:val="000000010000" w:firstRow="0" w:lastRow="0" w:firstColumn="0" w:lastColumn="0" w:oddVBand="0" w:evenVBand="0" w:oddHBand="0" w:evenHBand="1" w:firstRowFirstColumn="0" w:firstRowLastColumn="0" w:lastRowFirstColumn="0" w:lastRowLastColumn="0"/>
              <w:rPr>
                <w:b/>
              </w:rPr>
            </w:pPr>
            <w:r w:rsidRPr="00180C17">
              <w:rPr>
                <w:b/>
              </w:rPr>
              <w:t>2.1</w:t>
            </w:r>
          </w:p>
        </w:tc>
        <w:tc>
          <w:tcPr>
            <w:tcW w:w="361" w:type="pct"/>
            <w:vAlign w:val="top"/>
          </w:tcPr>
          <w:p w:rsidR="00556B24" w:rsidRPr="00180C17" w:rsidRDefault="00556B24" w:rsidP="00DD384A">
            <w:pPr>
              <w:keepNext/>
              <w:spacing w:line="240" w:lineRule="auto"/>
              <w:cnfStyle w:val="000000010000" w:firstRow="0" w:lastRow="0" w:firstColumn="0" w:lastColumn="0" w:oddVBand="0" w:evenVBand="0" w:oddHBand="0" w:evenHBand="1" w:firstRowFirstColumn="0" w:firstRowLastColumn="0" w:lastRowFirstColumn="0" w:lastRowLastColumn="0"/>
              <w:rPr>
                <w:b/>
              </w:rPr>
            </w:pPr>
            <w:r>
              <w:rPr>
                <w:b/>
              </w:rPr>
              <w:t>0.0</w:t>
            </w:r>
          </w:p>
        </w:tc>
        <w:tc>
          <w:tcPr>
            <w:tcW w:w="360" w:type="pct"/>
            <w:vAlign w:val="top"/>
          </w:tcPr>
          <w:p w:rsidR="00556B24" w:rsidRDefault="00556B24" w:rsidP="00DD384A">
            <w:pPr>
              <w:keepNext/>
              <w:spacing w:line="240" w:lineRule="auto"/>
              <w:cnfStyle w:val="000000010000" w:firstRow="0" w:lastRow="0" w:firstColumn="0" w:lastColumn="0" w:oddVBand="0" w:evenVBand="0" w:oddHBand="0" w:evenHBand="1" w:firstRowFirstColumn="0" w:firstRowLastColumn="0" w:lastRowFirstColumn="0" w:lastRowLastColumn="0"/>
              <w:rPr>
                <w:b/>
              </w:rPr>
            </w:pPr>
            <w:r>
              <w:rPr>
                <w:b/>
              </w:rPr>
              <w:t>0.0</w:t>
            </w:r>
          </w:p>
        </w:tc>
        <w:tc>
          <w:tcPr>
            <w:tcW w:w="361" w:type="pct"/>
            <w:vAlign w:val="top"/>
          </w:tcPr>
          <w:p w:rsidR="00556B24" w:rsidRDefault="00556B24" w:rsidP="00DD384A">
            <w:pPr>
              <w:keepNext/>
              <w:cnfStyle w:val="000000010000" w:firstRow="0" w:lastRow="0" w:firstColumn="0" w:lastColumn="0" w:oddVBand="0" w:evenVBand="0" w:oddHBand="0" w:evenHBand="1" w:firstRowFirstColumn="0" w:firstRowLastColumn="0" w:lastRowFirstColumn="0" w:lastRowLastColumn="0"/>
            </w:pPr>
            <w:r>
              <w:t>11.</w:t>
            </w:r>
            <w:r w:rsidR="00C300FE">
              <w:t>2</w:t>
            </w:r>
          </w:p>
        </w:tc>
      </w:tr>
    </w:tbl>
    <w:p w:rsidR="00EF02ED" w:rsidRDefault="00666841" w:rsidP="000A5AF0">
      <w:pPr>
        <w:pStyle w:val="AERtablesource"/>
      </w:pPr>
      <w:r>
        <w:t>S</w:t>
      </w:r>
      <w:r w:rsidR="007505CE">
        <w:t>ource</w:t>
      </w:r>
      <w:r w:rsidR="00D60A6F">
        <w:t>:</w:t>
      </w:r>
      <w:r w:rsidR="007505CE">
        <w:tab/>
      </w:r>
      <w:r w:rsidR="00A706B4">
        <w:t xml:space="preserve">ActewAGL, </w:t>
      </w:r>
      <w:r w:rsidR="00A706B4" w:rsidRPr="00DD384A">
        <w:rPr>
          <w:rStyle w:val="AERtextitalic"/>
        </w:rPr>
        <w:t>Access arrangement for the ACT Queanbeyan and Pal</w:t>
      </w:r>
      <w:r w:rsidR="00B91215" w:rsidRPr="00DD384A">
        <w:rPr>
          <w:rStyle w:val="AERtextitalic"/>
        </w:rPr>
        <w:t>e</w:t>
      </w:r>
      <w:r w:rsidR="00A706B4" w:rsidRPr="00DD384A">
        <w:rPr>
          <w:rStyle w:val="AERtextitalic"/>
        </w:rPr>
        <w:t>rang gas distribution network 1 July 2016 to 30 June 2021</w:t>
      </w:r>
      <w:r w:rsidR="00B91215">
        <w:t>,</w:t>
      </w:r>
      <w:r w:rsidR="00A706B4">
        <w:t xml:space="preserve"> July 2015, RIN</w:t>
      </w:r>
      <w:r w:rsidR="00CC5A71">
        <w:t xml:space="preserve"> 2016</w:t>
      </w:r>
      <w:r w:rsidR="00822F5F">
        <w:t>–</w:t>
      </w:r>
      <w:r w:rsidR="00CC5A71">
        <w:t>17 to 2020</w:t>
      </w:r>
      <w:r w:rsidR="00822F5F">
        <w:t>–</w:t>
      </w:r>
      <w:r w:rsidR="00CC5A71">
        <w:t>21, worksheet 7.5 ‘Efficiency Benefit Sharing Scheme – Rolling Carry-Over Mechanism’</w:t>
      </w:r>
      <w:r w:rsidR="00C2172A">
        <w:t>.</w:t>
      </w:r>
    </w:p>
    <w:p w:rsidR="00A2356E" w:rsidRDefault="00A2356E" w:rsidP="00A2356E">
      <w:pPr>
        <w:pStyle w:val="Heading3"/>
      </w:pPr>
      <w:bookmarkStart w:id="28" w:name="_Toc431372709"/>
      <w:bookmarkStart w:id="29" w:name="_Toc436044134"/>
      <w:r>
        <w:t>Incentive mechanism</w:t>
      </w:r>
      <w:r w:rsidR="00E27F7C">
        <w:t xml:space="preserve"> proposed for the 2016</w:t>
      </w:r>
      <w:r w:rsidR="00B91215">
        <w:t>–</w:t>
      </w:r>
      <w:r>
        <w:t xml:space="preserve">21 </w:t>
      </w:r>
      <w:bookmarkEnd w:id="28"/>
      <w:r w:rsidR="002603AC">
        <w:t>period</w:t>
      </w:r>
      <w:bookmarkEnd w:id="29"/>
    </w:p>
    <w:p w:rsidR="00A2356E" w:rsidRDefault="00A2356E" w:rsidP="00A2356E">
      <w:r>
        <w:t xml:space="preserve">ActewAGL proposed to restart an efficiency carryover mechanism </w:t>
      </w:r>
      <w:r w:rsidR="002603AC">
        <w:t xml:space="preserve">at the start of the </w:t>
      </w:r>
      <w:r>
        <w:t>2016</w:t>
      </w:r>
      <w:r w:rsidR="00B91215">
        <w:t>–</w:t>
      </w:r>
      <w:r>
        <w:t>21</w:t>
      </w:r>
      <w:r w:rsidR="00D60A6F">
        <w:t> </w:t>
      </w:r>
      <w:r>
        <w:t xml:space="preserve">access arrangement period. The mechanism it proposed </w:t>
      </w:r>
      <w:r w:rsidR="00B238AE">
        <w:t xml:space="preserve">to </w:t>
      </w:r>
      <w:r>
        <w:t xml:space="preserve">apply is based on </w:t>
      </w:r>
      <w:r w:rsidR="003D1476">
        <w:t xml:space="preserve">the mechanism </w:t>
      </w:r>
      <w:r w:rsidR="00D60A6F">
        <w:t xml:space="preserve">contained </w:t>
      </w:r>
      <w:r w:rsidR="003D1476">
        <w:t>in its 2010</w:t>
      </w:r>
      <w:r w:rsidR="00B91215">
        <w:t>–</w:t>
      </w:r>
      <w:r>
        <w:t>15 access arrangement, with modifications designed to:</w:t>
      </w:r>
    </w:p>
    <w:p w:rsidR="00A2356E" w:rsidRDefault="00A2356E" w:rsidP="00A2356E">
      <w:pPr>
        <w:pStyle w:val="AERbulletlistfirststyle"/>
      </w:pPr>
      <w:r>
        <w:t xml:space="preserve">make it more consistent with the AER’s electricity </w:t>
      </w:r>
      <w:r w:rsidR="002603AC">
        <w:t xml:space="preserve">network </w:t>
      </w:r>
      <w:r w:rsidR="00D60A6F">
        <w:t>E</w:t>
      </w:r>
      <w:r>
        <w:t xml:space="preserve">fficiency </w:t>
      </w:r>
      <w:r w:rsidR="003D3B21">
        <w:t>B</w:t>
      </w:r>
      <w:r>
        <w:t xml:space="preserve">enefit </w:t>
      </w:r>
      <w:r w:rsidR="003D3B21">
        <w:t>S</w:t>
      </w:r>
      <w:r>
        <w:t xml:space="preserve">haring </w:t>
      </w:r>
      <w:r w:rsidR="003D3B21">
        <w:t>S</w:t>
      </w:r>
      <w:r>
        <w:t>cheme (EBSS)</w:t>
      </w:r>
    </w:p>
    <w:p w:rsidR="00A2356E" w:rsidRDefault="00A2356E" w:rsidP="00A2356E">
      <w:pPr>
        <w:pStyle w:val="AERbulletlistfirststyle"/>
      </w:pPr>
      <w:r>
        <w:t xml:space="preserve">update exclusions and adjustments </w:t>
      </w:r>
    </w:p>
    <w:p w:rsidR="006C75D7" w:rsidRDefault="00A2356E" w:rsidP="006C75D7">
      <w:pPr>
        <w:pStyle w:val="AERbulletlistfirststyle"/>
      </w:pPr>
      <w:r>
        <w:lastRenderedPageBreak/>
        <w:t xml:space="preserve">clarify the operation of the mechanism should another interval of delay </w:t>
      </w:r>
      <w:r w:rsidR="003D3B21">
        <w:t>occur</w:t>
      </w:r>
      <w:r w:rsidR="003D1476">
        <w:t xml:space="preserve"> at the end of the 2016</w:t>
      </w:r>
      <w:r w:rsidR="00B91215">
        <w:t>–</w:t>
      </w:r>
      <w:r w:rsidR="003D1476">
        <w:t>2</w:t>
      </w:r>
      <w:r>
        <w:t xml:space="preserve">1 access arrangement period. </w:t>
      </w:r>
    </w:p>
    <w:p w:rsidR="00A2356E" w:rsidRDefault="00A2356E" w:rsidP="00A2356E">
      <w:pPr>
        <w:pStyle w:val="HeadingBoldItalic"/>
      </w:pPr>
      <w:r>
        <w:t>Consistency with the AER’s electricity EBSS</w:t>
      </w:r>
    </w:p>
    <w:p w:rsidR="00A2356E" w:rsidRDefault="00A2356E" w:rsidP="00A2356E">
      <w:r>
        <w:t>With the exception of the first year in the access arrangement period (2016</w:t>
      </w:r>
      <w:r w:rsidR="00B91215">
        <w:t>–</w:t>
      </w:r>
      <w:r>
        <w:t xml:space="preserve">17), the equations that ActewAGL propose to use to calculate incremental efficiency gains (losses) are consistent with those set out in </w:t>
      </w:r>
      <w:r w:rsidR="003D3B21">
        <w:t xml:space="preserve">our </w:t>
      </w:r>
      <w:r>
        <w:t>EBSS guideline</w:t>
      </w:r>
      <w:r w:rsidR="003D3B21">
        <w:t xml:space="preserve"> for electricity</w:t>
      </w:r>
      <w:r w:rsidR="002603AC">
        <w:t xml:space="preserve"> networks</w:t>
      </w:r>
      <w:r>
        <w:t>.</w:t>
      </w:r>
      <w:r>
        <w:rPr>
          <w:rStyle w:val="FootnoteReference"/>
        </w:rPr>
        <w:footnoteReference w:id="3"/>
      </w:r>
      <w:r>
        <w:t xml:space="preserve"> </w:t>
      </w:r>
      <w:r w:rsidR="003D3B21">
        <w:t xml:space="preserve">ActewAGL proposed </w:t>
      </w:r>
      <w:r>
        <w:t xml:space="preserve">to calculate incremental efficiency gains in </w:t>
      </w:r>
      <w:r w:rsidR="000742B7">
        <w:t>2016–</w:t>
      </w:r>
      <w:r>
        <w:t>17 (the first year of the new arrangement) using the formula: E</w:t>
      </w:r>
      <w:r w:rsidRPr="007601ED">
        <w:rPr>
          <w:vertAlign w:val="subscript"/>
        </w:rPr>
        <w:t>1</w:t>
      </w:r>
      <w:r>
        <w:t>=F</w:t>
      </w:r>
      <w:r w:rsidRPr="007601ED">
        <w:rPr>
          <w:vertAlign w:val="subscript"/>
        </w:rPr>
        <w:t>1</w:t>
      </w:r>
      <w:r>
        <w:t>-A</w:t>
      </w:r>
      <w:r w:rsidRPr="007601ED">
        <w:rPr>
          <w:vertAlign w:val="subscript"/>
        </w:rPr>
        <w:t>1</w:t>
      </w:r>
      <w:r>
        <w:t>.</w:t>
      </w:r>
      <w:r w:rsidR="00AC3BEE">
        <w:rPr>
          <w:rStyle w:val="FootnoteReference"/>
        </w:rPr>
        <w:footnoteReference w:id="4"/>
      </w:r>
      <w:r>
        <w:t xml:space="preserve"> </w:t>
      </w:r>
    </w:p>
    <w:p w:rsidR="00A2356E" w:rsidRDefault="003D3B21" w:rsidP="00A2356E">
      <w:r>
        <w:t>This</w:t>
      </w:r>
      <w:r w:rsidR="00A2356E">
        <w:t xml:space="preserve"> approach results in an efficiency carryover mechanism with the following features:</w:t>
      </w:r>
    </w:p>
    <w:p w:rsidR="00A2356E" w:rsidRDefault="00A2356E" w:rsidP="00A2356E">
      <w:pPr>
        <w:pStyle w:val="AERbulletlistfirststyle"/>
      </w:pPr>
      <w:r>
        <w:t>ActewAGL will keep the benefit (or incur the cost) of delivering actual opex lower (higher) than forecast opex in each financial year of the access arrangement period.</w:t>
      </w:r>
    </w:p>
    <w:p w:rsidR="00A2356E" w:rsidRDefault="00A2356E" w:rsidP="00A2356E">
      <w:pPr>
        <w:pStyle w:val="AERbulletlistfirststyle"/>
      </w:pPr>
      <w:r>
        <w:t xml:space="preserve">the mechanism carries forward ActewAGL's incremental efficiency gains (losses) for the five financial years from the financial year in which those gains (losses) occur. </w:t>
      </w:r>
    </w:p>
    <w:p w:rsidR="00A2356E" w:rsidRDefault="00A2356E" w:rsidP="00A2356E">
      <w:pPr>
        <w:pStyle w:val="AERbulletlistfirststyle"/>
      </w:pPr>
      <w:r>
        <w:t>annual carryover amounts accrue in each financial year of the subsequent access arrangement period as the sum of the incremental efficiency gains</w:t>
      </w:r>
      <w:r w:rsidR="00B91215">
        <w:t xml:space="preserve"> </w:t>
      </w:r>
      <w:r>
        <w:t>(losses) in the applicable access arrangement period that are carried forward for five years or less into that financial year.</w:t>
      </w:r>
    </w:p>
    <w:p w:rsidR="00A2356E" w:rsidRDefault="00A2356E" w:rsidP="00A2356E">
      <w:pPr>
        <w:pStyle w:val="AERbulletlistfirststyle"/>
      </w:pPr>
      <w:r>
        <w:t>annual carryover amounts are added to ActewAGL’s total revenue in each financial year of the subsequent access arrangement period.</w:t>
      </w:r>
    </w:p>
    <w:p w:rsidR="00A2356E" w:rsidRDefault="00A2356E" w:rsidP="00A2356E">
      <w:pPr>
        <w:pStyle w:val="HeadingBoldItalic"/>
      </w:pPr>
      <w:r>
        <w:t>Exclusions and adjustments</w:t>
      </w:r>
    </w:p>
    <w:p w:rsidR="00A2356E" w:rsidRDefault="00A2356E" w:rsidP="00A2356E">
      <w:r>
        <w:t xml:space="preserve">ActewAGL proposed the following </w:t>
      </w:r>
      <w:r w:rsidR="00AB14D6">
        <w:t xml:space="preserve">costs </w:t>
      </w:r>
      <w:r>
        <w:t xml:space="preserve">be excluded from </w:t>
      </w:r>
      <w:r w:rsidR="00AB14D6">
        <w:t xml:space="preserve">its </w:t>
      </w:r>
      <w:r>
        <w:t>efficiency carryover mec</w:t>
      </w:r>
      <w:r w:rsidR="002A0D1C">
        <w:t>hanism’s operation for the 2016</w:t>
      </w:r>
      <w:r w:rsidR="00B91215">
        <w:t>–</w:t>
      </w:r>
      <w:r>
        <w:t>21 access arrangement period:</w:t>
      </w:r>
    </w:p>
    <w:p w:rsidR="00A2356E" w:rsidRDefault="00A2356E" w:rsidP="00A2356E">
      <w:pPr>
        <w:pStyle w:val="AERbulletlistfirststyle"/>
      </w:pPr>
      <w:r>
        <w:t xml:space="preserve">debt raising costs </w:t>
      </w:r>
    </w:p>
    <w:p w:rsidR="00A2356E" w:rsidRDefault="00A2356E" w:rsidP="00A2356E">
      <w:pPr>
        <w:pStyle w:val="AERbulletlistfirststyle"/>
      </w:pPr>
      <w:r>
        <w:t xml:space="preserve">insurance </w:t>
      </w:r>
      <w:r w:rsidR="00AB14D6">
        <w:t xml:space="preserve">and superannuation </w:t>
      </w:r>
      <w:r>
        <w:t xml:space="preserve">costs </w:t>
      </w:r>
    </w:p>
    <w:p w:rsidR="00A2356E" w:rsidRDefault="00A2356E" w:rsidP="00A2356E">
      <w:pPr>
        <w:pStyle w:val="AERbulletlistfirststyle"/>
      </w:pPr>
      <w:r>
        <w:t>non-controllable costs (</w:t>
      </w:r>
      <w:r w:rsidR="001335A4">
        <w:t>including costs</w:t>
      </w:r>
      <w:r w:rsidR="00700375">
        <w:t xml:space="preserve"> </w:t>
      </w:r>
      <w:r w:rsidR="001335A4">
        <w:t xml:space="preserve">related to </w:t>
      </w:r>
      <w:r>
        <w:t>levies, taxes, licenses, UAG</w:t>
      </w:r>
      <w:r w:rsidR="001335A4">
        <w:t xml:space="preserve">, </w:t>
      </w:r>
      <w:r w:rsidR="00065607">
        <w:t>tariff</w:t>
      </w:r>
      <w:r w:rsidR="001950E2">
        <w:t xml:space="preserve"> payments</w:t>
      </w:r>
      <w:r>
        <w:t>,</w:t>
      </w:r>
      <w:r w:rsidR="001335A4">
        <w:t xml:space="preserve"> </w:t>
      </w:r>
      <w:r w:rsidR="00700375">
        <w:t xml:space="preserve">as well </w:t>
      </w:r>
      <w:r>
        <w:t>costs beyond the control of Act</w:t>
      </w:r>
      <w:r w:rsidR="00A84B99">
        <w:t xml:space="preserve">ewAGL approved by the regulator) </w:t>
      </w:r>
    </w:p>
    <w:p w:rsidR="00A84B99" w:rsidRDefault="00A84B99" w:rsidP="00A2356E">
      <w:pPr>
        <w:pStyle w:val="AERbulletlistfirststyle"/>
      </w:pPr>
      <w:r>
        <w:t>costs not forecast using a single year revealed cost approach in the access arrangement period immediately following this access arrangement</w:t>
      </w:r>
    </w:p>
    <w:p w:rsidR="00A84B99" w:rsidRDefault="00A84B99" w:rsidP="00A2356E">
      <w:pPr>
        <w:pStyle w:val="AERbulletlistfirststyle"/>
      </w:pPr>
      <w:r>
        <w:lastRenderedPageBreak/>
        <w:t>costs the regulator determines to exclude following consultation with ActewAGL</w:t>
      </w:r>
      <w:r w:rsidR="00AB14D6">
        <w:t xml:space="preserve"> as the inclusion of such costs in the efficiency carryover mechanism would not promote the National Gas Objective</w:t>
      </w:r>
      <w:r>
        <w:t>.</w:t>
      </w:r>
    </w:p>
    <w:p w:rsidR="00A2356E" w:rsidRDefault="00A2356E" w:rsidP="00A2356E">
      <w:r>
        <w:t xml:space="preserve">ActewAGL also proposed actual opex be adjusted to exclude expenditure resulting from cost pass through events and forecast opex be adjusted to take account of: </w:t>
      </w:r>
    </w:p>
    <w:p w:rsidR="00A2356E" w:rsidRDefault="00A2356E" w:rsidP="00A2356E">
      <w:pPr>
        <w:pStyle w:val="AERbulletlistfirststyle"/>
      </w:pPr>
      <w:r>
        <w:t>changes in scope of the activities that form the basis for determining forecast expenditure</w:t>
      </w:r>
    </w:p>
    <w:p w:rsidR="00A2356E" w:rsidRDefault="00A2356E" w:rsidP="00A2356E">
      <w:pPr>
        <w:pStyle w:val="AERbulletlistfirststyle"/>
      </w:pPr>
      <w:r>
        <w:t>any difference between the actual and forecast number of connections in a calendar year</w:t>
      </w:r>
    </w:p>
    <w:p w:rsidR="00A2356E" w:rsidRDefault="00A2356E" w:rsidP="00A2356E">
      <w:pPr>
        <w:pStyle w:val="AERbulletlistfirststyle"/>
      </w:pPr>
      <w:r>
        <w:t>any change in ActewAGL’s approach to classifying costs as either capital or operating expenditure.</w:t>
      </w:r>
      <w:r w:rsidR="00DA629D">
        <w:rPr>
          <w:rStyle w:val="FootnoteReference"/>
        </w:rPr>
        <w:footnoteReference w:id="5"/>
      </w:r>
    </w:p>
    <w:p w:rsidR="00A2356E" w:rsidRDefault="00A2356E" w:rsidP="00A2356E">
      <w:pPr>
        <w:pStyle w:val="HeadingBoldItalic"/>
      </w:pPr>
      <w:r>
        <w:t xml:space="preserve">Future possible interval of delay </w:t>
      </w:r>
    </w:p>
    <w:p w:rsidR="00A2356E" w:rsidRDefault="00A2356E" w:rsidP="00A2356E">
      <w:r>
        <w:t xml:space="preserve">ActewAGL proposed to insert a clause on how the efficiency carryover mechanism would operate should an interval of </w:t>
      </w:r>
      <w:r w:rsidR="002A0D1C">
        <w:t>delay take place after the 2016</w:t>
      </w:r>
      <w:r w:rsidR="00B91215">
        <w:t>–</w:t>
      </w:r>
      <w:r>
        <w:t>21 access arrangement period. Th</w:t>
      </w:r>
      <w:r w:rsidR="00877845">
        <w:t>e</w:t>
      </w:r>
      <w:r>
        <w:t xml:space="preserve"> approach is the same as that proposed </w:t>
      </w:r>
      <w:r w:rsidR="00877845">
        <w:t xml:space="preserve">by ActewAGL </w:t>
      </w:r>
      <w:r>
        <w:t xml:space="preserve">to account for </w:t>
      </w:r>
      <w:r w:rsidR="00877845">
        <w:t xml:space="preserve">the </w:t>
      </w:r>
      <w:r>
        <w:t>2015</w:t>
      </w:r>
      <w:r w:rsidR="00B91215">
        <w:t>–</w:t>
      </w:r>
      <w:r>
        <w:t>16</w:t>
      </w:r>
      <w:r w:rsidR="00877845">
        <w:t xml:space="preserve"> regulatory year</w:t>
      </w:r>
      <w:r>
        <w:t>:</w:t>
      </w:r>
      <w:r w:rsidR="00AC3BEE" w:rsidRPr="00AC3BEE">
        <w:rPr>
          <w:rStyle w:val="FootnoteReference"/>
        </w:rPr>
        <w:t xml:space="preserve"> </w:t>
      </w:r>
      <w:r w:rsidR="00AC3BEE">
        <w:rPr>
          <w:rStyle w:val="FootnoteReference"/>
        </w:rPr>
        <w:footnoteReference w:id="6"/>
      </w:r>
    </w:p>
    <w:p w:rsidR="00A2356E" w:rsidRDefault="00A2356E" w:rsidP="00A2356E">
      <w:pPr>
        <w:pStyle w:val="AERbulletlistfirststyle"/>
      </w:pPr>
      <w:r>
        <w:t>the incentive mechanism not apply to operating expenditure incurred in the interval of delay, such that incremental efficiency gains or losses will not be calculated in respect of the period of the interval of delay.</w:t>
      </w:r>
    </w:p>
    <w:p w:rsidR="00A2356E" w:rsidRDefault="00DC6FCA" w:rsidP="00A2356E">
      <w:pPr>
        <w:pStyle w:val="AERbulletlistfirststyle"/>
      </w:pPr>
      <w:r>
        <w:t>annual c</w:t>
      </w:r>
      <w:r w:rsidR="00A2356E">
        <w:t>arryover amounts accrued in the 2016</w:t>
      </w:r>
      <w:r w:rsidR="00B91215">
        <w:t>–</w:t>
      </w:r>
      <w:r w:rsidR="00A2356E">
        <w:t xml:space="preserve">21 access arrangement period will not be applied in deriving notional total revenue for the interval of delay. Instead </w:t>
      </w:r>
      <w:r>
        <w:t xml:space="preserve">annual carryover amounts </w:t>
      </w:r>
      <w:r w:rsidR="00A2356E">
        <w:t>will be added to total revenue in each financial year of the subsequent access arrangement period as would have occurred had there been no interval of delay.</w:t>
      </w:r>
    </w:p>
    <w:p w:rsidR="00A2356E" w:rsidRDefault="00A2356E" w:rsidP="00A2356E">
      <w:pPr>
        <w:pStyle w:val="AERbulletlistfirststyle"/>
      </w:pPr>
      <w:r>
        <w:t>The incremental efficiency gain (or loss) in the first year of the subsequent access arrangement period will be calculated using the formula E</w:t>
      </w:r>
      <w:r w:rsidRPr="007601ED">
        <w:rPr>
          <w:vertAlign w:val="subscript"/>
        </w:rPr>
        <w:t>1</w:t>
      </w:r>
      <w:r>
        <w:t>=F</w:t>
      </w:r>
      <w:r w:rsidRPr="007601ED">
        <w:rPr>
          <w:vertAlign w:val="subscript"/>
        </w:rPr>
        <w:t>1</w:t>
      </w:r>
      <w:r>
        <w:t>-A</w:t>
      </w:r>
      <w:r w:rsidRPr="007601ED">
        <w:rPr>
          <w:vertAlign w:val="subscript"/>
        </w:rPr>
        <w:t>1</w:t>
      </w:r>
      <w:r>
        <w:t>.</w:t>
      </w:r>
    </w:p>
    <w:p w:rsidR="00A2356E" w:rsidRDefault="00A2356E" w:rsidP="00A2356E">
      <w:pPr>
        <w:pStyle w:val="Heading2"/>
      </w:pPr>
      <w:bookmarkStart w:id="30" w:name="_Toc431372710"/>
      <w:bookmarkStart w:id="31" w:name="_Toc436044135"/>
      <w:r w:rsidRPr="0074565D">
        <w:t>AER’s assessment approach</w:t>
      </w:r>
      <w:bookmarkEnd w:id="30"/>
      <w:bookmarkEnd w:id="31"/>
    </w:p>
    <w:p w:rsidR="00A2356E" w:rsidRDefault="00A2356E" w:rsidP="00A2356E">
      <w:r>
        <w:t>An efficiency carryover mechanism is a form of incentive mechanism. A full access arrangement may include (and the AER may require it to include) one or more incentive mechanisms to encourage efficiency in the provision of services by the service provider.</w:t>
      </w:r>
      <w:r w:rsidR="00A3424D">
        <w:rPr>
          <w:rStyle w:val="FootnoteReference"/>
        </w:rPr>
        <w:footnoteReference w:id="7"/>
      </w:r>
      <w:r>
        <w:t xml:space="preserve"> An incentive mechanism must be consistent with the revenue and pricing principles.</w:t>
      </w:r>
      <w:r>
        <w:rPr>
          <w:rStyle w:val="FootnoteReference"/>
        </w:rPr>
        <w:footnoteReference w:id="8"/>
      </w:r>
      <w:r>
        <w:t xml:space="preserve"> </w:t>
      </w:r>
    </w:p>
    <w:p w:rsidR="00A2356E" w:rsidRDefault="00A2356E" w:rsidP="00A2356E">
      <w:r>
        <w:lastRenderedPageBreak/>
        <w:t>We consider the following revenue and pricing principle is most relevant for assessing ActewAGL’s efficiency carryover mechanism proposal:</w:t>
      </w:r>
      <w:r>
        <w:rPr>
          <w:rStyle w:val="FootnoteReference"/>
        </w:rPr>
        <w:footnoteReference w:id="9"/>
      </w:r>
    </w:p>
    <w:p w:rsidR="00A2356E" w:rsidRDefault="00A2356E" w:rsidP="00A2356E">
      <w:pPr>
        <w:pStyle w:val="AERquoteindent3"/>
      </w:pPr>
      <w:r>
        <w:t>A service provider should be provided with effective incentives in order to promote economic efficiency with respect to reference services the service provider provides.</w:t>
      </w:r>
    </w:p>
    <w:p w:rsidR="00A2356E" w:rsidRDefault="00A2356E" w:rsidP="00A2356E">
      <w:pPr>
        <w:pStyle w:val="AERquoteindent3"/>
      </w:pPr>
      <w:r>
        <w:t>The economic efficiency that should be promoted includes—</w:t>
      </w:r>
    </w:p>
    <w:p w:rsidR="00A2356E" w:rsidRDefault="00A2356E" w:rsidP="00A2356E">
      <w:pPr>
        <w:pStyle w:val="AERquoteindent3"/>
      </w:pPr>
      <w:r>
        <w:t>(a) efficient investment in, or in connection with, a pipeline with which the service provider provides reference services; and</w:t>
      </w:r>
    </w:p>
    <w:p w:rsidR="00A2356E" w:rsidRDefault="00A2356E" w:rsidP="00A2356E">
      <w:pPr>
        <w:pStyle w:val="AERquoteindent3"/>
      </w:pPr>
      <w:r>
        <w:t>(b) the efficient provision of pipeline services; and</w:t>
      </w:r>
    </w:p>
    <w:p w:rsidR="00A2356E" w:rsidRDefault="00A2356E" w:rsidP="00A2356E">
      <w:pPr>
        <w:pStyle w:val="AERquoteindent3"/>
      </w:pPr>
      <w:r>
        <w:t>(c) the efficient use of the pipeline</w:t>
      </w:r>
      <w:r w:rsidRPr="00123D14">
        <w:t>.</w:t>
      </w:r>
      <w:r>
        <w:rPr>
          <w:rStyle w:val="FootnoteReference"/>
        </w:rPr>
        <w:footnoteReference w:id="10"/>
      </w:r>
    </w:p>
    <w:p w:rsidR="00C70C73" w:rsidRPr="00100255" w:rsidRDefault="00C70C73" w:rsidP="00C70C73">
      <w:r>
        <w:t>Under the NGR we have full discretion in our decision as to whether to approve the introduction of an incentive scheme.</w:t>
      </w:r>
      <w:r>
        <w:rPr>
          <w:rStyle w:val="FootnoteReference"/>
        </w:rPr>
        <w:footnoteReference w:id="11"/>
      </w:r>
    </w:p>
    <w:p w:rsidR="00A2356E" w:rsidRDefault="00A2356E" w:rsidP="00A2356E">
      <w:pPr>
        <w:pStyle w:val="Heading3"/>
      </w:pPr>
      <w:bookmarkStart w:id="32" w:name="_Toc431372711"/>
      <w:bookmarkStart w:id="33" w:name="_Toc436044136"/>
      <w:r>
        <w:t>Interrelationships</w:t>
      </w:r>
      <w:bookmarkEnd w:id="32"/>
      <w:bookmarkEnd w:id="33"/>
    </w:p>
    <w:p w:rsidR="00A2356E" w:rsidRDefault="00A2356E" w:rsidP="00A2356E">
      <w:r>
        <w:t xml:space="preserve">The efficiency carryover mechanism we apply to opex is intrinsically linked to a revealed cost forecasting approach for opex. Under this forecasting approach, the efficiency carryover mechanism has the </w:t>
      </w:r>
      <w:r w:rsidR="00F76DBF">
        <w:t xml:space="preserve">following </w:t>
      </w:r>
      <w:r>
        <w:t>functions:</w:t>
      </w:r>
    </w:p>
    <w:p w:rsidR="00A2356E" w:rsidRDefault="00A2356E" w:rsidP="00A2356E">
      <w:pPr>
        <w:pStyle w:val="AERbulletlistfirststyle"/>
      </w:pPr>
      <w:r>
        <w:t>To mitigate the incentive for a service provider to increase opex in the expected 'base year' to increase its forecast opex allowance for the following access arrangement period.</w:t>
      </w:r>
    </w:p>
    <w:p w:rsidR="00A2356E" w:rsidRDefault="00A2356E" w:rsidP="003947BA">
      <w:pPr>
        <w:pStyle w:val="AERbulletlistfirststyle"/>
      </w:pPr>
      <w:r>
        <w:t>To provide a continuous incentive for a service provider to make efficiency gains</w:t>
      </w:r>
      <w:r w:rsidR="00877845">
        <w:t xml:space="preserve"> (</w:t>
      </w:r>
      <w:r>
        <w:t>service providers receive the same reward for an underspend and the same penalty for an overspend in each year of the access arrangement period</w:t>
      </w:r>
      <w:r w:rsidR="00877845">
        <w:t>)</w:t>
      </w:r>
      <w:r>
        <w:t>.</w:t>
      </w:r>
    </w:p>
    <w:p w:rsidR="00A2356E" w:rsidRDefault="00A2356E" w:rsidP="00A2356E">
      <w:pPr>
        <w:pStyle w:val="Heading2"/>
      </w:pPr>
      <w:bookmarkStart w:id="34" w:name="_Toc431372712"/>
      <w:bookmarkStart w:id="35" w:name="_Toc436044137"/>
      <w:r>
        <w:t>Reasons for draft decision</w:t>
      </w:r>
      <w:bookmarkEnd w:id="34"/>
      <w:bookmarkEnd w:id="35"/>
      <w:r>
        <w:t xml:space="preserve"> </w:t>
      </w:r>
    </w:p>
    <w:p w:rsidR="00A2356E" w:rsidRDefault="00A2356E" w:rsidP="00A2356E">
      <w:pPr>
        <w:pStyle w:val="Heading3"/>
      </w:pPr>
      <w:bookmarkStart w:id="36" w:name="_Toc431372713"/>
      <w:bookmarkStart w:id="37" w:name="_Toc436044138"/>
      <w:r>
        <w:t>Ca</w:t>
      </w:r>
      <w:r w:rsidR="003947BA">
        <w:t>rryover amounts from the 2010</w:t>
      </w:r>
      <w:r w:rsidR="00B91215">
        <w:t>–</w:t>
      </w:r>
      <w:r>
        <w:t xml:space="preserve">15 </w:t>
      </w:r>
      <w:bookmarkEnd w:id="36"/>
      <w:r w:rsidR="00A706B4">
        <w:t>period</w:t>
      </w:r>
      <w:bookmarkEnd w:id="37"/>
    </w:p>
    <w:p w:rsidR="00A2356E" w:rsidRDefault="00A2356E" w:rsidP="00A2356E">
      <w:r>
        <w:t>We consider ActewAGL should receive a carryover amount of</w:t>
      </w:r>
      <w:r w:rsidR="00B238AE">
        <w:t xml:space="preserve"> $1.4 million</w:t>
      </w:r>
      <w:r>
        <w:t xml:space="preserve"> ($2015</w:t>
      </w:r>
      <w:r w:rsidR="00B91215">
        <w:t>–</w:t>
      </w:r>
      <w:r>
        <w:t xml:space="preserve">16) </w:t>
      </w:r>
      <w:r w:rsidR="00176A7D">
        <w:t>in the 2016</w:t>
      </w:r>
      <w:r w:rsidR="00B91215">
        <w:t>–</w:t>
      </w:r>
      <w:r>
        <w:t xml:space="preserve">21 access arrangement period </w:t>
      </w:r>
      <w:r w:rsidR="000E5797">
        <w:t>and $1.</w:t>
      </w:r>
      <w:r w:rsidR="004D3ACE">
        <w:t xml:space="preserve">5 </w:t>
      </w:r>
      <w:r w:rsidR="000E5797">
        <w:t>million in 2015</w:t>
      </w:r>
      <w:r w:rsidR="00B91215">
        <w:t>–</w:t>
      </w:r>
      <w:r w:rsidR="000E5797">
        <w:t xml:space="preserve">16 </w:t>
      </w:r>
      <w:r>
        <w:t>from the application of the efficiency carryo</w:t>
      </w:r>
      <w:r w:rsidR="00176A7D">
        <w:t>ver mechanism during the 2010</w:t>
      </w:r>
      <w:r w:rsidR="00B91215">
        <w:t>–</w:t>
      </w:r>
      <w:r>
        <w:t xml:space="preserve">15 access arrangement period. </w:t>
      </w:r>
      <w:r w:rsidR="00845D3A">
        <w:t>Our carryover amount calculations are in</w:t>
      </w:r>
      <w:r w:rsidR="00A3424D">
        <w:t xml:space="preserve"> </w:t>
      </w:r>
      <w:r w:rsidR="002331B4">
        <w:fldChar w:fldCharType="begin"/>
      </w:r>
      <w:r w:rsidR="002331B4">
        <w:instrText xml:space="preserve"> REF _Ref435112889 \h </w:instrText>
      </w:r>
      <w:r w:rsidR="002331B4">
        <w:fldChar w:fldCharType="separate"/>
      </w:r>
      <w:r w:rsidR="002331B4">
        <w:t xml:space="preserve">Table </w:t>
      </w:r>
      <w:r w:rsidR="002331B4">
        <w:rPr>
          <w:noProof/>
        </w:rPr>
        <w:t>9</w:t>
      </w:r>
      <w:r w:rsidR="002331B4">
        <w:t>.</w:t>
      </w:r>
      <w:r w:rsidR="002331B4">
        <w:rPr>
          <w:noProof/>
        </w:rPr>
        <w:t>3</w:t>
      </w:r>
      <w:r w:rsidR="002331B4">
        <w:fldChar w:fldCharType="end"/>
      </w:r>
      <w:r w:rsidR="00845D3A">
        <w:t>.</w:t>
      </w:r>
    </w:p>
    <w:p w:rsidR="00A2356E" w:rsidRPr="00786DEE" w:rsidRDefault="00A2356E" w:rsidP="00A2356E">
      <w:r w:rsidRPr="00786DEE">
        <w:t>There are two key reasons which explain the difference in our total carryover amo</w:t>
      </w:r>
      <w:r w:rsidR="00176A7D" w:rsidRPr="00786DEE">
        <w:t>unt and the $11.</w:t>
      </w:r>
      <w:r w:rsidR="00865973" w:rsidRPr="00786DEE">
        <w:t>2</w:t>
      </w:r>
      <w:r w:rsidR="00176A7D" w:rsidRPr="00786DEE">
        <w:t xml:space="preserve"> million (2015</w:t>
      </w:r>
      <w:r w:rsidR="00B91215">
        <w:t>–</w:t>
      </w:r>
      <w:r w:rsidRPr="00786DEE">
        <w:t>16) carryover amount proposed by ActewAGL:</w:t>
      </w:r>
    </w:p>
    <w:p w:rsidR="002603AC" w:rsidRDefault="002603AC" w:rsidP="00A2356E">
      <w:pPr>
        <w:pStyle w:val="ListParagraph"/>
        <w:numPr>
          <w:ilvl w:val="0"/>
          <w:numId w:val="38"/>
        </w:numPr>
      </w:pPr>
      <w:r>
        <w:lastRenderedPageBreak/>
        <w:t>ActewAGL did not update the equations which calculate incremental gains (losses) to reflect a changed base year from that</w:t>
      </w:r>
      <w:r w:rsidR="006C75D7">
        <w:t xml:space="preserve"> implied</w:t>
      </w:r>
      <w:r>
        <w:t xml:space="preserve"> in its efficiency carryover mechanism for the 2010</w:t>
      </w:r>
      <w:r w:rsidR="00822F5F">
        <w:t>–</w:t>
      </w:r>
      <w:r>
        <w:t>15 access arrangement.</w:t>
      </w:r>
    </w:p>
    <w:p w:rsidR="001F3278" w:rsidRDefault="00A2356E" w:rsidP="00AB4EB6">
      <w:pPr>
        <w:pStyle w:val="ListParagraph"/>
        <w:numPr>
          <w:ilvl w:val="0"/>
          <w:numId w:val="38"/>
        </w:numPr>
      </w:pPr>
      <w:r w:rsidRPr="00786DEE">
        <w:t>A</w:t>
      </w:r>
      <w:r w:rsidR="001F2E86" w:rsidRPr="00786DEE">
        <w:t>ctewAGL d</w:t>
      </w:r>
      <w:r w:rsidR="00F76DBF">
        <w:t>id</w:t>
      </w:r>
      <w:r w:rsidR="001F2E86" w:rsidRPr="00786DEE">
        <w:t xml:space="preserve"> not include </w:t>
      </w:r>
      <w:r w:rsidR="00786DEE" w:rsidRPr="00786DEE">
        <w:t xml:space="preserve">a carryover amount for the </w:t>
      </w:r>
      <w:r w:rsidR="001F2E86" w:rsidRPr="00786DEE">
        <w:t>2015</w:t>
      </w:r>
      <w:r w:rsidR="00B91215">
        <w:t>–</w:t>
      </w:r>
      <w:r w:rsidRPr="00786DEE">
        <w:t>16</w:t>
      </w:r>
      <w:r w:rsidR="00786DEE" w:rsidRPr="00786DEE">
        <w:t xml:space="preserve"> regulatory year</w:t>
      </w:r>
      <w:r w:rsidRPr="00786DEE">
        <w:t>.</w:t>
      </w:r>
    </w:p>
    <w:p w:rsidR="004D3ACE" w:rsidRDefault="004E7B64" w:rsidP="004E7B64">
      <w:r>
        <w:t xml:space="preserve">Further, </w:t>
      </w:r>
      <w:r w:rsidR="001A74C4">
        <w:t xml:space="preserve">the CPI calculations in our </w:t>
      </w:r>
      <w:r w:rsidR="002603AC">
        <w:t xml:space="preserve">efficiency carryover mechanism </w:t>
      </w:r>
      <w:r w:rsidR="001A74C4">
        <w:t xml:space="preserve">and opex models have been adjusted to be consistent with each other. We also account for changes in provisions related to opex where ActewAGL </w:t>
      </w:r>
      <w:r w:rsidR="002603AC">
        <w:t>has not</w:t>
      </w:r>
      <w:r w:rsidR="001A74C4">
        <w:t>.</w:t>
      </w:r>
    </w:p>
    <w:p w:rsidR="00845D3A" w:rsidRDefault="00A3424D" w:rsidP="00A3424D">
      <w:pPr>
        <w:pStyle w:val="Caption"/>
      </w:pPr>
      <w:bookmarkStart w:id="38" w:name="_Ref435112889"/>
      <w:r>
        <w:t xml:space="preserve">Table </w:t>
      </w:r>
      <w:r w:rsidR="00870821">
        <w:fldChar w:fldCharType="begin"/>
      </w:r>
      <w:r w:rsidR="00870821">
        <w:instrText xml:space="preserve"> STYLEREF 1 \s </w:instrText>
      </w:r>
      <w:r w:rsidR="00870821">
        <w:fldChar w:fldCharType="separate"/>
      </w:r>
      <w:r w:rsidR="002331B4">
        <w:rPr>
          <w:noProof/>
        </w:rPr>
        <w:t>9</w:t>
      </w:r>
      <w:r w:rsidR="00870821">
        <w:rPr>
          <w:noProof/>
        </w:rPr>
        <w:fldChar w:fldCharType="end"/>
      </w:r>
      <w:r w:rsidR="002331B4">
        <w:t>.</w:t>
      </w:r>
      <w:r w:rsidR="000742B7">
        <w:fldChar w:fldCharType="begin"/>
      </w:r>
      <w:r w:rsidR="000742B7">
        <w:instrText xml:space="preserve"> SEQ Table \* ARABIC \s 1 </w:instrText>
      </w:r>
      <w:r w:rsidR="000742B7">
        <w:fldChar w:fldCharType="separate"/>
      </w:r>
      <w:r w:rsidR="002331B4">
        <w:rPr>
          <w:noProof/>
        </w:rPr>
        <w:t>3</w:t>
      </w:r>
      <w:r w:rsidR="000742B7">
        <w:rPr>
          <w:noProof/>
        </w:rPr>
        <w:fldChar w:fldCharType="end"/>
      </w:r>
      <w:bookmarkEnd w:id="38"/>
      <w:r>
        <w:tab/>
      </w:r>
      <w:r w:rsidR="00563564">
        <w:t xml:space="preserve">AER </w:t>
      </w:r>
      <w:r w:rsidR="009C3180">
        <w:t xml:space="preserve">decision on </w:t>
      </w:r>
      <w:r w:rsidR="00A2356E">
        <w:t xml:space="preserve">carryover </w:t>
      </w:r>
      <w:r w:rsidR="00563564">
        <w:t xml:space="preserve">amounts </w:t>
      </w:r>
      <w:r w:rsidR="00A2356E">
        <w:t xml:space="preserve">from </w:t>
      </w:r>
      <w:r w:rsidR="00845D3A">
        <w:t>the 2010</w:t>
      </w:r>
      <w:r w:rsidR="00B91215">
        <w:t>–</w:t>
      </w:r>
      <w:r w:rsidR="00A2356E">
        <w:t>15 period.</w:t>
      </w:r>
    </w:p>
    <w:tbl>
      <w:tblPr>
        <w:tblStyle w:val="AERtable-numbers"/>
        <w:tblW w:w="5300" w:type="pct"/>
        <w:tblInd w:w="108" w:type="dxa"/>
        <w:tblLayout w:type="fixed"/>
        <w:tblLook w:val="04A0" w:firstRow="1" w:lastRow="0" w:firstColumn="1" w:lastColumn="0" w:noHBand="0" w:noVBand="1"/>
      </w:tblPr>
      <w:tblGrid>
        <w:gridCol w:w="1241"/>
        <w:gridCol w:w="664"/>
        <w:gridCol w:w="666"/>
        <w:gridCol w:w="664"/>
        <w:gridCol w:w="666"/>
        <w:gridCol w:w="664"/>
        <w:gridCol w:w="666"/>
        <w:gridCol w:w="663"/>
        <w:gridCol w:w="665"/>
        <w:gridCol w:w="663"/>
        <w:gridCol w:w="665"/>
        <w:gridCol w:w="663"/>
        <w:gridCol w:w="665"/>
      </w:tblGrid>
      <w:tr w:rsidR="00DA629D" w:rsidTr="00DA6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pct"/>
          </w:tcPr>
          <w:p w:rsidR="00DA629D" w:rsidRDefault="00DA629D" w:rsidP="00376507">
            <w:pPr>
              <w:spacing w:line="240" w:lineRule="auto"/>
            </w:pPr>
            <w:r>
              <w:t>Opex</w:t>
            </w:r>
          </w:p>
        </w:tc>
        <w:tc>
          <w:tcPr>
            <w:tcW w:w="360" w:type="pct"/>
          </w:tcPr>
          <w:p w:rsidR="00DA629D" w:rsidRDefault="00DA629D" w:rsidP="00376507">
            <w:pPr>
              <w:spacing w:line="240" w:lineRule="auto"/>
              <w:cnfStyle w:val="100000000000" w:firstRow="1" w:lastRow="0" w:firstColumn="0" w:lastColumn="0" w:oddVBand="0" w:evenVBand="0" w:oddHBand="0" w:evenHBand="0" w:firstRowFirstColumn="0" w:firstRowLastColumn="0" w:lastRowFirstColumn="0" w:lastRowLastColumn="0"/>
            </w:pPr>
            <w:r>
              <w:t>10</w:t>
            </w:r>
            <w:r w:rsidR="00B91215">
              <w:t>–</w:t>
            </w:r>
            <w:r>
              <w:t>11</w:t>
            </w:r>
          </w:p>
        </w:tc>
        <w:tc>
          <w:tcPr>
            <w:tcW w:w="361" w:type="pct"/>
          </w:tcPr>
          <w:p w:rsidR="00DA629D" w:rsidRDefault="00DA629D" w:rsidP="00376507">
            <w:pPr>
              <w:spacing w:line="240" w:lineRule="auto"/>
              <w:cnfStyle w:val="100000000000" w:firstRow="1" w:lastRow="0" w:firstColumn="0" w:lastColumn="0" w:oddVBand="0" w:evenVBand="0" w:oddHBand="0" w:evenHBand="0" w:firstRowFirstColumn="0" w:firstRowLastColumn="0" w:lastRowFirstColumn="0" w:lastRowLastColumn="0"/>
            </w:pPr>
            <w:r>
              <w:t>11</w:t>
            </w:r>
            <w:r w:rsidR="00B91215">
              <w:t>–</w:t>
            </w:r>
            <w:r>
              <w:t>12</w:t>
            </w:r>
          </w:p>
        </w:tc>
        <w:tc>
          <w:tcPr>
            <w:tcW w:w="360" w:type="pct"/>
          </w:tcPr>
          <w:p w:rsidR="00DA629D" w:rsidRDefault="00DA629D" w:rsidP="00376507">
            <w:pPr>
              <w:spacing w:line="240" w:lineRule="auto"/>
              <w:cnfStyle w:val="100000000000" w:firstRow="1" w:lastRow="0" w:firstColumn="0" w:lastColumn="0" w:oddVBand="0" w:evenVBand="0" w:oddHBand="0" w:evenHBand="0" w:firstRowFirstColumn="0" w:firstRowLastColumn="0" w:lastRowFirstColumn="0" w:lastRowLastColumn="0"/>
            </w:pPr>
            <w:r>
              <w:t>12</w:t>
            </w:r>
            <w:r w:rsidR="00B91215">
              <w:t>–</w:t>
            </w:r>
            <w:r>
              <w:t>13</w:t>
            </w:r>
          </w:p>
        </w:tc>
        <w:tc>
          <w:tcPr>
            <w:tcW w:w="361" w:type="pct"/>
          </w:tcPr>
          <w:p w:rsidR="00DA629D" w:rsidRDefault="00DA629D" w:rsidP="00376507">
            <w:pPr>
              <w:spacing w:line="240" w:lineRule="auto"/>
              <w:cnfStyle w:val="100000000000" w:firstRow="1" w:lastRow="0" w:firstColumn="0" w:lastColumn="0" w:oddVBand="0" w:evenVBand="0" w:oddHBand="0" w:evenHBand="0" w:firstRowFirstColumn="0" w:firstRowLastColumn="0" w:lastRowFirstColumn="0" w:lastRowLastColumn="0"/>
            </w:pPr>
            <w:r>
              <w:t>13</w:t>
            </w:r>
            <w:r w:rsidR="00B91215">
              <w:t>–</w:t>
            </w:r>
            <w:r>
              <w:t>14</w:t>
            </w:r>
          </w:p>
        </w:tc>
        <w:tc>
          <w:tcPr>
            <w:tcW w:w="360" w:type="pct"/>
          </w:tcPr>
          <w:p w:rsidR="00DA629D" w:rsidRDefault="00DA629D" w:rsidP="00376507">
            <w:pPr>
              <w:spacing w:line="240" w:lineRule="auto"/>
              <w:cnfStyle w:val="100000000000" w:firstRow="1" w:lastRow="0" w:firstColumn="0" w:lastColumn="0" w:oddVBand="0" w:evenVBand="0" w:oddHBand="0" w:evenHBand="0" w:firstRowFirstColumn="0" w:firstRowLastColumn="0" w:lastRowFirstColumn="0" w:lastRowLastColumn="0"/>
            </w:pPr>
            <w:r>
              <w:t>14</w:t>
            </w:r>
            <w:r w:rsidR="00B91215">
              <w:t>–</w:t>
            </w:r>
            <w:r>
              <w:t>15</w:t>
            </w:r>
          </w:p>
        </w:tc>
        <w:tc>
          <w:tcPr>
            <w:tcW w:w="361" w:type="pct"/>
          </w:tcPr>
          <w:p w:rsidR="00DA629D" w:rsidRDefault="00DA629D" w:rsidP="00376507">
            <w:pPr>
              <w:spacing w:line="240" w:lineRule="auto"/>
              <w:cnfStyle w:val="100000000000" w:firstRow="1" w:lastRow="0" w:firstColumn="0" w:lastColumn="0" w:oddVBand="0" w:evenVBand="0" w:oddHBand="0" w:evenHBand="0" w:firstRowFirstColumn="0" w:firstRowLastColumn="0" w:lastRowFirstColumn="0" w:lastRowLastColumn="0"/>
            </w:pPr>
            <w:r>
              <w:t>15</w:t>
            </w:r>
            <w:r w:rsidR="00B91215">
              <w:t>–</w:t>
            </w:r>
            <w:r>
              <w:t>16</w:t>
            </w:r>
          </w:p>
        </w:tc>
        <w:tc>
          <w:tcPr>
            <w:tcW w:w="360" w:type="pct"/>
          </w:tcPr>
          <w:p w:rsidR="00DA629D" w:rsidRDefault="00DA629D" w:rsidP="00376507">
            <w:pPr>
              <w:spacing w:line="240" w:lineRule="auto"/>
              <w:cnfStyle w:val="100000000000" w:firstRow="1" w:lastRow="0" w:firstColumn="0" w:lastColumn="0" w:oddVBand="0" w:evenVBand="0" w:oddHBand="0" w:evenHBand="0" w:firstRowFirstColumn="0" w:firstRowLastColumn="0" w:lastRowFirstColumn="0" w:lastRowLastColumn="0"/>
            </w:pPr>
            <w:r>
              <w:t>16</w:t>
            </w:r>
            <w:r w:rsidR="00B91215">
              <w:t>–</w:t>
            </w:r>
            <w:r>
              <w:t>17</w:t>
            </w:r>
          </w:p>
        </w:tc>
        <w:tc>
          <w:tcPr>
            <w:tcW w:w="361" w:type="pct"/>
          </w:tcPr>
          <w:p w:rsidR="00DA629D" w:rsidRDefault="00DA629D" w:rsidP="00376507">
            <w:pPr>
              <w:spacing w:line="240" w:lineRule="auto"/>
              <w:cnfStyle w:val="100000000000" w:firstRow="1" w:lastRow="0" w:firstColumn="0" w:lastColumn="0" w:oddVBand="0" w:evenVBand="0" w:oddHBand="0" w:evenHBand="0" w:firstRowFirstColumn="0" w:firstRowLastColumn="0" w:lastRowFirstColumn="0" w:lastRowLastColumn="0"/>
            </w:pPr>
            <w:r>
              <w:t>17</w:t>
            </w:r>
            <w:r w:rsidR="00B91215">
              <w:t>–</w:t>
            </w:r>
            <w:r>
              <w:t>18</w:t>
            </w:r>
          </w:p>
        </w:tc>
        <w:tc>
          <w:tcPr>
            <w:tcW w:w="360" w:type="pct"/>
          </w:tcPr>
          <w:p w:rsidR="00DA629D" w:rsidRDefault="00DA629D" w:rsidP="00376507">
            <w:pPr>
              <w:spacing w:line="240" w:lineRule="auto"/>
              <w:cnfStyle w:val="100000000000" w:firstRow="1" w:lastRow="0" w:firstColumn="0" w:lastColumn="0" w:oddVBand="0" w:evenVBand="0" w:oddHBand="0" w:evenHBand="0" w:firstRowFirstColumn="0" w:firstRowLastColumn="0" w:lastRowFirstColumn="0" w:lastRowLastColumn="0"/>
            </w:pPr>
            <w:r>
              <w:t>18</w:t>
            </w:r>
            <w:r w:rsidR="00B91215">
              <w:t>–</w:t>
            </w:r>
            <w:r>
              <w:t>19</w:t>
            </w:r>
          </w:p>
        </w:tc>
        <w:tc>
          <w:tcPr>
            <w:tcW w:w="361" w:type="pct"/>
          </w:tcPr>
          <w:p w:rsidR="00DA629D" w:rsidRDefault="00DA629D" w:rsidP="00376507">
            <w:pPr>
              <w:spacing w:line="240" w:lineRule="auto"/>
              <w:cnfStyle w:val="100000000000" w:firstRow="1" w:lastRow="0" w:firstColumn="0" w:lastColumn="0" w:oddVBand="0" w:evenVBand="0" w:oddHBand="0" w:evenHBand="0" w:firstRowFirstColumn="0" w:firstRowLastColumn="0" w:lastRowFirstColumn="0" w:lastRowLastColumn="0"/>
            </w:pPr>
            <w:r>
              <w:t>19</w:t>
            </w:r>
            <w:r w:rsidR="00B91215">
              <w:t>–</w:t>
            </w:r>
            <w:r>
              <w:t>20</w:t>
            </w:r>
          </w:p>
        </w:tc>
        <w:tc>
          <w:tcPr>
            <w:tcW w:w="360" w:type="pct"/>
          </w:tcPr>
          <w:p w:rsidR="00DA629D" w:rsidRDefault="00DA629D" w:rsidP="00376507">
            <w:pPr>
              <w:spacing w:line="240" w:lineRule="auto"/>
              <w:cnfStyle w:val="100000000000" w:firstRow="1" w:lastRow="0" w:firstColumn="0" w:lastColumn="0" w:oddVBand="0" w:evenVBand="0" w:oddHBand="0" w:evenHBand="0" w:firstRowFirstColumn="0" w:firstRowLastColumn="0" w:lastRowFirstColumn="0" w:lastRowLastColumn="0"/>
            </w:pPr>
            <w:r>
              <w:t>20</w:t>
            </w:r>
            <w:r w:rsidR="00B91215">
              <w:t>–</w:t>
            </w:r>
            <w:r>
              <w:t>21</w:t>
            </w:r>
          </w:p>
        </w:tc>
        <w:tc>
          <w:tcPr>
            <w:tcW w:w="361" w:type="pct"/>
          </w:tcPr>
          <w:p w:rsidR="00DA629D" w:rsidRDefault="00DA629D" w:rsidP="00376507">
            <w:pPr>
              <w:spacing w:line="240" w:lineRule="auto"/>
              <w:cnfStyle w:val="100000000000" w:firstRow="1" w:lastRow="0" w:firstColumn="0" w:lastColumn="0" w:oddVBand="0" w:evenVBand="0" w:oddHBand="0" w:evenHBand="0" w:firstRowFirstColumn="0" w:firstRowLastColumn="0" w:lastRowFirstColumn="0" w:lastRowLastColumn="0"/>
            </w:pPr>
            <w:r>
              <w:t>Total</w:t>
            </w:r>
          </w:p>
        </w:tc>
      </w:tr>
      <w:tr w:rsidR="00DA629D" w:rsidTr="00DA629D">
        <w:tc>
          <w:tcPr>
            <w:cnfStyle w:val="001000000000" w:firstRow="0" w:lastRow="0" w:firstColumn="1" w:lastColumn="0" w:oddVBand="0" w:evenVBand="0" w:oddHBand="0" w:evenHBand="0" w:firstRowFirstColumn="0" w:firstRowLastColumn="0" w:lastRowFirstColumn="0" w:lastRowLastColumn="0"/>
            <w:tcW w:w="673" w:type="pct"/>
          </w:tcPr>
          <w:p w:rsidR="00DA629D" w:rsidRPr="00713B51" w:rsidRDefault="00DA629D" w:rsidP="00376507">
            <w:pPr>
              <w:spacing w:line="240" w:lineRule="auto"/>
              <w:rPr>
                <w:b/>
              </w:rPr>
            </w:pPr>
            <w:r>
              <w:rPr>
                <w:b/>
              </w:rPr>
              <w:t>Forecast opex</w:t>
            </w:r>
          </w:p>
        </w:tc>
        <w:tc>
          <w:tcPr>
            <w:tcW w:w="360" w:type="pct"/>
          </w:tcPr>
          <w:p w:rsidR="00DA629D"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pPr>
            <w:r>
              <w:t>18.4</w:t>
            </w:r>
          </w:p>
        </w:tc>
        <w:tc>
          <w:tcPr>
            <w:tcW w:w="361" w:type="pct"/>
          </w:tcPr>
          <w:p w:rsidR="00DA629D"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pPr>
            <w:r>
              <w:t>20.8</w:t>
            </w:r>
          </w:p>
        </w:tc>
        <w:tc>
          <w:tcPr>
            <w:tcW w:w="360" w:type="pct"/>
          </w:tcPr>
          <w:p w:rsidR="00DA629D"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pPr>
            <w:r>
              <w:t>21.6</w:t>
            </w:r>
          </w:p>
        </w:tc>
        <w:tc>
          <w:tcPr>
            <w:tcW w:w="361" w:type="pct"/>
          </w:tcPr>
          <w:p w:rsidR="00DA629D"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pPr>
            <w:r>
              <w:t>21.6</w:t>
            </w:r>
          </w:p>
        </w:tc>
        <w:tc>
          <w:tcPr>
            <w:tcW w:w="360" w:type="pct"/>
          </w:tcPr>
          <w:p w:rsidR="00DA629D"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pPr>
            <w:r>
              <w:t>20.9</w:t>
            </w:r>
          </w:p>
        </w:tc>
        <w:tc>
          <w:tcPr>
            <w:tcW w:w="361" w:type="pct"/>
          </w:tcPr>
          <w:p w:rsidR="00DA629D" w:rsidRPr="00556B24" w:rsidRDefault="00B91215" w:rsidP="00376507">
            <w:pPr>
              <w:spacing w:line="240" w:lineRule="auto"/>
              <w:cnfStyle w:val="000000000000" w:firstRow="0" w:lastRow="0" w:firstColumn="0" w:lastColumn="0" w:oddVBand="0" w:evenVBand="0" w:oddHBand="0" w:evenHBand="0" w:firstRowFirstColumn="0" w:firstRowLastColumn="0" w:lastRowFirstColumn="0" w:lastRowLastColumn="0"/>
              <w:rPr>
                <w:sz w:val="12"/>
                <w:szCs w:val="12"/>
              </w:rPr>
            </w:pPr>
            <w:r>
              <w:t>24.7</w:t>
            </w:r>
          </w:p>
        </w:tc>
        <w:tc>
          <w:tcPr>
            <w:tcW w:w="360" w:type="pct"/>
          </w:tcPr>
          <w:p w:rsidR="00DA629D"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tcPr>
          <w:p w:rsidR="00DA629D"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pPr>
          </w:p>
        </w:tc>
        <w:tc>
          <w:tcPr>
            <w:tcW w:w="360" w:type="pct"/>
          </w:tcPr>
          <w:p w:rsidR="00DA629D"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tcPr>
          <w:p w:rsidR="00DA629D"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pPr>
          </w:p>
        </w:tc>
        <w:tc>
          <w:tcPr>
            <w:tcW w:w="360" w:type="pct"/>
          </w:tcPr>
          <w:p w:rsidR="00DA629D"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tcPr>
          <w:p w:rsidR="00DA629D"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pPr>
          </w:p>
        </w:tc>
      </w:tr>
      <w:tr w:rsidR="00DA629D" w:rsidTr="00DA62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pct"/>
          </w:tcPr>
          <w:p w:rsidR="00DA629D" w:rsidRPr="00713B51" w:rsidRDefault="00DA629D" w:rsidP="00376507">
            <w:pPr>
              <w:spacing w:line="240" w:lineRule="auto"/>
              <w:rPr>
                <w:b/>
              </w:rPr>
            </w:pPr>
            <w:r w:rsidRPr="00713B51">
              <w:rPr>
                <w:b/>
              </w:rPr>
              <w:t>Actual</w:t>
            </w:r>
          </w:p>
        </w:tc>
        <w:tc>
          <w:tcPr>
            <w:tcW w:w="360"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r>
              <w:t>26.7</w:t>
            </w:r>
          </w:p>
        </w:tc>
        <w:tc>
          <w:tcPr>
            <w:tcW w:w="361"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r>
              <w:t>28.7</w:t>
            </w:r>
          </w:p>
        </w:tc>
        <w:tc>
          <w:tcPr>
            <w:tcW w:w="360"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r>
              <w:t>27.8</w:t>
            </w:r>
          </w:p>
        </w:tc>
        <w:tc>
          <w:tcPr>
            <w:tcW w:w="361"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r>
              <w:t>26.2</w:t>
            </w:r>
          </w:p>
        </w:tc>
        <w:tc>
          <w:tcPr>
            <w:tcW w:w="360"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r>
              <w:t>27.6</w:t>
            </w:r>
          </w:p>
        </w:tc>
        <w:tc>
          <w:tcPr>
            <w:tcW w:w="361" w:type="pct"/>
          </w:tcPr>
          <w:p w:rsidR="00DA629D" w:rsidRDefault="00DA629D" w:rsidP="00376507">
            <w:pPr>
              <w:cnfStyle w:val="000000010000" w:firstRow="0" w:lastRow="0" w:firstColumn="0" w:lastColumn="0" w:oddVBand="0" w:evenVBand="0" w:oddHBand="0" w:evenHBand="1" w:firstRowFirstColumn="0" w:firstRowLastColumn="0" w:lastRowFirstColumn="0" w:lastRowLastColumn="0"/>
            </w:pPr>
            <w:r w:rsidRPr="00156AF2">
              <w:rPr>
                <w:szCs w:val="16"/>
              </w:rPr>
              <w:t>n/a</w:t>
            </w:r>
          </w:p>
        </w:tc>
        <w:tc>
          <w:tcPr>
            <w:tcW w:w="360"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0"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0"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p>
        </w:tc>
      </w:tr>
      <w:tr w:rsidR="00DA629D" w:rsidTr="00DA629D">
        <w:tc>
          <w:tcPr>
            <w:cnfStyle w:val="001000000000" w:firstRow="0" w:lastRow="0" w:firstColumn="1" w:lastColumn="0" w:oddVBand="0" w:evenVBand="0" w:oddHBand="0" w:evenHBand="0" w:firstRowFirstColumn="0" w:firstRowLastColumn="0" w:lastRowFirstColumn="0" w:lastRowLastColumn="0"/>
            <w:tcW w:w="673" w:type="pct"/>
          </w:tcPr>
          <w:p w:rsidR="00DA629D" w:rsidRPr="00713B51" w:rsidRDefault="00DA629D" w:rsidP="00376507">
            <w:pPr>
              <w:spacing w:line="240" w:lineRule="auto"/>
              <w:rPr>
                <w:b/>
              </w:rPr>
            </w:pPr>
            <w:r>
              <w:rPr>
                <w:b/>
              </w:rPr>
              <w:t>Excluded costs</w:t>
            </w:r>
          </w:p>
        </w:tc>
        <w:tc>
          <w:tcPr>
            <w:tcW w:w="360" w:type="pct"/>
          </w:tcPr>
          <w:p w:rsidR="00DA629D"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pPr>
            <w:r>
              <w:t>6.0</w:t>
            </w:r>
          </w:p>
        </w:tc>
        <w:tc>
          <w:tcPr>
            <w:tcW w:w="361" w:type="pct"/>
          </w:tcPr>
          <w:p w:rsidR="00DA629D"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pPr>
            <w:r>
              <w:t>8.5</w:t>
            </w:r>
          </w:p>
        </w:tc>
        <w:tc>
          <w:tcPr>
            <w:tcW w:w="360" w:type="pct"/>
          </w:tcPr>
          <w:p w:rsidR="00DA629D"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pPr>
            <w:r>
              <w:t>7.7</w:t>
            </w:r>
          </w:p>
        </w:tc>
        <w:tc>
          <w:tcPr>
            <w:tcW w:w="361" w:type="pct"/>
          </w:tcPr>
          <w:p w:rsidR="00DA629D"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pPr>
            <w:r>
              <w:t>8.3</w:t>
            </w:r>
          </w:p>
        </w:tc>
        <w:tc>
          <w:tcPr>
            <w:tcW w:w="360" w:type="pct"/>
          </w:tcPr>
          <w:p w:rsidR="00DA629D"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pPr>
            <w:r>
              <w:t>8.3</w:t>
            </w:r>
          </w:p>
        </w:tc>
        <w:tc>
          <w:tcPr>
            <w:tcW w:w="361" w:type="pct"/>
          </w:tcPr>
          <w:p w:rsidR="00DA629D" w:rsidRDefault="00DA629D" w:rsidP="00376507">
            <w:pPr>
              <w:cnfStyle w:val="000000000000" w:firstRow="0" w:lastRow="0" w:firstColumn="0" w:lastColumn="0" w:oddVBand="0" w:evenVBand="0" w:oddHBand="0" w:evenHBand="0" w:firstRowFirstColumn="0" w:firstRowLastColumn="0" w:lastRowFirstColumn="0" w:lastRowLastColumn="0"/>
            </w:pPr>
            <w:r w:rsidRPr="00156AF2">
              <w:rPr>
                <w:szCs w:val="16"/>
              </w:rPr>
              <w:t>n/a</w:t>
            </w:r>
          </w:p>
        </w:tc>
        <w:tc>
          <w:tcPr>
            <w:tcW w:w="360" w:type="pct"/>
          </w:tcPr>
          <w:p w:rsidR="00DA629D"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tcPr>
          <w:p w:rsidR="00DA629D"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pPr>
          </w:p>
        </w:tc>
        <w:tc>
          <w:tcPr>
            <w:tcW w:w="360" w:type="pct"/>
          </w:tcPr>
          <w:p w:rsidR="00DA629D"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tcPr>
          <w:p w:rsidR="00DA629D"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pPr>
          </w:p>
        </w:tc>
        <w:tc>
          <w:tcPr>
            <w:tcW w:w="360" w:type="pct"/>
          </w:tcPr>
          <w:p w:rsidR="00DA629D"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tcPr>
          <w:p w:rsidR="00DA629D"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pPr>
          </w:p>
        </w:tc>
      </w:tr>
      <w:tr w:rsidR="00DA629D" w:rsidTr="00DA62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pct"/>
          </w:tcPr>
          <w:p w:rsidR="00DA629D" w:rsidRPr="00B862DE" w:rsidRDefault="00DA629D" w:rsidP="00376507">
            <w:pPr>
              <w:spacing w:line="240" w:lineRule="auto"/>
              <w:rPr>
                <w:b/>
              </w:rPr>
            </w:pPr>
            <w:r w:rsidRPr="00B862DE">
              <w:rPr>
                <w:b/>
              </w:rPr>
              <w:t>Opex subject to incentive mechanism</w:t>
            </w:r>
          </w:p>
        </w:tc>
        <w:tc>
          <w:tcPr>
            <w:tcW w:w="360"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r>
              <w:t>20.</w:t>
            </w:r>
            <w:r w:rsidR="001A74C4">
              <w:t>6</w:t>
            </w:r>
          </w:p>
        </w:tc>
        <w:tc>
          <w:tcPr>
            <w:tcW w:w="361"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r>
              <w:t>20.</w:t>
            </w:r>
            <w:r w:rsidR="001A74C4">
              <w:t>0</w:t>
            </w:r>
          </w:p>
        </w:tc>
        <w:tc>
          <w:tcPr>
            <w:tcW w:w="360" w:type="pct"/>
          </w:tcPr>
          <w:p w:rsidR="00DA629D" w:rsidRDefault="00C34033" w:rsidP="00376507">
            <w:pPr>
              <w:spacing w:line="240" w:lineRule="auto"/>
              <w:cnfStyle w:val="000000010000" w:firstRow="0" w:lastRow="0" w:firstColumn="0" w:lastColumn="0" w:oddVBand="0" w:evenVBand="0" w:oddHBand="0" w:evenHBand="1" w:firstRowFirstColumn="0" w:firstRowLastColumn="0" w:lastRowFirstColumn="0" w:lastRowLastColumn="0"/>
            </w:pPr>
            <w:r>
              <w:t>19.</w:t>
            </w:r>
            <w:r w:rsidR="001A74C4">
              <w:t>8</w:t>
            </w:r>
          </w:p>
        </w:tc>
        <w:tc>
          <w:tcPr>
            <w:tcW w:w="361"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r>
              <w:t>17.</w:t>
            </w:r>
            <w:r w:rsidR="00C34033">
              <w:t>8</w:t>
            </w:r>
          </w:p>
        </w:tc>
        <w:tc>
          <w:tcPr>
            <w:tcW w:w="360"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r>
              <w:t>19.</w:t>
            </w:r>
            <w:r w:rsidR="00C34033">
              <w:t>5</w:t>
            </w:r>
          </w:p>
        </w:tc>
        <w:tc>
          <w:tcPr>
            <w:tcW w:w="361" w:type="pct"/>
          </w:tcPr>
          <w:p w:rsidR="00DA629D" w:rsidRDefault="00DA629D" w:rsidP="00376507">
            <w:pPr>
              <w:cnfStyle w:val="000000010000" w:firstRow="0" w:lastRow="0" w:firstColumn="0" w:lastColumn="0" w:oddVBand="0" w:evenVBand="0" w:oddHBand="0" w:evenHBand="1" w:firstRowFirstColumn="0" w:firstRowLastColumn="0" w:lastRowFirstColumn="0" w:lastRowLastColumn="0"/>
            </w:pPr>
            <w:r w:rsidRPr="00156AF2">
              <w:rPr>
                <w:szCs w:val="16"/>
              </w:rPr>
              <w:t>n/a</w:t>
            </w:r>
          </w:p>
        </w:tc>
        <w:tc>
          <w:tcPr>
            <w:tcW w:w="360"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0"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0"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p>
        </w:tc>
      </w:tr>
      <w:tr w:rsidR="00DA629D" w:rsidTr="00DA629D">
        <w:tc>
          <w:tcPr>
            <w:cnfStyle w:val="001000000000" w:firstRow="0" w:lastRow="0" w:firstColumn="1" w:lastColumn="0" w:oddVBand="0" w:evenVBand="0" w:oddHBand="0" w:evenHBand="0" w:firstRowFirstColumn="0" w:firstRowLastColumn="0" w:lastRowFirstColumn="0" w:lastRowLastColumn="0"/>
            <w:tcW w:w="673" w:type="pct"/>
          </w:tcPr>
          <w:p w:rsidR="00DA629D" w:rsidRPr="00713B51" w:rsidRDefault="00DA629D" w:rsidP="005C0FF6">
            <w:pPr>
              <w:spacing w:line="240" w:lineRule="auto"/>
              <w:rPr>
                <w:b/>
              </w:rPr>
            </w:pPr>
            <w:r w:rsidRPr="00713B51">
              <w:rPr>
                <w:b/>
              </w:rPr>
              <w:t>Incremental</w:t>
            </w:r>
            <w:r w:rsidR="00BC2BEB">
              <w:rPr>
                <w:b/>
              </w:rPr>
              <w:t xml:space="preserve"> </w:t>
            </w:r>
            <w:r w:rsidRPr="00713B51">
              <w:rPr>
                <w:b/>
              </w:rPr>
              <w:t>gain (loss)</w:t>
            </w:r>
          </w:p>
        </w:tc>
        <w:tc>
          <w:tcPr>
            <w:tcW w:w="360" w:type="pct"/>
          </w:tcPr>
          <w:p w:rsidR="00DA629D"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pPr>
            <w:r>
              <w:t>-2.</w:t>
            </w:r>
            <w:r w:rsidR="00AB7775">
              <w:t>2</w:t>
            </w:r>
          </w:p>
        </w:tc>
        <w:tc>
          <w:tcPr>
            <w:tcW w:w="361" w:type="pct"/>
          </w:tcPr>
          <w:p w:rsidR="00DA629D" w:rsidRDefault="00AB7775" w:rsidP="00376507">
            <w:pPr>
              <w:spacing w:line="240" w:lineRule="auto"/>
              <w:cnfStyle w:val="000000000000" w:firstRow="0" w:lastRow="0" w:firstColumn="0" w:lastColumn="0" w:oddVBand="0" w:evenVBand="0" w:oddHBand="0" w:evenHBand="0" w:firstRowFirstColumn="0" w:firstRowLastColumn="0" w:lastRowFirstColumn="0" w:lastRowLastColumn="0"/>
            </w:pPr>
            <w:r>
              <w:t>3.0</w:t>
            </w:r>
          </w:p>
        </w:tc>
        <w:tc>
          <w:tcPr>
            <w:tcW w:w="360" w:type="pct"/>
          </w:tcPr>
          <w:p w:rsidR="00DA629D" w:rsidRDefault="00C34033" w:rsidP="00376507">
            <w:pPr>
              <w:spacing w:line="240" w:lineRule="auto"/>
              <w:cnfStyle w:val="000000000000" w:firstRow="0" w:lastRow="0" w:firstColumn="0" w:lastColumn="0" w:oddVBand="0" w:evenVBand="0" w:oddHBand="0" w:evenHBand="0" w:firstRowFirstColumn="0" w:firstRowLastColumn="0" w:lastRowFirstColumn="0" w:lastRowLastColumn="0"/>
            </w:pPr>
            <w:r>
              <w:t>1.</w:t>
            </w:r>
            <w:r w:rsidR="00AB7775">
              <w:t>0</w:t>
            </w:r>
          </w:p>
        </w:tc>
        <w:tc>
          <w:tcPr>
            <w:tcW w:w="361" w:type="pct"/>
          </w:tcPr>
          <w:p w:rsidR="00DA629D" w:rsidRDefault="00AB7775" w:rsidP="00376507">
            <w:pPr>
              <w:spacing w:line="240" w:lineRule="auto"/>
              <w:cnfStyle w:val="000000000000" w:firstRow="0" w:lastRow="0" w:firstColumn="0" w:lastColumn="0" w:oddVBand="0" w:evenVBand="0" w:oddHBand="0" w:evenHBand="0" w:firstRowFirstColumn="0" w:firstRowLastColumn="0" w:lastRowFirstColumn="0" w:lastRowLastColumn="0"/>
            </w:pPr>
            <w:r>
              <w:t>2.0</w:t>
            </w:r>
          </w:p>
        </w:tc>
        <w:tc>
          <w:tcPr>
            <w:tcW w:w="360" w:type="pct"/>
          </w:tcPr>
          <w:p w:rsidR="00DA629D" w:rsidRDefault="00EF6441" w:rsidP="00376507">
            <w:pPr>
              <w:spacing w:line="240" w:lineRule="auto"/>
              <w:cnfStyle w:val="000000000000" w:firstRow="0" w:lastRow="0" w:firstColumn="0" w:lastColumn="0" w:oddVBand="0" w:evenVBand="0" w:oddHBand="0" w:evenHBand="0" w:firstRowFirstColumn="0" w:firstRowLastColumn="0" w:lastRowFirstColumn="0" w:lastRowLastColumn="0"/>
            </w:pPr>
            <w:r>
              <w:t>-2.</w:t>
            </w:r>
            <w:r w:rsidR="00C34033">
              <w:t>4</w:t>
            </w:r>
          </w:p>
        </w:tc>
        <w:tc>
          <w:tcPr>
            <w:tcW w:w="361" w:type="pct"/>
          </w:tcPr>
          <w:p w:rsidR="00DA629D" w:rsidRDefault="00EF6441" w:rsidP="00376507">
            <w:pPr>
              <w:cnfStyle w:val="000000000000" w:firstRow="0" w:lastRow="0" w:firstColumn="0" w:lastColumn="0" w:oddVBand="0" w:evenVBand="0" w:oddHBand="0" w:evenHBand="0" w:firstRowFirstColumn="0" w:firstRowLastColumn="0" w:lastRowFirstColumn="0" w:lastRowLastColumn="0"/>
            </w:pPr>
            <w:r>
              <w:rPr>
                <w:szCs w:val="16"/>
              </w:rPr>
              <w:t>0.0</w:t>
            </w:r>
            <w:r w:rsidR="005C0FF6">
              <w:rPr>
                <w:rStyle w:val="FootnoteReference"/>
                <w:b/>
              </w:rPr>
              <w:footnoteReference w:id="12"/>
            </w:r>
          </w:p>
        </w:tc>
        <w:tc>
          <w:tcPr>
            <w:tcW w:w="360" w:type="pct"/>
          </w:tcPr>
          <w:p w:rsidR="00DA629D"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tcPr>
          <w:p w:rsidR="00DA629D"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pPr>
          </w:p>
        </w:tc>
        <w:tc>
          <w:tcPr>
            <w:tcW w:w="360" w:type="pct"/>
          </w:tcPr>
          <w:p w:rsidR="00DA629D"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tcPr>
          <w:p w:rsidR="00DA629D"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pPr>
          </w:p>
        </w:tc>
        <w:tc>
          <w:tcPr>
            <w:tcW w:w="360" w:type="pct"/>
          </w:tcPr>
          <w:p w:rsidR="00DA629D"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tcPr>
          <w:p w:rsidR="00DA629D"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pPr>
          </w:p>
        </w:tc>
      </w:tr>
      <w:tr w:rsidR="00DA629D" w:rsidTr="00DA62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pct"/>
          </w:tcPr>
          <w:p w:rsidR="00DA629D" w:rsidRPr="00713B51" w:rsidRDefault="00DA629D" w:rsidP="00376507">
            <w:pPr>
              <w:spacing w:line="240" w:lineRule="auto"/>
              <w:rPr>
                <w:b/>
              </w:rPr>
            </w:pPr>
            <w:r w:rsidRPr="00713B51">
              <w:rPr>
                <w:b/>
              </w:rPr>
              <w:t>Carryover</w:t>
            </w:r>
          </w:p>
        </w:tc>
        <w:tc>
          <w:tcPr>
            <w:tcW w:w="360"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0"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0"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0"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0"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0"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tcPr>
          <w:p w:rsidR="00DA629D" w:rsidRDefault="00DA629D" w:rsidP="00376507">
            <w:pPr>
              <w:spacing w:line="240" w:lineRule="auto"/>
              <w:cnfStyle w:val="000000010000" w:firstRow="0" w:lastRow="0" w:firstColumn="0" w:lastColumn="0" w:oddVBand="0" w:evenVBand="0" w:oddHBand="0" w:evenHBand="1" w:firstRowFirstColumn="0" w:firstRowLastColumn="0" w:lastRowFirstColumn="0" w:lastRowLastColumn="0"/>
            </w:pPr>
          </w:p>
        </w:tc>
      </w:tr>
      <w:tr w:rsidR="00AB7775" w:rsidTr="00F76DBF">
        <w:tc>
          <w:tcPr>
            <w:cnfStyle w:val="001000000000" w:firstRow="0" w:lastRow="0" w:firstColumn="1" w:lastColumn="0" w:oddVBand="0" w:evenVBand="0" w:oddHBand="0" w:evenHBand="0" w:firstRowFirstColumn="0" w:firstRowLastColumn="0" w:lastRowFirstColumn="0" w:lastRowLastColumn="0"/>
            <w:tcW w:w="673" w:type="pct"/>
          </w:tcPr>
          <w:p w:rsidR="00AB7775" w:rsidRPr="00713B51" w:rsidRDefault="00AB7775" w:rsidP="00B91215">
            <w:pPr>
              <w:spacing w:line="240" w:lineRule="auto"/>
              <w:jc w:val="right"/>
              <w:rPr>
                <w:b/>
              </w:rPr>
            </w:pPr>
            <w:r>
              <w:t>2015</w:t>
            </w:r>
            <w:r w:rsidR="00B91215">
              <w:t>–</w:t>
            </w:r>
            <w:r>
              <w:t>16</w:t>
            </w:r>
          </w:p>
        </w:tc>
        <w:tc>
          <w:tcPr>
            <w:tcW w:w="360" w:type="pct"/>
          </w:tcPr>
          <w:p w:rsidR="00AB7775" w:rsidRDefault="00AB7775" w:rsidP="00376507">
            <w:pPr>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vAlign w:val="top"/>
          </w:tcPr>
          <w:p w:rsidR="00AB7775" w:rsidRDefault="00AB7775">
            <w:pPr>
              <w:cnfStyle w:val="000000000000" w:firstRow="0" w:lastRow="0" w:firstColumn="0" w:lastColumn="0" w:oddVBand="0" w:evenVBand="0" w:oddHBand="0" w:evenHBand="0" w:firstRowFirstColumn="0" w:firstRowLastColumn="0" w:lastRowFirstColumn="0" w:lastRowLastColumn="0"/>
            </w:pPr>
            <w:r w:rsidRPr="00056C2A">
              <w:t>-2.2</w:t>
            </w:r>
          </w:p>
        </w:tc>
        <w:tc>
          <w:tcPr>
            <w:tcW w:w="360" w:type="pct"/>
            <w:vAlign w:val="top"/>
          </w:tcPr>
          <w:p w:rsidR="00AB7775" w:rsidRDefault="00AB7775">
            <w:pPr>
              <w:cnfStyle w:val="000000000000" w:firstRow="0" w:lastRow="0" w:firstColumn="0" w:lastColumn="0" w:oddVBand="0" w:evenVBand="0" w:oddHBand="0" w:evenHBand="0" w:firstRowFirstColumn="0" w:firstRowLastColumn="0" w:lastRowFirstColumn="0" w:lastRowLastColumn="0"/>
            </w:pPr>
            <w:r w:rsidRPr="00056C2A">
              <w:t>-2.2</w:t>
            </w:r>
          </w:p>
        </w:tc>
        <w:tc>
          <w:tcPr>
            <w:tcW w:w="361" w:type="pct"/>
            <w:vAlign w:val="top"/>
          </w:tcPr>
          <w:p w:rsidR="00AB7775" w:rsidRDefault="00AB7775">
            <w:pPr>
              <w:cnfStyle w:val="000000000000" w:firstRow="0" w:lastRow="0" w:firstColumn="0" w:lastColumn="0" w:oddVBand="0" w:evenVBand="0" w:oddHBand="0" w:evenHBand="0" w:firstRowFirstColumn="0" w:firstRowLastColumn="0" w:lastRowFirstColumn="0" w:lastRowLastColumn="0"/>
            </w:pPr>
            <w:r w:rsidRPr="00056C2A">
              <w:t>-2.2</w:t>
            </w:r>
          </w:p>
        </w:tc>
        <w:tc>
          <w:tcPr>
            <w:tcW w:w="360" w:type="pct"/>
            <w:vAlign w:val="top"/>
          </w:tcPr>
          <w:p w:rsidR="00AB7775" w:rsidRDefault="00AB7775">
            <w:pPr>
              <w:cnfStyle w:val="000000000000" w:firstRow="0" w:lastRow="0" w:firstColumn="0" w:lastColumn="0" w:oddVBand="0" w:evenVBand="0" w:oddHBand="0" w:evenHBand="0" w:firstRowFirstColumn="0" w:firstRowLastColumn="0" w:lastRowFirstColumn="0" w:lastRowLastColumn="0"/>
            </w:pPr>
            <w:r w:rsidRPr="00056C2A">
              <w:t>-2.2</w:t>
            </w:r>
          </w:p>
        </w:tc>
        <w:tc>
          <w:tcPr>
            <w:tcW w:w="361" w:type="pct"/>
            <w:vAlign w:val="top"/>
          </w:tcPr>
          <w:p w:rsidR="00AB7775" w:rsidRDefault="00AB7775">
            <w:pPr>
              <w:cnfStyle w:val="000000000000" w:firstRow="0" w:lastRow="0" w:firstColumn="0" w:lastColumn="0" w:oddVBand="0" w:evenVBand="0" w:oddHBand="0" w:evenHBand="0" w:firstRowFirstColumn="0" w:firstRowLastColumn="0" w:lastRowFirstColumn="0" w:lastRowLastColumn="0"/>
            </w:pPr>
            <w:r w:rsidRPr="00056C2A">
              <w:t>-2.2</w:t>
            </w:r>
          </w:p>
        </w:tc>
        <w:tc>
          <w:tcPr>
            <w:tcW w:w="360" w:type="pct"/>
          </w:tcPr>
          <w:p w:rsidR="00AB7775" w:rsidRDefault="00AB7775" w:rsidP="00376507">
            <w:pPr>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tcPr>
          <w:p w:rsidR="00AB7775" w:rsidRDefault="00AB7775" w:rsidP="00376507">
            <w:pPr>
              <w:spacing w:line="240" w:lineRule="auto"/>
              <w:cnfStyle w:val="000000000000" w:firstRow="0" w:lastRow="0" w:firstColumn="0" w:lastColumn="0" w:oddVBand="0" w:evenVBand="0" w:oddHBand="0" w:evenHBand="0" w:firstRowFirstColumn="0" w:firstRowLastColumn="0" w:lastRowFirstColumn="0" w:lastRowLastColumn="0"/>
            </w:pPr>
          </w:p>
        </w:tc>
        <w:tc>
          <w:tcPr>
            <w:tcW w:w="360" w:type="pct"/>
          </w:tcPr>
          <w:p w:rsidR="00AB7775" w:rsidRDefault="00AB7775" w:rsidP="00376507">
            <w:pPr>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tcPr>
          <w:p w:rsidR="00AB7775" w:rsidRDefault="00AB7775" w:rsidP="00376507">
            <w:pPr>
              <w:spacing w:line="240" w:lineRule="auto"/>
              <w:cnfStyle w:val="000000000000" w:firstRow="0" w:lastRow="0" w:firstColumn="0" w:lastColumn="0" w:oddVBand="0" w:evenVBand="0" w:oddHBand="0" w:evenHBand="0" w:firstRowFirstColumn="0" w:firstRowLastColumn="0" w:lastRowFirstColumn="0" w:lastRowLastColumn="0"/>
            </w:pPr>
          </w:p>
        </w:tc>
        <w:tc>
          <w:tcPr>
            <w:tcW w:w="360" w:type="pct"/>
          </w:tcPr>
          <w:p w:rsidR="00AB7775" w:rsidRDefault="00AB7775" w:rsidP="00376507">
            <w:pPr>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tcPr>
          <w:p w:rsidR="00AB7775" w:rsidRDefault="00AB7775" w:rsidP="00376507">
            <w:pPr>
              <w:spacing w:line="240" w:lineRule="auto"/>
              <w:cnfStyle w:val="000000000000" w:firstRow="0" w:lastRow="0" w:firstColumn="0" w:lastColumn="0" w:oddVBand="0" w:evenVBand="0" w:oddHBand="0" w:evenHBand="0" w:firstRowFirstColumn="0" w:firstRowLastColumn="0" w:lastRowFirstColumn="0" w:lastRowLastColumn="0"/>
            </w:pPr>
          </w:p>
        </w:tc>
      </w:tr>
      <w:tr w:rsidR="00AB7775" w:rsidTr="00C340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pct"/>
          </w:tcPr>
          <w:p w:rsidR="00AB7775" w:rsidRDefault="00AB7775" w:rsidP="00B91215">
            <w:pPr>
              <w:spacing w:line="240" w:lineRule="auto"/>
              <w:jc w:val="right"/>
            </w:pPr>
            <w:r>
              <w:t>2016</w:t>
            </w:r>
            <w:r w:rsidR="00B91215">
              <w:t>–</w:t>
            </w:r>
            <w:r>
              <w:t>17</w:t>
            </w:r>
          </w:p>
        </w:tc>
        <w:tc>
          <w:tcPr>
            <w:tcW w:w="360" w:type="pct"/>
          </w:tcPr>
          <w:p w:rsidR="00AB7775" w:rsidRDefault="00AB7775"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tcPr>
          <w:p w:rsidR="00AB7775" w:rsidRDefault="00AB7775" w:rsidP="00376507">
            <w:pPr>
              <w:cnfStyle w:val="000000010000" w:firstRow="0" w:lastRow="0" w:firstColumn="0" w:lastColumn="0" w:oddVBand="0" w:evenVBand="0" w:oddHBand="0" w:evenHBand="1" w:firstRowFirstColumn="0" w:firstRowLastColumn="0" w:lastRowFirstColumn="0" w:lastRowLastColumn="0"/>
            </w:pPr>
          </w:p>
        </w:tc>
        <w:tc>
          <w:tcPr>
            <w:tcW w:w="360" w:type="pct"/>
            <w:vAlign w:val="top"/>
          </w:tcPr>
          <w:p w:rsidR="00AB7775" w:rsidRDefault="00AB7775">
            <w:pPr>
              <w:cnfStyle w:val="000000010000" w:firstRow="0" w:lastRow="0" w:firstColumn="0" w:lastColumn="0" w:oddVBand="0" w:evenVBand="0" w:oddHBand="0" w:evenHBand="1" w:firstRowFirstColumn="0" w:firstRowLastColumn="0" w:lastRowFirstColumn="0" w:lastRowLastColumn="0"/>
            </w:pPr>
            <w:r w:rsidRPr="008A3775">
              <w:t>3.0</w:t>
            </w:r>
          </w:p>
        </w:tc>
        <w:tc>
          <w:tcPr>
            <w:tcW w:w="361" w:type="pct"/>
            <w:vAlign w:val="top"/>
          </w:tcPr>
          <w:p w:rsidR="00AB7775" w:rsidRDefault="00AB7775">
            <w:pPr>
              <w:cnfStyle w:val="000000010000" w:firstRow="0" w:lastRow="0" w:firstColumn="0" w:lastColumn="0" w:oddVBand="0" w:evenVBand="0" w:oddHBand="0" w:evenHBand="1" w:firstRowFirstColumn="0" w:firstRowLastColumn="0" w:lastRowFirstColumn="0" w:lastRowLastColumn="0"/>
            </w:pPr>
            <w:r w:rsidRPr="008A3775">
              <w:t>3.0</w:t>
            </w:r>
          </w:p>
        </w:tc>
        <w:tc>
          <w:tcPr>
            <w:tcW w:w="360" w:type="pct"/>
            <w:vAlign w:val="top"/>
          </w:tcPr>
          <w:p w:rsidR="00AB7775" w:rsidRDefault="00AB7775">
            <w:pPr>
              <w:cnfStyle w:val="000000010000" w:firstRow="0" w:lastRow="0" w:firstColumn="0" w:lastColumn="0" w:oddVBand="0" w:evenVBand="0" w:oddHBand="0" w:evenHBand="1" w:firstRowFirstColumn="0" w:firstRowLastColumn="0" w:lastRowFirstColumn="0" w:lastRowLastColumn="0"/>
            </w:pPr>
            <w:r w:rsidRPr="008A3775">
              <w:t>3.0</w:t>
            </w:r>
          </w:p>
        </w:tc>
        <w:tc>
          <w:tcPr>
            <w:tcW w:w="361" w:type="pct"/>
            <w:vAlign w:val="top"/>
          </w:tcPr>
          <w:p w:rsidR="00AB7775" w:rsidRDefault="00AB7775">
            <w:pPr>
              <w:cnfStyle w:val="000000010000" w:firstRow="0" w:lastRow="0" w:firstColumn="0" w:lastColumn="0" w:oddVBand="0" w:evenVBand="0" w:oddHBand="0" w:evenHBand="1" w:firstRowFirstColumn="0" w:firstRowLastColumn="0" w:lastRowFirstColumn="0" w:lastRowLastColumn="0"/>
            </w:pPr>
            <w:r w:rsidRPr="008A3775">
              <w:t>3.0</w:t>
            </w:r>
          </w:p>
        </w:tc>
        <w:tc>
          <w:tcPr>
            <w:tcW w:w="360" w:type="pct"/>
            <w:vAlign w:val="top"/>
          </w:tcPr>
          <w:p w:rsidR="00AB7775" w:rsidRDefault="00AB7775">
            <w:pPr>
              <w:cnfStyle w:val="000000010000" w:firstRow="0" w:lastRow="0" w:firstColumn="0" w:lastColumn="0" w:oddVBand="0" w:evenVBand="0" w:oddHBand="0" w:evenHBand="1" w:firstRowFirstColumn="0" w:firstRowLastColumn="0" w:lastRowFirstColumn="0" w:lastRowLastColumn="0"/>
            </w:pPr>
            <w:r w:rsidRPr="008A3775">
              <w:t>3.0</w:t>
            </w:r>
          </w:p>
        </w:tc>
        <w:tc>
          <w:tcPr>
            <w:tcW w:w="361" w:type="pct"/>
          </w:tcPr>
          <w:p w:rsidR="00AB7775" w:rsidRDefault="00AB7775"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0" w:type="pct"/>
          </w:tcPr>
          <w:p w:rsidR="00AB7775" w:rsidRDefault="00AB7775"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tcPr>
          <w:p w:rsidR="00AB7775" w:rsidRDefault="00AB7775"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0" w:type="pct"/>
          </w:tcPr>
          <w:p w:rsidR="00AB7775" w:rsidRDefault="00AB7775"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tcPr>
          <w:p w:rsidR="00AB7775" w:rsidRDefault="00AB7775" w:rsidP="00376507">
            <w:pPr>
              <w:spacing w:line="240" w:lineRule="auto"/>
              <w:cnfStyle w:val="000000010000" w:firstRow="0" w:lastRow="0" w:firstColumn="0" w:lastColumn="0" w:oddVBand="0" w:evenVBand="0" w:oddHBand="0" w:evenHBand="1" w:firstRowFirstColumn="0" w:firstRowLastColumn="0" w:lastRowFirstColumn="0" w:lastRowLastColumn="0"/>
            </w:pPr>
          </w:p>
        </w:tc>
      </w:tr>
      <w:tr w:rsidR="00AB7775" w:rsidTr="00C34033">
        <w:tc>
          <w:tcPr>
            <w:cnfStyle w:val="001000000000" w:firstRow="0" w:lastRow="0" w:firstColumn="1" w:lastColumn="0" w:oddVBand="0" w:evenVBand="0" w:oddHBand="0" w:evenHBand="0" w:firstRowFirstColumn="0" w:firstRowLastColumn="0" w:lastRowFirstColumn="0" w:lastRowLastColumn="0"/>
            <w:tcW w:w="673" w:type="pct"/>
          </w:tcPr>
          <w:p w:rsidR="00AB7775" w:rsidRDefault="00AB7775" w:rsidP="00B91215">
            <w:pPr>
              <w:spacing w:line="240" w:lineRule="auto"/>
              <w:jc w:val="right"/>
            </w:pPr>
            <w:r>
              <w:t>2017</w:t>
            </w:r>
            <w:r w:rsidR="00B91215">
              <w:t>–</w:t>
            </w:r>
            <w:r>
              <w:t>18</w:t>
            </w:r>
          </w:p>
        </w:tc>
        <w:tc>
          <w:tcPr>
            <w:tcW w:w="360" w:type="pct"/>
          </w:tcPr>
          <w:p w:rsidR="00AB7775" w:rsidRDefault="00AB7775" w:rsidP="00376507">
            <w:pPr>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tcPr>
          <w:p w:rsidR="00AB7775" w:rsidRDefault="00AB7775" w:rsidP="00376507">
            <w:pPr>
              <w:spacing w:line="240" w:lineRule="auto"/>
              <w:cnfStyle w:val="000000000000" w:firstRow="0" w:lastRow="0" w:firstColumn="0" w:lastColumn="0" w:oddVBand="0" w:evenVBand="0" w:oddHBand="0" w:evenHBand="0" w:firstRowFirstColumn="0" w:firstRowLastColumn="0" w:lastRowFirstColumn="0" w:lastRowLastColumn="0"/>
            </w:pPr>
          </w:p>
        </w:tc>
        <w:tc>
          <w:tcPr>
            <w:tcW w:w="360" w:type="pct"/>
          </w:tcPr>
          <w:p w:rsidR="00AB7775" w:rsidRDefault="00AB7775" w:rsidP="00376507">
            <w:pPr>
              <w:cnfStyle w:val="000000000000" w:firstRow="0" w:lastRow="0" w:firstColumn="0" w:lastColumn="0" w:oddVBand="0" w:evenVBand="0" w:oddHBand="0" w:evenHBand="0" w:firstRowFirstColumn="0" w:firstRowLastColumn="0" w:lastRowFirstColumn="0" w:lastRowLastColumn="0"/>
            </w:pPr>
          </w:p>
        </w:tc>
        <w:tc>
          <w:tcPr>
            <w:tcW w:w="361" w:type="pct"/>
            <w:vAlign w:val="top"/>
          </w:tcPr>
          <w:p w:rsidR="00AB7775" w:rsidRDefault="00AB7775">
            <w:pPr>
              <w:cnfStyle w:val="000000000000" w:firstRow="0" w:lastRow="0" w:firstColumn="0" w:lastColumn="0" w:oddVBand="0" w:evenVBand="0" w:oddHBand="0" w:evenHBand="0" w:firstRowFirstColumn="0" w:firstRowLastColumn="0" w:lastRowFirstColumn="0" w:lastRowLastColumn="0"/>
            </w:pPr>
            <w:r w:rsidRPr="004F264A">
              <w:t>1.0</w:t>
            </w:r>
          </w:p>
        </w:tc>
        <w:tc>
          <w:tcPr>
            <w:tcW w:w="360" w:type="pct"/>
            <w:vAlign w:val="top"/>
          </w:tcPr>
          <w:p w:rsidR="00AB7775" w:rsidRDefault="00AB7775">
            <w:pPr>
              <w:cnfStyle w:val="000000000000" w:firstRow="0" w:lastRow="0" w:firstColumn="0" w:lastColumn="0" w:oddVBand="0" w:evenVBand="0" w:oddHBand="0" w:evenHBand="0" w:firstRowFirstColumn="0" w:firstRowLastColumn="0" w:lastRowFirstColumn="0" w:lastRowLastColumn="0"/>
            </w:pPr>
            <w:r w:rsidRPr="004F264A">
              <w:t>1.0</w:t>
            </w:r>
          </w:p>
        </w:tc>
        <w:tc>
          <w:tcPr>
            <w:tcW w:w="361" w:type="pct"/>
            <w:vAlign w:val="top"/>
          </w:tcPr>
          <w:p w:rsidR="00AB7775" w:rsidRDefault="00AB7775">
            <w:pPr>
              <w:cnfStyle w:val="000000000000" w:firstRow="0" w:lastRow="0" w:firstColumn="0" w:lastColumn="0" w:oddVBand="0" w:evenVBand="0" w:oddHBand="0" w:evenHBand="0" w:firstRowFirstColumn="0" w:firstRowLastColumn="0" w:lastRowFirstColumn="0" w:lastRowLastColumn="0"/>
            </w:pPr>
            <w:r w:rsidRPr="004F264A">
              <w:t>1.0</w:t>
            </w:r>
          </w:p>
        </w:tc>
        <w:tc>
          <w:tcPr>
            <w:tcW w:w="360" w:type="pct"/>
            <w:vAlign w:val="top"/>
          </w:tcPr>
          <w:p w:rsidR="00AB7775" w:rsidRDefault="00AB7775">
            <w:pPr>
              <w:cnfStyle w:val="000000000000" w:firstRow="0" w:lastRow="0" w:firstColumn="0" w:lastColumn="0" w:oddVBand="0" w:evenVBand="0" w:oddHBand="0" w:evenHBand="0" w:firstRowFirstColumn="0" w:firstRowLastColumn="0" w:lastRowFirstColumn="0" w:lastRowLastColumn="0"/>
            </w:pPr>
            <w:r w:rsidRPr="004F264A">
              <w:t>1.0</w:t>
            </w:r>
          </w:p>
        </w:tc>
        <w:tc>
          <w:tcPr>
            <w:tcW w:w="361" w:type="pct"/>
            <w:vAlign w:val="top"/>
          </w:tcPr>
          <w:p w:rsidR="00AB7775" w:rsidRDefault="00AB7775">
            <w:pPr>
              <w:cnfStyle w:val="000000000000" w:firstRow="0" w:lastRow="0" w:firstColumn="0" w:lastColumn="0" w:oddVBand="0" w:evenVBand="0" w:oddHBand="0" w:evenHBand="0" w:firstRowFirstColumn="0" w:firstRowLastColumn="0" w:lastRowFirstColumn="0" w:lastRowLastColumn="0"/>
            </w:pPr>
            <w:r w:rsidRPr="004F264A">
              <w:t>1.0</w:t>
            </w:r>
          </w:p>
        </w:tc>
        <w:tc>
          <w:tcPr>
            <w:tcW w:w="360" w:type="pct"/>
          </w:tcPr>
          <w:p w:rsidR="00AB7775" w:rsidRDefault="00AB7775" w:rsidP="00376507">
            <w:pPr>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tcPr>
          <w:p w:rsidR="00AB7775" w:rsidRDefault="00AB7775" w:rsidP="00376507">
            <w:pPr>
              <w:spacing w:line="240" w:lineRule="auto"/>
              <w:cnfStyle w:val="000000000000" w:firstRow="0" w:lastRow="0" w:firstColumn="0" w:lastColumn="0" w:oddVBand="0" w:evenVBand="0" w:oddHBand="0" w:evenHBand="0" w:firstRowFirstColumn="0" w:firstRowLastColumn="0" w:lastRowFirstColumn="0" w:lastRowLastColumn="0"/>
            </w:pPr>
          </w:p>
        </w:tc>
        <w:tc>
          <w:tcPr>
            <w:tcW w:w="360" w:type="pct"/>
          </w:tcPr>
          <w:p w:rsidR="00AB7775" w:rsidRDefault="00AB7775" w:rsidP="00376507">
            <w:pPr>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tcPr>
          <w:p w:rsidR="00AB7775" w:rsidRDefault="00AB7775" w:rsidP="00376507">
            <w:pPr>
              <w:spacing w:line="240" w:lineRule="auto"/>
              <w:cnfStyle w:val="000000000000" w:firstRow="0" w:lastRow="0" w:firstColumn="0" w:lastColumn="0" w:oddVBand="0" w:evenVBand="0" w:oddHBand="0" w:evenHBand="0" w:firstRowFirstColumn="0" w:firstRowLastColumn="0" w:lastRowFirstColumn="0" w:lastRowLastColumn="0"/>
            </w:pPr>
          </w:p>
        </w:tc>
      </w:tr>
      <w:tr w:rsidR="00AB7775" w:rsidTr="00F76DB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pct"/>
          </w:tcPr>
          <w:p w:rsidR="00AB7775" w:rsidRDefault="00AB7775" w:rsidP="00B91215">
            <w:pPr>
              <w:spacing w:line="240" w:lineRule="auto"/>
              <w:jc w:val="right"/>
            </w:pPr>
            <w:r>
              <w:t>2018</w:t>
            </w:r>
            <w:r w:rsidR="00B91215">
              <w:t>–</w:t>
            </w:r>
            <w:r>
              <w:t>19</w:t>
            </w:r>
          </w:p>
        </w:tc>
        <w:tc>
          <w:tcPr>
            <w:tcW w:w="360" w:type="pct"/>
          </w:tcPr>
          <w:p w:rsidR="00AB7775" w:rsidRDefault="00AB7775"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tcPr>
          <w:p w:rsidR="00AB7775" w:rsidRDefault="00AB7775"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0" w:type="pct"/>
          </w:tcPr>
          <w:p w:rsidR="00AB7775" w:rsidRDefault="00AB7775"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tcPr>
          <w:p w:rsidR="00AB7775" w:rsidRDefault="00AB7775" w:rsidP="00376507">
            <w:pPr>
              <w:cnfStyle w:val="000000010000" w:firstRow="0" w:lastRow="0" w:firstColumn="0" w:lastColumn="0" w:oddVBand="0" w:evenVBand="0" w:oddHBand="0" w:evenHBand="1" w:firstRowFirstColumn="0" w:firstRowLastColumn="0" w:lastRowFirstColumn="0" w:lastRowLastColumn="0"/>
            </w:pPr>
          </w:p>
        </w:tc>
        <w:tc>
          <w:tcPr>
            <w:tcW w:w="360" w:type="pct"/>
            <w:vAlign w:val="top"/>
          </w:tcPr>
          <w:p w:rsidR="00AB7775" w:rsidRDefault="00AB7775">
            <w:pPr>
              <w:cnfStyle w:val="000000010000" w:firstRow="0" w:lastRow="0" w:firstColumn="0" w:lastColumn="0" w:oddVBand="0" w:evenVBand="0" w:oddHBand="0" w:evenHBand="1" w:firstRowFirstColumn="0" w:firstRowLastColumn="0" w:lastRowFirstColumn="0" w:lastRowLastColumn="0"/>
            </w:pPr>
            <w:r w:rsidRPr="00FF21EC">
              <w:t>2.0</w:t>
            </w:r>
          </w:p>
        </w:tc>
        <w:tc>
          <w:tcPr>
            <w:tcW w:w="361" w:type="pct"/>
            <w:vAlign w:val="top"/>
          </w:tcPr>
          <w:p w:rsidR="00AB7775" w:rsidRDefault="00AB7775">
            <w:pPr>
              <w:cnfStyle w:val="000000010000" w:firstRow="0" w:lastRow="0" w:firstColumn="0" w:lastColumn="0" w:oddVBand="0" w:evenVBand="0" w:oddHBand="0" w:evenHBand="1" w:firstRowFirstColumn="0" w:firstRowLastColumn="0" w:lastRowFirstColumn="0" w:lastRowLastColumn="0"/>
            </w:pPr>
            <w:r w:rsidRPr="00FF21EC">
              <w:t>2.0</w:t>
            </w:r>
          </w:p>
        </w:tc>
        <w:tc>
          <w:tcPr>
            <w:tcW w:w="360" w:type="pct"/>
            <w:vAlign w:val="top"/>
          </w:tcPr>
          <w:p w:rsidR="00AB7775" w:rsidRDefault="00AB7775">
            <w:pPr>
              <w:cnfStyle w:val="000000010000" w:firstRow="0" w:lastRow="0" w:firstColumn="0" w:lastColumn="0" w:oddVBand="0" w:evenVBand="0" w:oddHBand="0" w:evenHBand="1" w:firstRowFirstColumn="0" w:firstRowLastColumn="0" w:lastRowFirstColumn="0" w:lastRowLastColumn="0"/>
            </w:pPr>
            <w:r w:rsidRPr="00FF21EC">
              <w:t>2.0</w:t>
            </w:r>
          </w:p>
        </w:tc>
        <w:tc>
          <w:tcPr>
            <w:tcW w:w="361" w:type="pct"/>
            <w:vAlign w:val="top"/>
          </w:tcPr>
          <w:p w:rsidR="00AB7775" w:rsidRDefault="00AB7775">
            <w:pPr>
              <w:cnfStyle w:val="000000010000" w:firstRow="0" w:lastRow="0" w:firstColumn="0" w:lastColumn="0" w:oddVBand="0" w:evenVBand="0" w:oddHBand="0" w:evenHBand="1" w:firstRowFirstColumn="0" w:firstRowLastColumn="0" w:lastRowFirstColumn="0" w:lastRowLastColumn="0"/>
            </w:pPr>
            <w:r w:rsidRPr="00FF21EC">
              <w:t>2.0</w:t>
            </w:r>
          </w:p>
        </w:tc>
        <w:tc>
          <w:tcPr>
            <w:tcW w:w="360" w:type="pct"/>
            <w:vAlign w:val="top"/>
          </w:tcPr>
          <w:p w:rsidR="00AB7775" w:rsidRDefault="00AB7775">
            <w:pPr>
              <w:cnfStyle w:val="000000010000" w:firstRow="0" w:lastRow="0" w:firstColumn="0" w:lastColumn="0" w:oddVBand="0" w:evenVBand="0" w:oddHBand="0" w:evenHBand="1" w:firstRowFirstColumn="0" w:firstRowLastColumn="0" w:lastRowFirstColumn="0" w:lastRowLastColumn="0"/>
            </w:pPr>
            <w:r w:rsidRPr="00FF21EC">
              <w:t>2.0</w:t>
            </w:r>
          </w:p>
        </w:tc>
        <w:tc>
          <w:tcPr>
            <w:tcW w:w="361" w:type="pct"/>
          </w:tcPr>
          <w:p w:rsidR="00AB7775" w:rsidRDefault="00AB7775"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0" w:type="pct"/>
          </w:tcPr>
          <w:p w:rsidR="00AB7775" w:rsidRDefault="00AB7775"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tcPr>
          <w:p w:rsidR="00AB7775" w:rsidRDefault="00AB7775" w:rsidP="00376507">
            <w:pPr>
              <w:spacing w:line="240" w:lineRule="auto"/>
              <w:cnfStyle w:val="000000010000" w:firstRow="0" w:lastRow="0" w:firstColumn="0" w:lastColumn="0" w:oddVBand="0" w:evenVBand="0" w:oddHBand="0" w:evenHBand="1" w:firstRowFirstColumn="0" w:firstRowLastColumn="0" w:lastRowFirstColumn="0" w:lastRowLastColumn="0"/>
            </w:pPr>
          </w:p>
        </w:tc>
      </w:tr>
      <w:tr w:rsidR="00C34033" w:rsidTr="000E5797">
        <w:tc>
          <w:tcPr>
            <w:cnfStyle w:val="001000000000" w:firstRow="0" w:lastRow="0" w:firstColumn="1" w:lastColumn="0" w:oddVBand="0" w:evenVBand="0" w:oddHBand="0" w:evenHBand="0" w:firstRowFirstColumn="0" w:firstRowLastColumn="0" w:lastRowFirstColumn="0" w:lastRowLastColumn="0"/>
            <w:tcW w:w="673" w:type="pct"/>
          </w:tcPr>
          <w:p w:rsidR="00C34033" w:rsidRDefault="00C34033" w:rsidP="00B91215">
            <w:pPr>
              <w:spacing w:line="240" w:lineRule="auto"/>
              <w:jc w:val="right"/>
            </w:pPr>
            <w:r>
              <w:t>2019</w:t>
            </w:r>
            <w:r w:rsidR="00B91215">
              <w:t>–</w:t>
            </w:r>
            <w:r>
              <w:t>20</w:t>
            </w:r>
          </w:p>
        </w:tc>
        <w:tc>
          <w:tcPr>
            <w:tcW w:w="360" w:type="pct"/>
          </w:tcPr>
          <w:p w:rsidR="00C34033" w:rsidRDefault="00C34033" w:rsidP="00376507">
            <w:pPr>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tcPr>
          <w:p w:rsidR="00C34033" w:rsidRDefault="00C34033" w:rsidP="00376507">
            <w:pPr>
              <w:spacing w:line="240" w:lineRule="auto"/>
              <w:cnfStyle w:val="000000000000" w:firstRow="0" w:lastRow="0" w:firstColumn="0" w:lastColumn="0" w:oddVBand="0" w:evenVBand="0" w:oddHBand="0" w:evenHBand="0" w:firstRowFirstColumn="0" w:firstRowLastColumn="0" w:lastRowFirstColumn="0" w:lastRowLastColumn="0"/>
            </w:pPr>
          </w:p>
        </w:tc>
        <w:tc>
          <w:tcPr>
            <w:tcW w:w="360" w:type="pct"/>
          </w:tcPr>
          <w:p w:rsidR="00C34033" w:rsidRDefault="00C34033" w:rsidP="00376507">
            <w:pPr>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tcPr>
          <w:p w:rsidR="00C34033" w:rsidRDefault="00C34033" w:rsidP="00376507">
            <w:pPr>
              <w:spacing w:line="240" w:lineRule="auto"/>
              <w:cnfStyle w:val="000000000000" w:firstRow="0" w:lastRow="0" w:firstColumn="0" w:lastColumn="0" w:oddVBand="0" w:evenVBand="0" w:oddHBand="0" w:evenHBand="0" w:firstRowFirstColumn="0" w:firstRowLastColumn="0" w:lastRowFirstColumn="0" w:lastRowLastColumn="0"/>
            </w:pPr>
          </w:p>
        </w:tc>
        <w:tc>
          <w:tcPr>
            <w:tcW w:w="360" w:type="pct"/>
          </w:tcPr>
          <w:p w:rsidR="00C34033" w:rsidRDefault="00C34033" w:rsidP="00376507">
            <w:pPr>
              <w:cnfStyle w:val="000000000000" w:firstRow="0" w:lastRow="0" w:firstColumn="0" w:lastColumn="0" w:oddVBand="0" w:evenVBand="0" w:oddHBand="0" w:evenHBand="0" w:firstRowFirstColumn="0" w:firstRowLastColumn="0" w:lastRowFirstColumn="0" w:lastRowLastColumn="0"/>
            </w:pPr>
          </w:p>
        </w:tc>
        <w:tc>
          <w:tcPr>
            <w:tcW w:w="361" w:type="pct"/>
            <w:vAlign w:val="top"/>
          </w:tcPr>
          <w:p w:rsidR="00C34033" w:rsidRDefault="00C34033" w:rsidP="00376507">
            <w:pPr>
              <w:spacing w:line="240" w:lineRule="auto"/>
              <w:cnfStyle w:val="000000000000" w:firstRow="0" w:lastRow="0" w:firstColumn="0" w:lastColumn="0" w:oddVBand="0" w:evenVBand="0" w:oddHBand="0" w:evenHBand="0" w:firstRowFirstColumn="0" w:firstRowLastColumn="0" w:lastRowFirstColumn="0" w:lastRowLastColumn="0"/>
            </w:pPr>
            <w:r w:rsidRPr="00D9753C">
              <w:t>-2.4</w:t>
            </w:r>
          </w:p>
        </w:tc>
        <w:tc>
          <w:tcPr>
            <w:tcW w:w="360" w:type="pct"/>
            <w:vAlign w:val="top"/>
          </w:tcPr>
          <w:p w:rsidR="00C34033" w:rsidRDefault="00C34033" w:rsidP="00376507">
            <w:pPr>
              <w:spacing w:line="240" w:lineRule="auto"/>
              <w:cnfStyle w:val="000000000000" w:firstRow="0" w:lastRow="0" w:firstColumn="0" w:lastColumn="0" w:oddVBand="0" w:evenVBand="0" w:oddHBand="0" w:evenHBand="0" w:firstRowFirstColumn="0" w:firstRowLastColumn="0" w:lastRowFirstColumn="0" w:lastRowLastColumn="0"/>
            </w:pPr>
            <w:r w:rsidRPr="00D9753C">
              <w:t>-2.4</w:t>
            </w:r>
          </w:p>
        </w:tc>
        <w:tc>
          <w:tcPr>
            <w:tcW w:w="361" w:type="pct"/>
            <w:vAlign w:val="top"/>
          </w:tcPr>
          <w:p w:rsidR="00C34033" w:rsidRDefault="00C34033" w:rsidP="00376507">
            <w:pPr>
              <w:cnfStyle w:val="000000000000" w:firstRow="0" w:lastRow="0" w:firstColumn="0" w:lastColumn="0" w:oddVBand="0" w:evenVBand="0" w:oddHBand="0" w:evenHBand="0" w:firstRowFirstColumn="0" w:firstRowLastColumn="0" w:lastRowFirstColumn="0" w:lastRowLastColumn="0"/>
            </w:pPr>
            <w:r w:rsidRPr="00D9753C">
              <w:t>-2.4</w:t>
            </w:r>
          </w:p>
        </w:tc>
        <w:tc>
          <w:tcPr>
            <w:tcW w:w="360" w:type="pct"/>
            <w:vAlign w:val="top"/>
          </w:tcPr>
          <w:p w:rsidR="00C34033" w:rsidRDefault="00C34033" w:rsidP="00376507">
            <w:pPr>
              <w:cnfStyle w:val="000000000000" w:firstRow="0" w:lastRow="0" w:firstColumn="0" w:lastColumn="0" w:oddVBand="0" w:evenVBand="0" w:oddHBand="0" w:evenHBand="0" w:firstRowFirstColumn="0" w:firstRowLastColumn="0" w:lastRowFirstColumn="0" w:lastRowLastColumn="0"/>
            </w:pPr>
            <w:r w:rsidRPr="00D9753C">
              <w:t>-2.4</w:t>
            </w:r>
          </w:p>
        </w:tc>
        <w:tc>
          <w:tcPr>
            <w:tcW w:w="361" w:type="pct"/>
            <w:vAlign w:val="top"/>
          </w:tcPr>
          <w:p w:rsidR="00C34033" w:rsidRDefault="00C34033" w:rsidP="00376507">
            <w:pPr>
              <w:cnfStyle w:val="000000000000" w:firstRow="0" w:lastRow="0" w:firstColumn="0" w:lastColumn="0" w:oddVBand="0" w:evenVBand="0" w:oddHBand="0" w:evenHBand="0" w:firstRowFirstColumn="0" w:firstRowLastColumn="0" w:lastRowFirstColumn="0" w:lastRowLastColumn="0"/>
            </w:pPr>
            <w:r w:rsidRPr="00D9753C">
              <w:t>-2.4</w:t>
            </w:r>
          </w:p>
        </w:tc>
        <w:tc>
          <w:tcPr>
            <w:tcW w:w="360" w:type="pct"/>
          </w:tcPr>
          <w:p w:rsidR="00C34033" w:rsidRDefault="00C34033" w:rsidP="00376507">
            <w:pPr>
              <w:spacing w:line="240" w:lineRule="auto"/>
              <w:cnfStyle w:val="000000000000" w:firstRow="0" w:lastRow="0" w:firstColumn="0" w:lastColumn="0" w:oddVBand="0" w:evenVBand="0" w:oddHBand="0" w:evenHBand="0" w:firstRowFirstColumn="0" w:firstRowLastColumn="0" w:lastRowFirstColumn="0" w:lastRowLastColumn="0"/>
            </w:pPr>
          </w:p>
        </w:tc>
        <w:tc>
          <w:tcPr>
            <w:tcW w:w="361" w:type="pct"/>
          </w:tcPr>
          <w:p w:rsidR="00C34033" w:rsidRDefault="00C34033" w:rsidP="00376507">
            <w:pPr>
              <w:spacing w:line="240" w:lineRule="auto"/>
              <w:cnfStyle w:val="000000000000" w:firstRow="0" w:lastRow="0" w:firstColumn="0" w:lastColumn="0" w:oddVBand="0" w:evenVBand="0" w:oddHBand="0" w:evenHBand="0" w:firstRowFirstColumn="0" w:firstRowLastColumn="0" w:lastRowFirstColumn="0" w:lastRowLastColumn="0"/>
            </w:pPr>
          </w:p>
        </w:tc>
      </w:tr>
      <w:tr w:rsidR="000E5797" w:rsidTr="003765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pct"/>
          </w:tcPr>
          <w:p w:rsidR="000E5797" w:rsidRDefault="000E5797" w:rsidP="00B91215">
            <w:pPr>
              <w:spacing w:line="240" w:lineRule="auto"/>
              <w:jc w:val="right"/>
            </w:pPr>
            <w:r>
              <w:t>2020</w:t>
            </w:r>
            <w:r w:rsidR="00B91215">
              <w:t>–</w:t>
            </w:r>
            <w:r>
              <w:t>21</w:t>
            </w:r>
          </w:p>
        </w:tc>
        <w:tc>
          <w:tcPr>
            <w:tcW w:w="360" w:type="pct"/>
          </w:tcPr>
          <w:p w:rsidR="000E5797" w:rsidRDefault="000E5797"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tcPr>
          <w:p w:rsidR="000E5797" w:rsidRDefault="000E5797"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0" w:type="pct"/>
          </w:tcPr>
          <w:p w:rsidR="000E5797" w:rsidRDefault="000E5797"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tcPr>
          <w:p w:rsidR="000E5797" w:rsidRDefault="000E5797"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0" w:type="pct"/>
          </w:tcPr>
          <w:p w:rsidR="000E5797" w:rsidRDefault="000E5797"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1" w:type="pct"/>
          </w:tcPr>
          <w:p w:rsidR="000E5797" w:rsidRDefault="000E5797" w:rsidP="00376507">
            <w:pPr>
              <w:spacing w:line="240" w:lineRule="auto"/>
              <w:cnfStyle w:val="000000010000" w:firstRow="0" w:lastRow="0" w:firstColumn="0" w:lastColumn="0" w:oddVBand="0" w:evenVBand="0" w:oddHBand="0" w:evenHBand="1" w:firstRowFirstColumn="0" w:firstRowLastColumn="0" w:lastRowFirstColumn="0" w:lastRowLastColumn="0"/>
            </w:pPr>
          </w:p>
        </w:tc>
        <w:tc>
          <w:tcPr>
            <w:tcW w:w="360" w:type="pct"/>
            <w:vAlign w:val="top"/>
          </w:tcPr>
          <w:p w:rsidR="000E5797" w:rsidRPr="004D6C4E" w:rsidRDefault="000E5797" w:rsidP="00376507">
            <w:pPr>
              <w:cnfStyle w:val="000000010000" w:firstRow="0" w:lastRow="0" w:firstColumn="0" w:lastColumn="0" w:oddVBand="0" w:evenVBand="0" w:oddHBand="0" w:evenHBand="1" w:firstRowFirstColumn="0" w:firstRowLastColumn="0" w:lastRowFirstColumn="0" w:lastRowLastColumn="0"/>
              <w:rPr>
                <w:szCs w:val="16"/>
              </w:rPr>
            </w:pPr>
            <w:r w:rsidRPr="007E19FE">
              <w:rPr>
                <w:szCs w:val="16"/>
              </w:rPr>
              <w:t>0.0</w:t>
            </w:r>
          </w:p>
        </w:tc>
        <w:tc>
          <w:tcPr>
            <w:tcW w:w="361" w:type="pct"/>
            <w:vAlign w:val="top"/>
          </w:tcPr>
          <w:p w:rsidR="000E5797" w:rsidRPr="004D6C4E" w:rsidRDefault="000E5797" w:rsidP="00376507">
            <w:pPr>
              <w:cnfStyle w:val="000000010000" w:firstRow="0" w:lastRow="0" w:firstColumn="0" w:lastColumn="0" w:oddVBand="0" w:evenVBand="0" w:oddHBand="0" w:evenHBand="1" w:firstRowFirstColumn="0" w:firstRowLastColumn="0" w:lastRowFirstColumn="0" w:lastRowLastColumn="0"/>
              <w:rPr>
                <w:szCs w:val="16"/>
              </w:rPr>
            </w:pPr>
            <w:r w:rsidRPr="007E19FE">
              <w:rPr>
                <w:szCs w:val="16"/>
              </w:rPr>
              <w:t>0.0</w:t>
            </w:r>
          </w:p>
        </w:tc>
        <w:tc>
          <w:tcPr>
            <w:tcW w:w="360" w:type="pct"/>
            <w:vAlign w:val="top"/>
          </w:tcPr>
          <w:p w:rsidR="000E5797" w:rsidRPr="004D6C4E" w:rsidRDefault="000E5797" w:rsidP="00376507">
            <w:pPr>
              <w:cnfStyle w:val="000000010000" w:firstRow="0" w:lastRow="0" w:firstColumn="0" w:lastColumn="0" w:oddVBand="0" w:evenVBand="0" w:oddHBand="0" w:evenHBand="1" w:firstRowFirstColumn="0" w:firstRowLastColumn="0" w:lastRowFirstColumn="0" w:lastRowLastColumn="0"/>
              <w:rPr>
                <w:szCs w:val="16"/>
              </w:rPr>
            </w:pPr>
            <w:r w:rsidRPr="007E19FE">
              <w:rPr>
                <w:szCs w:val="16"/>
              </w:rPr>
              <w:t>0.0</w:t>
            </w:r>
          </w:p>
        </w:tc>
        <w:tc>
          <w:tcPr>
            <w:tcW w:w="361" w:type="pct"/>
            <w:vAlign w:val="top"/>
          </w:tcPr>
          <w:p w:rsidR="000E5797" w:rsidRPr="004D6C4E" w:rsidRDefault="000E5797" w:rsidP="00376507">
            <w:pPr>
              <w:cnfStyle w:val="000000010000" w:firstRow="0" w:lastRow="0" w:firstColumn="0" w:lastColumn="0" w:oddVBand="0" w:evenVBand="0" w:oddHBand="0" w:evenHBand="1" w:firstRowFirstColumn="0" w:firstRowLastColumn="0" w:lastRowFirstColumn="0" w:lastRowLastColumn="0"/>
              <w:rPr>
                <w:szCs w:val="16"/>
              </w:rPr>
            </w:pPr>
            <w:r w:rsidRPr="007E19FE">
              <w:rPr>
                <w:szCs w:val="16"/>
              </w:rPr>
              <w:t>0.0</w:t>
            </w:r>
          </w:p>
        </w:tc>
        <w:tc>
          <w:tcPr>
            <w:tcW w:w="360" w:type="pct"/>
            <w:vAlign w:val="top"/>
          </w:tcPr>
          <w:p w:rsidR="000E5797" w:rsidRPr="004D6C4E" w:rsidRDefault="000E5797" w:rsidP="00376507">
            <w:pPr>
              <w:cnfStyle w:val="000000010000" w:firstRow="0" w:lastRow="0" w:firstColumn="0" w:lastColumn="0" w:oddVBand="0" w:evenVBand="0" w:oddHBand="0" w:evenHBand="1" w:firstRowFirstColumn="0" w:firstRowLastColumn="0" w:lastRowFirstColumn="0" w:lastRowLastColumn="0"/>
              <w:rPr>
                <w:szCs w:val="16"/>
              </w:rPr>
            </w:pPr>
            <w:r w:rsidRPr="007E19FE">
              <w:rPr>
                <w:szCs w:val="16"/>
              </w:rPr>
              <w:t>0.0</w:t>
            </w:r>
          </w:p>
        </w:tc>
        <w:tc>
          <w:tcPr>
            <w:tcW w:w="361" w:type="pct"/>
          </w:tcPr>
          <w:p w:rsidR="000E5797" w:rsidRDefault="000E5797" w:rsidP="00376507">
            <w:pPr>
              <w:spacing w:line="240" w:lineRule="auto"/>
              <w:cnfStyle w:val="000000010000" w:firstRow="0" w:lastRow="0" w:firstColumn="0" w:lastColumn="0" w:oddVBand="0" w:evenVBand="0" w:oddHBand="0" w:evenHBand="1" w:firstRowFirstColumn="0" w:firstRowLastColumn="0" w:lastRowFirstColumn="0" w:lastRowLastColumn="0"/>
            </w:pPr>
          </w:p>
        </w:tc>
      </w:tr>
      <w:tr w:rsidR="00DA629D" w:rsidTr="00DA629D">
        <w:tc>
          <w:tcPr>
            <w:cnfStyle w:val="001000000000" w:firstRow="0" w:lastRow="0" w:firstColumn="1" w:lastColumn="0" w:oddVBand="0" w:evenVBand="0" w:oddHBand="0" w:evenHBand="0" w:firstRowFirstColumn="0" w:firstRowLastColumn="0" w:lastRowFirstColumn="0" w:lastRowLastColumn="0"/>
            <w:tcW w:w="673" w:type="pct"/>
          </w:tcPr>
          <w:p w:rsidR="00DA629D" w:rsidRPr="008227A6" w:rsidRDefault="00DA629D" w:rsidP="000E5797">
            <w:pPr>
              <w:spacing w:line="240" w:lineRule="auto"/>
              <w:rPr>
                <w:b/>
              </w:rPr>
            </w:pPr>
            <w:r>
              <w:rPr>
                <w:b/>
              </w:rPr>
              <w:t>Efficiency c</w:t>
            </w:r>
            <w:r w:rsidRPr="008227A6">
              <w:rPr>
                <w:b/>
              </w:rPr>
              <w:t>arryover</w:t>
            </w:r>
          </w:p>
        </w:tc>
        <w:tc>
          <w:tcPr>
            <w:tcW w:w="360" w:type="pct"/>
          </w:tcPr>
          <w:p w:rsidR="00DA629D" w:rsidRPr="008227A6"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rPr>
                <w:b/>
              </w:rPr>
            </w:pPr>
          </w:p>
        </w:tc>
        <w:tc>
          <w:tcPr>
            <w:tcW w:w="361" w:type="pct"/>
          </w:tcPr>
          <w:p w:rsidR="00DA629D" w:rsidRPr="008227A6"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rPr>
                <w:b/>
              </w:rPr>
            </w:pPr>
          </w:p>
        </w:tc>
        <w:tc>
          <w:tcPr>
            <w:tcW w:w="360" w:type="pct"/>
          </w:tcPr>
          <w:p w:rsidR="00DA629D" w:rsidRPr="008227A6"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rPr>
                <w:b/>
              </w:rPr>
            </w:pPr>
          </w:p>
        </w:tc>
        <w:tc>
          <w:tcPr>
            <w:tcW w:w="361" w:type="pct"/>
          </w:tcPr>
          <w:p w:rsidR="00DA629D" w:rsidRPr="008227A6"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rPr>
                <w:b/>
              </w:rPr>
            </w:pPr>
          </w:p>
        </w:tc>
        <w:tc>
          <w:tcPr>
            <w:tcW w:w="360" w:type="pct"/>
          </w:tcPr>
          <w:p w:rsidR="00DA629D" w:rsidRPr="008227A6" w:rsidRDefault="00DA629D" w:rsidP="00376507">
            <w:pPr>
              <w:spacing w:line="240" w:lineRule="auto"/>
              <w:cnfStyle w:val="000000000000" w:firstRow="0" w:lastRow="0" w:firstColumn="0" w:lastColumn="0" w:oddVBand="0" w:evenVBand="0" w:oddHBand="0" w:evenHBand="0" w:firstRowFirstColumn="0" w:firstRowLastColumn="0" w:lastRowFirstColumn="0" w:lastRowLastColumn="0"/>
              <w:rPr>
                <w:b/>
              </w:rPr>
            </w:pPr>
          </w:p>
        </w:tc>
        <w:tc>
          <w:tcPr>
            <w:tcW w:w="361" w:type="pct"/>
          </w:tcPr>
          <w:p w:rsidR="00DA629D" w:rsidRPr="00180C17" w:rsidRDefault="000E5797" w:rsidP="0025078C">
            <w:pPr>
              <w:spacing w:line="240" w:lineRule="auto"/>
              <w:cnfStyle w:val="000000000000" w:firstRow="0" w:lastRow="0" w:firstColumn="0" w:lastColumn="0" w:oddVBand="0" w:evenVBand="0" w:oddHBand="0" w:evenHBand="0" w:firstRowFirstColumn="0" w:firstRowLastColumn="0" w:lastRowFirstColumn="0" w:lastRowLastColumn="0"/>
              <w:rPr>
                <w:b/>
              </w:rPr>
            </w:pPr>
            <w:r>
              <w:rPr>
                <w:b/>
              </w:rPr>
              <w:t>1.</w:t>
            </w:r>
            <w:r w:rsidR="0025078C">
              <w:rPr>
                <w:b/>
              </w:rPr>
              <w:t>5</w:t>
            </w:r>
          </w:p>
        </w:tc>
        <w:tc>
          <w:tcPr>
            <w:tcW w:w="360" w:type="pct"/>
          </w:tcPr>
          <w:p w:rsidR="00DA629D" w:rsidRPr="00180C17" w:rsidRDefault="000E5797" w:rsidP="00376507">
            <w:pPr>
              <w:spacing w:line="240" w:lineRule="auto"/>
              <w:cnfStyle w:val="000000000000" w:firstRow="0" w:lastRow="0" w:firstColumn="0" w:lastColumn="0" w:oddVBand="0" w:evenVBand="0" w:oddHBand="0" w:evenHBand="0" w:firstRowFirstColumn="0" w:firstRowLastColumn="0" w:lastRowFirstColumn="0" w:lastRowLastColumn="0"/>
              <w:rPr>
                <w:b/>
              </w:rPr>
            </w:pPr>
            <w:r>
              <w:rPr>
                <w:b/>
              </w:rPr>
              <w:t>3.</w:t>
            </w:r>
            <w:r w:rsidR="00AB7775">
              <w:rPr>
                <w:b/>
              </w:rPr>
              <w:t>6</w:t>
            </w:r>
          </w:p>
        </w:tc>
        <w:tc>
          <w:tcPr>
            <w:tcW w:w="361" w:type="pct"/>
          </w:tcPr>
          <w:p w:rsidR="00DA629D" w:rsidRPr="00180C17" w:rsidRDefault="000E5797" w:rsidP="00376507">
            <w:pPr>
              <w:spacing w:line="240" w:lineRule="auto"/>
              <w:cnfStyle w:val="000000000000" w:firstRow="0" w:lastRow="0" w:firstColumn="0" w:lastColumn="0" w:oddVBand="0" w:evenVBand="0" w:oddHBand="0" w:evenHBand="0" w:firstRowFirstColumn="0" w:firstRowLastColumn="0" w:lastRowFirstColumn="0" w:lastRowLastColumn="0"/>
              <w:rPr>
                <w:b/>
              </w:rPr>
            </w:pPr>
            <w:r>
              <w:rPr>
                <w:b/>
              </w:rPr>
              <w:t>0.</w:t>
            </w:r>
            <w:r w:rsidR="00AB7775">
              <w:rPr>
                <w:b/>
              </w:rPr>
              <w:t>6</w:t>
            </w:r>
          </w:p>
        </w:tc>
        <w:tc>
          <w:tcPr>
            <w:tcW w:w="360" w:type="pct"/>
          </w:tcPr>
          <w:p w:rsidR="00DA629D" w:rsidRPr="00180C17" w:rsidRDefault="006A600C" w:rsidP="00376507">
            <w:pPr>
              <w:spacing w:line="240" w:lineRule="auto"/>
              <w:cnfStyle w:val="000000000000" w:firstRow="0" w:lastRow="0" w:firstColumn="0" w:lastColumn="0" w:oddVBand="0" w:evenVBand="0" w:oddHBand="0" w:evenHBand="0" w:firstRowFirstColumn="0" w:firstRowLastColumn="0" w:lastRowFirstColumn="0" w:lastRowLastColumn="0"/>
              <w:rPr>
                <w:b/>
              </w:rPr>
            </w:pPr>
            <w:r>
              <w:rPr>
                <w:b/>
              </w:rPr>
              <w:t>-</w:t>
            </w:r>
            <w:r w:rsidR="000E5797">
              <w:rPr>
                <w:b/>
              </w:rPr>
              <w:t>0.</w:t>
            </w:r>
            <w:r w:rsidR="00AB7775">
              <w:rPr>
                <w:b/>
              </w:rPr>
              <w:t>4</w:t>
            </w:r>
          </w:p>
        </w:tc>
        <w:tc>
          <w:tcPr>
            <w:tcW w:w="361" w:type="pct"/>
          </w:tcPr>
          <w:p w:rsidR="00DA629D" w:rsidRDefault="000E5797" w:rsidP="00376507">
            <w:pPr>
              <w:cnfStyle w:val="000000000000" w:firstRow="0" w:lastRow="0" w:firstColumn="0" w:lastColumn="0" w:oddVBand="0" w:evenVBand="0" w:oddHBand="0" w:evenHBand="0" w:firstRowFirstColumn="0" w:firstRowLastColumn="0" w:lastRowFirstColumn="0" w:lastRowLastColumn="0"/>
            </w:pPr>
            <w:r>
              <w:rPr>
                <w:b/>
              </w:rPr>
              <w:t>-2.</w:t>
            </w:r>
            <w:r w:rsidR="006A600C">
              <w:rPr>
                <w:b/>
              </w:rPr>
              <w:t>4</w:t>
            </w:r>
          </w:p>
        </w:tc>
        <w:tc>
          <w:tcPr>
            <w:tcW w:w="360" w:type="pct"/>
          </w:tcPr>
          <w:p w:rsidR="00DA629D" w:rsidRDefault="00DA629D" w:rsidP="00376507">
            <w:pPr>
              <w:cnfStyle w:val="000000000000" w:firstRow="0" w:lastRow="0" w:firstColumn="0" w:lastColumn="0" w:oddVBand="0" w:evenVBand="0" w:oddHBand="0" w:evenHBand="0" w:firstRowFirstColumn="0" w:firstRowLastColumn="0" w:lastRowFirstColumn="0" w:lastRowLastColumn="0"/>
            </w:pPr>
            <w:r w:rsidRPr="00C114CB">
              <w:rPr>
                <w:b/>
              </w:rPr>
              <w:t>0.0</w:t>
            </w:r>
          </w:p>
        </w:tc>
        <w:tc>
          <w:tcPr>
            <w:tcW w:w="361" w:type="pct"/>
          </w:tcPr>
          <w:p w:rsidR="00DA629D" w:rsidRDefault="00AB7775" w:rsidP="0025078C">
            <w:pPr>
              <w:cnfStyle w:val="000000000000" w:firstRow="0" w:lastRow="0" w:firstColumn="0" w:lastColumn="0" w:oddVBand="0" w:evenVBand="0" w:oddHBand="0" w:evenHBand="0" w:firstRowFirstColumn="0" w:firstRowLastColumn="0" w:lastRowFirstColumn="0" w:lastRowLastColumn="0"/>
            </w:pPr>
            <w:r>
              <w:t>2</w:t>
            </w:r>
            <w:r w:rsidR="000E5797">
              <w:t>.</w:t>
            </w:r>
            <w:r w:rsidR="0025078C">
              <w:t>9</w:t>
            </w:r>
          </w:p>
        </w:tc>
      </w:tr>
      <w:tr w:rsidR="00AB7775" w:rsidTr="00DA62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pct"/>
          </w:tcPr>
          <w:p w:rsidR="00AB7775" w:rsidRDefault="00AB7775" w:rsidP="00376507">
            <w:pPr>
              <w:spacing w:line="240" w:lineRule="auto"/>
              <w:rPr>
                <w:b/>
              </w:rPr>
            </w:pPr>
            <w:r>
              <w:rPr>
                <w:b/>
              </w:rPr>
              <w:t>PTRM input</w:t>
            </w:r>
          </w:p>
        </w:tc>
        <w:tc>
          <w:tcPr>
            <w:tcW w:w="360" w:type="pct"/>
          </w:tcPr>
          <w:p w:rsidR="00AB7775" w:rsidRPr="008227A6" w:rsidRDefault="00AB7775" w:rsidP="00376507">
            <w:pPr>
              <w:spacing w:line="240" w:lineRule="auto"/>
              <w:cnfStyle w:val="000000010000" w:firstRow="0" w:lastRow="0" w:firstColumn="0" w:lastColumn="0" w:oddVBand="0" w:evenVBand="0" w:oddHBand="0" w:evenHBand="1" w:firstRowFirstColumn="0" w:firstRowLastColumn="0" w:lastRowFirstColumn="0" w:lastRowLastColumn="0"/>
              <w:rPr>
                <w:b/>
              </w:rPr>
            </w:pPr>
          </w:p>
        </w:tc>
        <w:tc>
          <w:tcPr>
            <w:tcW w:w="361" w:type="pct"/>
          </w:tcPr>
          <w:p w:rsidR="00AB7775" w:rsidRPr="008227A6" w:rsidRDefault="00AB7775" w:rsidP="00376507">
            <w:pPr>
              <w:spacing w:line="240" w:lineRule="auto"/>
              <w:cnfStyle w:val="000000010000" w:firstRow="0" w:lastRow="0" w:firstColumn="0" w:lastColumn="0" w:oddVBand="0" w:evenVBand="0" w:oddHBand="0" w:evenHBand="1" w:firstRowFirstColumn="0" w:firstRowLastColumn="0" w:lastRowFirstColumn="0" w:lastRowLastColumn="0"/>
              <w:rPr>
                <w:b/>
              </w:rPr>
            </w:pPr>
          </w:p>
        </w:tc>
        <w:tc>
          <w:tcPr>
            <w:tcW w:w="360" w:type="pct"/>
          </w:tcPr>
          <w:p w:rsidR="00AB7775" w:rsidRPr="008227A6" w:rsidRDefault="00AB7775" w:rsidP="00376507">
            <w:pPr>
              <w:spacing w:line="240" w:lineRule="auto"/>
              <w:cnfStyle w:val="000000010000" w:firstRow="0" w:lastRow="0" w:firstColumn="0" w:lastColumn="0" w:oddVBand="0" w:evenVBand="0" w:oddHBand="0" w:evenHBand="1" w:firstRowFirstColumn="0" w:firstRowLastColumn="0" w:lastRowFirstColumn="0" w:lastRowLastColumn="0"/>
              <w:rPr>
                <w:b/>
              </w:rPr>
            </w:pPr>
          </w:p>
        </w:tc>
        <w:tc>
          <w:tcPr>
            <w:tcW w:w="361" w:type="pct"/>
          </w:tcPr>
          <w:p w:rsidR="00AB7775" w:rsidRPr="008227A6" w:rsidRDefault="00AB7775" w:rsidP="00376507">
            <w:pPr>
              <w:spacing w:line="240" w:lineRule="auto"/>
              <w:cnfStyle w:val="000000010000" w:firstRow="0" w:lastRow="0" w:firstColumn="0" w:lastColumn="0" w:oddVBand="0" w:evenVBand="0" w:oddHBand="0" w:evenHBand="1" w:firstRowFirstColumn="0" w:firstRowLastColumn="0" w:lastRowFirstColumn="0" w:lastRowLastColumn="0"/>
              <w:rPr>
                <w:b/>
              </w:rPr>
            </w:pPr>
          </w:p>
        </w:tc>
        <w:tc>
          <w:tcPr>
            <w:tcW w:w="360" w:type="pct"/>
          </w:tcPr>
          <w:p w:rsidR="00AB7775" w:rsidRPr="008227A6" w:rsidRDefault="00AB7775" w:rsidP="00376507">
            <w:pPr>
              <w:spacing w:line="240" w:lineRule="auto"/>
              <w:cnfStyle w:val="000000010000" w:firstRow="0" w:lastRow="0" w:firstColumn="0" w:lastColumn="0" w:oddVBand="0" w:evenVBand="0" w:oddHBand="0" w:evenHBand="1" w:firstRowFirstColumn="0" w:firstRowLastColumn="0" w:lastRowFirstColumn="0" w:lastRowLastColumn="0"/>
              <w:rPr>
                <w:b/>
              </w:rPr>
            </w:pPr>
          </w:p>
        </w:tc>
        <w:tc>
          <w:tcPr>
            <w:tcW w:w="361" w:type="pct"/>
          </w:tcPr>
          <w:p w:rsidR="00AB7775" w:rsidRPr="00180C17" w:rsidRDefault="00AB7775" w:rsidP="0025078C">
            <w:pPr>
              <w:spacing w:line="240" w:lineRule="auto"/>
              <w:cnfStyle w:val="000000010000" w:firstRow="0" w:lastRow="0" w:firstColumn="0" w:lastColumn="0" w:oddVBand="0" w:evenVBand="0" w:oddHBand="0" w:evenHBand="1" w:firstRowFirstColumn="0" w:firstRowLastColumn="0" w:lastRowFirstColumn="0" w:lastRowLastColumn="0"/>
              <w:rPr>
                <w:b/>
              </w:rPr>
            </w:pPr>
            <w:r>
              <w:rPr>
                <w:b/>
              </w:rPr>
              <w:t>1.</w:t>
            </w:r>
            <w:r w:rsidR="0025078C">
              <w:rPr>
                <w:b/>
              </w:rPr>
              <w:t>5</w:t>
            </w:r>
          </w:p>
        </w:tc>
        <w:tc>
          <w:tcPr>
            <w:tcW w:w="360" w:type="pct"/>
          </w:tcPr>
          <w:p w:rsidR="00AB7775" w:rsidRPr="00180C17" w:rsidRDefault="00AB7775" w:rsidP="00F76DBF">
            <w:pPr>
              <w:spacing w:line="240" w:lineRule="auto"/>
              <w:cnfStyle w:val="000000010000" w:firstRow="0" w:lastRow="0" w:firstColumn="0" w:lastColumn="0" w:oddVBand="0" w:evenVBand="0" w:oddHBand="0" w:evenHBand="1" w:firstRowFirstColumn="0" w:firstRowLastColumn="0" w:lastRowFirstColumn="0" w:lastRowLastColumn="0"/>
              <w:rPr>
                <w:b/>
              </w:rPr>
            </w:pPr>
            <w:r>
              <w:rPr>
                <w:b/>
              </w:rPr>
              <w:t>3.6</w:t>
            </w:r>
          </w:p>
        </w:tc>
        <w:tc>
          <w:tcPr>
            <w:tcW w:w="361" w:type="pct"/>
          </w:tcPr>
          <w:p w:rsidR="00AB7775" w:rsidRPr="00180C17" w:rsidRDefault="00AB7775" w:rsidP="00F76DBF">
            <w:pPr>
              <w:spacing w:line="240" w:lineRule="auto"/>
              <w:cnfStyle w:val="000000010000" w:firstRow="0" w:lastRow="0" w:firstColumn="0" w:lastColumn="0" w:oddVBand="0" w:evenVBand="0" w:oddHBand="0" w:evenHBand="1" w:firstRowFirstColumn="0" w:firstRowLastColumn="0" w:lastRowFirstColumn="0" w:lastRowLastColumn="0"/>
              <w:rPr>
                <w:b/>
              </w:rPr>
            </w:pPr>
            <w:r>
              <w:rPr>
                <w:b/>
              </w:rPr>
              <w:t>0.6</w:t>
            </w:r>
          </w:p>
        </w:tc>
        <w:tc>
          <w:tcPr>
            <w:tcW w:w="360" w:type="pct"/>
          </w:tcPr>
          <w:p w:rsidR="00AB7775" w:rsidRPr="00180C17" w:rsidRDefault="00AB7775" w:rsidP="00F76DBF">
            <w:pPr>
              <w:spacing w:line="240" w:lineRule="auto"/>
              <w:cnfStyle w:val="000000010000" w:firstRow="0" w:lastRow="0" w:firstColumn="0" w:lastColumn="0" w:oddVBand="0" w:evenVBand="0" w:oddHBand="0" w:evenHBand="1" w:firstRowFirstColumn="0" w:firstRowLastColumn="0" w:lastRowFirstColumn="0" w:lastRowLastColumn="0"/>
              <w:rPr>
                <w:b/>
              </w:rPr>
            </w:pPr>
            <w:r>
              <w:rPr>
                <w:b/>
              </w:rPr>
              <w:t>-0.4</w:t>
            </w:r>
          </w:p>
        </w:tc>
        <w:tc>
          <w:tcPr>
            <w:tcW w:w="361" w:type="pct"/>
          </w:tcPr>
          <w:p w:rsidR="00AB7775" w:rsidRDefault="00AB7775" w:rsidP="00F76DBF">
            <w:pPr>
              <w:cnfStyle w:val="000000010000" w:firstRow="0" w:lastRow="0" w:firstColumn="0" w:lastColumn="0" w:oddVBand="0" w:evenVBand="0" w:oddHBand="0" w:evenHBand="1" w:firstRowFirstColumn="0" w:firstRowLastColumn="0" w:lastRowFirstColumn="0" w:lastRowLastColumn="0"/>
            </w:pPr>
            <w:r>
              <w:rPr>
                <w:b/>
              </w:rPr>
              <w:t>-2.4</w:t>
            </w:r>
          </w:p>
        </w:tc>
        <w:tc>
          <w:tcPr>
            <w:tcW w:w="360" w:type="pct"/>
          </w:tcPr>
          <w:p w:rsidR="00AB7775" w:rsidRDefault="00AB7775" w:rsidP="00F76DBF">
            <w:pPr>
              <w:cnfStyle w:val="000000010000" w:firstRow="0" w:lastRow="0" w:firstColumn="0" w:lastColumn="0" w:oddVBand="0" w:evenVBand="0" w:oddHBand="0" w:evenHBand="1" w:firstRowFirstColumn="0" w:firstRowLastColumn="0" w:lastRowFirstColumn="0" w:lastRowLastColumn="0"/>
            </w:pPr>
            <w:r w:rsidRPr="00C114CB">
              <w:rPr>
                <w:b/>
              </w:rPr>
              <w:t>0.0</w:t>
            </w:r>
          </w:p>
        </w:tc>
        <w:tc>
          <w:tcPr>
            <w:tcW w:w="361" w:type="pct"/>
          </w:tcPr>
          <w:p w:rsidR="00AB7775" w:rsidRDefault="00AB7775" w:rsidP="0025078C">
            <w:pPr>
              <w:cnfStyle w:val="000000010000" w:firstRow="0" w:lastRow="0" w:firstColumn="0" w:lastColumn="0" w:oddVBand="0" w:evenVBand="0" w:oddHBand="0" w:evenHBand="1" w:firstRowFirstColumn="0" w:firstRowLastColumn="0" w:lastRowFirstColumn="0" w:lastRowLastColumn="0"/>
            </w:pPr>
            <w:r>
              <w:t>2.</w:t>
            </w:r>
            <w:r w:rsidR="0025078C">
              <w:t>9</w:t>
            </w:r>
          </w:p>
        </w:tc>
      </w:tr>
    </w:tbl>
    <w:p w:rsidR="00A2356E" w:rsidRPr="000742B7" w:rsidRDefault="00A2356E" w:rsidP="00DD384A">
      <w:pPr>
        <w:pStyle w:val="AERtablesource"/>
      </w:pPr>
      <w:r w:rsidRPr="000742B7">
        <w:t>Source</w:t>
      </w:r>
      <w:r w:rsidR="00675D32" w:rsidRPr="000742B7">
        <w:t>:</w:t>
      </w:r>
      <w:r w:rsidRPr="000742B7">
        <w:tab/>
        <w:t>AER analysis</w:t>
      </w:r>
      <w:r w:rsidR="00675D32" w:rsidRPr="000742B7">
        <w:t>.</w:t>
      </w:r>
    </w:p>
    <w:p w:rsidR="00A2356E" w:rsidRDefault="00A2356E" w:rsidP="00A2356E">
      <w:pPr>
        <w:pStyle w:val="HeadingBoldItalic"/>
      </w:pPr>
      <w:r>
        <w:t>Calculation of carryover amounts</w:t>
      </w:r>
    </w:p>
    <w:p w:rsidR="00BC33B5" w:rsidRDefault="00FA015D" w:rsidP="00A2356E">
      <w:r>
        <w:t>ActewAGL’s 2010</w:t>
      </w:r>
      <w:r w:rsidR="00B91215">
        <w:t>–</w:t>
      </w:r>
      <w:r w:rsidR="00A2356E">
        <w:t xml:space="preserve">15 access arrangement efficiency carryover mechanism assumed that year four in the </w:t>
      </w:r>
      <w:r>
        <w:t>access arrangement period (2013</w:t>
      </w:r>
      <w:r w:rsidR="00B91215">
        <w:t>–</w:t>
      </w:r>
      <w:r w:rsidR="00A2356E">
        <w:t xml:space="preserve">14) would be used as the base year to forecast opex. Because ActewAGL </w:t>
      </w:r>
      <w:r w:rsidR="00675D32">
        <w:t xml:space="preserve">now </w:t>
      </w:r>
      <w:r w:rsidR="00A2356E">
        <w:t>propos</w:t>
      </w:r>
      <w:r>
        <w:t>e</w:t>
      </w:r>
      <w:r w:rsidR="00B91215">
        <w:t>d</w:t>
      </w:r>
      <w:r w:rsidR="00675D32">
        <w:t xml:space="preserve"> to use </w:t>
      </w:r>
      <w:r>
        <w:t xml:space="preserve">year five </w:t>
      </w:r>
      <w:r w:rsidR="00675D32">
        <w:t>(2014</w:t>
      </w:r>
      <w:r w:rsidR="00B91215">
        <w:t>–</w:t>
      </w:r>
      <w:r w:rsidR="00675D32">
        <w:t xml:space="preserve">15) </w:t>
      </w:r>
      <w:r w:rsidR="00A2356E">
        <w:lastRenderedPageBreak/>
        <w:t>as the base year</w:t>
      </w:r>
      <w:r w:rsidR="00675D32">
        <w:t xml:space="preserve"> in the 2010</w:t>
      </w:r>
      <w:r w:rsidR="00822F5F">
        <w:t>–</w:t>
      </w:r>
      <w:r w:rsidR="00675D32">
        <w:t>15 access arrangement period</w:t>
      </w:r>
      <w:r w:rsidR="00A2356E">
        <w:t xml:space="preserve">, this </w:t>
      </w:r>
      <w:r w:rsidR="00675D32">
        <w:t xml:space="preserve">change needs to be reflected in the application of the </w:t>
      </w:r>
      <w:r w:rsidR="00A2356E">
        <w:t xml:space="preserve">efficiency carryover mechanism. </w:t>
      </w:r>
    </w:p>
    <w:p w:rsidR="00A2356E" w:rsidRDefault="00A2356E" w:rsidP="00A2356E">
      <w:r>
        <w:t>Where year five is the base year, the formula to calculate the carryover amount for the second, third and fourth years of the access arrangement should also be applied to year five: E</w:t>
      </w:r>
      <w:r w:rsidRPr="000B7B18">
        <w:rPr>
          <w:vertAlign w:val="subscript"/>
        </w:rPr>
        <w:t>i</w:t>
      </w:r>
      <w:r>
        <w:t> = (F</w:t>
      </w:r>
      <w:r w:rsidRPr="000B7B18">
        <w:rPr>
          <w:vertAlign w:val="subscript"/>
        </w:rPr>
        <w:t xml:space="preserve">i </w:t>
      </w:r>
      <w:r>
        <w:t>– A</w:t>
      </w:r>
      <w:r w:rsidRPr="000B7B18">
        <w:rPr>
          <w:vertAlign w:val="subscript"/>
        </w:rPr>
        <w:t>i</w:t>
      </w:r>
      <w:r>
        <w:t>) - (F</w:t>
      </w:r>
      <w:r w:rsidRPr="000B7B18">
        <w:rPr>
          <w:vertAlign w:val="subscript"/>
        </w:rPr>
        <w:t>i-1</w:t>
      </w:r>
      <w:r>
        <w:t xml:space="preserve"> – A</w:t>
      </w:r>
      <w:r w:rsidRPr="000B7B18">
        <w:rPr>
          <w:vertAlign w:val="subscript"/>
        </w:rPr>
        <w:t>i-1</w:t>
      </w:r>
      <w:r>
        <w:t>).</w:t>
      </w:r>
      <w:r w:rsidR="00BD3642">
        <w:t xml:space="preserve"> </w:t>
      </w:r>
      <w:r w:rsidR="00675D32">
        <w:t xml:space="preserve">ActewAGL did not amend the year five formula to be consistent with using a year five </w:t>
      </w:r>
      <w:r w:rsidR="009C3180">
        <w:t>(2014</w:t>
      </w:r>
      <w:r w:rsidR="00B91215">
        <w:t>–</w:t>
      </w:r>
      <w:r w:rsidR="009C3180">
        <w:t xml:space="preserve">15) </w:t>
      </w:r>
      <w:r w:rsidR="00675D32">
        <w:t xml:space="preserve">base year. However, consistent with the design of the efficiency carryover mechanism, we have used this </w:t>
      </w:r>
      <w:r w:rsidR="00FA015D">
        <w:t xml:space="preserve">formula to estimate the </w:t>
      </w:r>
      <w:r>
        <w:t xml:space="preserve">year five carryover amount. </w:t>
      </w:r>
    </w:p>
    <w:p w:rsidR="00A2356E" w:rsidRDefault="00A2356E" w:rsidP="00A2356E">
      <w:r>
        <w:t xml:space="preserve">We consider zero efficiency </w:t>
      </w:r>
      <w:r w:rsidR="00FA015D">
        <w:t>gains should be assumed in 2015</w:t>
      </w:r>
      <w:r w:rsidR="00B91215">
        <w:t>–</w:t>
      </w:r>
      <w:r>
        <w:t>16. This is consistent with our usual approach</w:t>
      </w:r>
      <w:r w:rsidR="00AB2DA6">
        <w:t xml:space="preserve"> which assumes the incremental </w:t>
      </w:r>
      <w:r>
        <w:t xml:space="preserve">efficiency </w:t>
      </w:r>
      <w:r w:rsidR="0022441A">
        <w:t xml:space="preserve">gain (loss) in the final year of the access arrangement period is equal </w:t>
      </w:r>
      <w:r w:rsidR="00AB2DA6">
        <w:t xml:space="preserve">to zero. </w:t>
      </w:r>
    </w:p>
    <w:p w:rsidR="00A2356E" w:rsidRDefault="00FA015D" w:rsidP="00A2356E">
      <w:pPr>
        <w:pStyle w:val="HeadingBoldItalic"/>
      </w:pPr>
      <w:r>
        <w:t>Should the 2015</w:t>
      </w:r>
      <w:r w:rsidR="00B91215">
        <w:t>–</w:t>
      </w:r>
      <w:r w:rsidR="00A2356E">
        <w:t xml:space="preserve">16 carryover be </w:t>
      </w:r>
      <w:r w:rsidR="00AB2DA6">
        <w:t xml:space="preserve">retained </w:t>
      </w:r>
      <w:r w:rsidR="009C3180">
        <w:t>by ActewAGL</w:t>
      </w:r>
      <w:r w:rsidR="00AB2DA6">
        <w:t>?</w:t>
      </w:r>
      <w:r w:rsidR="00A2356E">
        <w:t xml:space="preserve"> </w:t>
      </w:r>
    </w:p>
    <w:p w:rsidR="00A2356E" w:rsidRDefault="00A2356E" w:rsidP="00A2356E">
      <w:r>
        <w:t xml:space="preserve">ActewAGL did not </w:t>
      </w:r>
      <w:r w:rsidR="009C3180">
        <w:t xml:space="preserve">propose to recover </w:t>
      </w:r>
      <w:r>
        <w:t xml:space="preserve">the $3.7 million carryover </w:t>
      </w:r>
      <w:r w:rsidR="009C3180">
        <w:t>amount for 2015</w:t>
      </w:r>
      <w:r w:rsidR="00B91215">
        <w:t>–</w:t>
      </w:r>
      <w:r w:rsidR="009C3180">
        <w:t xml:space="preserve">16 </w:t>
      </w:r>
      <w:r>
        <w:t>as it assumed that no true</w:t>
      </w:r>
      <w:r w:rsidR="009C3180">
        <w:t>-</w:t>
      </w:r>
      <w:r>
        <w:t xml:space="preserve">up would </w:t>
      </w:r>
      <w:r w:rsidR="009C3180">
        <w:t>occur</w:t>
      </w:r>
      <w:r w:rsidR="00BD3642">
        <w:t>,</w:t>
      </w:r>
      <w:r>
        <w:t xml:space="preserve"> consistent with its treatment of revenue and tariff adjustments</w:t>
      </w:r>
      <w:r w:rsidR="009C3180">
        <w:t xml:space="preserve"> for that year</w:t>
      </w:r>
      <w:r>
        <w:t xml:space="preserve">. </w:t>
      </w:r>
    </w:p>
    <w:p w:rsidR="00A2356E" w:rsidRDefault="00A3424D" w:rsidP="00A2356E">
      <w:r>
        <w:t>T</w:t>
      </w:r>
      <w:r w:rsidR="00E72E99">
        <w:t xml:space="preserve">he </w:t>
      </w:r>
      <w:r>
        <w:t xml:space="preserve">NGR provide that where there </w:t>
      </w:r>
      <w:r w:rsidR="00E72E99">
        <w:t xml:space="preserve">is an interval of delay a true-up of revenues </w:t>
      </w:r>
      <w:r>
        <w:t xml:space="preserve">may </w:t>
      </w:r>
      <w:r w:rsidR="00E72E99">
        <w:t>be undertaken. As a result, it would be appropriate for the 2015</w:t>
      </w:r>
      <w:r w:rsidR="00B91215">
        <w:t>–</w:t>
      </w:r>
      <w:r w:rsidR="00E72E99">
        <w:t xml:space="preserve">16 carryover amount to be retained by ActewAGL. </w:t>
      </w:r>
      <w:r w:rsidR="006F3144">
        <w:t>F</w:t>
      </w:r>
      <w:r w:rsidR="00E72E99">
        <w:t>urther</w:t>
      </w:r>
      <w:r w:rsidR="006F3144">
        <w:t>,</w:t>
      </w:r>
      <w:r w:rsidR="00E72E99">
        <w:t xml:space="preserve"> A</w:t>
      </w:r>
      <w:r w:rsidR="005C0FF6">
        <w:t xml:space="preserve">ctewAGL </w:t>
      </w:r>
      <w:r w:rsidR="00E72E99">
        <w:t xml:space="preserve">retaining the carryover amount for </w:t>
      </w:r>
      <w:r w:rsidR="002603AC">
        <w:t>20</w:t>
      </w:r>
      <w:r w:rsidR="00E72E99">
        <w:t>15</w:t>
      </w:r>
      <w:r w:rsidR="00B91215">
        <w:t>–</w:t>
      </w:r>
      <w:r w:rsidR="00E72E99">
        <w:t xml:space="preserve">16 is </w:t>
      </w:r>
      <w:r w:rsidR="009C3180">
        <w:t>consistent with the</w:t>
      </w:r>
      <w:r w:rsidR="00A2356E">
        <w:t xml:space="preserve"> efficiency carryover mechanism </w:t>
      </w:r>
      <w:r w:rsidR="009C3180">
        <w:t xml:space="preserve">principle that </w:t>
      </w:r>
      <w:r w:rsidR="00A2356E">
        <w:t>network service providers are able to keep the benefit of delivering actual opex lower than forecast opex.</w:t>
      </w:r>
      <w:r w:rsidR="005E5108">
        <w:t xml:space="preserve"> </w:t>
      </w:r>
    </w:p>
    <w:p w:rsidR="00A2356E" w:rsidRDefault="00A2356E" w:rsidP="00A2356E">
      <w:pPr>
        <w:pStyle w:val="Heading3"/>
      </w:pPr>
      <w:bookmarkStart w:id="39" w:name="_Toc430963718"/>
      <w:bookmarkStart w:id="40" w:name="_Toc430963719"/>
      <w:bookmarkStart w:id="41" w:name="_Toc431372714"/>
      <w:bookmarkStart w:id="42" w:name="_Toc436044139"/>
      <w:bookmarkEnd w:id="39"/>
      <w:bookmarkEnd w:id="40"/>
      <w:r>
        <w:t xml:space="preserve">Incentive mechanism </w:t>
      </w:r>
      <w:r w:rsidR="00E27F7C">
        <w:t>for the 2016</w:t>
      </w:r>
      <w:r w:rsidR="00B91215">
        <w:t>–</w:t>
      </w:r>
      <w:r>
        <w:t xml:space="preserve">21 </w:t>
      </w:r>
      <w:bookmarkEnd w:id="41"/>
      <w:r w:rsidR="00BF5D24">
        <w:t>period</w:t>
      </w:r>
      <w:bookmarkEnd w:id="42"/>
    </w:p>
    <w:p w:rsidR="00A2356E" w:rsidRDefault="00A2356E" w:rsidP="00A2356E">
      <w:r>
        <w:t>We approve the application of an efficiency carryover me</w:t>
      </w:r>
      <w:r w:rsidR="002A0D1C">
        <w:t>chanism to ActewAGL in the 2016</w:t>
      </w:r>
      <w:r w:rsidR="00B91215">
        <w:t>–</w:t>
      </w:r>
      <w:r>
        <w:t>21 access arrangement. Without such a mechanism:</w:t>
      </w:r>
      <w:r w:rsidR="00B91215">
        <w:rPr>
          <w:rStyle w:val="FootnoteReference"/>
        </w:rPr>
        <w:footnoteReference w:id="13"/>
      </w:r>
    </w:p>
    <w:p w:rsidR="00A2356E" w:rsidRDefault="00A2356E" w:rsidP="00A2356E">
      <w:pPr>
        <w:pStyle w:val="AERbulletlistfirststyle"/>
      </w:pPr>
      <w:r>
        <w:t xml:space="preserve">ActewAGL would have an incentive to increase opex in the expected 'base year' in order to increase its forecast opex allowance for the following access arrangement period. Because our preferred approach typically is to base forecast opex on the actual opex incurred in the base year, an increase in expenditure in the base year would result in an increased opex forecast for five years. </w:t>
      </w:r>
    </w:p>
    <w:p w:rsidR="00A2356E" w:rsidRDefault="00A2356E" w:rsidP="00A2356E">
      <w:pPr>
        <w:pStyle w:val="AERbulletlistfirststyle"/>
      </w:pPr>
      <w:r>
        <w:t xml:space="preserve">ActewAGL's incentive to reduce its opex declines as the </w:t>
      </w:r>
      <w:r w:rsidR="00B91215">
        <w:t>access arrangement</w:t>
      </w:r>
      <w:r>
        <w:t xml:space="preserve"> period progresses. ActewAGL would have an incentive to defer efficiency gains until after the base year so it can retain the benefits of doing so for longer because they would not be reflected in the opex forecasts for the following period.</w:t>
      </w:r>
    </w:p>
    <w:p w:rsidR="00A2356E" w:rsidRDefault="00A2356E" w:rsidP="00A2356E">
      <w:r>
        <w:t xml:space="preserve">For these reasons, consistent with the revenue and pricing principles, we consider an efficiency carryover mechanism is needed </w:t>
      </w:r>
      <w:r w:rsidR="00877845">
        <w:t>in the 2016</w:t>
      </w:r>
      <w:r w:rsidR="00B91215">
        <w:t>–</w:t>
      </w:r>
      <w:r w:rsidR="00877845">
        <w:t>21 period</w:t>
      </w:r>
      <w:r>
        <w:t>.</w:t>
      </w:r>
    </w:p>
    <w:p w:rsidR="00587363" w:rsidRDefault="00B91215" w:rsidP="00A2356E">
      <w:r>
        <w:lastRenderedPageBreak/>
        <w:t xml:space="preserve">Although </w:t>
      </w:r>
      <w:r w:rsidR="003E2C8A">
        <w:t xml:space="preserve">ActewAGL’s proposed mechanism is similar to our standard efficiency carryover mechanism we do not accept a number of aspects of the ActewAGL’s proposed mechanism. </w:t>
      </w:r>
    </w:p>
    <w:p w:rsidR="00FB64BB" w:rsidRDefault="00B61635" w:rsidP="00A2356E">
      <w:r>
        <w:t xml:space="preserve">With the exception of the equation to calculate the incremental efficiency gain (loss) in </w:t>
      </w:r>
      <w:r w:rsidR="00B167D9">
        <w:t>the first regulatory year</w:t>
      </w:r>
      <w:r w:rsidR="00877845">
        <w:t xml:space="preserve"> (</w:t>
      </w:r>
      <w:r w:rsidR="00B167D9">
        <w:t>2016</w:t>
      </w:r>
      <w:r w:rsidR="00B91215">
        <w:t>–</w:t>
      </w:r>
      <w:r>
        <w:t>17</w:t>
      </w:r>
      <w:r w:rsidR="00877845">
        <w:t>)</w:t>
      </w:r>
      <w:r w:rsidR="00E0393F">
        <w:t>,</w:t>
      </w:r>
      <w:r>
        <w:t xml:space="preserve"> we </w:t>
      </w:r>
      <w:r w:rsidR="00E0393F">
        <w:t xml:space="preserve">approve </w:t>
      </w:r>
      <w:r>
        <w:t xml:space="preserve">the </w:t>
      </w:r>
      <w:r w:rsidR="00FB64BB">
        <w:t xml:space="preserve">equations </w:t>
      </w:r>
      <w:r>
        <w:t>ActewAGL proposed</w:t>
      </w:r>
      <w:r w:rsidR="00FB64BB">
        <w:t xml:space="preserve"> to use to calculate </w:t>
      </w:r>
      <w:r>
        <w:t xml:space="preserve">annual </w:t>
      </w:r>
      <w:r w:rsidR="00FB64BB">
        <w:t>incremental efficiency gain (losses)</w:t>
      </w:r>
      <w:r>
        <w:t xml:space="preserve">. </w:t>
      </w:r>
    </w:p>
    <w:p w:rsidR="00A2356E" w:rsidRDefault="00A2356E" w:rsidP="00A2356E">
      <w:r>
        <w:t xml:space="preserve">We </w:t>
      </w:r>
      <w:r w:rsidR="00BF5D24">
        <w:t xml:space="preserve">accept some but not all </w:t>
      </w:r>
      <w:r>
        <w:t>of ActewAGL's proposed adjustments and exclusions</w:t>
      </w:r>
      <w:r w:rsidR="00166C48">
        <w:t xml:space="preserve">. </w:t>
      </w:r>
      <w:r w:rsidR="00877845">
        <w:t xml:space="preserve">We also note that a </w:t>
      </w:r>
      <w:r w:rsidR="00166C48">
        <w:t xml:space="preserve">number of </w:t>
      </w:r>
      <w:r w:rsidR="00C40450">
        <w:t xml:space="preserve">the proposed exclusions are </w:t>
      </w:r>
      <w:r w:rsidR="00877845">
        <w:t xml:space="preserve">addressed by general exclusions and therefore we have removed </w:t>
      </w:r>
      <w:r w:rsidR="00605EA6">
        <w:t>a number of</w:t>
      </w:r>
      <w:r w:rsidR="00877845">
        <w:t xml:space="preserve"> </w:t>
      </w:r>
      <w:r w:rsidR="00BF5D24">
        <w:t xml:space="preserve">the </w:t>
      </w:r>
      <w:r w:rsidR="00B91215">
        <w:t>proposed</w:t>
      </w:r>
      <w:r w:rsidR="00877845">
        <w:t xml:space="preserve"> exclusions. </w:t>
      </w:r>
    </w:p>
    <w:p w:rsidR="00A2356E" w:rsidRDefault="00A2356E" w:rsidP="00A2356E">
      <w:r>
        <w:t>W</w:t>
      </w:r>
      <w:r w:rsidR="00B167D9">
        <w:t xml:space="preserve">e do not consider that the </w:t>
      </w:r>
      <w:r w:rsidR="00E0393F">
        <w:t xml:space="preserve">efficiency carryover mechanism </w:t>
      </w:r>
      <w:r>
        <w:t>should incorporate specific provis</w:t>
      </w:r>
      <w:r w:rsidR="005B4ACB">
        <w:t>ions for a</w:t>
      </w:r>
      <w:r w:rsidR="00877845">
        <w:t xml:space="preserve"> potential </w:t>
      </w:r>
      <w:r w:rsidR="005B4ACB">
        <w:t xml:space="preserve">interval of delay. </w:t>
      </w:r>
      <w:r>
        <w:t>We not</w:t>
      </w:r>
      <w:r w:rsidR="00B167D9">
        <w:t xml:space="preserve">e </w:t>
      </w:r>
      <w:r w:rsidR="00E0393F">
        <w:t xml:space="preserve">that </w:t>
      </w:r>
      <w:r w:rsidR="00B167D9">
        <w:t>the interval of delay in 2015</w:t>
      </w:r>
      <w:r w:rsidR="00B91215">
        <w:t>–</w:t>
      </w:r>
      <w:r>
        <w:t xml:space="preserve">16 was </w:t>
      </w:r>
      <w:r w:rsidR="00E0393F">
        <w:t xml:space="preserve">a result of a specific </w:t>
      </w:r>
      <w:r>
        <w:t xml:space="preserve">request by ActewAGL </w:t>
      </w:r>
      <w:r w:rsidR="00E0393F">
        <w:t xml:space="preserve">for a delay to the submission of its access arrangement proposal </w:t>
      </w:r>
      <w:r>
        <w:t xml:space="preserve">to avoid its electricity and gas decisions occurring simultaneously. </w:t>
      </w:r>
      <w:r w:rsidR="00E0393F">
        <w:t xml:space="preserve">In any event, we are not satisfied that the efficiency carryover mechanism should incorporate specific provisions for a potential interval of delay. This is because the NGR deal with the occurrence of an interval of delay. </w:t>
      </w:r>
    </w:p>
    <w:p w:rsidR="00A2356E" w:rsidRPr="00230B19" w:rsidRDefault="00A2356E" w:rsidP="00A2356E">
      <w:pPr>
        <w:pStyle w:val="HeadingBoldItalic"/>
        <w:keepNext/>
      </w:pPr>
      <w:r w:rsidRPr="00230B19">
        <w:t>Revised equations to calculate incremental efficiency gains</w:t>
      </w:r>
    </w:p>
    <w:p w:rsidR="005B4ACB" w:rsidRPr="00230B19" w:rsidRDefault="00A2356E" w:rsidP="00A2356E">
      <w:r w:rsidRPr="00230B19">
        <w:t xml:space="preserve">With the exception of the treatment of the first regulatory year, we </w:t>
      </w:r>
      <w:r w:rsidR="00587363">
        <w:t>approve</w:t>
      </w:r>
      <w:r w:rsidR="00587363" w:rsidRPr="00230B19">
        <w:t xml:space="preserve"> </w:t>
      </w:r>
      <w:r w:rsidRPr="00230B19">
        <w:t xml:space="preserve">the revised equations proposed to calculate incremental efficiency gains (losses) as these are </w:t>
      </w:r>
      <w:r w:rsidR="005B4ACB" w:rsidRPr="00230B19">
        <w:t xml:space="preserve">broadly </w:t>
      </w:r>
      <w:r w:rsidRPr="00230B19">
        <w:t>consistent with the AER’s EBSS guidelines.</w:t>
      </w:r>
    </w:p>
    <w:p w:rsidR="00F7508C" w:rsidRDefault="00A2356E" w:rsidP="00AB17F7">
      <w:r w:rsidRPr="00230B19">
        <w:t xml:space="preserve">We consider that the </w:t>
      </w:r>
      <w:r w:rsidR="00336A9B">
        <w:t xml:space="preserve">usual formula that would apply from the second to the penultimate regulatory years (the </w:t>
      </w:r>
      <w:r w:rsidR="000856BA">
        <w:t>year two formula</w:t>
      </w:r>
      <w:r w:rsidR="00336A9B">
        <w:t>)</w:t>
      </w:r>
      <w:r w:rsidR="000856BA">
        <w:t xml:space="preserve"> should be used in </w:t>
      </w:r>
      <w:r w:rsidR="00336A9B">
        <w:t xml:space="preserve">the </w:t>
      </w:r>
      <w:r w:rsidR="006C75D7">
        <w:t>2016</w:t>
      </w:r>
      <w:r w:rsidR="00B91215">
        <w:t>–</w:t>
      </w:r>
      <w:r w:rsidR="00336A9B">
        <w:t>1</w:t>
      </w:r>
      <w:r w:rsidR="006C75D7">
        <w:t>7</w:t>
      </w:r>
      <w:r w:rsidR="00336A9B">
        <w:t xml:space="preserve"> regulatory year</w:t>
      </w:r>
      <w:r w:rsidR="00AB17F7" w:rsidRPr="00230B19">
        <w:t>: E</w:t>
      </w:r>
      <w:r w:rsidR="00AB17F7" w:rsidRPr="00230B19">
        <w:rPr>
          <w:sz w:val="14"/>
          <w:szCs w:val="14"/>
        </w:rPr>
        <w:t xml:space="preserve">i </w:t>
      </w:r>
      <w:r w:rsidR="00AB17F7" w:rsidRPr="00230B19">
        <w:t>= (F</w:t>
      </w:r>
      <w:r w:rsidR="00AB17F7" w:rsidRPr="00230B19">
        <w:rPr>
          <w:sz w:val="14"/>
          <w:szCs w:val="14"/>
        </w:rPr>
        <w:t xml:space="preserve">i </w:t>
      </w:r>
      <w:r w:rsidR="00AB17F7" w:rsidRPr="00230B19">
        <w:rPr>
          <w:rFonts w:ascii="Times New Roman,Bold" w:hAnsi="Times New Roman,Bold" w:cs="Times New Roman,Bold"/>
        </w:rPr>
        <w:t xml:space="preserve">– </w:t>
      </w:r>
      <w:r w:rsidR="00AB17F7" w:rsidRPr="00230B19">
        <w:t>A</w:t>
      </w:r>
      <w:r w:rsidR="00AB17F7" w:rsidRPr="00230B19">
        <w:rPr>
          <w:sz w:val="14"/>
          <w:szCs w:val="14"/>
        </w:rPr>
        <w:t>i</w:t>
      </w:r>
      <w:r w:rsidR="00AB17F7" w:rsidRPr="00230B19">
        <w:t xml:space="preserve">) </w:t>
      </w:r>
      <w:r w:rsidR="00AB17F7" w:rsidRPr="00230B19">
        <w:rPr>
          <w:rFonts w:ascii="Times New Roman,Bold" w:hAnsi="Times New Roman,Bold" w:cs="Times New Roman,Bold"/>
        </w:rPr>
        <w:t xml:space="preserve">– </w:t>
      </w:r>
      <w:r w:rsidR="00AB17F7" w:rsidRPr="00230B19">
        <w:t>(F</w:t>
      </w:r>
      <w:r w:rsidR="00AB17F7" w:rsidRPr="00230B19">
        <w:rPr>
          <w:sz w:val="14"/>
          <w:szCs w:val="14"/>
        </w:rPr>
        <w:t xml:space="preserve">i-1 </w:t>
      </w:r>
      <w:r w:rsidR="00AB17F7" w:rsidRPr="00230B19">
        <w:rPr>
          <w:rFonts w:ascii="Times New Roman,Bold" w:hAnsi="Times New Roman,Bold" w:cs="Times New Roman,Bold"/>
        </w:rPr>
        <w:t xml:space="preserve">– </w:t>
      </w:r>
      <w:r w:rsidR="00AB17F7" w:rsidRPr="00230B19">
        <w:t>A</w:t>
      </w:r>
      <w:r w:rsidR="00AB17F7" w:rsidRPr="00230B19">
        <w:rPr>
          <w:sz w:val="14"/>
          <w:szCs w:val="14"/>
        </w:rPr>
        <w:t>i-1</w:t>
      </w:r>
      <w:r w:rsidR="00AB17F7" w:rsidRPr="00230B19">
        <w:t xml:space="preserve">). </w:t>
      </w:r>
    </w:p>
    <w:p w:rsidR="00AB17F7" w:rsidRPr="00230B19" w:rsidRDefault="000856BA" w:rsidP="00AB17F7">
      <w:r>
        <w:t>Where</w:t>
      </w:r>
      <w:r w:rsidR="00AB17F7" w:rsidRPr="00230B19">
        <w:t>:</w:t>
      </w:r>
    </w:p>
    <w:p w:rsidR="00AB17F7" w:rsidRPr="00230B19" w:rsidRDefault="00AB17F7" w:rsidP="00AB17F7">
      <w:r w:rsidRPr="00230B19">
        <w:t>E</w:t>
      </w:r>
      <w:r w:rsidRPr="00230B19">
        <w:rPr>
          <w:sz w:val="14"/>
          <w:szCs w:val="14"/>
        </w:rPr>
        <w:t xml:space="preserve">i </w:t>
      </w:r>
      <w:r w:rsidRPr="00230B19">
        <w:t xml:space="preserve">is the efficiency </w:t>
      </w:r>
      <w:r w:rsidR="00B167D9" w:rsidRPr="00230B19">
        <w:t>gain for financial year 2016</w:t>
      </w:r>
      <w:r w:rsidR="00B91215">
        <w:t>–</w:t>
      </w:r>
      <w:r w:rsidR="00B167D9" w:rsidRPr="00230B19">
        <w:t>17.</w:t>
      </w:r>
    </w:p>
    <w:p w:rsidR="00AB17F7" w:rsidRPr="00230B19" w:rsidRDefault="00AB17F7" w:rsidP="00AB17F7">
      <w:r w:rsidRPr="00230B19">
        <w:t>F</w:t>
      </w:r>
      <w:r w:rsidRPr="00230B19">
        <w:rPr>
          <w:sz w:val="14"/>
          <w:szCs w:val="14"/>
        </w:rPr>
        <w:t xml:space="preserve">i </w:t>
      </w:r>
      <w:r w:rsidRPr="00230B19">
        <w:t>is the forecast operating expe</w:t>
      </w:r>
      <w:r w:rsidR="00B167D9" w:rsidRPr="00230B19">
        <w:t>nditure for financial year 2016</w:t>
      </w:r>
      <w:r w:rsidR="00B91215">
        <w:t>–</w:t>
      </w:r>
      <w:r w:rsidRPr="00230B19">
        <w:t>17</w:t>
      </w:r>
      <w:r w:rsidR="00B167D9" w:rsidRPr="00230B19">
        <w:t>.</w:t>
      </w:r>
    </w:p>
    <w:p w:rsidR="00AB17F7" w:rsidRPr="00230B19" w:rsidRDefault="00AB17F7" w:rsidP="00AB17F7">
      <w:r w:rsidRPr="00230B19">
        <w:t>A</w:t>
      </w:r>
      <w:r w:rsidRPr="00230B19">
        <w:rPr>
          <w:sz w:val="14"/>
          <w:szCs w:val="14"/>
        </w:rPr>
        <w:t xml:space="preserve">i </w:t>
      </w:r>
      <w:r w:rsidRPr="00230B19">
        <w:t xml:space="preserve">is the actual operating expenditure for financial year </w:t>
      </w:r>
      <w:r w:rsidR="00B167D9" w:rsidRPr="00230B19">
        <w:t>2016</w:t>
      </w:r>
      <w:r w:rsidR="00B91215">
        <w:t>–</w:t>
      </w:r>
      <w:r w:rsidRPr="00230B19">
        <w:t>17</w:t>
      </w:r>
      <w:r w:rsidR="00B167D9" w:rsidRPr="00230B19">
        <w:t>.</w:t>
      </w:r>
      <w:r w:rsidRPr="00230B19">
        <w:t xml:space="preserve"> </w:t>
      </w:r>
    </w:p>
    <w:p w:rsidR="00AB17F7" w:rsidRPr="00230B19" w:rsidRDefault="00AB17F7" w:rsidP="00AB17F7">
      <w:r w:rsidRPr="00230B19">
        <w:t>F</w:t>
      </w:r>
      <w:r w:rsidRPr="00230B19">
        <w:rPr>
          <w:sz w:val="14"/>
          <w:szCs w:val="14"/>
        </w:rPr>
        <w:t xml:space="preserve">i-1 </w:t>
      </w:r>
      <w:r w:rsidRPr="00230B19">
        <w:t>is the forecast operating expenditure for financial</w:t>
      </w:r>
      <w:r w:rsidR="00B167D9" w:rsidRPr="00230B19">
        <w:t xml:space="preserve"> year 2015</w:t>
      </w:r>
      <w:r w:rsidR="00B91215">
        <w:t>–</w:t>
      </w:r>
      <w:r w:rsidRPr="00230B19">
        <w:t>16.</w:t>
      </w:r>
    </w:p>
    <w:p w:rsidR="00AB17F7" w:rsidRPr="00230B19" w:rsidRDefault="00AB17F7" w:rsidP="00AB17F7">
      <w:r w:rsidRPr="00230B19">
        <w:t>A</w:t>
      </w:r>
      <w:r w:rsidRPr="00230B19">
        <w:rPr>
          <w:sz w:val="14"/>
          <w:szCs w:val="14"/>
        </w:rPr>
        <w:t xml:space="preserve">i-1 </w:t>
      </w:r>
      <w:r w:rsidRPr="00230B19">
        <w:t xml:space="preserve">is the actual operating expenditure for financial year </w:t>
      </w:r>
      <w:r w:rsidR="00B167D9" w:rsidRPr="00230B19">
        <w:t>2015</w:t>
      </w:r>
      <w:r w:rsidR="00B91215">
        <w:t>–</w:t>
      </w:r>
      <w:r w:rsidRPr="00230B19">
        <w:t>16.</w:t>
      </w:r>
    </w:p>
    <w:p w:rsidR="00336A9B" w:rsidRPr="00230B19" w:rsidRDefault="00336A9B" w:rsidP="00336A9B">
      <w:r>
        <w:t xml:space="preserve">The </w:t>
      </w:r>
      <w:r w:rsidRPr="00230B19">
        <w:t xml:space="preserve">year two formula </w:t>
      </w:r>
      <w:r>
        <w:t xml:space="preserve">is </w:t>
      </w:r>
      <w:r w:rsidRPr="00230B19">
        <w:t xml:space="preserve">more appropriate than </w:t>
      </w:r>
      <w:r>
        <w:t xml:space="preserve">the year one formula </w:t>
      </w:r>
      <w:r w:rsidRPr="00230B19">
        <w:t>proposed by ActewAGL: E</w:t>
      </w:r>
      <w:r w:rsidRPr="00230B19">
        <w:rPr>
          <w:vertAlign w:val="subscript"/>
        </w:rPr>
        <w:t xml:space="preserve">1 </w:t>
      </w:r>
      <w:r w:rsidRPr="00230B19">
        <w:t>= (F</w:t>
      </w:r>
      <w:r w:rsidRPr="00230B19">
        <w:rPr>
          <w:vertAlign w:val="subscript"/>
        </w:rPr>
        <w:t>1</w:t>
      </w:r>
      <w:r w:rsidRPr="00230B19">
        <w:t>-A</w:t>
      </w:r>
      <w:r w:rsidRPr="00230B19">
        <w:rPr>
          <w:vertAlign w:val="subscript"/>
        </w:rPr>
        <w:t>1</w:t>
      </w:r>
      <w:r w:rsidRPr="00230B19">
        <w:t xml:space="preserve">). ActewAGL’s </w:t>
      </w:r>
      <w:r>
        <w:t>proposed formula</w:t>
      </w:r>
      <w:r w:rsidRPr="00230B19">
        <w:t xml:space="preserve"> essentially re-starts the efficiency carryover mechanism and would result in ActewAGL retaining efficiency gains achieved in the 2015</w:t>
      </w:r>
      <w:r w:rsidR="00B91215">
        <w:t>–</w:t>
      </w:r>
      <w:r w:rsidRPr="00230B19">
        <w:t>16 for six years rather than five.</w:t>
      </w:r>
    </w:p>
    <w:p w:rsidR="002C5C08" w:rsidRDefault="00336A9B" w:rsidP="002C5C08">
      <w:pPr>
        <w:spacing w:before="240" w:after="120"/>
      </w:pPr>
      <w:r>
        <w:t xml:space="preserve">The year two formula is also </w:t>
      </w:r>
      <w:r w:rsidR="00F31E31" w:rsidRPr="00230B19">
        <w:t xml:space="preserve">more appropriate </w:t>
      </w:r>
      <w:r>
        <w:t xml:space="preserve">in this specific case </w:t>
      </w:r>
      <w:r w:rsidR="00F31E31" w:rsidRPr="00230B19">
        <w:t xml:space="preserve">than </w:t>
      </w:r>
      <w:r w:rsidR="002C6D9B" w:rsidRPr="00230B19">
        <w:t xml:space="preserve">the year six formula </w:t>
      </w:r>
      <w:r w:rsidR="009473D7">
        <w:t xml:space="preserve">which would usually be applied </w:t>
      </w:r>
      <w:r>
        <w:t xml:space="preserve">in the first regulatory year where </w:t>
      </w:r>
      <w:r w:rsidR="00583B9C">
        <w:t>an</w:t>
      </w:r>
      <w:r>
        <w:t xml:space="preserve"> efficiency carryover mechanism is continued: </w:t>
      </w:r>
    </w:p>
    <w:p w:rsidR="002C6D9B" w:rsidRPr="00230B19" w:rsidRDefault="002C6D9B" w:rsidP="002C5C08">
      <w:pPr>
        <w:spacing w:before="240" w:after="120"/>
      </w:pPr>
      <w:r w:rsidRPr="00230B19">
        <w:lastRenderedPageBreak/>
        <w:t>E</w:t>
      </w:r>
      <w:r w:rsidRPr="00230B19">
        <w:rPr>
          <w:vertAlign w:val="subscript"/>
        </w:rPr>
        <w:t>1</w:t>
      </w:r>
      <w:r w:rsidR="00230B19">
        <w:rPr>
          <w:vertAlign w:val="subscript"/>
        </w:rPr>
        <w:t xml:space="preserve"> </w:t>
      </w:r>
      <w:r w:rsidRPr="00230B19">
        <w:t>=(F</w:t>
      </w:r>
      <w:r w:rsidRPr="00230B19">
        <w:rPr>
          <w:vertAlign w:val="subscript"/>
        </w:rPr>
        <w:t>1</w:t>
      </w:r>
      <w:r w:rsidR="004337D1">
        <w:t xml:space="preserve"> </w:t>
      </w:r>
      <w:r w:rsidR="00A54823">
        <w:t>–</w:t>
      </w:r>
      <w:r w:rsidR="004337D1">
        <w:t xml:space="preserve"> </w:t>
      </w:r>
      <w:r w:rsidRPr="00230B19">
        <w:t>A</w:t>
      </w:r>
      <w:r w:rsidRPr="00230B19">
        <w:rPr>
          <w:vertAlign w:val="subscript"/>
        </w:rPr>
        <w:t>1</w:t>
      </w:r>
      <w:r w:rsidRPr="00230B19">
        <w:t xml:space="preserve">) </w:t>
      </w:r>
      <w:r w:rsidR="00B91215">
        <w:t>–</w:t>
      </w:r>
      <w:r w:rsidRPr="00230B19">
        <w:t xml:space="preserve"> (F</w:t>
      </w:r>
      <w:r w:rsidRPr="00230B19">
        <w:rPr>
          <w:vertAlign w:val="subscript"/>
        </w:rPr>
        <w:t>2015-16</w:t>
      </w:r>
      <w:r w:rsidRPr="00230B19">
        <w:t xml:space="preserve"> </w:t>
      </w:r>
      <w:r w:rsidR="00B91215">
        <w:t>–</w:t>
      </w:r>
      <w:r w:rsidRPr="00230B19">
        <w:t xml:space="preserve"> A</w:t>
      </w:r>
      <w:r w:rsidRPr="00230B19">
        <w:rPr>
          <w:vertAlign w:val="subscript"/>
        </w:rPr>
        <w:t>2015-16</w:t>
      </w:r>
      <w:r w:rsidRPr="00230B19">
        <w:t>) + (F</w:t>
      </w:r>
      <w:r w:rsidRPr="00230B19">
        <w:rPr>
          <w:vertAlign w:val="subscript"/>
        </w:rPr>
        <w:t>2014-15</w:t>
      </w:r>
      <w:r w:rsidRPr="00230B19">
        <w:t xml:space="preserve"> – A</w:t>
      </w:r>
      <w:r w:rsidRPr="00230B19">
        <w:rPr>
          <w:vertAlign w:val="subscript"/>
        </w:rPr>
        <w:t>2014-15</w:t>
      </w:r>
      <w:r w:rsidRPr="00230B19">
        <w:t xml:space="preserve">) </w:t>
      </w:r>
      <w:r w:rsidR="00B91215">
        <w:t>–</w:t>
      </w:r>
      <w:r w:rsidRPr="00230B19">
        <w:t xml:space="preserve"> non-recurrent efficiency gains</w:t>
      </w:r>
      <w:r w:rsidRPr="00230B19">
        <w:rPr>
          <w:vertAlign w:val="subscript"/>
        </w:rPr>
        <w:t>2014</w:t>
      </w:r>
      <w:r w:rsidR="00B91215">
        <w:rPr>
          <w:vertAlign w:val="subscript"/>
        </w:rPr>
        <w:t>–</w:t>
      </w:r>
      <w:r w:rsidRPr="00230B19">
        <w:rPr>
          <w:vertAlign w:val="subscript"/>
        </w:rPr>
        <w:t>15</w:t>
      </w:r>
    </w:p>
    <w:p w:rsidR="001D6599" w:rsidRDefault="002C6D9B" w:rsidP="00F31E31">
      <w:r w:rsidRPr="00230B19">
        <w:t xml:space="preserve">This is because the year six formula takes into account efficiency gains made </w:t>
      </w:r>
      <w:r w:rsidR="009473D7">
        <w:t xml:space="preserve">between the </w:t>
      </w:r>
      <w:r w:rsidRPr="00230B19">
        <w:t>base year</w:t>
      </w:r>
      <w:r w:rsidR="009473D7">
        <w:t xml:space="preserve"> and 2015</w:t>
      </w:r>
      <w:r w:rsidR="00B91215">
        <w:t>–</w:t>
      </w:r>
      <w:r w:rsidR="009473D7">
        <w:t>16</w:t>
      </w:r>
      <w:r w:rsidRPr="00230B19">
        <w:t xml:space="preserve">. However, </w:t>
      </w:r>
      <w:r w:rsidR="009473D7">
        <w:t xml:space="preserve">these efficiency gains have already been taken into account </w:t>
      </w:r>
      <w:r w:rsidRPr="00230B19">
        <w:t xml:space="preserve">in this </w:t>
      </w:r>
      <w:r w:rsidR="009473D7">
        <w:t>particular circumstance in our forecast opex for 2015</w:t>
      </w:r>
      <w:r w:rsidR="00B91215">
        <w:t>–</w:t>
      </w:r>
      <w:r w:rsidR="009473D7">
        <w:t>16</w:t>
      </w:r>
      <w:r w:rsidRPr="00230B19">
        <w:t xml:space="preserve">. </w:t>
      </w:r>
    </w:p>
    <w:p w:rsidR="00043661" w:rsidRDefault="00BA71BC" w:rsidP="00B72978">
      <w:r>
        <w:t>Revisions 9.2 and 9.4 in section 9.5 outline changes to the proposed access arrangement to give effect to this decision.</w:t>
      </w:r>
      <w:r w:rsidR="00822F5F">
        <w:t xml:space="preserve"> </w:t>
      </w:r>
      <w:r w:rsidR="005B4ACB" w:rsidRPr="00230B19">
        <w:t xml:space="preserve">We </w:t>
      </w:r>
      <w:r w:rsidR="00D12B6F" w:rsidRPr="00230B19">
        <w:t xml:space="preserve">also made </w:t>
      </w:r>
      <w:r w:rsidR="005B4ACB" w:rsidRPr="00230B19">
        <w:t xml:space="preserve">minor </w:t>
      </w:r>
      <w:r w:rsidR="00D12B6F" w:rsidRPr="00230B19">
        <w:t xml:space="preserve">edits to the proposed access arrangement to clarify the operation of the mechanism and </w:t>
      </w:r>
      <w:r w:rsidR="00B167D9" w:rsidRPr="00230B19">
        <w:t xml:space="preserve">to </w:t>
      </w:r>
      <w:r w:rsidR="003C443E" w:rsidRPr="00230B19">
        <w:t>correct inadvertent errors. F</w:t>
      </w:r>
      <w:r w:rsidR="00D12B6F" w:rsidRPr="00230B19">
        <w:t xml:space="preserve">or example, ensuring the </w:t>
      </w:r>
      <w:r w:rsidR="00D45608" w:rsidRPr="00230B19">
        <w:t>definition of</w:t>
      </w:r>
      <w:r w:rsidR="004A6BB8" w:rsidRPr="00230B19">
        <w:t xml:space="preserve"> non-recurrent efficiency gains</w:t>
      </w:r>
      <w:r w:rsidR="00D45608" w:rsidRPr="00230B19">
        <w:t xml:space="preserve"> for the </w:t>
      </w:r>
      <w:r w:rsidR="007A1F9A" w:rsidRPr="00230B19">
        <w:t xml:space="preserve">base year </w:t>
      </w:r>
      <w:r w:rsidR="00D12B6F" w:rsidRPr="00230B19">
        <w:t xml:space="preserve">applies to the correct </w:t>
      </w:r>
      <w:r w:rsidR="00FD7A58" w:rsidRPr="00230B19">
        <w:t>access</w:t>
      </w:r>
      <w:r w:rsidR="007A1F9A" w:rsidRPr="00230B19">
        <w:t xml:space="preserve"> arrangement period</w:t>
      </w:r>
      <w:r w:rsidR="004A6BB8" w:rsidRPr="00230B19">
        <w:t>.</w:t>
      </w:r>
      <w:r w:rsidR="00F37C21">
        <w:t xml:space="preserve"> </w:t>
      </w:r>
      <w:r w:rsidR="004337D1">
        <w:t>These are revisions 9.1, 9.3 and 9.5</w:t>
      </w:r>
      <w:r w:rsidR="00F37C21">
        <w:t xml:space="preserve"> in </w:t>
      </w:r>
      <w:r w:rsidR="00A3424D">
        <w:t xml:space="preserve">section </w:t>
      </w:r>
      <w:r w:rsidR="00A3424D">
        <w:fldChar w:fldCharType="begin"/>
      </w:r>
      <w:r w:rsidR="00A3424D">
        <w:instrText xml:space="preserve"> REF _Ref435112926 \r \h </w:instrText>
      </w:r>
      <w:r w:rsidR="00A3424D">
        <w:fldChar w:fldCharType="separate"/>
      </w:r>
      <w:r w:rsidR="00A3424D">
        <w:t>9.5</w:t>
      </w:r>
      <w:r w:rsidR="00A3424D">
        <w:fldChar w:fldCharType="end"/>
      </w:r>
      <w:r w:rsidR="00F37C21">
        <w:t>.</w:t>
      </w:r>
    </w:p>
    <w:p w:rsidR="00A2356E" w:rsidRDefault="00A2356E" w:rsidP="00A2356E">
      <w:pPr>
        <w:pStyle w:val="HeadingBoldItalic"/>
      </w:pPr>
      <w:r>
        <w:t xml:space="preserve">Adjustments </w:t>
      </w:r>
      <w:r w:rsidR="009C3180">
        <w:t xml:space="preserve">and exclusions </w:t>
      </w:r>
      <w:r>
        <w:t>to forecast or actual opex when calculating carryover amounts</w:t>
      </w:r>
    </w:p>
    <w:p w:rsidR="00A2356E" w:rsidRDefault="00A2356E" w:rsidP="00A2356E">
      <w:r>
        <w:t>ActewAGL propose</w:t>
      </w:r>
      <w:r w:rsidR="00976A02">
        <w:t>d</w:t>
      </w:r>
      <w:r>
        <w:t xml:space="preserve"> a number of adjustments and exclusions to forecast </w:t>
      </w:r>
      <w:r w:rsidR="007529BD">
        <w:t xml:space="preserve">and </w:t>
      </w:r>
      <w:r>
        <w:t xml:space="preserve">actual opex when calculating carryover amounts. We </w:t>
      </w:r>
      <w:r w:rsidR="00583B9C">
        <w:t xml:space="preserve">approve </w:t>
      </w:r>
      <w:r w:rsidR="00BF5D24">
        <w:t xml:space="preserve">some but </w:t>
      </w:r>
      <w:r>
        <w:t>not all of the proposed excluded cost categories and adjustments</w:t>
      </w:r>
      <w:r w:rsidR="007529BD">
        <w:t xml:space="preserve">. </w:t>
      </w:r>
      <w:r w:rsidR="001D3367">
        <w:t xml:space="preserve">Our decisions are </w:t>
      </w:r>
      <w:r w:rsidR="003A385C">
        <w:t xml:space="preserve">consistent with </w:t>
      </w:r>
      <w:r w:rsidR="00976A02">
        <w:t xml:space="preserve">the EBSS for </w:t>
      </w:r>
      <w:r w:rsidR="003A385C">
        <w:t xml:space="preserve">electricity </w:t>
      </w:r>
      <w:r w:rsidR="00976A02">
        <w:t xml:space="preserve">distribution </w:t>
      </w:r>
      <w:r w:rsidR="003A385C">
        <w:t>network service providers</w:t>
      </w:r>
      <w:r>
        <w:t>.</w:t>
      </w:r>
      <w:r w:rsidR="00A54823">
        <w:rPr>
          <w:rStyle w:val="FootnoteReference"/>
        </w:rPr>
        <w:footnoteReference w:id="14"/>
      </w:r>
      <w:r w:rsidR="00EC7623">
        <w:t xml:space="preserve"> Our reasons are below and specific </w:t>
      </w:r>
      <w:r w:rsidR="00A54823">
        <w:t>revisions</w:t>
      </w:r>
      <w:r w:rsidR="00EC7623">
        <w:t xml:space="preserve"> are in section </w:t>
      </w:r>
      <w:r w:rsidR="00EC7623">
        <w:fldChar w:fldCharType="begin"/>
      </w:r>
      <w:r w:rsidR="00EC7623">
        <w:instrText xml:space="preserve"> REF _Ref435112926 \r \h </w:instrText>
      </w:r>
      <w:r w:rsidR="00EC7623">
        <w:fldChar w:fldCharType="separate"/>
      </w:r>
      <w:r w:rsidR="00EC7623">
        <w:t>9.5</w:t>
      </w:r>
      <w:r w:rsidR="00EC7623">
        <w:fldChar w:fldCharType="end"/>
      </w:r>
      <w:r w:rsidR="00EC7623">
        <w:t>.</w:t>
      </w:r>
    </w:p>
    <w:p w:rsidR="005C3FC3" w:rsidRDefault="005C3FC3" w:rsidP="00DD384A">
      <w:pPr>
        <w:pStyle w:val="HeadingBoldItalic"/>
      </w:pPr>
      <w:r>
        <w:t>Adjustments for change in scope</w:t>
      </w:r>
    </w:p>
    <w:p w:rsidR="00710EA2" w:rsidRDefault="00710EA2" w:rsidP="00710EA2">
      <w:r>
        <w:t>We do not accept ActewAGL's proposal that the calculation of carryover amounts should be adjusted to take into account changes in scope of the activities which form the basis for determining forecast expenditure</w:t>
      </w:r>
      <w:r w:rsidR="00FE3502">
        <w:t xml:space="preserve"> (clause 3.8(a)(i)</w:t>
      </w:r>
      <w:r w:rsidR="00976A02">
        <w:t xml:space="preserve"> of the proposed access arrangement</w:t>
      </w:r>
      <w:r w:rsidR="00FE3502">
        <w:t>)</w:t>
      </w:r>
      <w:r>
        <w:t xml:space="preserve">. </w:t>
      </w:r>
    </w:p>
    <w:p w:rsidR="001D6599" w:rsidRDefault="00710EA2" w:rsidP="00710EA2">
      <w:r>
        <w:t xml:space="preserve">When opex is forecast, it </w:t>
      </w:r>
      <w:r w:rsidR="006B751B">
        <w:t xml:space="preserve">takes into account </w:t>
      </w:r>
      <w:r>
        <w:t xml:space="preserve">expected changes (increases and decreases) in costs that are outside the control of ActewAGL. The risk that the forecasts are too high or low is symmetrical. We consider these risks should be shared between ActewAGL and its customers through the operation of the efficiency carryover mechanism in the same way other forecasting risks are shared. </w:t>
      </w:r>
      <w:r w:rsidR="003A48A4">
        <w:t>Revision 9.6 in section 9.5 outlines changes to the proposed access arrangement to give effect to this decision</w:t>
      </w:r>
      <w:r w:rsidR="00FE1BC4">
        <w:t>.</w:t>
      </w:r>
    </w:p>
    <w:p w:rsidR="00A2356E" w:rsidRDefault="00A2356E" w:rsidP="00DD384A">
      <w:pPr>
        <w:pStyle w:val="HeadingBoldItalic"/>
      </w:pPr>
      <w:r>
        <w:t xml:space="preserve">Adjustments for changes in demand </w:t>
      </w:r>
    </w:p>
    <w:p w:rsidR="00A2356E" w:rsidRDefault="00A2356E" w:rsidP="00A2356E">
      <w:r>
        <w:t xml:space="preserve">We do not accept ActewAGL's proposal that the calculation of carryover amounts </w:t>
      </w:r>
      <w:r w:rsidR="00976A02">
        <w:t xml:space="preserve">should be adjusted to </w:t>
      </w:r>
      <w:r>
        <w:t>take into account the difference between actual and forecast number of connections</w:t>
      </w:r>
      <w:r w:rsidR="00FE3502">
        <w:t xml:space="preserve"> (clause 3.8(a)(ii)</w:t>
      </w:r>
      <w:r w:rsidR="00976A02">
        <w:t xml:space="preserve"> of the proposed access arrangement</w:t>
      </w:r>
      <w:r w:rsidR="00FE3502">
        <w:t>)</w:t>
      </w:r>
      <w:r>
        <w:t xml:space="preserve">. </w:t>
      </w:r>
    </w:p>
    <w:p w:rsidR="00A2356E" w:rsidRDefault="007529BD" w:rsidP="00A2356E">
      <w:r>
        <w:lastRenderedPageBreak/>
        <w:t>Similar to adjustments for changes in scope, w</w:t>
      </w:r>
      <w:r w:rsidR="00A2356E">
        <w:t>hen we forecast opex we already apply a forecast annua</w:t>
      </w:r>
      <w:r w:rsidR="00660A38">
        <w:t>l rate of change</w:t>
      </w:r>
      <w:r w:rsidR="00A2356E">
        <w:t xml:space="preserve">. The annual rate of change accounts for forecast changes in output levels. The risk that this forecast is too high or too low is symmetrical and we consider it should be shared between ActewAGL and its customers through the operation of the efficiency carryover mechanism in the same way other forecasting risks are shared. </w:t>
      </w:r>
      <w:r w:rsidR="003A48A4">
        <w:t>Revision 9.7 in section 9.5 outlines changes to the proposed access arrangement to give effect to this decision.</w:t>
      </w:r>
    </w:p>
    <w:p w:rsidR="00303AC6" w:rsidRDefault="00303AC6" w:rsidP="00DD384A">
      <w:pPr>
        <w:pStyle w:val="HeadingBoldItalic"/>
      </w:pPr>
      <w:r>
        <w:t xml:space="preserve">Changes in capitalisation policy </w:t>
      </w:r>
    </w:p>
    <w:p w:rsidR="002D791F" w:rsidRDefault="00303AC6" w:rsidP="00303AC6">
      <w:r>
        <w:t xml:space="preserve">We accept that the efficiency carryover mechanism should take into account any changes in </w:t>
      </w:r>
      <w:r w:rsidR="00976A02">
        <w:t xml:space="preserve">ActewAGL’s </w:t>
      </w:r>
      <w:r>
        <w:t>capitalisation policy (clause 3.8(a)(iii)</w:t>
      </w:r>
      <w:r w:rsidR="00976A02">
        <w:t xml:space="preserve"> of the proposed access arrangement)</w:t>
      </w:r>
      <w:r w:rsidR="00A604DD">
        <w:t xml:space="preserve"> particularly given that we will not apply a capital expenditure incentive mechanism to ActewAGL</w:t>
      </w:r>
      <w:r>
        <w:t>.</w:t>
      </w:r>
    </w:p>
    <w:p w:rsidR="00A2356E" w:rsidRDefault="00A2356E" w:rsidP="00DD384A">
      <w:pPr>
        <w:pStyle w:val="HeadingBoldItalic"/>
      </w:pPr>
      <w:r>
        <w:t xml:space="preserve">Debt raising costs </w:t>
      </w:r>
    </w:p>
    <w:p w:rsidR="00EA30B7" w:rsidRDefault="00911658" w:rsidP="00A2356E">
      <w:r>
        <w:t>We agree debt raising costs should be excluded from the efficiency carryover mechanis</w:t>
      </w:r>
      <w:r w:rsidR="00EA30B7">
        <w:t>m</w:t>
      </w:r>
      <w:r>
        <w:t xml:space="preserve">. The efficiency carryover mechanism is designed to work in conjunction with a single year revealed expenditure approach. If a service provider reduces its opex in one period, consumers pay for efficiency carryover amounts in the next period but receive the benefits through a lower opex forecast for the next period. </w:t>
      </w:r>
      <w:r w:rsidR="00EA30B7">
        <w:t xml:space="preserve">Where we use this forecasting approach for opex, the benefits to consumers of a lower opex forecast will always outweigh the efficiency carryover payments it will pay for. </w:t>
      </w:r>
    </w:p>
    <w:p w:rsidR="00EA30B7" w:rsidRDefault="00EA30B7" w:rsidP="00A2356E">
      <w:r>
        <w:t xml:space="preserve">Where a different forecasting approach is used, there is a risk that consumers will not benefit. For instance, we forecast debt raising costs using a benchmark. If </w:t>
      </w:r>
      <w:r w:rsidR="006847B0">
        <w:t xml:space="preserve">ActewAGL </w:t>
      </w:r>
      <w:r>
        <w:t xml:space="preserve">reduces its actual debt raising costs in an access arrangement period and we applied the efficiency carryover mechanism, consumers will end up paying for efficiency carryover amounts but will not receive the benefits of a lower opex forecast.  </w:t>
      </w:r>
    </w:p>
    <w:p w:rsidR="0077661E" w:rsidRDefault="00437F89" w:rsidP="00A2356E">
      <w:r>
        <w:t>While w</w:t>
      </w:r>
      <w:r w:rsidR="00A2356E">
        <w:t>e accept debt raising costs should be excluded from the</w:t>
      </w:r>
      <w:r>
        <w:t xml:space="preserve"> efficiency carryover mechanism, we </w:t>
      </w:r>
      <w:r w:rsidR="006B751B">
        <w:t xml:space="preserve">consider that </w:t>
      </w:r>
      <w:r>
        <w:t>debt ra</w:t>
      </w:r>
      <w:r w:rsidR="00CA14DF">
        <w:t xml:space="preserve">ising costs </w:t>
      </w:r>
      <w:r w:rsidR="006B751B">
        <w:t xml:space="preserve">would fall within the exclusion set out in </w:t>
      </w:r>
      <w:r w:rsidR="00CA14DF">
        <w:t>clause 3.8(b)(v)(A) of the</w:t>
      </w:r>
      <w:r w:rsidR="006056BA">
        <w:t xml:space="preserve"> proposed </w:t>
      </w:r>
      <w:r w:rsidR="00CA14DF">
        <w:t>access arrangement</w:t>
      </w:r>
      <w:r w:rsidR="006056BA">
        <w:t xml:space="preserve">. </w:t>
      </w:r>
      <w:r w:rsidR="00B43861">
        <w:t xml:space="preserve">This clause excludes all costs not forecast using a single year revealed cost approach in the access arrangement period </w:t>
      </w:r>
      <w:r w:rsidR="00264713">
        <w:t>following the 2016</w:t>
      </w:r>
      <w:r w:rsidR="00B91215">
        <w:t>–</w:t>
      </w:r>
      <w:r w:rsidR="0077661E">
        <w:t>21 access arrangement.</w:t>
      </w:r>
    </w:p>
    <w:p w:rsidR="00A2356E" w:rsidRDefault="00753DB9" w:rsidP="00A2356E">
      <w:r>
        <w:t>As such, we</w:t>
      </w:r>
      <w:r w:rsidR="006056BA">
        <w:t xml:space="preserve"> do not consider this </w:t>
      </w:r>
      <w:r>
        <w:t xml:space="preserve">specific </w:t>
      </w:r>
      <w:r w:rsidR="006056BA">
        <w:t>exclusion</w:t>
      </w:r>
      <w:r w:rsidR="00EC5737">
        <w:t xml:space="preserve"> (</w:t>
      </w:r>
      <w:r w:rsidR="00FE3502">
        <w:t>clause 3.8(b)(i)</w:t>
      </w:r>
      <w:r w:rsidR="00EC5737">
        <w:t>)</w:t>
      </w:r>
      <w:r w:rsidR="005A70FB">
        <w:t xml:space="preserve"> needs to be included</w:t>
      </w:r>
      <w:r>
        <w:t xml:space="preserve"> as a separate </w:t>
      </w:r>
      <w:r w:rsidR="006056BA">
        <w:t>clause.</w:t>
      </w:r>
      <w:r w:rsidR="00270620">
        <w:t xml:space="preserve"> </w:t>
      </w:r>
      <w:r w:rsidR="003A48A4">
        <w:t>Revision 9.8 in section 9.5 outlines changes to the proposed access arrangement to give effect to this decision.</w:t>
      </w:r>
    </w:p>
    <w:p w:rsidR="00A2356E" w:rsidRDefault="00A2356E" w:rsidP="00DD384A">
      <w:pPr>
        <w:pStyle w:val="HeadingBoldItalic"/>
      </w:pPr>
      <w:r>
        <w:t>Insurance and superannuation costs</w:t>
      </w:r>
    </w:p>
    <w:p w:rsidR="00EE4DD1" w:rsidRDefault="00A2356E">
      <w:r>
        <w:t>We do not accept that insurance and superannuation costs should be excluded from the operation of the efficiency carryover mechanism</w:t>
      </w:r>
      <w:r w:rsidR="00753DB9">
        <w:t xml:space="preserve"> (clauses 3.8(b)(ii) and 3.8(b)(iii)</w:t>
      </w:r>
      <w:r w:rsidR="00477972">
        <w:t xml:space="preserve"> of the proposed access arrangement</w:t>
      </w:r>
      <w:r w:rsidR="00753DB9">
        <w:t>)</w:t>
      </w:r>
      <w:r>
        <w:t>, notwithstand</w:t>
      </w:r>
      <w:r w:rsidR="00A1745A">
        <w:t xml:space="preserve">ing their </w:t>
      </w:r>
      <w:r w:rsidR="00753DB9">
        <w:t xml:space="preserve">exclusion from the efficiency </w:t>
      </w:r>
      <w:r w:rsidR="00753DB9">
        <w:lastRenderedPageBreak/>
        <w:t xml:space="preserve">carryover mechanism in the </w:t>
      </w:r>
      <w:r w:rsidR="00A1745A">
        <w:t>2010</w:t>
      </w:r>
      <w:r w:rsidR="00B91215">
        <w:t>–</w:t>
      </w:r>
      <w:r>
        <w:t xml:space="preserve">15 </w:t>
      </w:r>
      <w:r w:rsidR="00753DB9">
        <w:t xml:space="preserve">access </w:t>
      </w:r>
      <w:r>
        <w:t>arrangement</w:t>
      </w:r>
      <w:r w:rsidR="00753DB9">
        <w:t>.</w:t>
      </w:r>
      <w:r>
        <w:t xml:space="preserve"> </w:t>
      </w:r>
      <w:r w:rsidR="00BA0499">
        <w:t>This is because, w</w:t>
      </w:r>
      <w:r>
        <w:t>hen opex is forecast,</w:t>
      </w:r>
      <w:r w:rsidR="00911658">
        <w:t xml:space="preserve"> it takes into account expected changes (increases and decreases</w:t>
      </w:r>
      <w:r w:rsidR="00A54823">
        <w:t>)</w:t>
      </w:r>
      <w:r w:rsidR="00911658">
        <w:t xml:space="preserve"> in costs</w:t>
      </w:r>
      <w:r w:rsidR="00BA0499">
        <w:t>.</w:t>
      </w:r>
      <w:r w:rsidR="00BA0499">
        <w:rPr>
          <w:rStyle w:val="FootnoteReference"/>
        </w:rPr>
        <w:footnoteReference w:id="15"/>
      </w:r>
      <w:r w:rsidR="00BA0499">
        <w:t xml:space="preserve"> </w:t>
      </w:r>
      <w:r>
        <w:t>The risk that t</w:t>
      </w:r>
      <w:r w:rsidR="00D94766">
        <w:t>he forecast</w:t>
      </w:r>
      <w:r>
        <w:t xml:space="preserve"> is too high or low is symmetrical</w:t>
      </w:r>
      <w:r w:rsidR="00BA0499">
        <w:t>.</w:t>
      </w:r>
      <w:r w:rsidR="00911658">
        <w:t xml:space="preserve"> </w:t>
      </w:r>
      <w:r w:rsidR="00BA0499">
        <w:t>W</w:t>
      </w:r>
      <w:r>
        <w:t xml:space="preserve">e consider </w:t>
      </w:r>
      <w:r w:rsidR="00BA0499">
        <w:t xml:space="preserve">this risk </w:t>
      </w:r>
      <w:r>
        <w:t xml:space="preserve">should be shared between ActewAGL and its customers through the operation of the efficiency carryover mechanism in the same way other forecasting risks are shared. </w:t>
      </w:r>
      <w:r w:rsidR="003A48A4">
        <w:t>Revision 9.9 in section 9.5 outlines changes to the proposed access arrangement to give effect to this decision.</w:t>
      </w:r>
    </w:p>
    <w:p w:rsidR="00A2356E" w:rsidRDefault="00A2356E" w:rsidP="00DD384A">
      <w:pPr>
        <w:pStyle w:val="HeadingBoldItalic"/>
      </w:pPr>
      <w:r>
        <w:t>N</w:t>
      </w:r>
      <w:r w:rsidR="00700375">
        <w:t xml:space="preserve">on controllable costs </w:t>
      </w:r>
    </w:p>
    <w:p w:rsidR="00D92D16" w:rsidRDefault="00065607" w:rsidP="001950E2">
      <w:r>
        <w:t>We a</w:t>
      </w:r>
      <w:r w:rsidR="00181525">
        <w:t>ccept the cost of any relevant g</w:t>
      </w:r>
      <w:r>
        <w:t xml:space="preserve">overnment levies and taxes, </w:t>
      </w:r>
      <w:r w:rsidR="00A54823">
        <w:t>unaccounted for gas</w:t>
      </w:r>
      <w:r>
        <w:t xml:space="preserve"> costs, licence fees and carbon costs should be excluded from the operation of the efficiency carryover mechanism</w:t>
      </w:r>
      <w:r w:rsidR="008731D6">
        <w:t xml:space="preserve"> (clause 3.8(b)(iv)(A)</w:t>
      </w:r>
      <w:r w:rsidR="00753DB9">
        <w:t xml:space="preserve"> of the proposed access arrangement</w:t>
      </w:r>
      <w:r w:rsidR="008731D6">
        <w:t>)</w:t>
      </w:r>
      <w:r>
        <w:t>.</w:t>
      </w:r>
      <w:r w:rsidR="008731D6">
        <w:rPr>
          <w:rStyle w:val="FootnoteReference"/>
        </w:rPr>
        <w:footnoteReference w:id="16"/>
      </w:r>
      <w:r>
        <w:t xml:space="preserve"> Changes in these costs </w:t>
      </w:r>
      <w:r w:rsidR="00753DB9">
        <w:t xml:space="preserve">from approved forecasts </w:t>
      </w:r>
      <w:r>
        <w:t>during the access arrangement period are subject to true-ups through the tariff variation mechanism. As the tariff variation mechanism is designed to pass through changes in these costs</w:t>
      </w:r>
      <w:r w:rsidR="00753DB9">
        <w:t xml:space="preserve"> (either higher or lower)</w:t>
      </w:r>
      <w:r>
        <w:t xml:space="preserve"> to consumers, these categories of costs are incompatible with an efficiency carryover mechanism.</w:t>
      </w:r>
      <w:r w:rsidR="00181525">
        <w:t xml:space="preserve"> </w:t>
      </w:r>
    </w:p>
    <w:p w:rsidR="001950E2" w:rsidRDefault="00D92D16" w:rsidP="001950E2">
      <w:r>
        <w:t>Further, w</w:t>
      </w:r>
      <w:r w:rsidR="001950E2">
        <w:t xml:space="preserve">e note that these costs are </w:t>
      </w:r>
      <w:r>
        <w:t xml:space="preserve">already captured by </w:t>
      </w:r>
      <w:r w:rsidR="001950E2">
        <w:t>clause 3.8(b)(v)(A) of the proposed access arrangement</w:t>
      </w:r>
      <w:r w:rsidR="002D791F">
        <w:t xml:space="preserve">. </w:t>
      </w:r>
      <w:r>
        <w:t xml:space="preserve">This </w:t>
      </w:r>
      <w:r w:rsidR="001950E2">
        <w:t>excludes all costs not forecast using a single year revealed cost approach in the access arrang</w:t>
      </w:r>
      <w:r w:rsidR="002D791F">
        <w:t>ement period following the 2016</w:t>
      </w:r>
      <w:r w:rsidR="00B91215">
        <w:t>–</w:t>
      </w:r>
      <w:r w:rsidR="001950E2">
        <w:t>21</w:t>
      </w:r>
      <w:r w:rsidR="00F7508C">
        <w:t xml:space="preserve"> </w:t>
      </w:r>
      <w:r w:rsidR="001950E2">
        <w:t>access arrangement</w:t>
      </w:r>
      <w:r w:rsidR="00404204">
        <w:t xml:space="preserve">. </w:t>
      </w:r>
      <w:r>
        <w:t xml:space="preserve">As there is no need to repeat the exclusion, we </w:t>
      </w:r>
      <w:r w:rsidR="002E5754">
        <w:t xml:space="preserve">have </w:t>
      </w:r>
      <w:r>
        <w:t>remove</w:t>
      </w:r>
      <w:r w:rsidR="002E5754">
        <w:t>d</w:t>
      </w:r>
      <w:r>
        <w:t xml:space="preserve"> clause 3.8(b)(iv)(A)</w:t>
      </w:r>
      <w:r w:rsidR="002E5754">
        <w:t>.</w:t>
      </w:r>
    </w:p>
    <w:p w:rsidR="0058400F" w:rsidRDefault="00D92D16" w:rsidP="00437F89">
      <w:r>
        <w:t>W</w:t>
      </w:r>
      <w:r w:rsidR="00951FF3">
        <w:t xml:space="preserve">e do not </w:t>
      </w:r>
      <w:r w:rsidR="00A2356E">
        <w:t>accept that costs that are ‘non</w:t>
      </w:r>
      <w:r w:rsidR="002E5754">
        <w:t>-</w:t>
      </w:r>
      <w:r w:rsidR="00A2356E">
        <w:t>controllable costs approved by the relevant regulator as a cost which is beyond the control of ActewAGL’ should be excluded from the efficiency carryover mechanism</w:t>
      </w:r>
      <w:r w:rsidR="00404204">
        <w:t xml:space="preserve"> (clause 3.8(b)(</w:t>
      </w:r>
      <w:r w:rsidR="00951FF3">
        <w:t>i</w:t>
      </w:r>
      <w:r w:rsidR="00404204">
        <w:t>v)(B)</w:t>
      </w:r>
      <w:r w:rsidR="002E5754">
        <w:t xml:space="preserve"> of the proposed access arrangement</w:t>
      </w:r>
      <w:r w:rsidR="00404204">
        <w:t>)</w:t>
      </w:r>
      <w:r w:rsidR="00A2356E">
        <w:t xml:space="preserve">. When opex is forecast, </w:t>
      </w:r>
      <w:r w:rsidR="00404204">
        <w:t xml:space="preserve">it </w:t>
      </w:r>
      <w:r w:rsidR="002331B4">
        <w:t>takes into account</w:t>
      </w:r>
      <w:r w:rsidR="00A2356E">
        <w:t xml:space="preserve"> expected changes (increases and decreases) in costs that are ou</w:t>
      </w:r>
      <w:r w:rsidR="00404204">
        <w:t xml:space="preserve">tside the control of ActewAGL. </w:t>
      </w:r>
      <w:r w:rsidR="00A2356E">
        <w:t xml:space="preserve">The risk that </w:t>
      </w:r>
      <w:r w:rsidR="00404204">
        <w:t xml:space="preserve">the </w:t>
      </w:r>
      <w:r w:rsidR="00A2356E">
        <w:t xml:space="preserve">forecasts </w:t>
      </w:r>
      <w:r w:rsidR="00404204">
        <w:t xml:space="preserve">are </w:t>
      </w:r>
      <w:r w:rsidR="00A2356E">
        <w:t>too high or low is symmetrical</w:t>
      </w:r>
      <w:r w:rsidR="00404204">
        <w:t>. W</w:t>
      </w:r>
      <w:r w:rsidR="00A2356E">
        <w:t xml:space="preserve">e consider </w:t>
      </w:r>
      <w:r w:rsidR="00404204">
        <w:t xml:space="preserve">these risks </w:t>
      </w:r>
      <w:r w:rsidR="00A2356E">
        <w:t xml:space="preserve">should be shared between ActewAGL and its customers through </w:t>
      </w:r>
      <w:r w:rsidR="00404204">
        <w:t xml:space="preserve">the operation of </w:t>
      </w:r>
      <w:r w:rsidR="00A2356E">
        <w:t>the efficiency carryover mechanism in the same way other</w:t>
      </w:r>
      <w:r w:rsidR="00404204">
        <w:t xml:space="preserve"> forecasting risks are shared.</w:t>
      </w:r>
      <w:r w:rsidR="00951FF3">
        <w:t xml:space="preserve"> </w:t>
      </w:r>
    </w:p>
    <w:p w:rsidR="00EE4DD1" w:rsidRDefault="003A48A4">
      <w:r>
        <w:t>Revision 9.10 in section 9.5 outlines changes to the proposed access arrangement to give effect to this decision.</w:t>
      </w:r>
    </w:p>
    <w:p w:rsidR="008E139F" w:rsidRDefault="008E139F" w:rsidP="00092BCF">
      <w:pPr>
        <w:pStyle w:val="HeadingBoldItalic"/>
        <w:keepNext/>
      </w:pPr>
      <w:r>
        <w:lastRenderedPageBreak/>
        <w:t>Costs not forecast using a single year revealed cost approach in the access arrang</w:t>
      </w:r>
      <w:r w:rsidR="00DC6E6C">
        <w:t>ement period following the 2016</w:t>
      </w:r>
      <w:r w:rsidR="00B91215">
        <w:t>–</w:t>
      </w:r>
      <w:r>
        <w:t>21 access arrangement</w:t>
      </w:r>
      <w:r w:rsidR="00477972">
        <w:t xml:space="preserve"> period</w:t>
      </w:r>
      <w:r>
        <w:t xml:space="preserve"> </w:t>
      </w:r>
    </w:p>
    <w:p w:rsidR="00632C7D" w:rsidRDefault="008E139F" w:rsidP="00092BCF">
      <w:pPr>
        <w:keepNext/>
      </w:pPr>
      <w:r>
        <w:t>We accept the proposed clause 3.8(b)(v)(A)</w:t>
      </w:r>
      <w:r w:rsidR="002E5754">
        <w:t xml:space="preserve"> with some minor amendments in order to maintain consistency with the clause contained </w:t>
      </w:r>
      <w:r w:rsidR="003507F2">
        <w:t>in the 2015</w:t>
      </w:r>
      <w:r w:rsidR="00B91215">
        <w:t>–</w:t>
      </w:r>
      <w:r w:rsidR="003507F2">
        <w:t>20 JGN access arrangement</w:t>
      </w:r>
      <w:r>
        <w:t xml:space="preserve">. </w:t>
      </w:r>
      <w:r w:rsidR="00632C7D">
        <w:t>This clause provides us with some discretion to exclude costs from the efficiency carryover mechanism where a category of opex is not forecast using a single year revealed cost approach in the access arrangement period</w:t>
      </w:r>
      <w:r w:rsidR="00A54823">
        <w:t xml:space="preserve"> expected to commence on 1 July 2021</w:t>
      </w:r>
      <w:r w:rsidR="00632C7D">
        <w:t xml:space="preserve">. </w:t>
      </w:r>
      <w:r>
        <w:t xml:space="preserve">We will </w:t>
      </w:r>
      <w:r w:rsidR="00632C7D">
        <w:t xml:space="preserve">exclude such cost categories if doing so better achieves the National Gas Objectives. </w:t>
      </w:r>
    </w:p>
    <w:p w:rsidR="00D7170F" w:rsidRDefault="003A48A4" w:rsidP="00632C7D">
      <w:r>
        <w:t>Revision 9.11 in section 9.5 outlines changes to the proposed access arrangement to give effect to this decision.</w:t>
      </w:r>
    </w:p>
    <w:p w:rsidR="00A2356E" w:rsidRDefault="00A2356E" w:rsidP="00DD384A">
      <w:pPr>
        <w:pStyle w:val="HeadingBoldItalic"/>
      </w:pPr>
      <w:r>
        <w:t>Costs the regulator determines should be excluded</w:t>
      </w:r>
      <w:r w:rsidR="008E139F">
        <w:t xml:space="preserve"> as it would not pr</w:t>
      </w:r>
      <w:r w:rsidR="00DD384A">
        <w:t>omote the National Gas Objective</w:t>
      </w:r>
    </w:p>
    <w:p w:rsidR="00F3716F" w:rsidRDefault="00A2356E" w:rsidP="00A2356E">
      <w:r>
        <w:t xml:space="preserve">We accept </w:t>
      </w:r>
      <w:r w:rsidR="00632C7D">
        <w:t>clause 3.8(b)(v)(B)</w:t>
      </w:r>
      <w:r w:rsidR="003507F2">
        <w:t xml:space="preserve"> of the proposed access arrangement</w:t>
      </w:r>
      <w:r w:rsidR="00632C7D">
        <w:t xml:space="preserve">. This </w:t>
      </w:r>
      <w:r w:rsidR="00F0647A">
        <w:t xml:space="preserve">clause </w:t>
      </w:r>
      <w:r w:rsidR="00632C7D">
        <w:t xml:space="preserve">provides us with some discretion to </w:t>
      </w:r>
      <w:r>
        <w:t xml:space="preserve">exclude costs from the </w:t>
      </w:r>
      <w:r w:rsidR="008E139F">
        <w:t>efficiency carryover mechanism</w:t>
      </w:r>
      <w:r w:rsidR="00F0647A">
        <w:t xml:space="preserve"> where this better achieve</w:t>
      </w:r>
      <w:r w:rsidR="002D791F">
        <w:t xml:space="preserve">s the National Gas Objectives. </w:t>
      </w:r>
      <w:r w:rsidR="00F0647A">
        <w:t xml:space="preserve">This approach is consistent with the discretion we have to adjust the carryover amounts in our electricity network </w:t>
      </w:r>
      <w:r w:rsidR="00EC5737">
        <w:t>EBSS</w:t>
      </w:r>
      <w:r w:rsidR="00F0647A">
        <w:t xml:space="preserve">. </w:t>
      </w:r>
    </w:p>
    <w:p w:rsidR="00E5310F" w:rsidRDefault="00F0647A" w:rsidP="00A2356E">
      <w:r>
        <w:t xml:space="preserve">We </w:t>
      </w:r>
      <w:r w:rsidR="003507F2">
        <w:t xml:space="preserve">also </w:t>
      </w:r>
      <w:r>
        <w:t>note that the proposed clause is consistent with our final decision made in respect of the 2015</w:t>
      </w:r>
      <w:r w:rsidR="00B91215">
        <w:t>–</w:t>
      </w:r>
      <w:r>
        <w:t xml:space="preserve">20 JGN access arrangement and </w:t>
      </w:r>
      <w:r w:rsidR="00254A5C">
        <w:t xml:space="preserve">we </w:t>
      </w:r>
      <w:r>
        <w:t xml:space="preserve">have made additional minor changes to keep </w:t>
      </w:r>
      <w:r w:rsidR="00F3716F">
        <w:t xml:space="preserve">this clause consistent with that </w:t>
      </w:r>
      <w:r w:rsidR="00EC5737">
        <w:t>decision</w:t>
      </w:r>
      <w:r w:rsidR="00F3716F">
        <w:t>.</w:t>
      </w:r>
      <w:r w:rsidR="00621F76">
        <w:rPr>
          <w:rStyle w:val="FootnoteReference"/>
        </w:rPr>
        <w:footnoteReference w:id="17"/>
      </w:r>
      <w:r w:rsidR="00F3716F">
        <w:t xml:space="preserve"> </w:t>
      </w:r>
    </w:p>
    <w:p w:rsidR="00A2356E" w:rsidRDefault="00A2356E" w:rsidP="00DD384A">
      <w:pPr>
        <w:pStyle w:val="HeadingBoldItalic"/>
      </w:pPr>
      <w:r>
        <w:t>Determined pass through amounts</w:t>
      </w:r>
    </w:p>
    <w:p w:rsidR="00A2356E" w:rsidRDefault="00A2356E" w:rsidP="00A2356E">
      <w:r>
        <w:t xml:space="preserve">Within an access arrangement period we may adjust target opex to add or subtract approved pass through amounts. It is our preference to add (or subtract) these pass through amounts to forecast opex rather than adjust actual opex to remove the passed through amount. We consider that adjusting the opex forecast ex post rather than removing the costs from actual opex is the most </w:t>
      </w:r>
      <w:r w:rsidR="00EC5737">
        <w:t xml:space="preserve">practical </w:t>
      </w:r>
      <w:r>
        <w:t xml:space="preserve">way to apply the efficiency carryover mechanism when accounting for changes to a service provider's forecast opex. </w:t>
      </w:r>
      <w:r w:rsidR="003507F2">
        <w:t xml:space="preserve">We accept proposed clause 3.8 (c) with some minor modifications. </w:t>
      </w:r>
    </w:p>
    <w:p w:rsidR="00A2356E" w:rsidRDefault="00A2356E" w:rsidP="00A2356E">
      <w:r>
        <w:t>Where some of the costs that are passed through are yet to be incurred, adjusting the target rather than excluding them from the efficiency carryover mechanism will also ensure that ActewAGL still has an incentive to reduce these costs.</w:t>
      </w:r>
    </w:p>
    <w:p w:rsidR="00E5310F" w:rsidRDefault="00E5310F" w:rsidP="00A2356E">
      <w:r>
        <w:t>Revision 9.12 in section 9.5 outlines changes to the proposed access arrangement to give effect to this decision.</w:t>
      </w:r>
    </w:p>
    <w:p w:rsidR="00A2356E" w:rsidRDefault="002314D5" w:rsidP="00DD384A">
      <w:pPr>
        <w:pStyle w:val="HeadingBoldItalic"/>
        <w:keepNext/>
      </w:pPr>
      <w:r>
        <w:lastRenderedPageBreak/>
        <w:t>Future possible interval of d</w:t>
      </w:r>
      <w:r w:rsidR="00A2356E">
        <w:t xml:space="preserve">elay </w:t>
      </w:r>
    </w:p>
    <w:p w:rsidR="00BE7BFC" w:rsidRDefault="00165272" w:rsidP="00DD384A">
      <w:pPr>
        <w:keepNext/>
      </w:pPr>
      <w:r>
        <w:t>W</w:t>
      </w:r>
      <w:r w:rsidR="00A2356E">
        <w:t xml:space="preserve">e do not consider that the </w:t>
      </w:r>
      <w:r w:rsidR="00D642C0">
        <w:t xml:space="preserve">efficiency carryover mechanism </w:t>
      </w:r>
      <w:r w:rsidR="00A2356E">
        <w:t>should incorporate specific provisions for an interval of delay</w:t>
      </w:r>
      <w:r w:rsidR="00EC5737">
        <w:t xml:space="preserve"> (proposed clause 3.9)</w:t>
      </w:r>
      <w:r w:rsidR="00A2356E">
        <w:t xml:space="preserve">. </w:t>
      </w:r>
    </w:p>
    <w:p w:rsidR="000A27A6" w:rsidRDefault="00A2356E" w:rsidP="00A2356E">
      <w:r>
        <w:t>We not</w:t>
      </w:r>
      <w:r w:rsidR="00DC6E6C">
        <w:t>e the interval of delay in 2015</w:t>
      </w:r>
      <w:r w:rsidR="00B91215">
        <w:t>–</w:t>
      </w:r>
      <w:r>
        <w:t xml:space="preserve">16 was </w:t>
      </w:r>
      <w:r w:rsidR="00D642C0">
        <w:t xml:space="preserve">a result of a specific </w:t>
      </w:r>
      <w:r>
        <w:t xml:space="preserve">request by ActewAGL </w:t>
      </w:r>
      <w:r w:rsidR="00D642C0">
        <w:t xml:space="preserve">for a delay to the submission of its access arrangement proposal </w:t>
      </w:r>
      <w:r>
        <w:t>to avoid its electricity and gas decis</w:t>
      </w:r>
      <w:r w:rsidR="00DC6E6C">
        <w:t>ions occurring simultaneously.</w:t>
      </w:r>
      <w:r w:rsidR="00BE7BFC">
        <w:t xml:space="preserve"> </w:t>
      </w:r>
      <w:r w:rsidR="00D642C0">
        <w:t xml:space="preserve">In any event, we are not satisfied that the efficiency carryover mechanism should incorporate specific provisions for a potential interval of delay. This is because the NGR deal with the occurrence of an interval of delay. </w:t>
      </w:r>
    </w:p>
    <w:p w:rsidR="003C06ED" w:rsidRDefault="008700D9" w:rsidP="00A2356E">
      <w:r w:rsidDel="00BE7BFC">
        <w:t xml:space="preserve">Further, we do not accept that the clauses ActewAGL proposes are consistent with the </w:t>
      </w:r>
      <w:r w:rsidR="00EA30B7">
        <w:t xml:space="preserve">stated </w:t>
      </w:r>
      <w:r w:rsidR="00EC5737">
        <w:t xml:space="preserve">objectives of </w:t>
      </w:r>
      <w:r w:rsidDel="00BE7BFC">
        <w:t>the efficiency carryover mechanism.</w:t>
      </w:r>
      <w:r w:rsidR="00CA0979">
        <w:t xml:space="preserve"> </w:t>
      </w:r>
      <w:r w:rsidR="00574D4C">
        <w:t>For example</w:t>
      </w:r>
      <w:r w:rsidR="00AB1E45">
        <w:t xml:space="preserve">, the ability for a </w:t>
      </w:r>
      <w:r w:rsidR="00574D4C">
        <w:t>scheme to be turned ‘on and off’ does not promote having a continuous incentive in place</w:t>
      </w:r>
      <w:r w:rsidR="00513A0E">
        <w:t>.</w:t>
      </w:r>
    </w:p>
    <w:p w:rsidR="00E5310F" w:rsidRDefault="00E5310F" w:rsidP="00A2356E">
      <w:r>
        <w:t>Revision 9.13 in section 9.5 outlines changes to the proposed access arrangement to give effect to this decision.</w:t>
      </w:r>
    </w:p>
    <w:p w:rsidR="00121354" w:rsidRPr="00AD5DD1" w:rsidRDefault="00121354" w:rsidP="00D7170F">
      <w:pPr>
        <w:pStyle w:val="HeadingBoldItalic"/>
      </w:pPr>
      <w:r w:rsidRPr="00AD5DD1">
        <w:t>Fixed principles</w:t>
      </w:r>
    </w:p>
    <w:p w:rsidR="00121354" w:rsidRDefault="00121354" w:rsidP="00121354">
      <w:r>
        <w:t xml:space="preserve">In clause 5.1(a) of its access arrangement ActewAGL has proposed that the principles set out in section 3 of its access arrangement relating to the efficiency carryover mechanism (excluding those in clause 3.2) are fixed for the purposes of the </w:t>
      </w:r>
      <w:r w:rsidR="000742B7">
        <w:t>2016–</w:t>
      </w:r>
      <w:r>
        <w:t xml:space="preserve">21 access arrangement period and the next access arrangement period. </w:t>
      </w:r>
    </w:p>
    <w:p w:rsidR="00121354" w:rsidRDefault="00121354" w:rsidP="00121354">
      <w:r>
        <w:t xml:space="preserve">Notwithstanding that its </w:t>
      </w:r>
      <w:r w:rsidR="0058400F">
        <w:t xml:space="preserve">2010–15 </w:t>
      </w:r>
      <w:r>
        <w:t>access arrangement contained fixed principles in relation to the efficiency carryover mechanism, no justification has been provided as to why section 3 of the access arrangement (excluding clause 3.2) should be classified as fixed principles. We therefore do not accept that the principles set out in section 3 of the access arrangement are fixed principles. We request further information from ActewAGL as to why these principles should be considered fixed principles for the purposes of Rule 99 of the NGR.</w:t>
      </w:r>
    </w:p>
    <w:p w:rsidR="003A48A4" w:rsidRDefault="003A48A4" w:rsidP="00121354">
      <w:r>
        <w:t>Revision 9.14 in section 9.5 outlines changes to the proposed access arrangement to give effect to this decision.</w:t>
      </w:r>
    </w:p>
    <w:p w:rsidR="00A2356E" w:rsidRDefault="00A2356E" w:rsidP="00A2356E">
      <w:pPr>
        <w:pStyle w:val="Heading2"/>
      </w:pPr>
      <w:bookmarkStart w:id="43" w:name="_Toc431372716"/>
      <w:bookmarkStart w:id="44" w:name="_Ref435112922"/>
      <w:bookmarkStart w:id="45" w:name="_Ref435112926"/>
      <w:bookmarkStart w:id="46" w:name="_Ref435179801"/>
      <w:bookmarkStart w:id="47" w:name="_Toc436044140"/>
      <w:r>
        <w:t xml:space="preserve">Revisions to </w:t>
      </w:r>
      <w:r w:rsidR="00D7170F">
        <w:t>the</w:t>
      </w:r>
      <w:r>
        <w:t xml:space="preserve"> proposed carryover mechanism</w:t>
      </w:r>
      <w:bookmarkEnd w:id="43"/>
      <w:bookmarkEnd w:id="44"/>
      <w:bookmarkEnd w:id="45"/>
      <w:bookmarkEnd w:id="46"/>
      <w:bookmarkEnd w:id="47"/>
    </w:p>
    <w:p w:rsidR="002B36D9" w:rsidRPr="00EF727D" w:rsidRDefault="002B36D9" w:rsidP="002B36D9">
      <w:r>
        <w:t xml:space="preserve">We </w:t>
      </w:r>
      <w:r w:rsidRPr="00CF5ECE">
        <w:t>require the following revisions to make the access arrangement proposal acceptable:</w:t>
      </w:r>
    </w:p>
    <w:p w:rsidR="00A2356E" w:rsidRDefault="00A2356E" w:rsidP="00DD384A">
      <w:pPr>
        <w:pStyle w:val="AERrevisionbox"/>
        <w:shd w:val="clear" w:color="auto" w:fill="D9D9D9" w:themeFill="background1" w:themeFillShade="D9"/>
      </w:pPr>
      <w:r>
        <w:t>Revision</w:t>
      </w:r>
      <w:r w:rsidR="002B36D9">
        <w:t xml:space="preserve"> 9.1:</w:t>
      </w:r>
      <w:r>
        <w:t xml:space="preserve"> </w:t>
      </w:r>
    </w:p>
    <w:p w:rsidR="00162E53" w:rsidRDefault="00162E53" w:rsidP="00DD384A">
      <w:pPr>
        <w:pStyle w:val="AERrevisionbox"/>
        <w:shd w:val="clear" w:color="auto" w:fill="D9D9D9" w:themeFill="background1" w:themeFillShade="D9"/>
      </w:pPr>
      <w:r>
        <w:t>Replace clause 3.1(c) with the following:</w:t>
      </w:r>
    </w:p>
    <w:p w:rsidR="00162E53" w:rsidRDefault="00162E53" w:rsidP="00DD384A">
      <w:pPr>
        <w:pStyle w:val="AERrevisionbox"/>
        <w:shd w:val="clear" w:color="auto" w:fill="D9D9D9" w:themeFill="background1" w:themeFillShade="D9"/>
      </w:pPr>
      <w:r>
        <w:t>annual carryover amounts accrue in each Financial Year of the Subsequent Access Arrangement Period as the summation of the incremental efficiency gains (or losses) in the Applicable Access Arrangement Period that are carried forward for five years; and</w:t>
      </w:r>
    </w:p>
    <w:p w:rsidR="002B36D9" w:rsidRPr="002B36D9" w:rsidRDefault="002B36D9" w:rsidP="00DD384A"/>
    <w:p w:rsidR="002B36D9" w:rsidRDefault="002B36D9" w:rsidP="00DD384A">
      <w:pPr>
        <w:pStyle w:val="AERrevisionbox"/>
        <w:shd w:val="clear" w:color="auto" w:fill="D9D9D9" w:themeFill="background1" w:themeFillShade="D9"/>
      </w:pPr>
      <w:r>
        <w:t>Revision 9.2:</w:t>
      </w:r>
    </w:p>
    <w:p w:rsidR="00AD41E1" w:rsidRDefault="00A2356E" w:rsidP="00DD384A">
      <w:pPr>
        <w:pStyle w:val="AERrevisionbox"/>
        <w:shd w:val="clear" w:color="auto" w:fill="D9D9D9" w:themeFill="background1" w:themeFillShade="D9"/>
      </w:pPr>
      <w:r>
        <w:t xml:space="preserve">Replace </w:t>
      </w:r>
      <w:r w:rsidR="00AD41E1">
        <w:t>clause 3.2 with the following:</w:t>
      </w:r>
    </w:p>
    <w:p w:rsidR="00162E53" w:rsidRPr="004D59EA" w:rsidRDefault="00162E53" w:rsidP="00DD384A">
      <w:pPr>
        <w:pStyle w:val="AERrevisionbox"/>
        <w:shd w:val="clear" w:color="auto" w:fill="D9D9D9" w:themeFill="background1" w:themeFillShade="D9"/>
      </w:pPr>
      <w:r>
        <w:t xml:space="preserve">The incremental efficiency gain (or loss) for the first year </w:t>
      </w:r>
      <w:r w:rsidR="00DC6E6C">
        <w:t xml:space="preserve">(year one) </w:t>
      </w:r>
      <w:r>
        <w:t xml:space="preserve">to the </w:t>
      </w:r>
      <w:r w:rsidR="00237F93">
        <w:t xml:space="preserve">penultimate year (year four) </w:t>
      </w:r>
      <w:r>
        <w:t>of the Applicable Access Arrangement Period will be calculated using the following equation:</w:t>
      </w:r>
    </w:p>
    <w:p w:rsidR="00162E53" w:rsidRPr="00422B17" w:rsidRDefault="00162E53" w:rsidP="00DD384A">
      <w:pPr>
        <w:pStyle w:val="AERrevisionbox"/>
        <w:shd w:val="clear" w:color="auto" w:fill="D9D9D9" w:themeFill="background1" w:themeFillShade="D9"/>
      </w:pPr>
      <w:r>
        <w:t>E</w:t>
      </w:r>
      <w:r>
        <w:rPr>
          <w:sz w:val="14"/>
          <w:szCs w:val="14"/>
        </w:rPr>
        <w:t xml:space="preserve">i </w:t>
      </w:r>
      <w:r>
        <w:t>= (F</w:t>
      </w:r>
      <w:r>
        <w:rPr>
          <w:sz w:val="14"/>
          <w:szCs w:val="14"/>
        </w:rPr>
        <w:t xml:space="preserve">i </w:t>
      </w:r>
      <w:r>
        <w:rPr>
          <w:rFonts w:ascii="Times New Roman,Bold" w:hAnsi="Times New Roman,Bold" w:cs="Times New Roman,Bold"/>
        </w:rPr>
        <w:t xml:space="preserve">– </w:t>
      </w:r>
      <w:r>
        <w:t>A</w:t>
      </w:r>
      <w:r>
        <w:rPr>
          <w:sz w:val="14"/>
          <w:szCs w:val="14"/>
        </w:rPr>
        <w:t>i</w:t>
      </w:r>
      <w:r>
        <w:t xml:space="preserve">) </w:t>
      </w:r>
      <w:r>
        <w:rPr>
          <w:rFonts w:ascii="Times New Roman,Bold" w:hAnsi="Times New Roman,Bold" w:cs="Times New Roman,Bold"/>
        </w:rPr>
        <w:t xml:space="preserve">– </w:t>
      </w:r>
      <w:r>
        <w:t>(F</w:t>
      </w:r>
      <w:r>
        <w:rPr>
          <w:sz w:val="14"/>
          <w:szCs w:val="14"/>
        </w:rPr>
        <w:t xml:space="preserve">i-1 </w:t>
      </w:r>
      <w:r>
        <w:rPr>
          <w:rFonts w:ascii="Times New Roman,Bold" w:hAnsi="Times New Roman,Bold" w:cs="Times New Roman,Bold"/>
        </w:rPr>
        <w:t xml:space="preserve">– </w:t>
      </w:r>
      <w:r>
        <w:t>A</w:t>
      </w:r>
      <w:r>
        <w:rPr>
          <w:sz w:val="14"/>
          <w:szCs w:val="14"/>
        </w:rPr>
        <w:t>i-1</w:t>
      </w:r>
      <w:r>
        <w:t>)</w:t>
      </w:r>
    </w:p>
    <w:p w:rsidR="00605EA6" w:rsidRDefault="00162E53" w:rsidP="00DD384A">
      <w:pPr>
        <w:pStyle w:val="AERrevisionbox"/>
        <w:shd w:val="clear" w:color="auto" w:fill="D9D9D9" w:themeFill="background1" w:themeFillShade="D9"/>
      </w:pPr>
      <w:r>
        <w:t xml:space="preserve">where: </w:t>
      </w:r>
    </w:p>
    <w:p w:rsidR="00162E53" w:rsidRDefault="00162E53" w:rsidP="00DD384A">
      <w:pPr>
        <w:pStyle w:val="AERrevisionbox"/>
        <w:shd w:val="clear" w:color="auto" w:fill="D9D9D9" w:themeFill="background1" w:themeFillShade="D9"/>
      </w:pPr>
      <w:r>
        <w:t>E</w:t>
      </w:r>
      <w:r>
        <w:rPr>
          <w:sz w:val="14"/>
          <w:szCs w:val="14"/>
        </w:rPr>
        <w:t xml:space="preserve">i </w:t>
      </w:r>
      <w:r>
        <w:t>is the efficiency gain for financial year i of the Applicable Access Arrangement Period.</w:t>
      </w:r>
    </w:p>
    <w:p w:rsidR="00162E53" w:rsidRDefault="00162E53" w:rsidP="00DD384A">
      <w:pPr>
        <w:pStyle w:val="AERrevisionbox"/>
        <w:shd w:val="clear" w:color="auto" w:fill="D9D9D9" w:themeFill="background1" w:themeFillShade="D9"/>
      </w:pPr>
      <w:r>
        <w:t>F</w:t>
      </w:r>
      <w:r>
        <w:rPr>
          <w:sz w:val="14"/>
          <w:szCs w:val="14"/>
        </w:rPr>
        <w:t xml:space="preserve">i </w:t>
      </w:r>
      <w:r>
        <w:t>is the forecast operating expenditure for financial year i of the Applicable Access Arrangement Period.</w:t>
      </w:r>
    </w:p>
    <w:p w:rsidR="00162E53" w:rsidRDefault="00162E53" w:rsidP="00DD384A">
      <w:pPr>
        <w:pStyle w:val="AERrevisionbox"/>
        <w:shd w:val="clear" w:color="auto" w:fill="D9D9D9" w:themeFill="background1" w:themeFillShade="D9"/>
      </w:pPr>
      <w:r w:rsidRPr="00E91FD0">
        <w:t>A</w:t>
      </w:r>
      <w:r w:rsidRPr="00E91FD0">
        <w:rPr>
          <w:sz w:val="14"/>
          <w:szCs w:val="14"/>
        </w:rPr>
        <w:t xml:space="preserve">i </w:t>
      </w:r>
      <w:r w:rsidRPr="00E91FD0">
        <w:t xml:space="preserve">is the actual operating expenditure for </w:t>
      </w:r>
      <w:r>
        <w:t xml:space="preserve">financial </w:t>
      </w:r>
      <w:r w:rsidRPr="00E91FD0">
        <w:t>year i of the Applicable Access Arrangement Period.</w:t>
      </w:r>
    </w:p>
    <w:p w:rsidR="00162E53" w:rsidRDefault="00162E53" w:rsidP="00DD384A">
      <w:pPr>
        <w:pStyle w:val="AERrevisionbox"/>
        <w:shd w:val="clear" w:color="auto" w:fill="D9D9D9" w:themeFill="background1" w:themeFillShade="D9"/>
      </w:pPr>
      <w:r>
        <w:t>F</w:t>
      </w:r>
      <w:r>
        <w:rPr>
          <w:sz w:val="14"/>
          <w:szCs w:val="14"/>
        </w:rPr>
        <w:t xml:space="preserve">i-1 </w:t>
      </w:r>
      <w:r>
        <w:t>is the forecast operating expenditure for financial year (i-1).</w:t>
      </w:r>
    </w:p>
    <w:p w:rsidR="00162E53" w:rsidRDefault="00162E53" w:rsidP="00DD384A">
      <w:pPr>
        <w:pStyle w:val="AERrevisionbox"/>
        <w:shd w:val="clear" w:color="auto" w:fill="D9D9D9" w:themeFill="background1" w:themeFillShade="D9"/>
      </w:pPr>
      <w:r w:rsidRPr="00E91FD0">
        <w:t>A</w:t>
      </w:r>
      <w:r w:rsidRPr="00E91FD0">
        <w:rPr>
          <w:sz w:val="14"/>
          <w:szCs w:val="14"/>
        </w:rPr>
        <w:t>i</w:t>
      </w:r>
      <w:r>
        <w:rPr>
          <w:sz w:val="14"/>
          <w:szCs w:val="14"/>
        </w:rPr>
        <w:t>-1</w:t>
      </w:r>
      <w:r w:rsidRPr="00E91FD0">
        <w:rPr>
          <w:sz w:val="14"/>
          <w:szCs w:val="14"/>
        </w:rPr>
        <w:t xml:space="preserve"> </w:t>
      </w:r>
      <w:r w:rsidRPr="00E91FD0">
        <w:t xml:space="preserve">is the actual operating expenditure for </w:t>
      </w:r>
      <w:r>
        <w:t xml:space="preserve">financial </w:t>
      </w:r>
      <w:r w:rsidRPr="00E91FD0">
        <w:t xml:space="preserve">year </w:t>
      </w:r>
      <w:r>
        <w:t>(</w:t>
      </w:r>
      <w:r w:rsidRPr="00E91FD0">
        <w:t>i</w:t>
      </w:r>
      <w:r>
        <w:t>-1)</w:t>
      </w:r>
      <w:r w:rsidRPr="00E91FD0">
        <w:t>.</w:t>
      </w:r>
    </w:p>
    <w:p w:rsidR="002B36D9" w:rsidRPr="002B36D9" w:rsidRDefault="002B36D9" w:rsidP="00DD384A"/>
    <w:p w:rsidR="002B36D9" w:rsidRDefault="002B36D9" w:rsidP="00DD384A">
      <w:pPr>
        <w:pStyle w:val="AERrevisionbox"/>
        <w:shd w:val="clear" w:color="auto" w:fill="D9D9D9" w:themeFill="background1" w:themeFillShade="D9"/>
      </w:pPr>
      <w:r>
        <w:t>Revision 9.3:</w:t>
      </w:r>
    </w:p>
    <w:p w:rsidR="007C6A42" w:rsidRDefault="007C6A42" w:rsidP="00DD384A">
      <w:pPr>
        <w:pStyle w:val="AERrevisionbox"/>
        <w:shd w:val="clear" w:color="auto" w:fill="D9D9D9" w:themeFill="background1" w:themeFillShade="D9"/>
      </w:pPr>
      <w:r>
        <w:t xml:space="preserve">Replace the definition of </w:t>
      </w:r>
      <w:r w:rsidR="00344D1B">
        <w:t>non-</w:t>
      </w:r>
      <w:r>
        <w:t>recurrent efficiency gain</w:t>
      </w:r>
      <w:r w:rsidR="006916C7">
        <w:t>s</w:t>
      </w:r>
      <w:r>
        <w:rPr>
          <w:vertAlign w:val="subscript"/>
        </w:rPr>
        <w:t>b</w:t>
      </w:r>
      <w:r>
        <w:t xml:space="preserve"> in clause 3.3 with the following:</w:t>
      </w:r>
    </w:p>
    <w:p w:rsidR="007C6A42" w:rsidRDefault="00344D1B" w:rsidP="00DD384A">
      <w:pPr>
        <w:pStyle w:val="AERrevisionbox"/>
        <w:shd w:val="clear" w:color="auto" w:fill="D9D9D9" w:themeFill="background1" w:themeFillShade="D9"/>
      </w:pPr>
      <w:r>
        <w:t>non-</w:t>
      </w:r>
      <w:r w:rsidR="007C6A42">
        <w:t>recurrent efficiency gain</w:t>
      </w:r>
      <w:r w:rsidR="006916C7">
        <w:t>s</w:t>
      </w:r>
      <w:r w:rsidR="007C6A42">
        <w:rPr>
          <w:vertAlign w:val="subscript"/>
        </w:rPr>
        <w:t>b</w:t>
      </w:r>
      <w:r w:rsidR="007C6A42">
        <w:t xml:space="preserve"> means any non-recurrent efficiency gains which were achieved in the Base Year but removed by the Relevant Regulator for the purposes of forecasting operating expenditure for the Subsequent Access Arrangement Period on the basis that they were not likely to extend to years after the Base Year.</w:t>
      </w:r>
    </w:p>
    <w:p w:rsidR="00EE4DD1" w:rsidRDefault="00EE4DD1" w:rsidP="00DD384A">
      <w:pPr>
        <w:pStyle w:val="AERrevisionbox"/>
        <w:shd w:val="clear" w:color="auto" w:fill="auto"/>
      </w:pPr>
    </w:p>
    <w:p w:rsidR="002B36D9" w:rsidRDefault="002B36D9" w:rsidP="00DD384A">
      <w:pPr>
        <w:pStyle w:val="AERrevisionbox"/>
        <w:shd w:val="clear" w:color="auto" w:fill="D9D9D9" w:themeFill="background1" w:themeFillShade="D9"/>
      </w:pPr>
      <w:r>
        <w:t>Revision 9.4:</w:t>
      </w:r>
    </w:p>
    <w:p w:rsidR="00162E53" w:rsidRDefault="00162E53" w:rsidP="00DD384A">
      <w:pPr>
        <w:pStyle w:val="AERrevisionbox"/>
        <w:shd w:val="clear" w:color="auto" w:fill="D9D9D9" w:themeFill="background1" w:themeFillShade="D9"/>
      </w:pPr>
      <w:r>
        <w:t>Remove clause 3.4.</w:t>
      </w:r>
    </w:p>
    <w:p w:rsidR="002B36D9" w:rsidRPr="002B36D9" w:rsidRDefault="002B36D9" w:rsidP="00DD384A"/>
    <w:p w:rsidR="002B36D9" w:rsidRDefault="002B36D9" w:rsidP="00DD384A">
      <w:pPr>
        <w:pStyle w:val="AERrevisionbox"/>
        <w:shd w:val="clear" w:color="auto" w:fill="D9D9D9" w:themeFill="background1" w:themeFillShade="D9"/>
      </w:pPr>
      <w:r>
        <w:t>Revision 9.5:</w:t>
      </w:r>
    </w:p>
    <w:p w:rsidR="00085069" w:rsidRDefault="00085069" w:rsidP="00DD384A">
      <w:pPr>
        <w:pStyle w:val="AERrevisionbox"/>
        <w:shd w:val="clear" w:color="auto" w:fill="D9D9D9" w:themeFill="background1" w:themeFillShade="D9"/>
      </w:pPr>
      <w:r>
        <w:lastRenderedPageBreak/>
        <w:t xml:space="preserve">Replace </w:t>
      </w:r>
      <w:r w:rsidR="004E3AC5">
        <w:t xml:space="preserve">the definition of </w:t>
      </w:r>
      <w:r w:rsidR="00344D1B">
        <w:t>non-</w:t>
      </w:r>
      <w:r w:rsidR="004E3AC5">
        <w:t>recurrent efficiency gain</w:t>
      </w:r>
      <w:r w:rsidR="006916C7">
        <w:t>s</w:t>
      </w:r>
      <w:r w:rsidR="004E3AC5">
        <w:rPr>
          <w:vertAlign w:val="subscript"/>
        </w:rPr>
        <w:t>b</w:t>
      </w:r>
      <w:r w:rsidR="004E3AC5">
        <w:t xml:space="preserve"> in </w:t>
      </w:r>
      <w:r>
        <w:t>clause 3.</w:t>
      </w:r>
      <w:r w:rsidR="00162E53">
        <w:t>5</w:t>
      </w:r>
      <w:r>
        <w:t xml:space="preserve"> with the following:</w:t>
      </w:r>
    </w:p>
    <w:p w:rsidR="00085069" w:rsidRDefault="00344D1B" w:rsidP="00DD384A">
      <w:pPr>
        <w:pStyle w:val="AERrevisionbox"/>
        <w:shd w:val="clear" w:color="auto" w:fill="D9D9D9" w:themeFill="background1" w:themeFillShade="D9"/>
      </w:pPr>
      <w:r>
        <w:t>Non-</w:t>
      </w:r>
      <w:r w:rsidR="00085069">
        <w:t>recurrent efficiency gain</w:t>
      </w:r>
      <w:r w:rsidR="006916C7">
        <w:t>s</w:t>
      </w:r>
      <w:r w:rsidR="00085069">
        <w:rPr>
          <w:vertAlign w:val="subscript"/>
        </w:rPr>
        <w:t>b</w:t>
      </w:r>
      <w:r w:rsidR="00085069">
        <w:t xml:space="preserve"> means any non-recurrent efficiency gains which were achieved in the Base Year but removed by the Relevant Regulator for the purposes of forecasting operating expenditure for the Subsequent Access Arrangement Period on the basis that they were not likely to extend to years after the Base Year.</w:t>
      </w:r>
    </w:p>
    <w:p w:rsidR="00EE4DD1" w:rsidRDefault="00EE4DD1" w:rsidP="00DD384A">
      <w:pPr>
        <w:pStyle w:val="AERrevisionbox"/>
        <w:shd w:val="clear" w:color="auto" w:fill="auto"/>
      </w:pPr>
    </w:p>
    <w:p w:rsidR="002B36D9" w:rsidRDefault="002B36D9" w:rsidP="00A2356E">
      <w:pPr>
        <w:shd w:val="clear" w:color="auto" w:fill="D9D9D9" w:themeFill="background2" w:themeFillShade="D9"/>
      </w:pPr>
      <w:r>
        <w:t>Revision 9.6:</w:t>
      </w:r>
    </w:p>
    <w:p w:rsidR="00622583" w:rsidRDefault="00622583" w:rsidP="00A2356E">
      <w:pPr>
        <w:shd w:val="clear" w:color="auto" w:fill="D9D9D9" w:themeFill="background2" w:themeFillShade="D9"/>
      </w:pPr>
      <w:r>
        <w:t>Remove clause 3.8(a)(i).</w:t>
      </w:r>
    </w:p>
    <w:p w:rsidR="00EE4DD1" w:rsidRDefault="00EE4DD1" w:rsidP="00DD384A"/>
    <w:p w:rsidR="00EA7575" w:rsidRDefault="00EA7575" w:rsidP="00A2356E">
      <w:pPr>
        <w:shd w:val="clear" w:color="auto" w:fill="D9D9D9" w:themeFill="background2" w:themeFillShade="D9"/>
      </w:pPr>
      <w:r>
        <w:t>Revision 9.7:</w:t>
      </w:r>
    </w:p>
    <w:p w:rsidR="00A2356E" w:rsidRDefault="00A2356E" w:rsidP="00A2356E">
      <w:pPr>
        <w:shd w:val="clear" w:color="auto" w:fill="D9D9D9" w:themeFill="background2" w:themeFillShade="D9"/>
      </w:pPr>
      <w:r>
        <w:t>Remove clause 3.8(a)(ii).</w:t>
      </w:r>
    </w:p>
    <w:p w:rsidR="00EE4DD1" w:rsidRDefault="00EE4DD1" w:rsidP="00DD384A"/>
    <w:p w:rsidR="00EA7575" w:rsidRDefault="00EA7575" w:rsidP="00A2356E">
      <w:pPr>
        <w:shd w:val="clear" w:color="auto" w:fill="D9D9D9" w:themeFill="background2" w:themeFillShade="D9"/>
      </w:pPr>
      <w:r>
        <w:t>Revision 9.8:</w:t>
      </w:r>
    </w:p>
    <w:p w:rsidR="00EA7575" w:rsidRDefault="00622583" w:rsidP="00A2356E">
      <w:pPr>
        <w:shd w:val="clear" w:color="auto" w:fill="D9D9D9" w:themeFill="background2" w:themeFillShade="D9"/>
      </w:pPr>
      <w:r>
        <w:t>Remove clause 3.8(b)(</w:t>
      </w:r>
      <w:r w:rsidR="00A2356E">
        <w:t>i).</w:t>
      </w:r>
    </w:p>
    <w:p w:rsidR="00EE4DD1" w:rsidRDefault="00EE4DD1" w:rsidP="00DD384A"/>
    <w:p w:rsidR="00EA7575" w:rsidRDefault="00EA7575" w:rsidP="00A2356E">
      <w:pPr>
        <w:shd w:val="clear" w:color="auto" w:fill="D9D9D9" w:themeFill="background2" w:themeFillShade="D9"/>
      </w:pPr>
      <w:r>
        <w:t>Revision 9.9:</w:t>
      </w:r>
    </w:p>
    <w:p w:rsidR="00EA7575" w:rsidRDefault="00622583" w:rsidP="00A2356E">
      <w:pPr>
        <w:shd w:val="clear" w:color="auto" w:fill="D9D9D9" w:themeFill="background2" w:themeFillShade="D9"/>
      </w:pPr>
      <w:r>
        <w:t>Remove clause 3.8(b)(ii).</w:t>
      </w:r>
    </w:p>
    <w:p w:rsidR="00A2356E" w:rsidRDefault="00A2356E" w:rsidP="00A2356E">
      <w:pPr>
        <w:shd w:val="clear" w:color="auto" w:fill="D9D9D9" w:themeFill="background2" w:themeFillShade="D9"/>
      </w:pPr>
      <w:r>
        <w:t>Remove clause 3.8(b)(iii).</w:t>
      </w:r>
    </w:p>
    <w:p w:rsidR="00EE4DD1" w:rsidRDefault="00EE4DD1" w:rsidP="00DD384A"/>
    <w:p w:rsidR="00EA7575" w:rsidRDefault="00EA7575" w:rsidP="00622583">
      <w:pPr>
        <w:shd w:val="clear" w:color="auto" w:fill="D9D9D9" w:themeFill="background2" w:themeFillShade="D9"/>
      </w:pPr>
      <w:r>
        <w:t>Revision 9.10</w:t>
      </w:r>
      <w:r w:rsidR="00EE4DD1">
        <w:t>:</w:t>
      </w:r>
    </w:p>
    <w:p w:rsidR="00622583" w:rsidRDefault="00622583" w:rsidP="00622583">
      <w:pPr>
        <w:shd w:val="clear" w:color="auto" w:fill="D9D9D9" w:themeFill="background2" w:themeFillShade="D9"/>
      </w:pPr>
      <w:r>
        <w:t>Remove clause 3.8(b)(iv).</w:t>
      </w:r>
    </w:p>
    <w:p w:rsidR="00EE4DD1" w:rsidRDefault="00EE4DD1" w:rsidP="00DD384A"/>
    <w:p w:rsidR="00EA7575" w:rsidRDefault="00EA7575" w:rsidP="00622583">
      <w:pPr>
        <w:shd w:val="clear" w:color="auto" w:fill="D9D9D9" w:themeFill="background2" w:themeFillShade="D9"/>
      </w:pPr>
      <w:r>
        <w:t>Revision 9.11</w:t>
      </w:r>
      <w:r w:rsidR="00EE4DD1">
        <w:t>:</w:t>
      </w:r>
    </w:p>
    <w:p w:rsidR="00A2356E" w:rsidRDefault="00717F9F" w:rsidP="00A2356E">
      <w:pPr>
        <w:shd w:val="clear" w:color="auto" w:fill="D9D9D9" w:themeFill="background2" w:themeFillShade="D9"/>
      </w:pPr>
      <w:r>
        <w:t>Amend clause 3.8(b)(v)(A) to read “is not forecast using a single year revealed cost approach in the Access Arrangement Period immediately following this Access Arrangement (intended to commence 1 July 2021); and”</w:t>
      </w:r>
    </w:p>
    <w:p w:rsidR="00A2356E" w:rsidRDefault="00A2356E" w:rsidP="00A2356E">
      <w:pPr>
        <w:shd w:val="clear" w:color="auto" w:fill="D9D9D9" w:themeFill="background2" w:themeFillShade="D9"/>
      </w:pPr>
      <w:r>
        <w:t>Amend clause 3.8(b)(v)(B) to read “the Relevant Regulator determines, as part of a decision on revisions to apply to this Access Arrangement (and following consultation processes associated with that decision), to exclude from the operation of the incentive mechanism because it is satisfied that it would not promote the National Gas Objective</w:t>
      </w:r>
      <w:r w:rsidR="007D682F">
        <w:t>.</w:t>
      </w:r>
      <w:r>
        <w:t>”</w:t>
      </w:r>
    </w:p>
    <w:p w:rsidR="000E6ACC" w:rsidRDefault="000E6ACC" w:rsidP="00DD384A"/>
    <w:p w:rsidR="00EA7575" w:rsidRDefault="00EA7575" w:rsidP="00A2356E">
      <w:pPr>
        <w:shd w:val="clear" w:color="auto" w:fill="D9D9D9" w:themeFill="background2" w:themeFillShade="D9"/>
      </w:pPr>
      <w:r>
        <w:t>Revision 9.12</w:t>
      </w:r>
      <w:r w:rsidR="00EE4DD1">
        <w:t>:</w:t>
      </w:r>
    </w:p>
    <w:p w:rsidR="00A2356E" w:rsidRDefault="00A2356E" w:rsidP="00A2356E">
      <w:pPr>
        <w:shd w:val="clear" w:color="auto" w:fill="D9D9D9" w:themeFill="background2" w:themeFillShade="D9"/>
      </w:pPr>
      <w:r>
        <w:t xml:space="preserve">Amend clause 3.8(c) to read “the </w:t>
      </w:r>
      <w:r w:rsidR="00717F9F">
        <w:t xml:space="preserve">forecast </w:t>
      </w:r>
      <w:r>
        <w:t xml:space="preserve">operating expenditure amount for each year of Applicable Access Arrangement Period will be adjusted to </w:t>
      </w:r>
      <w:r w:rsidR="00DB6D99">
        <w:t xml:space="preserve">include </w:t>
      </w:r>
      <w:r>
        <w:t>any Determined Pass Through Amounts or other AER approved expenditure arising from Cost Pass Through Events whic</w:t>
      </w:r>
      <w:r w:rsidR="00A33934">
        <w:t>h apply in respect of that year</w:t>
      </w:r>
      <w:r w:rsidR="00DB6D99">
        <w:t>.</w:t>
      </w:r>
      <w:r>
        <w:t xml:space="preserve">” </w:t>
      </w:r>
    </w:p>
    <w:p w:rsidR="002B36D9" w:rsidRPr="002B36D9" w:rsidRDefault="002B36D9" w:rsidP="00DD384A"/>
    <w:p w:rsidR="002B36D9" w:rsidRDefault="002B36D9" w:rsidP="00AB4EB6">
      <w:pPr>
        <w:shd w:val="clear" w:color="auto" w:fill="D9D9D9" w:themeFill="background2" w:themeFillShade="D9"/>
      </w:pPr>
      <w:r>
        <w:t>Revision 9.</w:t>
      </w:r>
      <w:r w:rsidR="00EA7575">
        <w:t>13</w:t>
      </w:r>
      <w:r>
        <w:t>:</w:t>
      </w:r>
    </w:p>
    <w:p w:rsidR="00DA4889" w:rsidRDefault="00A2356E" w:rsidP="00AB4EB6">
      <w:pPr>
        <w:shd w:val="clear" w:color="auto" w:fill="D9D9D9" w:themeFill="background2" w:themeFillShade="D9"/>
      </w:pPr>
      <w:r>
        <w:t>Remove clause 3.9.</w:t>
      </w:r>
    </w:p>
    <w:p w:rsidR="002B36D9" w:rsidRPr="002B36D9" w:rsidRDefault="002B36D9" w:rsidP="00DD384A"/>
    <w:p w:rsidR="002B36D9" w:rsidRDefault="002B36D9" w:rsidP="00AB4EB6">
      <w:pPr>
        <w:shd w:val="clear" w:color="auto" w:fill="D9D9D9" w:themeFill="background2" w:themeFillShade="D9"/>
      </w:pPr>
      <w:r>
        <w:t>Revision 9.</w:t>
      </w:r>
      <w:r w:rsidR="00EA7575">
        <w:t>14</w:t>
      </w:r>
      <w:r>
        <w:t>:</w:t>
      </w:r>
    </w:p>
    <w:p w:rsidR="00121354" w:rsidRDefault="00121354" w:rsidP="00AB4EB6">
      <w:pPr>
        <w:shd w:val="clear" w:color="auto" w:fill="D9D9D9" w:themeFill="background2" w:themeFillShade="D9"/>
      </w:pPr>
      <w:r>
        <w:t>Remove clause 5.1(a).</w:t>
      </w:r>
    </w:p>
    <w:sectPr w:rsidR="00121354"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599" w:rsidRPr="00290C63" w:rsidRDefault="001D6599" w:rsidP="00290C63">
      <w:r>
        <w:separator/>
      </w:r>
    </w:p>
    <w:p w:rsidR="001D6599" w:rsidRDefault="001D6599"/>
  </w:endnote>
  <w:endnote w:type="continuationSeparator" w:id="0">
    <w:p w:rsidR="001D6599" w:rsidRPr="00290C63" w:rsidRDefault="001D6599" w:rsidP="00290C63">
      <w:r>
        <w:continuationSeparator/>
      </w:r>
    </w:p>
    <w:p w:rsidR="001D6599" w:rsidRDefault="001D6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Bold">
    <w:panose1 w:val="00000000000000000000"/>
    <w:charset w:val="00"/>
    <w:family w:val="auto"/>
    <w:notTrueType/>
    <w:pitch w:val="default"/>
    <w:sig w:usb0="00000003" w:usb1="00000000" w:usb2="00000000" w:usb3="00000000" w:csb0="00000001"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599" w:rsidRDefault="001D659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1D6599" w:rsidRDefault="001D6599">
    <w:pPr>
      <w:pStyle w:val="Footer"/>
    </w:pPr>
  </w:p>
  <w:p w:rsidR="001D6599" w:rsidRDefault="001D6599">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1D6599" w:rsidRPr="00CA52A2" w:rsidRDefault="001D6599" w:rsidP="00CA52A2">
        <w:pPr>
          <w:pStyle w:val="Footer"/>
        </w:pPr>
        <w:r w:rsidRPr="00CA52A2">
          <w:fldChar w:fldCharType="begin"/>
        </w:r>
        <w:r>
          <w:instrText xml:space="preserve"> PAGE   \* MERGEFORMAT </w:instrText>
        </w:r>
        <w:r w:rsidRPr="00CA52A2">
          <w:fldChar w:fldCharType="separate"/>
        </w:r>
        <w:r w:rsidR="00870821">
          <w:rPr>
            <w:noProof/>
          </w:rPr>
          <w:t>9-3</w:t>
        </w:r>
        <w:r w:rsidRPr="00CA52A2">
          <w:fldChar w:fldCharType="end"/>
        </w:r>
        <w:r w:rsidRPr="00CA52A2">
          <w:t xml:space="preserve">          Attachment </w:t>
        </w:r>
        <w:r>
          <w:t xml:space="preserve">9 </w:t>
        </w:r>
        <w:r w:rsidRPr="00CA52A2">
          <w:t xml:space="preserve">– </w:t>
        </w:r>
        <w:r>
          <w:t xml:space="preserve">Efficiency carryover mechanism </w:t>
        </w:r>
        <w:r w:rsidRPr="00CA52A2">
          <w:t xml:space="preserve">| </w:t>
        </w:r>
        <w:r>
          <w:t>Draft decision: ActewAGL Distribution Access Arrangement 2016</w:t>
        </w:r>
        <w:r w:rsidRPr="00CA52A2">
          <w:t>–</w:t>
        </w:r>
        <w:r>
          <w:t>21</w:t>
        </w:r>
      </w:p>
    </w:sdtContent>
  </w:sdt>
  <w:p w:rsidR="001D6599" w:rsidRDefault="001D6599">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599" w:rsidRPr="00290C63" w:rsidRDefault="001D6599" w:rsidP="00290C63">
      <w:r>
        <w:separator/>
      </w:r>
    </w:p>
    <w:p w:rsidR="001D6599" w:rsidRDefault="001D6599"/>
  </w:footnote>
  <w:footnote w:type="continuationSeparator" w:id="0">
    <w:p w:rsidR="001D6599" w:rsidRPr="00290C63" w:rsidRDefault="001D6599" w:rsidP="00290C63">
      <w:r>
        <w:continuationSeparator/>
      </w:r>
    </w:p>
    <w:p w:rsidR="001D6599" w:rsidRDefault="001D6599"/>
  </w:footnote>
  <w:footnote w:id="1">
    <w:p w:rsidR="001D6599" w:rsidRDefault="001D6599">
      <w:pPr>
        <w:pStyle w:val="FootnoteText"/>
      </w:pPr>
      <w:r>
        <w:rPr>
          <w:rStyle w:val="FootnoteReference"/>
        </w:rPr>
        <w:footnoteRef/>
      </w:r>
      <w:r>
        <w:t xml:space="preserve"> </w:t>
      </w:r>
      <w:r>
        <w:tab/>
        <w:t>Clause 4.6 of the 2010–15 access arrangement implies the base year would be year four of the 2010–15 access arrangement, that is, 2013–14.</w:t>
      </w:r>
    </w:p>
  </w:footnote>
  <w:footnote w:id="2">
    <w:p w:rsidR="001D6599" w:rsidRDefault="001D6599" w:rsidP="00B862DE">
      <w:pPr>
        <w:pStyle w:val="FootnoteText"/>
      </w:pPr>
      <w:r>
        <w:rPr>
          <w:rStyle w:val="FootnoteReference"/>
        </w:rPr>
        <w:footnoteRef/>
      </w:r>
      <w:r>
        <w:t xml:space="preserve"> </w:t>
      </w:r>
      <w:r>
        <w:tab/>
        <w:t>ActewAGL proposed a start year of 2015–16, which it considers consistent with the underlying intention of the incentive mechanism and the formula set out in the 2010–15access arrangement period.</w:t>
      </w:r>
    </w:p>
  </w:footnote>
  <w:footnote w:id="3">
    <w:p w:rsidR="001D6599" w:rsidRDefault="001D6599" w:rsidP="00A2356E">
      <w:pPr>
        <w:pStyle w:val="FootnoteText"/>
      </w:pPr>
      <w:r>
        <w:rPr>
          <w:rStyle w:val="FootnoteReference"/>
        </w:rPr>
        <w:footnoteRef/>
      </w:r>
      <w:r>
        <w:t xml:space="preserve"> </w:t>
      </w:r>
      <w:r>
        <w:tab/>
        <w:t xml:space="preserve">AER, </w:t>
      </w:r>
      <w:r w:rsidRPr="00B238AE">
        <w:rPr>
          <w:i/>
        </w:rPr>
        <w:t>Efficiency Benefit Sharing Scheme for Electricity Network Service Providers</w:t>
      </w:r>
      <w:r>
        <w:t>, November 2013.</w:t>
      </w:r>
    </w:p>
  </w:footnote>
  <w:footnote w:id="4">
    <w:p w:rsidR="001D6599" w:rsidRDefault="001D6599">
      <w:pPr>
        <w:pStyle w:val="FootnoteText"/>
      </w:pPr>
      <w:r>
        <w:rPr>
          <w:rStyle w:val="FootnoteReference"/>
        </w:rPr>
        <w:footnoteRef/>
      </w:r>
      <w:r>
        <w:t xml:space="preserve"> </w:t>
      </w:r>
      <w:r>
        <w:tab/>
        <w:t xml:space="preserve">ActewAGL, </w:t>
      </w:r>
      <w:r w:rsidRPr="00DD384A">
        <w:rPr>
          <w:rStyle w:val="AERtextitalic"/>
        </w:rPr>
        <w:t>Access arrangement for the ACT Queanbeyan and Palerang gas distribution network 1 July 2016 to 30 June 2021</w:t>
      </w:r>
      <w:r>
        <w:t>, July 2015, p. 5.</w:t>
      </w:r>
    </w:p>
  </w:footnote>
  <w:footnote w:id="5">
    <w:p w:rsidR="001D6599" w:rsidRDefault="001D6599" w:rsidP="00DA629D">
      <w:pPr>
        <w:pStyle w:val="FootnoteText"/>
      </w:pPr>
      <w:r>
        <w:rPr>
          <w:rStyle w:val="FootnoteReference"/>
        </w:rPr>
        <w:footnoteRef/>
      </w:r>
      <w:r>
        <w:t xml:space="preserve"> </w:t>
      </w:r>
      <w:r>
        <w:tab/>
        <w:t xml:space="preserve">ActewAGL, </w:t>
      </w:r>
      <w:r w:rsidRPr="00DD384A">
        <w:rPr>
          <w:rStyle w:val="AERtextitalic"/>
        </w:rPr>
        <w:t>Access arrangement for the ACT Queanbeyan and Palerang gas distribution network 1 July 2016 to 30 June 2021</w:t>
      </w:r>
      <w:r>
        <w:t xml:space="preserve">, July 2015, p. 8. </w:t>
      </w:r>
    </w:p>
  </w:footnote>
  <w:footnote w:id="6">
    <w:p w:rsidR="001D6599" w:rsidRDefault="001D6599" w:rsidP="00AC3BEE">
      <w:pPr>
        <w:pStyle w:val="FootnoteText"/>
      </w:pPr>
      <w:r>
        <w:rPr>
          <w:rStyle w:val="FootnoteReference"/>
        </w:rPr>
        <w:footnoteRef/>
      </w:r>
      <w:r>
        <w:t xml:space="preserve"> </w:t>
      </w:r>
      <w:r>
        <w:tab/>
        <w:t xml:space="preserve">ActewAGL, </w:t>
      </w:r>
      <w:r w:rsidRPr="00DD384A">
        <w:rPr>
          <w:rStyle w:val="AERtextitalic"/>
        </w:rPr>
        <w:t>Access arrangement for the ACT Queanbeyan and Palerang gas distribution network 1 July 2016 to 30 June 2021</w:t>
      </w:r>
      <w:r>
        <w:t>, July 2015, pp. 8–9 (clause 3.9).</w:t>
      </w:r>
    </w:p>
  </w:footnote>
  <w:footnote w:id="7">
    <w:p w:rsidR="001D6599" w:rsidRDefault="001D6599">
      <w:pPr>
        <w:pStyle w:val="FootnoteText"/>
      </w:pPr>
      <w:r>
        <w:rPr>
          <w:rStyle w:val="FootnoteReference"/>
        </w:rPr>
        <w:footnoteRef/>
      </w:r>
      <w:r>
        <w:t xml:space="preserve"> </w:t>
      </w:r>
      <w:r>
        <w:tab/>
        <w:t>NGR, r. 98(1)</w:t>
      </w:r>
      <w:r w:rsidR="00822F5F">
        <w:t>.</w:t>
      </w:r>
    </w:p>
  </w:footnote>
  <w:footnote w:id="8">
    <w:p w:rsidR="001D6599" w:rsidRDefault="001D6599" w:rsidP="00A2356E">
      <w:pPr>
        <w:pStyle w:val="FootnoteText"/>
      </w:pPr>
      <w:r>
        <w:rPr>
          <w:rStyle w:val="FootnoteReference"/>
        </w:rPr>
        <w:footnoteRef/>
      </w:r>
      <w:r>
        <w:t xml:space="preserve"> </w:t>
      </w:r>
      <w:r>
        <w:tab/>
        <w:t>NGR, r. 98(3).</w:t>
      </w:r>
    </w:p>
  </w:footnote>
  <w:footnote w:id="9">
    <w:p w:rsidR="001D6599" w:rsidRDefault="001D6599" w:rsidP="00A2356E">
      <w:pPr>
        <w:pStyle w:val="FootnoteText"/>
      </w:pPr>
      <w:r>
        <w:rPr>
          <w:rStyle w:val="FootnoteReference"/>
        </w:rPr>
        <w:footnoteRef/>
      </w:r>
      <w:r>
        <w:t xml:space="preserve"> </w:t>
      </w:r>
      <w:r>
        <w:tab/>
        <w:t>NGL, s. 24(3).</w:t>
      </w:r>
    </w:p>
  </w:footnote>
  <w:footnote w:id="10">
    <w:p w:rsidR="001D6599" w:rsidRDefault="001D6599" w:rsidP="00A2356E">
      <w:pPr>
        <w:pStyle w:val="FootnoteText"/>
      </w:pPr>
      <w:r>
        <w:rPr>
          <w:rStyle w:val="FootnoteReference"/>
        </w:rPr>
        <w:footnoteRef/>
      </w:r>
      <w:r>
        <w:t xml:space="preserve"> </w:t>
      </w:r>
      <w:r>
        <w:tab/>
        <w:t>NGL, s. 24(3).</w:t>
      </w:r>
    </w:p>
  </w:footnote>
  <w:footnote w:id="11">
    <w:p w:rsidR="001D6599" w:rsidRDefault="001D6599" w:rsidP="00C70C73">
      <w:pPr>
        <w:pStyle w:val="FootnoteText"/>
      </w:pPr>
      <w:r>
        <w:rPr>
          <w:rStyle w:val="FootnoteReference"/>
        </w:rPr>
        <w:footnoteRef/>
      </w:r>
      <w:r>
        <w:t xml:space="preserve"> </w:t>
      </w:r>
      <w:r>
        <w:tab/>
        <w:t>NGR, r. 40(3).</w:t>
      </w:r>
    </w:p>
  </w:footnote>
  <w:footnote w:id="12">
    <w:p w:rsidR="001D6599" w:rsidRDefault="001D6599" w:rsidP="005C0FF6">
      <w:pPr>
        <w:pStyle w:val="FootnoteText"/>
      </w:pPr>
      <w:r>
        <w:rPr>
          <w:rStyle w:val="FootnoteReference"/>
        </w:rPr>
        <w:footnoteRef/>
      </w:r>
      <w:r>
        <w:t xml:space="preserve"> </w:t>
      </w:r>
      <w:r>
        <w:tab/>
        <w:t xml:space="preserve">Consistent with our usual treatment of the incremental efficiency gain in the final year of the regulatory period, this amount is assumed to equal zero. </w:t>
      </w:r>
    </w:p>
  </w:footnote>
  <w:footnote w:id="13">
    <w:p w:rsidR="001D6599" w:rsidRPr="00A3424D" w:rsidRDefault="001D6599" w:rsidP="00B91215">
      <w:pPr>
        <w:pStyle w:val="FootnoteText"/>
      </w:pPr>
      <w:r>
        <w:rPr>
          <w:rStyle w:val="FootnoteReference"/>
        </w:rPr>
        <w:footnoteRef/>
      </w:r>
      <w:r>
        <w:t xml:space="preserve"> </w:t>
      </w:r>
      <w:r>
        <w:tab/>
        <w:t xml:space="preserve">AER, </w:t>
      </w:r>
      <w:r>
        <w:rPr>
          <w:i/>
        </w:rPr>
        <w:t>Efficiency Benefit Sharing Scheme for Electricity Providers</w:t>
      </w:r>
      <w:r w:rsidRPr="001A6C23">
        <w:t>,</w:t>
      </w:r>
      <w:r>
        <w:rPr>
          <w:i/>
        </w:rPr>
        <w:t xml:space="preserve"> </w:t>
      </w:r>
      <w:r>
        <w:t>November 2013.</w:t>
      </w:r>
    </w:p>
  </w:footnote>
  <w:footnote w:id="14">
    <w:p w:rsidR="001D6599" w:rsidRDefault="001D6599" w:rsidP="00A54823">
      <w:pPr>
        <w:pStyle w:val="FootnoteText"/>
      </w:pPr>
      <w:r>
        <w:rPr>
          <w:rStyle w:val="FootnoteReference"/>
        </w:rPr>
        <w:footnoteRef/>
      </w:r>
      <w:r>
        <w:t xml:space="preserve"> AER, </w:t>
      </w:r>
      <w:r w:rsidRPr="006502AC">
        <w:rPr>
          <w:i/>
        </w:rPr>
        <w:t>Efficiency Benefit Sharing Scheme for Electricity Network Service Providers</w:t>
      </w:r>
      <w:r w:rsidRPr="006502AC">
        <w:t>,</w:t>
      </w:r>
      <w:r>
        <w:t xml:space="preserve"> November 2013.</w:t>
      </w:r>
    </w:p>
  </w:footnote>
  <w:footnote w:id="15">
    <w:p w:rsidR="001D6599" w:rsidRDefault="001D6599">
      <w:pPr>
        <w:pStyle w:val="FootnoteText"/>
      </w:pPr>
      <w:r>
        <w:rPr>
          <w:rStyle w:val="FootnoteReference"/>
        </w:rPr>
        <w:footnoteRef/>
      </w:r>
      <w:r>
        <w:t xml:space="preserve"> </w:t>
      </w:r>
      <w:r>
        <w:tab/>
        <w:t xml:space="preserve">Attachment 7 contains our estimate of total opex that complies with the opex criteria. Insurance and superannuation costs have been forecast using a single year revealed cost approach. </w:t>
      </w:r>
    </w:p>
  </w:footnote>
  <w:footnote w:id="16">
    <w:p w:rsidR="001D6599" w:rsidRDefault="001D6599" w:rsidP="008731D6">
      <w:pPr>
        <w:pStyle w:val="FootnoteText"/>
      </w:pPr>
      <w:r>
        <w:rPr>
          <w:rStyle w:val="FootnoteReference"/>
        </w:rPr>
        <w:footnoteRef/>
      </w:r>
      <w:r>
        <w:t xml:space="preserve"> </w:t>
      </w:r>
      <w:r>
        <w:tab/>
        <w:t xml:space="preserve">In any case, we note these costs are more appropriately linked to clauses 2.1 to 2.4 of Schedule 4 of the proposed access arrangement rather than clauses 2.1 to 2.4 of Schedule 3 (which is the currently proposed text). </w:t>
      </w:r>
    </w:p>
  </w:footnote>
  <w:footnote w:id="17">
    <w:p w:rsidR="001D6599" w:rsidRDefault="001D6599">
      <w:pPr>
        <w:pStyle w:val="FootnoteText"/>
      </w:pPr>
      <w:r>
        <w:rPr>
          <w:rStyle w:val="FootnoteReference"/>
        </w:rPr>
        <w:footnoteRef/>
      </w:r>
      <w:r>
        <w:t xml:space="preserve"> </w:t>
      </w:r>
      <w:r>
        <w:tab/>
      </w:r>
      <w:hyperlink r:id="rId1" w:history="1">
        <w:r w:rsidRPr="00C90BEA">
          <w:t>AER</w:t>
        </w:r>
        <w:r>
          <w:t>,</w:t>
        </w:r>
        <w:r w:rsidRPr="00C90BEA">
          <w:t xml:space="preserve"> </w:t>
        </w:r>
        <w:r w:rsidRPr="00C90BEA">
          <w:rPr>
            <w:i/>
          </w:rPr>
          <w:t xml:space="preserve">Final decision JGN </w:t>
        </w:r>
        <w:r w:rsidR="00822F5F">
          <w:rPr>
            <w:i/>
          </w:rPr>
          <w:t xml:space="preserve">distribution access arrangement </w:t>
        </w:r>
        <w:r w:rsidR="00822F5F">
          <w:rPr>
            <w:i/>
          </w:rPr>
          <w:softHyphen/>
          <w:t xml:space="preserve">– </w:t>
        </w:r>
        <w:r w:rsidRPr="00C90BEA">
          <w:rPr>
            <w:i/>
          </w:rPr>
          <w:t>Approved Access Arrangement (clean)</w:t>
        </w:r>
      </w:hyperlink>
      <w:r>
        <w:t>, June 2015 p.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599" w:rsidRDefault="00870821">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1D6599">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599" w:rsidRDefault="00870821">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3E5F14"/>
    <w:multiLevelType w:val="hybridMultilevel"/>
    <w:tmpl w:val="B442C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2657239"/>
    <w:multiLevelType w:val="hybridMultilevel"/>
    <w:tmpl w:val="A4ACF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79C55BB"/>
    <w:multiLevelType w:val="hybridMultilevel"/>
    <w:tmpl w:val="6B784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AA83BE9"/>
    <w:multiLevelType w:val="hybridMultilevel"/>
    <w:tmpl w:val="40C2B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E1348B9"/>
    <w:multiLevelType w:val="hybridMultilevel"/>
    <w:tmpl w:val="3A6A6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0F97888"/>
    <w:multiLevelType w:val="hybridMultilevel"/>
    <w:tmpl w:val="A9966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AA1ABB"/>
    <w:multiLevelType w:val="hybridMultilevel"/>
    <w:tmpl w:val="5EB6D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72179D4"/>
    <w:multiLevelType w:val="hybridMultilevel"/>
    <w:tmpl w:val="20EA3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3">
    <w:nsid w:val="5ECE4384"/>
    <w:multiLevelType w:val="multilevel"/>
    <w:tmpl w:val="A95E303A"/>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433270D"/>
    <w:multiLevelType w:val="hybridMultilevel"/>
    <w:tmpl w:val="AB904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4"/>
  </w:num>
  <w:num w:numId="13">
    <w:abstractNumId w:val="25"/>
  </w:num>
  <w:num w:numId="14">
    <w:abstractNumId w:val="11"/>
  </w:num>
  <w:num w:numId="15">
    <w:abstractNumId w:val="14"/>
  </w:num>
  <w:num w:numId="16">
    <w:abstractNumId w:val="28"/>
  </w:num>
  <w:num w:numId="17">
    <w:abstractNumId w:val="10"/>
  </w:num>
  <w:num w:numId="18">
    <w:abstractNumId w:val="17"/>
  </w:num>
  <w:num w:numId="19">
    <w:abstractNumId w:val="29"/>
  </w:num>
  <w:num w:numId="20">
    <w:abstractNumId w:val="35"/>
  </w:num>
  <w:num w:numId="21">
    <w:abstractNumId w:val="32"/>
  </w:num>
  <w:num w:numId="22">
    <w:abstractNumId w:val="30"/>
  </w:num>
  <w:num w:numId="23">
    <w:abstractNumId w:val="20"/>
  </w:num>
  <w:num w:numId="24">
    <w:abstractNumId w:val="31"/>
  </w:num>
  <w:num w:numId="25">
    <w:abstractNumId w:val="33"/>
  </w:num>
  <w:num w:numId="26">
    <w:abstractNumId w:val="23"/>
  </w:num>
  <w:num w:numId="27">
    <w:abstractNumId w:val="15"/>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2"/>
  </w:num>
  <w:num w:numId="31">
    <w:abstractNumId w:val="16"/>
  </w:num>
  <w:num w:numId="32">
    <w:abstractNumId w:val="9"/>
  </w:num>
  <w:num w:numId="33">
    <w:abstractNumId w:val="19"/>
  </w:num>
  <w:num w:numId="34">
    <w:abstractNumId w:val="26"/>
  </w:num>
  <w:num w:numId="35">
    <w:abstractNumId w:val="36"/>
  </w:num>
  <w:num w:numId="36">
    <w:abstractNumId w:val="21"/>
  </w:num>
  <w:num w:numId="37">
    <w:abstractNumId w:val="24"/>
  </w:num>
  <w:num w:numId="38">
    <w:abstractNumId w:val="18"/>
  </w:num>
  <w:num w:numId="39">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79885">
      <o:colormenu v:ext="edit" fillcolor="none [671]"/>
    </o:shapedefaults>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2.docx"/>
  </w:docVars>
  <w:rsids>
    <w:rsidRoot w:val="00961A4A"/>
    <w:rsid w:val="00007054"/>
    <w:rsid w:val="00010286"/>
    <w:rsid w:val="00021202"/>
    <w:rsid w:val="00021C2B"/>
    <w:rsid w:val="0002517F"/>
    <w:rsid w:val="00026495"/>
    <w:rsid w:val="00026F62"/>
    <w:rsid w:val="000320DA"/>
    <w:rsid w:val="0003578C"/>
    <w:rsid w:val="00036D97"/>
    <w:rsid w:val="000374C3"/>
    <w:rsid w:val="000401AF"/>
    <w:rsid w:val="00043661"/>
    <w:rsid w:val="00052244"/>
    <w:rsid w:val="00055A73"/>
    <w:rsid w:val="00063247"/>
    <w:rsid w:val="00065607"/>
    <w:rsid w:val="00065DA7"/>
    <w:rsid w:val="00070F9F"/>
    <w:rsid w:val="0007137B"/>
    <w:rsid w:val="000742B7"/>
    <w:rsid w:val="0007695E"/>
    <w:rsid w:val="00082D08"/>
    <w:rsid w:val="000832DE"/>
    <w:rsid w:val="00083BEA"/>
    <w:rsid w:val="00085069"/>
    <w:rsid w:val="00085663"/>
    <w:rsid w:val="000856BA"/>
    <w:rsid w:val="00085EBF"/>
    <w:rsid w:val="00091B15"/>
    <w:rsid w:val="00092BCF"/>
    <w:rsid w:val="000A27A6"/>
    <w:rsid w:val="000A3020"/>
    <w:rsid w:val="000A5AF0"/>
    <w:rsid w:val="000A6C7B"/>
    <w:rsid w:val="000B302F"/>
    <w:rsid w:val="000B6C90"/>
    <w:rsid w:val="000B7B18"/>
    <w:rsid w:val="000C2B40"/>
    <w:rsid w:val="000C6B03"/>
    <w:rsid w:val="000C7625"/>
    <w:rsid w:val="000D0451"/>
    <w:rsid w:val="000D06C1"/>
    <w:rsid w:val="000D1013"/>
    <w:rsid w:val="000D122C"/>
    <w:rsid w:val="000D3016"/>
    <w:rsid w:val="000D4CD3"/>
    <w:rsid w:val="000E1819"/>
    <w:rsid w:val="000E1E1F"/>
    <w:rsid w:val="000E4821"/>
    <w:rsid w:val="000E5797"/>
    <w:rsid w:val="000E6ACC"/>
    <w:rsid w:val="000E6C72"/>
    <w:rsid w:val="000F0B2B"/>
    <w:rsid w:val="000F36D6"/>
    <w:rsid w:val="000F3E72"/>
    <w:rsid w:val="000F48B1"/>
    <w:rsid w:val="00100255"/>
    <w:rsid w:val="0010372B"/>
    <w:rsid w:val="00106F65"/>
    <w:rsid w:val="00116EB2"/>
    <w:rsid w:val="00121354"/>
    <w:rsid w:val="00124609"/>
    <w:rsid w:val="00126A4C"/>
    <w:rsid w:val="00130877"/>
    <w:rsid w:val="001323DB"/>
    <w:rsid w:val="001335A4"/>
    <w:rsid w:val="00142AB6"/>
    <w:rsid w:val="0014573B"/>
    <w:rsid w:val="00146975"/>
    <w:rsid w:val="00147F76"/>
    <w:rsid w:val="00153F58"/>
    <w:rsid w:val="001573E4"/>
    <w:rsid w:val="00157F38"/>
    <w:rsid w:val="00160756"/>
    <w:rsid w:val="00162E53"/>
    <w:rsid w:val="00163138"/>
    <w:rsid w:val="00165272"/>
    <w:rsid w:val="00165C57"/>
    <w:rsid w:val="00166C48"/>
    <w:rsid w:val="0017232E"/>
    <w:rsid w:val="00173DAF"/>
    <w:rsid w:val="00174102"/>
    <w:rsid w:val="001754EE"/>
    <w:rsid w:val="00176A7D"/>
    <w:rsid w:val="00180157"/>
    <w:rsid w:val="00181525"/>
    <w:rsid w:val="00183856"/>
    <w:rsid w:val="0018396E"/>
    <w:rsid w:val="00184C72"/>
    <w:rsid w:val="00185CB9"/>
    <w:rsid w:val="00186F77"/>
    <w:rsid w:val="001926A4"/>
    <w:rsid w:val="00192AD5"/>
    <w:rsid w:val="0019416B"/>
    <w:rsid w:val="001950E2"/>
    <w:rsid w:val="001A3AE2"/>
    <w:rsid w:val="001A6C23"/>
    <w:rsid w:val="001A74C4"/>
    <w:rsid w:val="001B45A0"/>
    <w:rsid w:val="001B6274"/>
    <w:rsid w:val="001B7AE2"/>
    <w:rsid w:val="001B7D00"/>
    <w:rsid w:val="001C7182"/>
    <w:rsid w:val="001C7D34"/>
    <w:rsid w:val="001D055E"/>
    <w:rsid w:val="001D3367"/>
    <w:rsid w:val="001D6599"/>
    <w:rsid w:val="001E1ECC"/>
    <w:rsid w:val="001F05A4"/>
    <w:rsid w:val="001F123E"/>
    <w:rsid w:val="001F2E86"/>
    <w:rsid w:val="001F3278"/>
    <w:rsid w:val="001F492E"/>
    <w:rsid w:val="001F6C78"/>
    <w:rsid w:val="001F6DA3"/>
    <w:rsid w:val="002010BC"/>
    <w:rsid w:val="002016E7"/>
    <w:rsid w:val="00201F98"/>
    <w:rsid w:val="00202E03"/>
    <w:rsid w:val="0020478D"/>
    <w:rsid w:val="0020492C"/>
    <w:rsid w:val="002100F6"/>
    <w:rsid w:val="00215AB6"/>
    <w:rsid w:val="0022441A"/>
    <w:rsid w:val="00224DB9"/>
    <w:rsid w:val="00227DCE"/>
    <w:rsid w:val="00230B19"/>
    <w:rsid w:val="002314D5"/>
    <w:rsid w:val="0023276C"/>
    <w:rsid w:val="002331B4"/>
    <w:rsid w:val="00233775"/>
    <w:rsid w:val="00237F93"/>
    <w:rsid w:val="00241DEC"/>
    <w:rsid w:val="0024339F"/>
    <w:rsid w:val="0025078C"/>
    <w:rsid w:val="00251745"/>
    <w:rsid w:val="00254A5C"/>
    <w:rsid w:val="002603AC"/>
    <w:rsid w:val="0026103D"/>
    <w:rsid w:val="0026267E"/>
    <w:rsid w:val="00263AC0"/>
    <w:rsid w:val="00264264"/>
    <w:rsid w:val="00264713"/>
    <w:rsid w:val="002673A2"/>
    <w:rsid w:val="0026772D"/>
    <w:rsid w:val="00270620"/>
    <w:rsid w:val="002752AD"/>
    <w:rsid w:val="00276D44"/>
    <w:rsid w:val="00286874"/>
    <w:rsid w:val="00290C63"/>
    <w:rsid w:val="00296B65"/>
    <w:rsid w:val="002A0D1C"/>
    <w:rsid w:val="002A1B5B"/>
    <w:rsid w:val="002A7DEF"/>
    <w:rsid w:val="002B1003"/>
    <w:rsid w:val="002B36D9"/>
    <w:rsid w:val="002B573C"/>
    <w:rsid w:val="002C233C"/>
    <w:rsid w:val="002C2412"/>
    <w:rsid w:val="002C3D82"/>
    <w:rsid w:val="002C5C08"/>
    <w:rsid w:val="002C6D9B"/>
    <w:rsid w:val="002D72E8"/>
    <w:rsid w:val="002D791F"/>
    <w:rsid w:val="002E1127"/>
    <w:rsid w:val="002E21FD"/>
    <w:rsid w:val="002E2512"/>
    <w:rsid w:val="002E37A2"/>
    <w:rsid w:val="002E5754"/>
    <w:rsid w:val="002E67FC"/>
    <w:rsid w:val="002E716E"/>
    <w:rsid w:val="002E7B22"/>
    <w:rsid w:val="002F4B10"/>
    <w:rsid w:val="002F7986"/>
    <w:rsid w:val="00301B40"/>
    <w:rsid w:val="003028A4"/>
    <w:rsid w:val="003029EE"/>
    <w:rsid w:val="0030370B"/>
    <w:rsid w:val="00303AC6"/>
    <w:rsid w:val="00305CC8"/>
    <w:rsid w:val="00306127"/>
    <w:rsid w:val="00307F6D"/>
    <w:rsid w:val="00313BED"/>
    <w:rsid w:val="003177A2"/>
    <w:rsid w:val="003202D8"/>
    <w:rsid w:val="003209A7"/>
    <w:rsid w:val="003257A3"/>
    <w:rsid w:val="003271B5"/>
    <w:rsid w:val="00327A1E"/>
    <w:rsid w:val="00331264"/>
    <w:rsid w:val="00334C8D"/>
    <w:rsid w:val="00336A9B"/>
    <w:rsid w:val="00343A18"/>
    <w:rsid w:val="00344473"/>
    <w:rsid w:val="003445C9"/>
    <w:rsid w:val="00344D1B"/>
    <w:rsid w:val="003507F2"/>
    <w:rsid w:val="003518B3"/>
    <w:rsid w:val="0035201C"/>
    <w:rsid w:val="00352258"/>
    <w:rsid w:val="003609E6"/>
    <w:rsid w:val="00366CBE"/>
    <w:rsid w:val="00371F4A"/>
    <w:rsid w:val="00376507"/>
    <w:rsid w:val="00380DB7"/>
    <w:rsid w:val="0038105A"/>
    <w:rsid w:val="003838B4"/>
    <w:rsid w:val="003846F1"/>
    <w:rsid w:val="00385B82"/>
    <w:rsid w:val="0039291C"/>
    <w:rsid w:val="00392FEC"/>
    <w:rsid w:val="003931A7"/>
    <w:rsid w:val="00393D70"/>
    <w:rsid w:val="003947BA"/>
    <w:rsid w:val="00394A7E"/>
    <w:rsid w:val="003A385C"/>
    <w:rsid w:val="003A48A4"/>
    <w:rsid w:val="003A6C22"/>
    <w:rsid w:val="003A7754"/>
    <w:rsid w:val="003A7F3A"/>
    <w:rsid w:val="003B484F"/>
    <w:rsid w:val="003B7FBA"/>
    <w:rsid w:val="003C06ED"/>
    <w:rsid w:val="003C33B0"/>
    <w:rsid w:val="003C443E"/>
    <w:rsid w:val="003D1476"/>
    <w:rsid w:val="003D3B21"/>
    <w:rsid w:val="003E2C8A"/>
    <w:rsid w:val="003E5ED1"/>
    <w:rsid w:val="003F0B61"/>
    <w:rsid w:val="003F174D"/>
    <w:rsid w:val="003F4450"/>
    <w:rsid w:val="003F7442"/>
    <w:rsid w:val="00404204"/>
    <w:rsid w:val="004054D5"/>
    <w:rsid w:val="00415F31"/>
    <w:rsid w:val="004202DC"/>
    <w:rsid w:val="00423A77"/>
    <w:rsid w:val="00425A43"/>
    <w:rsid w:val="0043124E"/>
    <w:rsid w:val="004337D1"/>
    <w:rsid w:val="004367DB"/>
    <w:rsid w:val="00437F89"/>
    <w:rsid w:val="00454210"/>
    <w:rsid w:val="0045777E"/>
    <w:rsid w:val="00463320"/>
    <w:rsid w:val="00465826"/>
    <w:rsid w:val="00466CA9"/>
    <w:rsid w:val="004744A2"/>
    <w:rsid w:val="00474EC7"/>
    <w:rsid w:val="00477972"/>
    <w:rsid w:val="00480B4B"/>
    <w:rsid w:val="004831A4"/>
    <w:rsid w:val="00485456"/>
    <w:rsid w:val="00485DC4"/>
    <w:rsid w:val="00486D3C"/>
    <w:rsid w:val="00487497"/>
    <w:rsid w:val="00487EE1"/>
    <w:rsid w:val="004A43D1"/>
    <w:rsid w:val="004A6BB8"/>
    <w:rsid w:val="004B355D"/>
    <w:rsid w:val="004B4266"/>
    <w:rsid w:val="004B4412"/>
    <w:rsid w:val="004C348C"/>
    <w:rsid w:val="004D3ACE"/>
    <w:rsid w:val="004D55BA"/>
    <w:rsid w:val="004D6C4E"/>
    <w:rsid w:val="004E22EC"/>
    <w:rsid w:val="004E3AC5"/>
    <w:rsid w:val="004E7B64"/>
    <w:rsid w:val="004F2D14"/>
    <w:rsid w:val="004F5B56"/>
    <w:rsid w:val="004F6A0E"/>
    <w:rsid w:val="004F7AAD"/>
    <w:rsid w:val="00501767"/>
    <w:rsid w:val="005066BF"/>
    <w:rsid w:val="00510434"/>
    <w:rsid w:val="00513A0E"/>
    <w:rsid w:val="005144CB"/>
    <w:rsid w:val="00516B2E"/>
    <w:rsid w:val="00530128"/>
    <w:rsid w:val="00532467"/>
    <w:rsid w:val="0053429A"/>
    <w:rsid w:val="00537FD6"/>
    <w:rsid w:val="00545D44"/>
    <w:rsid w:val="0055489B"/>
    <w:rsid w:val="00556B24"/>
    <w:rsid w:val="00557AD9"/>
    <w:rsid w:val="00563564"/>
    <w:rsid w:val="005636C1"/>
    <w:rsid w:val="00564A4D"/>
    <w:rsid w:val="0056588A"/>
    <w:rsid w:val="00567BA5"/>
    <w:rsid w:val="00571B35"/>
    <w:rsid w:val="00571B70"/>
    <w:rsid w:val="00571D57"/>
    <w:rsid w:val="00574D4C"/>
    <w:rsid w:val="005764BE"/>
    <w:rsid w:val="0057664D"/>
    <w:rsid w:val="00577A09"/>
    <w:rsid w:val="005829C2"/>
    <w:rsid w:val="00583B9C"/>
    <w:rsid w:val="0058400F"/>
    <w:rsid w:val="00584D8F"/>
    <w:rsid w:val="00585E0A"/>
    <w:rsid w:val="00586819"/>
    <w:rsid w:val="00587363"/>
    <w:rsid w:val="0059704C"/>
    <w:rsid w:val="005A404D"/>
    <w:rsid w:val="005A4E8A"/>
    <w:rsid w:val="005A70FB"/>
    <w:rsid w:val="005A78C1"/>
    <w:rsid w:val="005B140A"/>
    <w:rsid w:val="005B1E3C"/>
    <w:rsid w:val="005B3FB7"/>
    <w:rsid w:val="005B4ACB"/>
    <w:rsid w:val="005B5E8F"/>
    <w:rsid w:val="005B704A"/>
    <w:rsid w:val="005C0A7F"/>
    <w:rsid w:val="005C0FF6"/>
    <w:rsid w:val="005C26CC"/>
    <w:rsid w:val="005C3FC3"/>
    <w:rsid w:val="005C4C9C"/>
    <w:rsid w:val="005D48BE"/>
    <w:rsid w:val="005D7BA2"/>
    <w:rsid w:val="005E0D28"/>
    <w:rsid w:val="005E26BB"/>
    <w:rsid w:val="005E36C2"/>
    <w:rsid w:val="005E45CF"/>
    <w:rsid w:val="005E5108"/>
    <w:rsid w:val="005F1254"/>
    <w:rsid w:val="006007DE"/>
    <w:rsid w:val="00600B92"/>
    <w:rsid w:val="00601638"/>
    <w:rsid w:val="006056BA"/>
    <w:rsid w:val="006057AF"/>
    <w:rsid w:val="00605EA6"/>
    <w:rsid w:val="00610EF9"/>
    <w:rsid w:val="00612F4F"/>
    <w:rsid w:val="00615C6B"/>
    <w:rsid w:val="0061605F"/>
    <w:rsid w:val="006168CC"/>
    <w:rsid w:val="00621DCE"/>
    <w:rsid w:val="00621F76"/>
    <w:rsid w:val="00622583"/>
    <w:rsid w:val="00624050"/>
    <w:rsid w:val="00626A19"/>
    <w:rsid w:val="00631156"/>
    <w:rsid w:val="00632C7D"/>
    <w:rsid w:val="00632D6D"/>
    <w:rsid w:val="00642C3E"/>
    <w:rsid w:val="006438F7"/>
    <w:rsid w:val="006443F1"/>
    <w:rsid w:val="00644E53"/>
    <w:rsid w:val="006502AC"/>
    <w:rsid w:val="0065167E"/>
    <w:rsid w:val="00651C3A"/>
    <w:rsid w:val="00651CB2"/>
    <w:rsid w:val="006560CA"/>
    <w:rsid w:val="00660A38"/>
    <w:rsid w:val="0066104A"/>
    <w:rsid w:val="00663DAD"/>
    <w:rsid w:val="00665649"/>
    <w:rsid w:val="00666841"/>
    <w:rsid w:val="006672AA"/>
    <w:rsid w:val="00667F5E"/>
    <w:rsid w:val="00675D32"/>
    <w:rsid w:val="00675E20"/>
    <w:rsid w:val="00676679"/>
    <w:rsid w:val="00683C89"/>
    <w:rsid w:val="006847B0"/>
    <w:rsid w:val="006916C7"/>
    <w:rsid w:val="00691D9A"/>
    <w:rsid w:val="00696A14"/>
    <w:rsid w:val="006A600C"/>
    <w:rsid w:val="006B2395"/>
    <w:rsid w:val="006B45A4"/>
    <w:rsid w:val="006B4CF9"/>
    <w:rsid w:val="006B751B"/>
    <w:rsid w:val="006B785B"/>
    <w:rsid w:val="006B7AC8"/>
    <w:rsid w:val="006C1736"/>
    <w:rsid w:val="006C4798"/>
    <w:rsid w:val="006C5259"/>
    <w:rsid w:val="006C75D7"/>
    <w:rsid w:val="006D550F"/>
    <w:rsid w:val="006F3144"/>
    <w:rsid w:val="006F3AD1"/>
    <w:rsid w:val="006F3FC8"/>
    <w:rsid w:val="0070011E"/>
    <w:rsid w:val="00700375"/>
    <w:rsid w:val="00701CAB"/>
    <w:rsid w:val="007026F7"/>
    <w:rsid w:val="00703A76"/>
    <w:rsid w:val="0070704B"/>
    <w:rsid w:val="00707563"/>
    <w:rsid w:val="0070792D"/>
    <w:rsid w:val="00710EA2"/>
    <w:rsid w:val="00717F9F"/>
    <w:rsid w:val="00721BF9"/>
    <w:rsid w:val="0072348C"/>
    <w:rsid w:val="00724A37"/>
    <w:rsid w:val="007303C3"/>
    <w:rsid w:val="007339D1"/>
    <w:rsid w:val="00741C46"/>
    <w:rsid w:val="00741E23"/>
    <w:rsid w:val="007429BE"/>
    <w:rsid w:val="00743223"/>
    <w:rsid w:val="007445D0"/>
    <w:rsid w:val="00746E01"/>
    <w:rsid w:val="00747EEA"/>
    <w:rsid w:val="007505CE"/>
    <w:rsid w:val="007511FC"/>
    <w:rsid w:val="00751698"/>
    <w:rsid w:val="007529BD"/>
    <w:rsid w:val="00753DB9"/>
    <w:rsid w:val="00757364"/>
    <w:rsid w:val="00757BDF"/>
    <w:rsid w:val="007601ED"/>
    <w:rsid w:val="007609D0"/>
    <w:rsid w:val="00763E5D"/>
    <w:rsid w:val="00767740"/>
    <w:rsid w:val="0077661E"/>
    <w:rsid w:val="00777EE6"/>
    <w:rsid w:val="007827A2"/>
    <w:rsid w:val="00782EEA"/>
    <w:rsid w:val="00786D0C"/>
    <w:rsid w:val="00786DEE"/>
    <w:rsid w:val="00787611"/>
    <w:rsid w:val="00791AA8"/>
    <w:rsid w:val="00795340"/>
    <w:rsid w:val="007A1F9A"/>
    <w:rsid w:val="007A63F4"/>
    <w:rsid w:val="007A7C24"/>
    <w:rsid w:val="007B186E"/>
    <w:rsid w:val="007B2C72"/>
    <w:rsid w:val="007B7DC3"/>
    <w:rsid w:val="007C169D"/>
    <w:rsid w:val="007C1C53"/>
    <w:rsid w:val="007C473C"/>
    <w:rsid w:val="007C6A42"/>
    <w:rsid w:val="007C74BB"/>
    <w:rsid w:val="007C7C29"/>
    <w:rsid w:val="007D363B"/>
    <w:rsid w:val="007D456E"/>
    <w:rsid w:val="007D682F"/>
    <w:rsid w:val="007E1CA5"/>
    <w:rsid w:val="007E4904"/>
    <w:rsid w:val="007E4975"/>
    <w:rsid w:val="007E4CB5"/>
    <w:rsid w:val="007F066B"/>
    <w:rsid w:val="007F0FBC"/>
    <w:rsid w:val="007F213A"/>
    <w:rsid w:val="007F68CB"/>
    <w:rsid w:val="007F75C4"/>
    <w:rsid w:val="008033C4"/>
    <w:rsid w:val="00806C88"/>
    <w:rsid w:val="0081034E"/>
    <w:rsid w:val="008221F2"/>
    <w:rsid w:val="00822F5F"/>
    <w:rsid w:val="00825985"/>
    <w:rsid w:val="00830F1B"/>
    <w:rsid w:val="00831345"/>
    <w:rsid w:val="008344F6"/>
    <w:rsid w:val="0083510F"/>
    <w:rsid w:val="008408C5"/>
    <w:rsid w:val="008428C9"/>
    <w:rsid w:val="00845D3A"/>
    <w:rsid w:val="00845DEC"/>
    <w:rsid w:val="00846397"/>
    <w:rsid w:val="00850855"/>
    <w:rsid w:val="00851209"/>
    <w:rsid w:val="008548FF"/>
    <w:rsid w:val="00854A96"/>
    <w:rsid w:val="00855764"/>
    <w:rsid w:val="0085722A"/>
    <w:rsid w:val="00864B35"/>
    <w:rsid w:val="00865973"/>
    <w:rsid w:val="00865C69"/>
    <w:rsid w:val="008700D9"/>
    <w:rsid w:val="00870821"/>
    <w:rsid w:val="008731D6"/>
    <w:rsid w:val="00877845"/>
    <w:rsid w:val="00882481"/>
    <w:rsid w:val="00882780"/>
    <w:rsid w:val="008837AC"/>
    <w:rsid w:val="008837F9"/>
    <w:rsid w:val="00885F6B"/>
    <w:rsid w:val="00897517"/>
    <w:rsid w:val="008A587D"/>
    <w:rsid w:val="008B35CD"/>
    <w:rsid w:val="008B3C97"/>
    <w:rsid w:val="008B5FCC"/>
    <w:rsid w:val="008B7544"/>
    <w:rsid w:val="008C3374"/>
    <w:rsid w:val="008C3613"/>
    <w:rsid w:val="008C3A92"/>
    <w:rsid w:val="008C3C9E"/>
    <w:rsid w:val="008C3D67"/>
    <w:rsid w:val="008C5486"/>
    <w:rsid w:val="008C708B"/>
    <w:rsid w:val="008C740A"/>
    <w:rsid w:val="008D1661"/>
    <w:rsid w:val="008D6800"/>
    <w:rsid w:val="008E10B4"/>
    <w:rsid w:val="008E139F"/>
    <w:rsid w:val="008E6520"/>
    <w:rsid w:val="008E7031"/>
    <w:rsid w:val="008E77DE"/>
    <w:rsid w:val="008F07A3"/>
    <w:rsid w:val="008F34DD"/>
    <w:rsid w:val="008F4367"/>
    <w:rsid w:val="008F4EC1"/>
    <w:rsid w:val="009001B6"/>
    <w:rsid w:val="00900E1B"/>
    <w:rsid w:val="00901C3C"/>
    <w:rsid w:val="0090257E"/>
    <w:rsid w:val="0090333F"/>
    <w:rsid w:val="00905CC1"/>
    <w:rsid w:val="00911658"/>
    <w:rsid w:val="009233EE"/>
    <w:rsid w:val="00926CE6"/>
    <w:rsid w:val="009272AD"/>
    <w:rsid w:val="009277DC"/>
    <w:rsid w:val="00930B15"/>
    <w:rsid w:val="00934919"/>
    <w:rsid w:val="00935F0C"/>
    <w:rsid w:val="00936985"/>
    <w:rsid w:val="00941CB2"/>
    <w:rsid w:val="009460AA"/>
    <w:rsid w:val="00946247"/>
    <w:rsid w:val="009473D7"/>
    <w:rsid w:val="00947A2A"/>
    <w:rsid w:val="00951978"/>
    <w:rsid w:val="00951FF3"/>
    <w:rsid w:val="0095389D"/>
    <w:rsid w:val="00957D7F"/>
    <w:rsid w:val="00961A4A"/>
    <w:rsid w:val="00961F14"/>
    <w:rsid w:val="009661DE"/>
    <w:rsid w:val="00976A02"/>
    <w:rsid w:val="009804FE"/>
    <w:rsid w:val="00981DEB"/>
    <w:rsid w:val="00983C25"/>
    <w:rsid w:val="009856B7"/>
    <w:rsid w:val="00985C86"/>
    <w:rsid w:val="009878D0"/>
    <w:rsid w:val="009A45BF"/>
    <w:rsid w:val="009A5113"/>
    <w:rsid w:val="009A5FC3"/>
    <w:rsid w:val="009B6F84"/>
    <w:rsid w:val="009B74B0"/>
    <w:rsid w:val="009B7E25"/>
    <w:rsid w:val="009C1870"/>
    <w:rsid w:val="009C3180"/>
    <w:rsid w:val="009D3906"/>
    <w:rsid w:val="009D44E4"/>
    <w:rsid w:val="009D6B46"/>
    <w:rsid w:val="009F4940"/>
    <w:rsid w:val="009F5BA1"/>
    <w:rsid w:val="00A02A88"/>
    <w:rsid w:val="00A0562E"/>
    <w:rsid w:val="00A06085"/>
    <w:rsid w:val="00A0718A"/>
    <w:rsid w:val="00A0726D"/>
    <w:rsid w:val="00A1745A"/>
    <w:rsid w:val="00A17F7B"/>
    <w:rsid w:val="00A2356E"/>
    <w:rsid w:val="00A25A6F"/>
    <w:rsid w:val="00A32C04"/>
    <w:rsid w:val="00A32FBB"/>
    <w:rsid w:val="00A33934"/>
    <w:rsid w:val="00A3424D"/>
    <w:rsid w:val="00A37990"/>
    <w:rsid w:val="00A428EE"/>
    <w:rsid w:val="00A4478A"/>
    <w:rsid w:val="00A44852"/>
    <w:rsid w:val="00A4650A"/>
    <w:rsid w:val="00A50502"/>
    <w:rsid w:val="00A51C3C"/>
    <w:rsid w:val="00A54823"/>
    <w:rsid w:val="00A57D04"/>
    <w:rsid w:val="00A604DD"/>
    <w:rsid w:val="00A60A26"/>
    <w:rsid w:val="00A61598"/>
    <w:rsid w:val="00A6300A"/>
    <w:rsid w:val="00A706B4"/>
    <w:rsid w:val="00A84A99"/>
    <w:rsid w:val="00A84B99"/>
    <w:rsid w:val="00A84F46"/>
    <w:rsid w:val="00A85016"/>
    <w:rsid w:val="00A871F4"/>
    <w:rsid w:val="00AB14D6"/>
    <w:rsid w:val="00AB17F7"/>
    <w:rsid w:val="00AB1E45"/>
    <w:rsid w:val="00AB2022"/>
    <w:rsid w:val="00AB2DA6"/>
    <w:rsid w:val="00AB4EB6"/>
    <w:rsid w:val="00AB7775"/>
    <w:rsid w:val="00AC1B2C"/>
    <w:rsid w:val="00AC3264"/>
    <w:rsid w:val="00AC3BEE"/>
    <w:rsid w:val="00AC4BDD"/>
    <w:rsid w:val="00AD41E1"/>
    <w:rsid w:val="00AE0D16"/>
    <w:rsid w:val="00AE1BF1"/>
    <w:rsid w:val="00AF0DD2"/>
    <w:rsid w:val="00AF2F9C"/>
    <w:rsid w:val="00B0209D"/>
    <w:rsid w:val="00B07CAA"/>
    <w:rsid w:val="00B07CEA"/>
    <w:rsid w:val="00B13048"/>
    <w:rsid w:val="00B167D9"/>
    <w:rsid w:val="00B1716D"/>
    <w:rsid w:val="00B17A1D"/>
    <w:rsid w:val="00B207A0"/>
    <w:rsid w:val="00B238AE"/>
    <w:rsid w:val="00B244A7"/>
    <w:rsid w:val="00B24AD7"/>
    <w:rsid w:val="00B24E06"/>
    <w:rsid w:val="00B43861"/>
    <w:rsid w:val="00B50EC6"/>
    <w:rsid w:val="00B514DD"/>
    <w:rsid w:val="00B51F3F"/>
    <w:rsid w:val="00B52AF0"/>
    <w:rsid w:val="00B561BD"/>
    <w:rsid w:val="00B56C55"/>
    <w:rsid w:val="00B56E03"/>
    <w:rsid w:val="00B61635"/>
    <w:rsid w:val="00B61EDF"/>
    <w:rsid w:val="00B6687B"/>
    <w:rsid w:val="00B71D67"/>
    <w:rsid w:val="00B72978"/>
    <w:rsid w:val="00B757A6"/>
    <w:rsid w:val="00B8080B"/>
    <w:rsid w:val="00B82223"/>
    <w:rsid w:val="00B862DE"/>
    <w:rsid w:val="00B87BA5"/>
    <w:rsid w:val="00B87C39"/>
    <w:rsid w:val="00B91215"/>
    <w:rsid w:val="00B94810"/>
    <w:rsid w:val="00B9562D"/>
    <w:rsid w:val="00B95E79"/>
    <w:rsid w:val="00BA0499"/>
    <w:rsid w:val="00BA2BB3"/>
    <w:rsid w:val="00BA4665"/>
    <w:rsid w:val="00BA71BC"/>
    <w:rsid w:val="00BB2FB2"/>
    <w:rsid w:val="00BB3304"/>
    <w:rsid w:val="00BB67AB"/>
    <w:rsid w:val="00BB7528"/>
    <w:rsid w:val="00BC2BEB"/>
    <w:rsid w:val="00BC2F71"/>
    <w:rsid w:val="00BC33B5"/>
    <w:rsid w:val="00BC7125"/>
    <w:rsid w:val="00BD2C64"/>
    <w:rsid w:val="00BD310B"/>
    <w:rsid w:val="00BD3446"/>
    <w:rsid w:val="00BD34FA"/>
    <w:rsid w:val="00BD3642"/>
    <w:rsid w:val="00BE156E"/>
    <w:rsid w:val="00BE1F1B"/>
    <w:rsid w:val="00BE2860"/>
    <w:rsid w:val="00BE47B5"/>
    <w:rsid w:val="00BE7BFC"/>
    <w:rsid w:val="00BF5D24"/>
    <w:rsid w:val="00C04223"/>
    <w:rsid w:val="00C16239"/>
    <w:rsid w:val="00C17BCF"/>
    <w:rsid w:val="00C2172A"/>
    <w:rsid w:val="00C23511"/>
    <w:rsid w:val="00C25FA6"/>
    <w:rsid w:val="00C300FE"/>
    <w:rsid w:val="00C33DD8"/>
    <w:rsid w:val="00C34033"/>
    <w:rsid w:val="00C35118"/>
    <w:rsid w:val="00C4019A"/>
    <w:rsid w:val="00C40450"/>
    <w:rsid w:val="00C42ACA"/>
    <w:rsid w:val="00C538A9"/>
    <w:rsid w:val="00C53B5A"/>
    <w:rsid w:val="00C54F5A"/>
    <w:rsid w:val="00C56313"/>
    <w:rsid w:val="00C569B4"/>
    <w:rsid w:val="00C56A3E"/>
    <w:rsid w:val="00C57966"/>
    <w:rsid w:val="00C60C09"/>
    <w:rsid w:val="00C62F30"/>
    <w:rsid w:val="00C66958"/>
    <w:rsid w:val="00C67A92"/>
    <w:rsid w:val="00C70C73"/>
    <w:rsid w:val="00C7497E"/>
    <w:rsid w:val="00C82D56"/>
    <w:rsid w:val="00C84560"/>
    <w:rsid w:val="00C84F52"/>
    <w:rsid w:val="00C86679"/>
    <w:rsid w:val="00C87090"/>
    <w:rsid w:val="00C90BEA"/>
    <w:rsid w:val="00C913EF"/>
    <w:rsid w:val="00CA0979"/>
    <w:rsid w:val="00CA14DF"/>
    <w:rsid w:val="00CA489E"/>
    <w:rsid w:val="00CA5169"/>
    <w:rsid w:val="00CA52A2"/>
    <w:rsid w:val="00CA5974"/>
    <w:rsid w:val="00CB0279"/>
    <w:rsid w:val="00CB666B"/>
    <w:rsid w:val="00CC5A71"/>
    <w:rsid w:val="00CC70BB"/>
    <w:rsid w:val="00CC7F1D"/>
    <w:rsid w:val="00CD1992"/>
    <w:rsid w:val="00CD3729"/>
    <w:rsid w:val="00CE27B1"/>
    <w:rsid w:val="00CE3994"/>
    <w:rsid w:val="00CE484B"/>
    <w:rsid w:val="00CF0DEE"/>
    <w:rsid w:val="00CF4847"/>
    <w:rsid w:val="00CF6EDE"/>
    <w:rsid w:val="00D0030C"/>
    <w:rsid w:val="00D006AE"/>
    <w:rsid w:val="00D01CF0"/>
    <w:rsid w:val="00D01EFD"/>
    <w:rsid w:val="00D029FC"/>
    <w:rsid w:val="00D0442A"/>
    <w:rsid w:val="00D113E6"/>
    <w:rsid w:val="00D12B6F"/>
    <w:rsid w:val="00D15CA2"/>
    <w:rsid w:val="00D17683"/>
    <w:rsid w:val="00D17D93"/>
    <w:rsid w:val="00D21F2E"/>
    <w:rsid w:val="00D42A31"/>
    <w:rsid w:val="00D43362"/>
    <w:rsid w:val="00D45608"/>
    <w:rsid w:val="00D45694"/>
    <w:rsid w:val="00D4687B"/>
    <w:rsid w:val="00D5633F"/>
    <w:rsid w:val="00D60A6F"/>
    <w:rsid w:val="00D61388"/>
    <w:rsid w:val="00D61A54"/>
    <w:rsid w:val="00D642C0"/>
    <w:rsid w:val="00D64DEA"/>
    <w:rsid w:val="00D7168E"/>
    <w:rsid w:val="00D7170F"/>
    <w:rsid w:val="00D71E57"/>
    <w:rsid w:val="00D73A34"/>
    <w:rsid w:val="00D7408A"/>
    <w:rsid w:val="00D75AA2"/>
    <w:rsid w:val="00D80893"/>
    <w:rsid w:val="00D84854"/>
    <w:rsid w:val="00D848B4"/>
    <w:rsid w:val="00D92CF1"/>
    <w:rsid w:val="00D92D16"/>
    <w:rsid w:val="00D92D38"/>
    <w:rsid w:val="00D94766"/>
    <w:rsid w:val="00D950F5"/>
    <w:rsid w:val="00DA4752"/>
    <w:rsid w:val="00DA4889"/>
    <w:rsid w:val="00DA61F3"/>
    <w:rsid w:val="00DA629D"/>
    <w:rsid w:val="00DA6B93"/>
    <w:rsid w:val="00DB0F93"/>
    <w:rsid w:val="00DB153A"/>
    <w:rsid w:val="00DB1A67"/>
    <w:rsid w:val="00DB209B"/>
    <w:rsid w:val="00DB4BB4"/>
    <w:rsid w:val="00DB5074"/>
    <w:rsid w:val="00DB5B21"/>
    <w:rsid w:val="00DB6740"/>
    <w:rsid w:val="00DB6D99"/>
    <w:rsid w:val="00DC4CEB"/>
    <w:rsid w:val="00DC6E6C"/>
    <w:rsid w:val="00DC6FCA"/>
    <w:rsid w:val="00DC7981"/>
    <w:rsid w:val="00DD384A"/>
    <w:rsid w:val="00DE1093"/>
    <w:rsid w:val="00DE4EFA"/>
    <w:rsid w:val="00DE5520"/>
    <w:rsid w:val="00DE563D"/>
    <w:rsid w:val="00DE5E2E"/>
    <w:rsid w:val="00DE772C"/>
    <w:rsid w:val="00DE7F9C"/>
    <w:rsid w:val="00DF312A"/>
    <w:rsid w:val="00DF66AB"/>
    <w:rsid w:val="00E00CA3"/>
    <w:rsid w:val="00E0393F"/>
    <w:rsid w:val="00E04818"/>
    <w:rsid w:val="00E06442"/>
    <w:rsid w:val="00E06BCF"/>
    <w:rsid w:val="00E1001C"/>
    <w:rsid w:val="00E126AD"/>
    <w:rsid w:val="00E23993"/>
    <w:rsid w:val="00E24C24"/>
    <w:rsid w:val="00E257D6"/>
    <w:rsid w:val="00E25B8C"/>
    <w:rsid w:val="00E27F7C"/>
    <w:rsid w:val="00E34229"/>
    <w:rsid w:val="00E44824"/>
    <w:rsid w:val="00E44FB7"/>
    <w:rsid w:val="00E51D65"/>
    <w:rsid w:val="00E5310F"/>
    <w:rsid w:val="00E601CF"/>
    <w:rsid w:val="00E60500"/>
    <w:rsid w:val="00E6200B"/>
    <w:rsid w:val="00E62751"/>
    <w:rsid w:val="00E65C85"/>
    <w:rsid w:val="00E66199"/>
    <w:rsid w:val="00E70B41"/>
    <w:rsid w:val="00E711C7"/>
    <w:rsid w:val="00E72E99"/>
    <w:rsid w:val="00E755EC"/>
    <w:rsid w:val="00E7624D"/>
    <w:rsid w:val="00E853FB"/>
    <w:rsid w:val="00E93D3D"/>
    <w:rsid w:val="00EA30B7"/>
    <w:rsid w:val="00EA37FE"/>
    <w:rsid w:val="00EA3D42"/>
    <w:rsid w:val="00EA6B1B"/>
    <w:rsid w:val="00EA6DE2"/>
    <w:rsid w:val="00EA7575"/>
    <w:rsid w:val="00EB48D8"/>
    <w:rsid w:val="00EB5BC8"/>
    <w:rsid w:val="00EB606C"/>
    <w:rsid w:val="00EC04F1"/>
    <w:rsid w:val="00EC24CD"/>
    <w:rsid w:val="00EC511A"/>
    <w:rsid w:val="00EC5737"/>
    <w:rsid w:val="00EC5937"/>
    <w:rsid w:val="00EC7623"/>
    <w:rsid w:val="00ED0EC2"/>
    <w:rsid w:val="00ED1CE0"/>
    <w:rsid w:val="00ED7323"/>
    <w:rsid w:val="00EE28F3"/>
    <w:rsid w:val="00EE4DD1"/>
    <w:rsid w:val="00EE50D1"/>
    <w:rsid w:val="00EE77FA"/>
    <w:rsid w:val="00EF02ED"/>
    <w:rsid w:val="00EF5110"/>
    <w:rsid w:val="00EF6441"/>
    <w:rsid w:val="00F00480"/>
    <w:rsid w:val="00F0334E"/>
    <w:rsid w:val="00F04B3C"/>
    <w:rsid w:val="00F0515D"/>
    <w:rsid w:val="00F0647A"/>
    <w:rsid w:val="00F10411"/>
    <w:rsid w:val="00F15882"/>
    <w:rsid w:val="00F171E0"/>
    <w:rsid w:val="00F20BD3"/>
    <w:rsid w:val="00F246DD"/>
    <w:rsid w:val="00F2526A"/>
    <w:rsid w:val="00F31E31"/>
    <w:rsid w:val="00F3716F"/>
    <w:rsid w:val="00F373A5"/>
    <w:rsid w:val="00F37C21"/>
    <w:rsid w:val="00F47299"/>
    <w:rsid w:val="00F47559"/>
    <w:rsid w:val="00F523EE"/>
    <w:rsid w:val="00F61176"/>
    <w:rsid w:val="00F61308"/>
    <w:rsid w:val="00F64C7B"/>
    <w:rsid w:val="00F65B25"/>
    <w:rsid w:val="00F6699B"/>
    <w:rsid w:val="00F676DD"/>
    <w:rsid w:val="00F71667"/>
    <w:rsid w:val="00F7325C"/>
    <w:rsid w:val="00F7508C"/>
    <w:rsid w:val="00F75A26"/>
    <w:rsid w:val="00F76706"/>
    <w:rsid w:val="00F768C8"/>
    <w:rsid w:val="00F76DBF"/>
    <w:rsid w:val="00F81B8D"/>
    <w:rsid w:val="00F83FAD"/>
    <w:rsid w:val="00F8653A"/>
    <w:rsid w:val="00F92349"/>
    <w:rsid w:val="00F952A0"/>
    <w:rsid w:val="00F97851"/>
    <w:rsid w:val="00FA015D"/>
    <w:rsid w:val="00FA3C7F"/>
    <w:rsid w:val="00FB4402"/>
    <w:rsid w:val="00FB515F"/>
    <w:rsid w:val="00FB60FE"/>
    <w:rsid w:val="00FB64BB"/>
    <w:rsid w:val="00FB74A1"/>
    <w:rsid w:val="00FB74E2"/>
    <w:rsid w:val="00FC71DC"/>
    <w:rsid w:val="00FC7365"/>
    <w:rsid w:val="00FD2ED2"/>
    <w:rsid w:val="00FD5614"/>
    <w:rsid w:val="00FD5E78"/>
    <w:rsid w:val="00FD696E"/>
    <w:rsid w:val="00FD69E1"/>
    <w:rsid w:val="00FD7A58"/>
    <w:rsid w:val="00FE0BE1"/>
    <w:rsid w:val="00FE1BC4"/>
    <w:rsid w:val="00FE1DE9"/>
    <w:rsid w:val="00FE3502"/>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colormenu v:ext="edit" fillcolor="none [67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Normal"/>
    <w:qFormat/>
    <w:rsid w:val="00666841"/>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character" w:customStyle="1" w:styleId="accc-document-title">
    <w:name w:val="accc-document-title"/>
    <w:basedOn w:val="DefaultParagraphFont"/>
    <w:rsid w:val="007D68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uiPriority="0"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Normal"/>
    <w:qFormat/>
    <w:rsid w:val="00666841"/>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character" w:customStyle="1" w:styleId="accc-document-title">
    <w:name w:val="accc-document-title"/>
    <w:basedOn w:val="DefaultParagraphFont"/>
    <w:rsid w:val="007D6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36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system/files/AER%20-%20Final%20decision%20JGN%20distribution%20access%20arrangement%20-%20Approved%20Access%20Arrangement%20-%20clean.pdf"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00BADA-7C14-4987-BF26-CC432B9E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A62F4E3B</Template>
  <TotalTime>0</TotalTime>
  <Pages>24</Pages>
  <Words>6181</Words>
  <Characters>35238</Characters>
  <Application>Microsoft Office Word</Application>
  <DocSecurity>0</DocSecurity>
  <Lines>293</Lines>
  <Paragraphs>82</Paragraphs>
  <ScaleCrop>false</ScaleCrop>
  <Company/>
  <LinksUpToDate>false</LinksUpToDate>
  <CharactersWithSpaces>41337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2015-11-23T01:20:00Z</dcterms:created>
  <dcterms:modified xsi:type="dcterms:W3CDTF">2015-11-23T01:20:00Z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8430162</vt:lpwstr>
  </property>
</Properties>
</file>