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AE38141" wp14:editId="34E294E6">
                <wp:simplePos x="0" y="0"/>
                <wp:positionH relativeFrom="column">
                  <wp:posOffset>-1097914</wp:posOffset>
                </wp:positionH>
                <wp:positionV relativeFrom="paragraph">
                  <wp:posOffset>-923925</wp:posOffset>
                </wp:positionV>
                <wp:extent cx="7636354" cy="10725150"/>
                <wp:effectExtent l="0" t="0" r="317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9067"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8F12EE">
            <w:t>DRAFT</w:t>
          </w:r>
          <w:r w:rsidR="00DA4752">
            <w:t xml:space="preserve"> DECISION</w:t>
          </w:r>
        </w:p>
        <w:p w:rsidR="008F12EE" w:rsidRDefault="00A06085" w:rsidP="008F07A3">
          <w:pPr>
            <w:pStyle w:val="ReportSubtitle"/>
          </w:pPr>
          <w:r>
            <w:t xml:space="preserve">ActewAGL </w:t>
          </w:r>
          <w:r w:rsidR="008F12EE">
            <w:t>D</w:t>
          </w:r>
          <w:r w:rsidR="0070011E">
            <w:t>istribution</w:t>
          </w:r>
          <w:r w:rsidR="00415F31">
            <w:t xml:space="preserve"> </w:t>
          </w:r>
        </w:p>
        <w:p w:rsidR="00415F31" w:rsidRDefault="008F12EE"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392FEC">
            <w:t>0</w:t>
          </w:r>
          <w:r w:rsidR="00DA4752">
            <w:t xml:space="preserve"> </w:t>
          </w:r>
          <w:r w:rsidR="00415F31">
            <w:rPr>
              <w:rFonts w:cs="Arial"/>
            </w:rPr>
            <w:t>–</w:t>
          </w:r>
          <w:r w:rsidR="00DA4752">
            <w:t xml:space="preserve"> </w:t>
          </w:r>
          <w:r w:rsidR="005B140A">
            <w:t xml:space="preserve">Reference tariff </w:t>
          </w:r>
          <w:r w:rsidR="00392FEC">
            <w:t>setting</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44949"/>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8F12EE">
        <w:t>draft</w:t>
      </w:r>
      <w:r w:rsidR="00415F31">
        <w:t xml:space="preserve"> decision on </w:t>
      </w:r>
      <w:r w:rsidR="005B140A">
        <w:t>ActewAGL</w:t>
      </w:r>
      <w:r w:rsidR="00990CA3">
        <w:t xml:space="preserve"> Distribution</w:t>
      </w:r>
      <w:r w:rsidR="005C0A7F">
        <w:t>'s</w:t>
      </w:r>
      <w:r w:rsidR="00415F31">
        <w:t xml:space="preserve"> </w:t>
      </w:r>
      <w:r w:rsidR="008F12EE">
        <w:t>access arrangement for</w:t>
      </w:r>
      <w:r w:rsidR="00415F31">
        <w:t xml:space="preserve"> 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8F12EE">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8F12EE">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4495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028FE" w:rsidRDefault="00025A02">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4949" w:history="1">
            <w:r w:rsidR="00C028FE" w:rsidRPr="002F054D">
              <w:rPr>
                <w:rStyle w:val="Hyperlink"/>
              </w:rPr>
              <w:t>Note</w:t>
            </w:r>
            <w:r w:rsidR="00C028FE">
              <w:rPr>
                <w:webHidden/>
              </w:rPr>
              <w:tab/>
            </w:r>
            <w:r w:rsidR="00C028FE">
              <w:rPr>
                <w:webHidden/>
              </w:rPr>
              <w:fldChar w:fldCharType="begin"/>
            </w:r>
            <w:r w:rsidR="00C028FE">
              <w:rPr>
                <w:webHidden/>
              </w:rPr>
              <w:instrText xml:space="preserve"> PAGEREF _Toc436044949 \h </w:instrText>
            </w:r>
            <w:r w:rsidR="00C028FE">
              <w:rPr>
                <w:webHidden/>
              </w:rPr>
            </w:r>
            <w:r w:rsidR="00C028FE">
              <w:rPr>
                <w:webHidden/>
              </w:rPr>
              <w:fldChar w:fldCharType="separate"/>
            </w:r>
            <w:r w:rsidR="00C028FE">
              <w:rPr>
                <w:webHidden/>
              </w:rPr>
              <w:t>10-2</w:t>
            </w:r>
            <w:r w:rsidR="00C028FE">
              <w:rPr>
                <w:webHidden/>
              </w:rPr>
              <w:fldChar w:fldCharType="end"/>
            </w:r>
          </w:hyperlink>
        </w:p>
        <w:p w:rsidR="00C028FE" w:rsidRDefault="00C028FE">
          <w:pPr>
            <w:pStyle w:val="TOC1"/>
            <w:rPr>
              <w:rFonts w:asciiTheme="minorHAnsi" w:eastAsiaTheme="minorEastAsia" w:hAnsiTheme="minorHAnsi"/>
              <w:b w:val="0"/>
              <w:color w:val="auto"/>
              <w:sz w:val="22"/>
              <w:lang w:val="en-AU" w:eastAsia="en-AU"/>
            </w:rPr>
          </w:pPr>
          <w:hyperlink w:anchor="_Toc436044950" w:history="1">
            <w:r w:rsidRPr="002F054D">
              <w:rPr>
                <w:rStyle w:val="Hyperlink"/>
              </w:rPr>
              <w:t>Contents</w:t>
            </w:r>
            <w:r>
              <w:rPr>
                <w:webHidden/>
              </w:rPr>
              <w:tab/>
            </w:r>
            <w:r>
              <w:rPr>
                <w:webHidden/>
              </w:rPr>
              <w:fldChar w:fldCharType="begin"/>
            </w:r>
            <w:r>
              <w:rPr>
                <w:webHidden/>
              </w:rPr>
              <w:instrText xml:space="preserve"> PAGEREF _Toc436044950 \h </w:instrText>
            </w:r>
            <w:r>
              <w:rPr>
                <w:webHidden/>
              </w:rPr>
            </w:r>
            <w:r>
              <w:rPr>
                <w:webHidden/>
              </w:rPr>
              <w:fldChar w:fldCharType="separate"/>
            </w:r>
            <w:r>
              <w:rPr>
                <w:webHidden/>
              </w:rPr>
              <w:t>10-3</w:t>
            </w:r>
            <w:r>
              <w:rPr>
                <w:webHidden/>
              </w:rPr>
              <w:fldChar w:fldCharType="end"/>
            </w:r>
          </w:hyperlink>
        </w:p>
        <w:p w:rsidR="00C028FE" w:rsidRDefault="00C028FE">
          <w:pPr>
            <w:pStyle w:val="TOC1"/>
            <w:rPr>
              <w:rFonts w:asciiTheme="minorHAnsi" w:eastAsiaTheme="minorEastAsia" w:hAnsiTheme="minorHAnsi"/>
              <w:b w:val="0"/>
              <w:color w:val="auto"/>
              <w:sz w:val="22"/>
              <w:lang w:val="en-AU" w:eastAsia="en-AU"/>
            </w:rPr>
          </w:pPr>
          <w:hyperlink w:anchor="_Toc436044951" w:history="1">
            <w:r w:rsidRPr="002F054D">
              <w:rPr>
                <w:rStyle w:val="Hyperlink"/>
              </w:rPr>
              <w:t>Shortened forms</w:t>
            </w:r>
            <w:r>
              <w:rPr>
                <w:webHidden/>
              </w:rPr>
              <w:tab/>
            </w:r>
            <w:r>
              <w:rPr>
                <w:webHidden/>
              </w:rPr>
              <w:fldChar w:fldCharType="begin"/>
            </w:r>
            <w:r>
              <w:rPr>
                <w:webHidden/>
              </w:rPr>
              <w:instrText xml:space="preserve"> PAGEREF _Toc436044951 \h </w:instrText>
            </w:r>
            <w:r>
              <w:rPr>
                <w:webHidden/>
              </w:rPr>
            </w:r>
            <w:r>
              <w:rPr>
                <w:webHidden/>
              </w:rPr>
              <w:fldChar w:fldCharType="separate"/>
            </w:r>
            <w:r>
              <w:rPr>
                <w:webHidden/>
              </w:rPr>
              <w:t>10-4</w:t>
            </w:r>
            <w:r>
              <w:rPr>
                <w:webHidden/>
              </w:rPr>
              <w:fldChar w:fldCharType="end"/>
            </w:r>
          </w:hyperlink>
        </w:p>
        <w:p w:rsidR="00C028FE" w:rsidRDefault="00C028FE">
          <w:pPr>
            <w:pStyle w:val="TOC1"/>
            <w:rPr>
              <w:rFonts w:asciiTheme="minorHAnsi" w:eastAsiaTheme="minorEastAsia" w:hAnsiTheme="minorHAnsi"/>
              <w:b w:val="0"/>
              <w:color w:val="auto"/>
              <w:sz w:val="22"/>
              <w:lang w:val="en-AU" w:eastAsia="en-AU"/>
            </w:rPr>
          </w:pPr>
          <w:hyperlink w:anchor="_Toc436044952" w:history="1">
            <w:r w:rsidRPr="002F054D">
              <w:rPr>
                <w:rStyle w:val="Hyperlink"/>
              </w:rPr>
              <w:t>10</w:t>
            </w:r>
            <w:r>
              <w:rPr>
                <w:rFonts w:asciiTheme="minorHAnsi" w:eastAsiaTheme="minorEastAsia" w:hAnsiTheme="minorHAnsi"/>
                <w:b w:val="0"/>
                <w:color w:val="auto"/>
                <w:sz w:val="22"/>
                <w:lang w:val="en-AU" w:eastAsia="en-AU"/>
              </w:rPr>
              <w:tab/>
            </w:r>
            <w:r w:rsidRPr="002F054D">
              <w:rPr>
                <w:rStyle w:val="Hyperlink"/>
              </w:rPr>
              <w:t>Reference tariff setting</w:t>
            </w:r>
            <w:r>
              <w:rPr>
                <w:webHidden/>
              </w:rPr>
              <w:tab/>
            </w:r>
            <w:r>
              <w:rPr>
                <w:webHidden/>
              </w:rPr>
              <w:fldChar w:fldCharType="begin"/>
            </w:r>
            <w:r>
              <w:rPr>
                <w:webHidden/>
              </w:rPr>
              <w:instrText xml:space="preserve"> PAGEREF _Toc436044952 \h </w:instrText>
            </w:r>
            <w:r>
              <w:rPr>
                <w:webHidden/>
              </w:rPr>
            </w:r>
            <w:r>
              <w:rPr>
                <w:webHidden/>
              </w:rPr>
              <w:fldChar w:fldCharType="separate"/>
            </w:r>
            <w:r>
              <w:rPr>
                <w:webHidden/>
              </w:rPr>
              <w:t>10-6</w:t>
            </w:r>
            <w:r>
              <w:rPr>
                <w:webHidden/>
              </w:rPr>
              <w:fldChar w:fldCharType="end"/>
            </w:r>
          </w:hyperlink>
        </w:p>
        <w:p w:rsidR="00C028FE" w:rsidRDefault="00C028FE">
          <w:pPr>
            <w:pStyle w:val="TOC2"/>
            <w:tabs>
              <w:tab w:val="left" w:pos="1276"/>
            </w:tabs>
            <w:rPr>
              <w:rFonts w:asciiTheme="minorHAnsi" w:eastAsiaTheme="minorEastAsia" w:hAnsiTheme="minorHAnsi"/>
              <w:b w:val="0"/>
              <w:color w:val="auto"/>
              <w:sz w:val="22"/>
              <w:lang w:eastAsia="en-AU"/>
            </w:rPr>
          </w:pPr>
          <w:hyperlink w:anchor="_Toc436044953" w:history="1">
            <w:r w:rsidRPr="002F054D">
              <w:rPr>
                <w:rStyle w:val="Hyperlink"/>
              </w:rPr>
              <w:t>10.1</w:t>
            </w:r>
            <w:r>
              <w:rPr>
                <w:rFonts w:asciiTheme="minorHAnsi" w:eastAsiaTheme="minorEastAsia" w:hAnsiTheme="minorHAnsi"/>
                <w:b w:val="0"/>
                <w:color w:val="auto"/>
                <w:sz w:val="22"/>
                <w:lang w:eastAsia="en-AU"/>
              </w:rPr>
              <w:tab/>
            </w:r>
            <w:r w:rsidRPr="002F054D">
              <w:rPr>
                <w:rStyle w:val="Hyperlink"/>
              </w:rPr>
              <w:t>Draft decision</w:t>
            </w:r>
            <w:r>
              <w:rPr>
                <w:webHidden/>
              </w:rPr>
              <w:tab/>
            </w:r>
            <w:r>
              <w:rPr>
                <w:webHidden/>
              </w:rPr>
              <w:fldChar w:fldCharType="begin"/>
            </w:r>
            <w:r>
              <w:rPr>
                <w:webHidden/>
              </w:rPr>
              <w:instrText xml:space="preserve"> PAGEREF _Toc436044953 \h </w:instrText>
            </w:r>
            <w:r>
              <w:rPr>
                <w:webHidden/>
              </w:rPr>
            </w:r>
            <w:r>
              <w:rPr>
                <w:webHidden/>
              </w:rPr>
              <w:fldChar w:fldCharType="separate"/>
            </w:r>
            <w:r>
              <w:rPr>
                <w:webHidden/>
              </w:rPr>
              <w:t>10-6</w:t>
            </w:r>
            <w:r>
              <w:rPr>
                <w:webHidden/>
              </w:rPr>
              <w:fldChar w:fldCharType="end"/>
            </w:r>
          </w:hyperlink>
        </w:p>
        <w:p w:rsidR="00C028FE" w:rsidRDefault="00C028FE">
          <w:pPr>
            <w:pStyle w:val="TOC2"/>
            <w:tabs>
              <w:tab w:val="left" w:pos="1276"/>
            </w:tabs>
            <w:rPr>
              <w:rFonts w:asciiTheme="minorHAnsi" w:eastAsiaTheme="minorEastAsia" w:hAnsiTheme="minorHAnsi"/>
              <w:b w:val="0"/>
              <w:color w:val="auto"/>
              <w:sz w:val="22"/>
              <w:lang w:eastAsia="en-AU"/>
            </w:rPr>
          </w:pPr>
          <w:hyperlink w:anchor="_Toc436044954" w:history="1">
            <w:r w:rsidRPr="002F054D">
              <w:rPr>
                <w:rStyle w:val="Hyperlink"/>
              </w:rPr>
              <w:t>10.2</w:t>
            </w:r>
            <w:r>
              <w:rPr>
                <w:rFonts w:asciiTheme="minorHAnsi" w:eastAsiaTheme="minorEastAsia" w:hAnsiTheme="minorHAnsi"/>
                <w:b w:val="0"/>
                <w:color w:val="auto"/>
                <w:sz w:val="22"/>
                <w:lang w:eastAsia="en-AU"/>
              </w:rPr>
              <w:tab/>
            </w:r>
            <w:r w:rsidRPr="002F054D">
              <w:rPr>
                <w:rStyle w:val="Hyperlink"/>
              </w:rPr>
              <w:t>ActewAGL's proposal</w:t>
            </w:r>
            <w:r>
              <w:rPr>
                <w:webHidden/>
              </w:rPr>
              <w:tab/>
            </w:r>
            <w:r>
              <w:rPr>
                <w:webHidden/>
              </w:rPr>
              <w:fldChar w:fldCharType="begin"/>
            </w:r>
            <w:r>
              <w:rPr>
                <w:webHidden/>
              </w:rPr>
              <w:instrText xml:space="preserve"> PAGEREF _Toc436044954 \h </w:instrText>
            </w:r>
            <w:r>
              <w:rPr>
                <w:webHidden/>
              </w:rPr>
            </w:r>
            <w:r>
              <w:rPr>
                <w:webHidden/>
              </w:rPr>
              <w:fldChar w:fldCharType="separate"/>
            </w:r>
            <w:r>
              <w:rPr>
                <w:webHidden/>
              </w:rPr>
              <w:t>10-6</w:t>
            </w:r>
            <w:r>
              <w:rPr>
                <w:webHidden/>
              </w:rPr>
              <w:fldChar w:fldCharType="end"/>
            </w:r>
          </w:hyperlink>
        </w:p>
        <w:p w:rsidR="00C028FE" w:rsidRDefault="00C028FE">
          <w:pPr>
            <w:pStyle w:val="TOC2"/>
            <w:tabs>
              <w:tab w:val="left" w:pos="1276"/>
            </w:tabs>
            <w:rPr>
              <w:rFonts w:asciiTheme="minorHAnsi" w:eastAsiaTheme="minorEastAsia" w:hAnsiTheme="minorHAnsi"/>
              <w:b w:val="0"/>
              <w:color w:val="auto"/>
              <w:sz w:val="22"/>
              <w:lang w:eastAsia="en-AU"/>
            </w:rPr>
          </w:pPr>
          <w:hyperlink w:anchor="_Toc436044955" w:history="1">
            <w:r w:rsidRPr="002F054D">
              <w:rPr>
                <w:rStyle w:val="Hyperlink"/>
              </w:rPr>
              <w:t>10.3</w:t>
            </w:r>
            <w:r>
              <w:rPr>
                <w:rFonts w:asciiTheme="minorHAnsi" w:eastAsiaTheme="minorEastAsia" w:hAnsiTheme="minorHAnsi"/>
                <w:b w:val="0"/>
                <w:color w:val="auto"/>
                <w:sz w:val="22"/>
                <w:lang w:eastAsia="en-AU"/>
              </w:rPr>
              <w:tab/>
            </w:r>
            <w:r w:rsidRPr="002F054D">
              <w:rPr>
                <w:rStyle w:val="Hyperlink"/>
              </w:rPr>
              <w:t>AER’s assessment approach</w:t>
            </w:r>
            <w:r>
              <w:rPr>
                <w:webHidden/>
              </w:rPr>
              <w:tab/>
            </w:r>
            <w:r>
              <w:rPr>
                <w:webHidden/>
              </w:rPr>
              <w:fldChar w:fldCharType="begin"/>
            </w:r>
            <w:r>
              <w:rPr>
                <w:webHidden/>
              </w:rPr>
              <w:instrText xml:space="preserve"> PAGEREF _Toc436044955 \h </w:instrText>
            </w:r>
            <w:r>
              <w:rPr>
                <w:webHidden/>
              </w:rPr>
            </w:r>
            <w:r>
              <w:rPr>
                <w:webHidden/>
              </w:rPr>
              <w:fldChar w:fldCharType="separate"/>
            </w:r>
            <w:r>
              <w:rPr>
                <w:webHidden/>
              </w:rPr>
              <w:t>10-8</w:t>
            </w:r>
            <w:r>
              <w:rPr>
                <w:webHidden/>
              </w:rPr>
              <w:fldChar w:fldCharType="end"/>
            </w:r>
          </w:hyperlink>
        </w:p>
        <w:p w:rsidR="00C028FE" w:rsidRDefault="00C028FE">
          <w:pPr>
            <w:pStyle w:val="TOC2"/>
            <w:tabs>
              <w:tab w:val="left" w:pos="1276"/>
            </w:tabs>
            <w:rPr>
              <w:rFonts w:asciiTheme="minorHAnsi" w:eastAsiaTheme="minorEastAsia" w:hAnsiTheme="minorHAnsi"/>
              <w:b w:val="0"/>
              <w:color w:val="auto"/>
              <w:sz w:val="22"/>
              <w:lang w:eastAsia="en-AU"/>
            </w:rPr>
          </w:pPr>
          <w:hyperlink w:anchor="_Toc436044956" w:history="1">
            <w:r w:rsidRPr="002F054D">
              <w:rPr>
                <w:rStyle w:val="Hyperlink"/>
              </w:rPr>
              <w:t>10.4</w:t>
            </w:r>
            <w:r>
              <w:rPr>
                <w:rFonts w:asciiTheme="minorHAnsi" w:eastAsiaTheme="minorEastAsia" w:hAnsiTheme="minorHAnsi"/>
                <w:b w:val="0"/>
                <w:color w:val="auto"/>
                <w:sz w:val="22"/>
                <w:lang w:eastAsia="en-AU"/>
              </w:rPr>
              <w:tab/>
            </w:r>
            <w:r w:rsidRPr="002F054D">
              <w:rPr>
                <w:rStyle w:val="Hyperlink"/>
              </w:rPr>
              <w:t>Reasons for draft decision</w:t>
            </w:r>
            <w:r>
              <w:rPr>
                <w:webHidden/>
              </w:rPr>
              <w:tab/>
            </w:r>
            <w:r>
              <w:rPr>
                <w:webHidden/>
              </w:rPr>
              <w:fldChar w:fldCharType="begin"/>
            </w:r>
            <w:r>
              <w:rPr>
                <w:webHidden/>
              </w:rPr>
              <w:instrText xml:space="preserve"> PAGEREF _Toc436044956 \h </w:instrText>
            </w:r>
            <w:r>
              <w:rPr>
                <w:webHidden/>
              </w:rPr>
            </w:r>
            <w:r>
              <w:rPr>
                <w:webHidden/>
              </w:rPr>
              <w:fldChar w:fldCharType="separate"/>
            </w:r>
            <w:r>
              <w:rPr>
                <w:webHidden/>
              </w:rPr>
              <w:t>10-10</w:t>
            </w:r>
            <w:r>
              <w:rPr>
                <w:webHidden/>
              </w:rPr>
              <w:fldChar w:fldCharType="end"/>
            </w:r>
          </w:hyperlink>
        </w:p>
        <w:p w:rsidR="00C028FE" w:rsidRDefault="00C028FE">
          <w:pPr>
            <w:pStyle w:val="TOC3"/>
            <w:rPr>
              <w:rFonts w:asciiTheme="minorHAnsi" w:eastAsiaTheme="minorEastAsia" w:hAnsiTheme="minorHAnsi"/>
              <w:lang w:eastAsia="en-AU"/>
            </w:rPr>
          </w:pPr>
          <w:hyperlink w:anchor="_Toc436044957" w:history="1">
            <w:r w:rsidRPr="002F054D">
              <w:rPr>
                <w:rStyle w:val="Hyperlink"/>
              </w:rPr>
              <w:t>10.4.1</w:t>
            </w:r>
            <w:r>
              <w:rPr>
                <w:rFonts w:asciiTheme="minorHAnsi" w:eastAsiaTheme="minorEastAsia" w:hAnsiTheme="minorHAnsi"/>
                <w:lang w:eastAsia="en-AU"/>
              </w:rPr>
              <w:tab/>
            </w:r>
            <w:r w:rsidRPr="002F054D">
              <w:rPr>
                <w:rStyle w:val="Hyperlink"/>
              </w:rPr>
              <w:t>Tariff structure</w:t>
            </w:r>
            <w:r>
              <w:rPr>
                <w:webHidden/>
              </w:rPr>
              <w:tab/>
            </w:r>
            <w:r>
              <w:rPr>
                <w:webHidden/>
              </w:rPr>
              <w:fldChar w:fldCharType="begin"/>
            </w:r>
            <w:r>
              <w:rPr>
                <w:webHidden/>
              </w:rPr>
              <w:instrText xml:space="preserve"> PAGEREF _Toc436044957 \h </w:instrText>
            </w:r>
            <w:r>
              <w:rPr>
                <w:webHidden/>
              </w:rPr>
            </w:r>
            <w:r>
              <w:rPr>
                <w:webHidden/>
              </w:rPr>
              <w:fldChar w:fldCharType="separate"/>
            </w:r>
            <w:r>
              <w:rPr>
                <w:webHidden/>
              </w:rPr>
              <w:t>10-11</w:t>
            </w:r>
            <w:r>
              <w:rPr>
                <w:webHidden/>
              </w:rPr>
              <w:fldChar w:fldCharType="end"/>
            </w:r>
          </w:hyperlink>
        </w:p>
        <w:p w:rsidR="00C028FE" w:rsidRDefault="00C028FE">
          <w:pPr>
            <w:pStyle w:val="TOC3"/>
            <w:rPr>
              <w:rFonts w:asciiTheme="minorHAnsi" w:eastAsiaTheme="minorEastAsia" w:hAnsiTheme="minorHAnsi"/>
              <w:lang w:eastAsia="en-AU"/>
            </w:rPr>
          </w:pPr>
          <w:hyperlink w:anchor="_Toc436044958" w:history="1">
            <w:r w:rsidRPr="002F054D">
              <w:rPr>
                <w:rStyle w:val="Hyperlink"/>
              </w:rPr>
              <w:t>10.4.2</w:t>
            </w:r>
            <w:r>
              <w:rPr>
                <w:rFonts w:asciiTheme="minorHAnsi" w:eastAsiaTheme="minorEastAsia" w:hAnsiTheme="minorHAnsi"/>
                <w:lang w:eastAsia="en-AU"/>
              </w:rPr>
              <w:tab/>
            </w:r>
            <w:r w:rsidRPr="002F054D">
              <w:rPr>
                <w:rStyle w:val="Hyperlink"/>
              </w:rPr>
              <w:t>Allocation of revenues and costs to reference tariffs</w:t>
            </w:r>
            <w:r>
              <w:rPr>
                <w:webHidden/>
              </w:rPr>
              <w:tab/>
            </w:r>
            <w:r>
              <w:rPr>
                <w:webHidden/>
              </w:rPr>
              <w:fldChar w:fldCharType="begin"/>
            </w:r>
            <w:r>
              <w:rPr>
                <w:webHidden/>
              </w:rPr>
              <w:instrText xml:space="preserve"> PAGEREF _Toc436044958 \h </w:instrText>
            </w:r>
            <w:r>
              <w:rPr>
                <w:webHidden/>
              </w:rPr>
            </w:r>
            <w:r>
              <w:rPr>
                <w:webHidden/>
              </w:rPr>
              <w:fldChar w:fldCharType="separate"/>
            </w:r>
            <w:r>
              <w:rPr>
                <w:webHidden/>
              </w:rPr>
              <w:t>10-16</w:t>
            </w:r>
            <w:r>
              <w:rPr>
                <w:webHidden/>
              </w:rPr>
              <w:fldChar w:fldCharType="end"/>
            </w:r>
          </w:hyperlink>
        </w:p>
        <w:p w:rsidR="00C028FE" w:rsidRDefault="00C028FE">
          <w:pPr>
            <w:pStyle w:val="TOC3"/>
            <w:rPr>
              <w:rFonts w:asciiTheme="minorHAnsi" w:eastAsiaTheme="minorEastAsia" w:hAnsiTheme="minorHAnsi"/>
              <w:lang w:eastAsia="en-AU"/>
            </w:rPr>
          </w:pPr>
          <w:hyperlink w:anchor="_Toc436044959" w:history="1">
            <w:r w:rsidRPr="002F054D">
              <w:rPr>
                <w:rStyle w:val="Hyperlink"/>
              </w:rPr>
              <w:t>10.4.3</w:t>
            </w:r>
            <w:r>
              <w:rPr>
                <w:rFonts w:asciiTheme="minorHAnsi" w:eastAsiaTheme="minorEastAsia" w:hAnsiTheme="minorHAnsi"/>
                <w:lang w:eastAsia="en-AU"/>
              </w:rPr>
              <w:tab/>
            </w:r>
            <w:r w:rsidRPr="002F054D">
              <w:rPr>
                <w:rStyle w:val="Hyperlink"/>
              </w:rPr>
              <w:t>Establishment of tariff classes</w:t>
            </w:r>
            <w:r>
              <w:rPr>
                <w:webHidden/>
              </w:rPr>
              <w:tab/>
            </w:r>
            <w:r>
              <w:rPr>
                <w:webHidden/>
              </w:rPr>
              <w:fldChar w:fldCharType="begin"/>
            </w:r>
            <w:r>
              <w:rPr>
                <w:webHidden/>
              </w:rPr>
              <w:instrText xml:space="preserve"> PAGEREF _Toc436044959 \h </w:instrText>
            </w:r>
            <w:r>
              <w:rPr>
                <w:webHidden/>
              </w:rPr>
            </w:r>
            <w:r>
              <w:rPr>
                <w:webHidden/>
              </w:rPr>
              <w:fldChar w:fldCharType="separate"/>
            </w:r>
            <w:r>
              <w:rPr>
                <w:webHidden/>
              </w:rPr>
              <w:t>10-16</w:t>
            </w:r>
            <w:r>
              <w:rPr>
                <w:webHidden/>
              </w:rPr>
              <w:fldChar w:fldCharType="end"/>
            </w:r>
          </w:hyperlink>
        </w:p>
        <w:p w:rsidR="00C028FE" w:rsidRDefault="00C028FE">
          <w:pPr>
            <w:pStyle w:val="TOC3"/>
            <w:rPr>
              <w:rFonts w:asciiTheme="minorHAnsi" w:eastAsiaTheme="minorEastAsia" w:hAnsiTheme="minorHAnsi"/>
              <w:lang w:eastAsia="en-AU"/>
            </w:rPr>
          </w:pPr>
          <w:hyperlink w:anchor="_Toc436044960" w:history="1">
            <w:r w:rsidRPr="002F054D">
              <w:rPr>
                <w:rStyle w:val="Hyperlink"/>
              </w:rPr>
              <w:t>10.4.4</w:t>
            </w:r>
            <w:r>
              <w:rPr>
                <w:rFonts w:asciiTheme="minorHAnsi" w:eastAsiaTheme="minorEastAsia" w:hAnsiTheme="minorHAnsi"/>
                <w:lang w:eastAsia="en-AU"/>
              </w:rPr>
              <w:tab/>
            </w:r>
            <w:r w:rsidRPr="002F054D">
              <w:rPr>
                <w:rStyle w:val="Hyperlink"/>
              </w:rPr>
              <w:t>Tariff classes and revenue limits</w:t>
            </w:r>
            <w:r>
              <w:rPr>
                <w:webHidden/>
              </w:rPr>
              <w:tab/>
            </w:r>
            <w:r>
              <w:rPr>
                <w:webHidden/>
              </w:rPr>
              <w:fldChar w:fldCharType="begin"/>
            </w:r>
            <w:r>
              <w:rPr>
                <w:webHidden/>
              </w:rPr>
              <w:instrText xml:space="preserve"> PAGEREF _Toc436044960 \h </w:instrText>
            </w:r>
            <w:r>
              <w:rPr>
                <w:webHidden/>
              </w:rPr>
            </w:r>
            <w:r>
              <w:rPr>
                <w:webHidden/>
              </w:rPr>
              <w:fldChar w:fldCharType="separate"/>
            </w:r>
            <w:r>
              <w:rPr>
                <w:webHidden/>
              </w:rPr>
              <w:t>10-16</w:t>
            </w:r>
            <w:r>
              <w:rPr>
                <w:webHidden/>
              </w:rPr>
              <w:fldChar w:fldCharType="end"/>
            </w:r>
          </w:hyperlink>
        </w:p>
        <w:p w:rsidR="00DE563D" w:rsidRDefault="00025A02" w:rsidP="00025A02">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4951"/>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F76B58"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Shortened form</w:t>
            </w:r>
          </w:p>
        </w:tc>
        <w:tc>
          <w:tcPr>
            <w:tcW w:w="5041" w:type="dxa"/>
          </w:tcPr>
          <w:p w:rsidR="00F76B58" w:rsidRDefault="00F76B58" w:rsidP="00F76B58">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AA</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Access Arrangement</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AAI</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AER</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ASA</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Asset Services Agreement</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ATO</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Australian Tax Office</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capex</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CAPM</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CCP</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CESS</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CMF</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construction management fee</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CPI</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DAMS</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DRP</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EBSS</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EIL</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 xml:space="preserve">Energy Industry </w:t>
            </w:r>
            <w:r w:rsidRPr="00F76B58">
              <w:t>Levy</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ERP</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Expenditure Guideline</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gamma</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Value of Imputation Credits</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GSL</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Guaranteed Service Level</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GTA</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ICRC</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MRP</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NECF</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NERL</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National Energy Retail Law</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NERR</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NGL</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NGO</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NGR</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NPV</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net present value</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opex</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lastRenderedPageBreak/>
              <w:t>PFP</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partial factor productivity</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PPI</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PTRM</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RBA</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RFM</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RIN</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RoLR</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retailer of last resort</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RSA</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 xml:space="preserve">Reference Service </w:t>
            </w:r>
            <w:r w:rsidRPr="00F76B58">
              <w:t>Agreement</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RPP</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SLCAPM</w:t>
            </w:r>
          </w:p>
        </w:tc>
        <w:tc>
          <w:tcPr>
            <w:tcW w:w="5041" w:type="dxa"/>
          </w:tcPr>
          <w:p w:rsidR="00F76B58" w:rsidRDefault="00F76B58" w:rsidP="00F76B58">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STTM</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Short Term Trading Market</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TAB</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Tax asset base</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UAFG</w:t>
            </w:r>
          </w:p>
        </w:tc>
        <w:tc>
          <w:tcPr>
            <w:tcW w:w="5041" w:type="dxa"/>
          </w:tcPr>
          <w:p w:rsidR="00F76B58" w:rsidRPr="00F76B58" w:rsidRDefault="00F76B58" w:rsidP="00F76B58">
            <w:pPr>
              <w:cnfStyle w:val="000000000000" w:firstRow="0" w:lastRow="0" w:firstColumn="0" w:lastColumn="0" w:oddVBand="0" w:evenVBand="0" w:oddHBand="0" w:evenHBand="0" w:firstRowFirstColumn="0" w:firstRowLastColumn="0" w:lastRowFirstColumn="0" w:lastRowLastColumn="0"/>
            </w:pPr>
            <w:r>
              <w:t>Unaccounted for gas</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UNFT</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 xml:space="preserve">Utilities Network </w:t>
            </w:r>
            <w:r w:rsidRPr="00F76B58">
              <w:t>Facilities Tax</w:t>
            </w:r>
          </w:p>
        </w:tc>
      </w:tr>
      <w:tr w:rsidR="00F76B58" w:rsidTr="000C0557">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WACC</w:t>
            </w:r>
          </w:p>
        </w:tc>
        <w:tc>
          <w:tcPr>
            <w:tcW w:w="5041" w:type="dxa"/>
          </w:tcPr>
          <w:p w:rsidR="00F76B58" w:rsidRDefault="00F76B58" w:rsidP="00F76B58">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F76B58"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76B58" w:rsidRDefault="00F76B58" w:rsidP="00F76B58">
            <w:pPr>
              <w:numPr>
                <w:ilvl w:val="0"/>
                <w:numId w:val="24"/>
              </w:numPr>
            </w:pPr>
            <w:r>
              <w:t>WPI</w:t>
            </w:r>
          </w:p>
        </w:tc>
        <w:tc>
          <w:tcPr>
            <w:tcW w:w="5041" w:type="dxa"/>
          </w:tcPr>
          <w:p w:rsidR="00F76B58" w:rsidRPr="00F76B58" w:rsidRDefault="00F76B58" w:rsidP="00F76B58">
            <w:pPr>
              <w:cnfStyle w:val="000000010000" w:firstRow="0" w:lastRow="0" w:firstColumn="0" w:lastColumn="0" w:oddVBand="0" w:evenVBand="0" w:oddHBand="0" w:evenHBand="1" w:firstRowFirstColumn="0" w:firstRowLastColumn="0" w:lastRowFirstColumn="0" w:lastRowLastColumn="0"/>
            </w:pPr>
            <w:r>
              <w:t>Wage Price Index</w:t>
            </w:r>
          </w:p>
        </w:tc>
      </w:tr>
    </w:tbl>
    <w:p w:rsidR="00F76B58" w:rsidRPr="00F76B58" w:rsidRDefault="00F76B58" w:rsidP="00F76B58"/>
    <w:p w:rsidR="00DE563D" w:rsidRDefault="00392FEC" w:rsidP="00392FEC">
      <w:pPr>
        <w:pStyle w:val="Heading1"/>
      </w:pPr>
      <w:bookmarkStart w:id="10" w:name="_Toc436044952"/>
      <w:r>
        <w:lastRenderedPageBreak/>
        <w:t>Reference tariff setting</w:t>
      </w:r>
      <w:bookmarkEnd w:id="10"/>
    </w:p>
    <w:p w:rsidR="00C722AA" w:rsidRPr="00C722AA" w:rsidRDefault="00C722AA" w:rsidP="00C722AA">
      <w:r w:rsidRPr="00C722AA">
        <w:t>This attachment outlines our assessment of the r</w:t>
      </w:r>
      <w:r>
        <w:t>eference tariffs proposed by ActewAGL Distribution (ActewAGL)</w:t>
      </w:r>
      <w:r w:rsidRPr="00C722AA">
        <w:t xml:space="preserve"> against the requirements of the N</w:t>
      </w:r>
      <w:r>
        <w:t xml:space="preserve">ational </w:t>
      </w:r>
      <w:r w:rsidRPr="00C722AA">
        <w:t>G</w:t>
      </w:r>
      <w:r>
        <w:t xml:space="preserve">as </w:t>
      </w:r>
      <w:r w:rsidRPr="00C722AA">
        <w:t>R</w:t>
      </w:r>
      <w:r>
        <w:t>ules</w:t>
      </w:r>
      <w:r w:rsidRPr="00C722AA">
        <w:t>. Our assessment focuses on the structure of reference tariffs and takes into account the revenue and pricing principles.</w:t>
      </w:r>
      <w:r>
        <w:rPr>
          <w:rStyle w:val="FootnoteReference"/>
        </w:rPr>
        <w:footnoteReference w:id="1"/>
      </w:r>
    </w:p>
    <w:p w:rsidR="009A5113" w:rsidRDefault="008F12EE" w:rsidP="009A5113">
      <w:pPr>
        <w:pStyle w:val="Heading2"/>
      </w:pPr>
      <w:bookmarkStart w:id="11" w:name="_Toc408404320"/>
      <w:bookmarkStart w:id="12" w:name="_Toc436044953"/>
      <w:r>
        <w:t>Draft</w:t>
      </w:r>
      <w:r w:rsidR="009A5113" w:rsidRPr="0074565D">
        <w:t xml:space="preserve"> decision</w:t>
      </w:r>
      <w:bookmarkEnd w:id="11"/>
      <w:bookmarkEnd w:id="12"/>
    </w:p>
    <w:p w:rsidR="007E3C1B" w:rsidRDefault="000E0AE4" w:rsidP="00C722AA">
      <w:r>
        <w:t>We accept</w:t>
      </w:r>
      <w:r w:rsidR="00C722AA">
        <w:t xml:space="preserve"> ActewAGL's proposed structure of reference tariffs for the 2016–21 access arrangement period.</w:t>
      </w:r>
      <w:r w:rsidR="00F2115E">
        <w:t xml:space="preserve"> </w:t>
      </w:r>
      <w:r w:rsidR="00C722AA">
        <w:t>We are satisfied the proposed structure of the reference tariffs complies with the requirements of the NGR.</w:t>
      </w:r>
      <w:r w:rsidR="00C722AA">
        <w:rPr>
          <w:rStyle w:val="FootnoteReference"/>
        </w:rPr>
        <w:footnoteReference w:id="2"/>
      </w:r>
    </w:p>
    <w:p w:rsidR="00B734BF" w:rsidRDefault="007E3C1B" w:rsidP="00C722AA">
      <w:r w:rsidRPr="00A7206C">
        <w:t>Nevertheless, the quantum of the proposed reference tariffs must be amended to reflect the revised revenue allowance set out in this draft decision.</w:t>
      </w:r>
    </w:p>
    <w:p w:rsidR="00E73E6C" w:rsidRDefault="00B734BF" w:rsidP="00C722AA">
      <w:r>
        <w:t xml:space="preserve">We </w:t>
      </w:r>
      <w:r w:rsidR="00E73E6C">
        <w:t xml:space="preserve">have </w:t>
      </w:r>
      <w:r>
        <w:t xml:space="preserve">also </w:t>
      </w:r>
      <w:r w:rsidR="00E73E6C">
        <w:t xml:space="preserve">provided </w:t>
      </w:r>
      <w:r>
        <w:t>ActewAGL</w:t>
      </w:r>
      <w:r w:rsidR="00E73E6C">
        <w:t xml:space="preserve"> with the</w:t>
      </w:r>
      <w:r>
        <w:t xml:space="preserve"> ability to introduce and withdraw </w:t>
      </w:r>
      <w:r w:rsidR="00C163CD">
        <w:t xml:space="preserve">reference </w:t>
      </w:r>
      <w:r>
        <w:t xml:space="preserve">tariffs </w:t>
      </w:r>
      <w:r w:rsidR="00C163CD">
        <w:t xml:space="preserve">classes and tariffs </w:t>
      </w:r>
      <w:r w:rsidR="00E73E6C">
        <w:t xml:space="preserve">after commencement of the 2016–21 access arrangement but only where </w:t>
      </w:r>
      <w:r w:rsidR="00C163CD">
        <w:t xml:space="preserve">they have been </w:t>
      </w:r>
      <w:r w:rsidR="00E73E6C">
        <w:t>pre-approved by us.</w:t>
      </w:r>
    </w:p>
    <w:p w:rsidR="00422B26" w:rsidRPr="00C722AA" w:rsidRDefault="00422B26" w:rsidP="00C722AA">
      <w:r>
        <w:t>Our reasons for the draft decision are set out below.</w:t>
      </w:r>
    </w:p>
    <w:p w:rsidR="009A5113" w:rsidRDefault="005B140A" w:rsidP="009A5113">
      <w:pPr>
        <w:pStyle w:val="Heading2"/>
      </w:pPr>
      <w:bookmarkStart w:id="13" w:name="_Toc436044954"/>
      <w:r>
        <w:t>ActewAGL</w:t>
      </w:r>
      <w:r w:rsidR="005C0A7F">
        <w:t>'s proposal</w:t>
      </w:r>
      <w:bookmarkEnd w:id="13"/>
    </w:p>
    <w:p w:rsidR="00C722AA" w:rsidRDefault="008019D8" w:rsidP="00C722AA">
      <w:r>
        <w:t>ActewAGL proposed</w:t>
      </w:r>
      <w:r w:rsidR="000E0AE4">
        <w:t xml:space="preserve"> significant</w:t>
      </w:r>
      <w:r w:rsidR="00C722AA">
        <w:t xml:space="preserve"> change</w:t>
      </w:r>
      <w:r>
        <w:t>s to</w:t>
      </w:r>
      <w:r w:rsidR="00C722AA">
        <w:t xml:space="preserve"> its reference tariffs for the 2016–21 access arrangement period</w:t>
      </w:r>
      <w:r>
        <w:t>. It considered the changes</w:t>
      </w:r>
      <w:r w:rsidR="00C722AA">
        <w:t>:</w:t>
      </w:r>
    </w:p>
    <w:p w:rsidR="00C722AA" w:rsidRDefault="008019D8" w:rsidP="00C722AA">
      <w:pPr>
        <w:pStyle w:val="AERbulletlistfirststyle"/>
      </w:pPr>
      <w:r>
        <w:t>simplifies</w:t>
      </w:r>
      <w:r w:rsidR="00952752">
        <w:t xml:space="preserve"> the charge components</w:t>
      </w:r>
    </w:p>
    <w:p w:rsidR="00952752" w:rsidRDefault="008019D8" w:rsidP="00C722AA">
      <w:pPr>
        <w:pStyle w:val="AERbulletlistfirststyle"/>
      </w:pPr>
      <w:r>
        <w:t>creates</w:t>
      </w:r>
      <w:r w:rsidR="00952752">
        <w:t xml:space="preserve"> a tariff structure that recognises differences in which consumers use gas</w:t>
      </w:r>
    </w:p>
    <w:p w:rsidR="00952752" w:rsidRDefault="008019D8" w:rsidP="00C722AA">
      <w:pPr>
        <w:pStyle w:val="AERbulletlistfirststyle"/>
      </w:pPr>
      <w:r>
        <w:t>provides</w:t>
      </w:r>
      <w:r w:rsidR="00952752">
        <w:t xml:space="preserve"> customers with cost reflective tariffs that encourage the efficient use and growth of the network overtime</w:t>
      </w:r>
    </w:p>
    <w:p w:rsidR="00952752" w:rsidRDefault="008019D8" w:rsidP="00C722AA">
      <w:pPr>
        <w:pStyle w:val="AERbulletlistfirststyle"/>
      </w:pPr>
      <w:r>
        <w:t xml:space="preserve">streamlines </w:t>
      </w:r>
      <w:r w:rsidR="00952752">
        <w:t>the process for major customers to seek additional gas capacity on the network, and</w:t>
      </w:r>
    </w:p>
    <w:p w:rsidR="00952752" w:rsidRDefault="008019D8" w:rsidP="00C722AA">
      <w:pPr>
        <w:pStyle w:val="AERbulletlistfirststyle"/>
      </w:pPr>
      <w:r>
        <w:t>creates</w:t>
      </w:r>
      <w:r w:rsidR="00952752">
        <w:t xml:space="preserve"> a tariff assignment process </w:t>
      </w:r>
      <w:r w:rsidR="006424CB">
        <w:t>to enable customers to respond to ActewAGL’s reference tariffs.</w:t>
      </w:r>
      <w:r w:rsidR="006424CB">
        <w:rPr>
          <w:rStyle w:val="FootnoteReference"/>
        </w:rPr>
        <w:footnoteReference w:id="3"/>
      </w:r>
    </w:p>
    <w:p w:rsidR="006424CB" w:rsidRDefault="006424CB" w:rsidP="006424CB">
      <w:r>
        <w:t xml:space="preserve">The reference tariffs proposed by ActewAGL are outlined in </w:t>
      </w:r>
      <w:r w:rsidR="004102B2">
        <w:fldChar w:fldCharType="begin"/>
      </w:r>
      <w:r w:rsidR="004102B2">
        <w:instrText xml:space="preserve"> REF  _Ref434835760 \* Lower \h </w:instrText>
      </w:r>
      <w:r w:rsidR="004102B2">
        <w:fldChar w:fldCharType="separate"/>
      </w:r>
      <w:r w:rsidR="00650F4A">
        <w:t xml:space="preserve">table </w:t>
      </w:r>
      <w:r w:rsidR="00650F4A">
        <w:rPr>
          <w:noProof/>
        </w:rPr>
        <w:t>10</w:t>
      </w:r>
      <w:r w:rsidR="00650F4A">
        <w:t>.</w:t>
      </w:r>
      <w:r w:rsidR="00650F4A">
        <w:rPr>
          <w:noProof/>
        </w:rPr>
        <w:t>1</w:t>
      </w:r>
      <w:r w:rsidR="004102B2">
        <w:fldChar w:fldCharType="end"/>
      </w:r>
      <w:r>
        <w:t>.</w:t>
      </w:r>
    </w:p>
    <w:p w:rsidR="000E0AE4" w:rsidRDefault="000E0AE4" w:rsidP="006424CB">
      <w:r w:rsidRPr="000E0AE4">
        <w:t>ActewAGL’s proposed ancillary reference services are consistent with those in the current access arrangement</w:t>
      </w:r>
      <w:r w:rsidR="008019D8">
        <w:t>. In addition</w:t>
      </w:r>
      <w:r w:rsidRPr="000E0AE4">
        <w:t xml:space="preserve"> it proposed a new service for the </w:t>
      </w:r>
      <w:r w:rsidRPr="000E0AE4">
        <w:lastRenderedPageBreak/>
        <w:t>decommissioning and removal of meters.</w:t>
      </w:r>
      <w:r w:rsidR="005346BF">
        <w:rPr>
          <w:rStyle w:val="FootnoteReference"/>
        </w:rPr>
        <w:footnoteReference w:id="4"/>
      </w:r>
      <w:r w:rsidRPr="000E0AE4">
        <w:t xml:space="preserve"> As noted in attachment 1 of our draft decision, </w:t>
      </w:r>
      <w:r w:rsidR="008019D8">
        <w:t xml:space="preserve">ActewAGL has included </w:t>
      </w:r>
      <w:r w:rsidRPr="000E0AE4">
        <w:t>the ancillary reference services in the haulage reference service.</w:t>
      </w:r>
      <w:r w:rsidR="004102B2">
        <w:t xml:space="preserve"> The proposed ancillary reference tariffs are outlined in</w:t>
      </w:r>
      <w:r w:rsidR="00A10BFA">
        <w:t xml:space="preserve"> </w:t>
      </w:r>
      <w:r w:rsidR="00A10BFA">
        <w:fldChar w:fldCharType="begin"/>
      </w:r>
      <w:r w:rsidR="00A10BFA">
        <w:instrText xml:space="preserve"> REF  _Ref434911896 \* Lower \h </w:instrText>
      </w:r>
      <w:r w:rsidR="00A10BFA">
        <w:fldChar w:fldCharType="separate"/>
      </w:r>
      <w:r w:rsidR="006D55D9">
        <w:t xml:space="preserve">table </w:t>
      </w:r>
      <w:r w:rsidR="006D55D9">
        <w:rPr>
          <w:noProof/>
        </w:rPr>
        <w:t>10</w:t>
      </w:r>
      <w:r w:rsidR="006D55D9">
        <w:t>.</w:t>
      </w:r>
      <w:r w:rsidR="006D55D9">
        <w:rPr>
          <w:noProof/>
        </w:rPr>
        <w:t>2</w:t>
      </w:r>
      <w:r w:rsidR="00A10BFA">
        <w:fldChar w:fldCharType="end"/>
      </w:r>
      <w:r w:rsidR="00A10BFA">
        <w:t>.</w:t>
      </w:r>
    </w:p>
    <w:p w:rsidR="00AE5DEF" w:rsidRDefault="001D6255" w:rsidP="001D6255">
      <w:pPr>
        <w:pStyle w:val="Caption"/>
      </w:pPr>
      <w:bookmarkStart w:id="14" w:name="_Ref434835760"/>
      <w:r>
        <w:t xml:space="preserve">Table </w:t>
      </w:r>
      <w:fldSimple w:instr=" STYLEREF 1 \s ">
        <w:r w:rsidR="006D55D9">
          <w:rPr>
            <w:noProof/>
          </w:rPr>
          <w:t>10</w:t>
        </w:r>
      </w:fldSimple>
      <w:r w:rsidR="005346BF">
        <w:t>.</w:t>
      </w:r>
      <w:fldSimple w:instr=" SEQ Table \* ARABIC \s 1 ">
        <w:r w:rsidR="006D55D9">
          <w:rPr>
            <w:noProof/>
          </w:rPr>
          <w:t>1</w:t>
        </w:r>
      </w:fldSimple>
      <w:bookmarkEnd w:id="14"/>
      <w:r>
        <w:t xml:space="preserve"> ActewAGL’s</w:t>
      </w:r>
      <w:r w:rsidR="009440D3">
        <w:t xml:space="preserve"> proposed</w:t>
      </w:r>
      <w:r>
        <w:t xml:space="preserve"> initial tariff classes and tariff charge components</w:t>
      </w:r>
    </w:p>
    <w:tbl>
      <w:tblPr>
        <w:tblStyle w:val="AERtable-text0"/>
        <w:tblW w:w="0" w:type="auto"/>
        <w:tblLook w:val="04A0" w:firstRow="1" w:lastRow="0" w:firstColumn="1" w:lastColumn="0" w:noHBand="0" w:noVBand="1"/>
      </w:tblPr>
      <w:tblGrid>
        <w:gridCol w:w="1809"/>
        <w:gridCol w:w="1418"/>
        <w:gridCol w:w="2268"/>
        <w:gridCol w:w="3198"/>
      </w:tblGrid>
      <w:tr w:rsidR="001D6255" w:rsidTr="00650F4A">
        <w:trPr>
          <w:cnfStyle w:val="100000000000" w:firstRow="1" w:lastRow="0" w:firstColumn="0" w:lastColumn="0" w:oddVBand="0" w:evenVBand="0" w:oddHBand="0" w:evenHBand="0" w:firstRowFirstColumn="0" w:firstRowLastColumn="0" w:lastRowFirstColumn="0" w:lastRowLastColumn="0"/>
          <w:tblHeader/>
        </w:trPr>
        <w:tc>
          <w:tcPr>
            <w:tcW w:w="1809" w:type="dxa"/>
          </w:tcPr>
          <w:p w:rsidR="001D6255" w:rsidRDefault="00D47F7D" w:rsidP="001D6255">
            <w:r>
              <w:t xml:space="preserve">Customer </w:t>
            </w:r>
            <w:r w:rsidR="001D6255">
              <w:t>category</w:t>
            </w:r>
          </w:p>
        </w:tc>
        <w:tc>
          <w:tcPr>
            <w:tcW w:w="1418" w:type="dxa"/>
          </w:tcPr>
          <w:p w:rsidR="001D6255" w:rsidRDefault="001D6255" w:rsidP="001D6255">
            <w:r>
              <w:t>Tariff class</w:t>
            </w:r>
          </w:p>
        </w:tc>
        <w:tc>
          <w:tcPr>
            <w:tcW w:w="2268" w:type="dxa"/>
          </w:tcPr>
          <w:p w:rsidR="001D6255" w:rsidRDefault="001D6255" w:rsidP="001D6255">
            <w:r>
              <w:t>Tariff category</w:t>
            </w:r>
          </w:p>
        </w:tc>
        <w:tc>
          <w:tcPr>
            <w:tcW w:w="3198" w:type="dxa"/>
          </w:tcPr>
          <w:p w:rsidR="001D6255" w:rsidRDefault="001D6255" w:rsidP="001D6255">
            <w:r>
              <w:t>Charge components</w:t>
            </w:r>
          </w:p>
        </w:tc>
      </w:tr>
      <w:tr w:rsidR="001D6255" w:rsidTr="00ED0862">
        <w:tc>
          <w:tcPr>
            <w:tcW w:w="1809" w:type="dxa"/>
          </w:tcPr>
          <w:p w:rsidR="001D6255" w:rsidRPr="00E10A45" w:rsidRDefault="005E4E87" w:rsidP="001D6255">
            <w:pPr>
              <w:rPr>
                <w:rStyle w:val="Strong"/>
              </w:rPr>
            </w:pPr>
            <w:r w:rsidRPr="00E10A45">
              <w:rPr>
                <w:rStyle w:val="Strong"/>
              </w:rPr>
              <w:t>Volume (V)</w:t>
            </w:r>
          </w:p>
        </w:tc>
        <w:tc>
          <w:tcPr>
            <w:tcW w:w="1418" w:type="dxa"/>
          </w:tcPr>
          <w:p w:rsidR="001D6255" w:rsidRPr="00E10A45" w:rsidRDefault="005E4E87" w:rsidP="001D6255">
            <w:pPr>
              <w:rPr>
                <w:rStyle w:val="Strong"/>
              </w:rPr>
            </w:pPr>
            <w:r w:rsidRPr="00E10A45">
              <w:rPr>
                <w:rStyle w:val="Strong"/>
              </w:rPr>
              <w:t>Residential (R)</w:t>
            </w:r>
          </w:p>
        </w:tc>
        <w:tc>
          <w:tcPr>
            <w:tcW w:w="2268" w:type="dxa"/>
          </w:tcPr>
          <w:p w:rsidR="001D6255" w:rsidRDefault="00512BE5" w:rsidP="001D6255">
            <w:r>
              <w:t>Residential individually metered (VRI)</w:t>
            </w:r>
          </w:p>
        </w:tc>
        <w:tc>
          <w:tcPr>
            <w:tcW w:w="3198" w:type="dxa"/>
          </w:tcPr>
          <w:p w:rsidR="001D6255" w:rsidRDefault="00512BE5" w:rsidP="001D6255">
            <w:r>
              <w:t>One fixed charge</w:t>
            </w:r>
          </w:p>
          <w:p w:rsidR="00512BE5" w:rsidRDefault="00512BE5" w:rsidP="001D6255">
            <w:r>
              <w:t xml:space="preserve">Four </w:t>
            </w:r>
            <w:r w:rsidR="00CA0664">
              <w:t xml:space="preserve">volume </w:t>
            </w:r>
            <w:r>
              <w:t>block charges</w:t>
            </w:r>
          </w:p>
          <w:p w:rsidR="00512BE5" w:rsidRDefault="00512BE5" w:rsidP="001D6255">
            <w:r>
              <w:t xml:space="preserve">Ancillary </w:t>
            </w:r>
            <w:r w:rsidR="00CA0664">
              <w:t>reference charges</w:t>
            </w:r>
          </w:p>
        </w:tc>
      </w:tr>
      <w:tr w:rsidR="001D6255" w:rsidTr="00ED0862">
        <w:trPr>
          <w:cnfStyle w:val="000000010000" w:firstRow="0" w:lastRow="0" w:firstColumn="0" w:lastColumn="0" w:oddVBand="0" w:evenVBand="0" w:oddHBand="0" w:evenHBand="1" w:firstRowFirstColumn="0" w:firstRowLastColumn="0" w:lastRowFirstColumn="0" w:lastRowLastColumn="0"/>
        </w:trPr>
        <w:tc>
          <w:tcPr>
            <w:tcW w:w="1809" w:type="dxa"/>
          </w:tcPr>
          <w:p w:rsidR="001D6255" w:rsidRDefault="001D6255" w:rsidP="001D6255"/>
        </w:tc>
        <w:tc>
          <w:tcPr>
            <w:tcW w:w="1418" w:type="dxa"/>
          </w:tcPr>
          <w:p w:rsidR="001D6255" w:rsidRDefault="001D6255" w:rsidP="001D6255"/>
        </w:tc>
        <w:tc>
          <w:tcPr>
            <w:tcW w:w="2268" w:type="dxa"/>
          </w:tcPr>
          <w:p w:rsidR="001D6255" w:rsidRDefault="00CA0664" w:rsidP="001D6255">
            <w:r>
              <w:t>Residential individually metered with gas heating and other gas appliances (VRH)</w:t>
            </w:r>
          </w:p>
        </w:tc>
        <w:tc>
          <w:tcPr>
            <w:tcW w:w="3198" w:type="dxa"/>
          </w:tcPr>
          <w:p w:rsidR="00CA0664" w:rsidRDefault="00CA0664" w:rsidP="00CA0664">
            <w:r>
              <w:t>One fixed charge</w:t>
            </w:r>
          </w:p>
          <w:p w:rsidR="00CA0664" w:rsidRDefault="00CA0664" w:rsidP="00CA0664">
            <w:r>
              <w:t>Three volume block charges</w:t>
            </w:r>
          </w:p>
          <w:p w:rsidR="001D6255" w:rsidRDefault="00CA0664" w:rsidP="00CA0664">
            <w:r>
              <w:t>Ancillary reference charges</w:t>
            </w:r>
          </w:p>
        </w:tc>
      </w:tr>
      <w:tr w:rsidR="001D6255" w:rsidTr="00ED0862">
        <w:tc>
          <w:tcPr>
            <w:tcW w:w="1809" w:type="dxa"/>
          </w:tcPr>
          <w:p w:rsidR="001D6255" w:rsidRDefault="001D6255" w:rsidP="001D6255"/>
        </w:tc>
        <w:tc>
          <w:tcPr>
            <w:tcW w:w="1418" w:type="dxa"/>
          </w:tcPr>
          <w:p w:rsidR="001D6255" w:rsidRDefault="001D6255" w:rsidP="001D6255"/>
        </w:tc>
        <w:tc>
          <w:tcPr>
            <w:tcW w:w="2268" w:type="dxa"/>
          </w:tcPr>
          <w:p w:rsidR="001D6255" w:rsidRDefault="00CA0664" w:rsidP="001D6255">
            <w:r>
              <w:t>Residential boundary metered (VRB)</w:t>
            </w:r>
          </w:p>
        </w:tc>
        <w:tc>
          <w:tcPr>
            <w:tcW w:w="3198" w:type="dxa"/>
          </w:tcPr>
          <w:p w:rsidR="00CA0664" w:rsidRDefault="00CA0664" w:rsidP="00CA0664">
            <w:r>
              <w:t>One fixed charge</w:t>
            </w:r>
          </w:p>
          <w:p w:rsidR="00CA0664" w:rsidRDefault="00CA0664" w:rsidP="00CA0664">
            <w:r>
              <w:t>Three volume block charges</w:t>
            </w:r>
          </w:p>
          <w:p w:rsidR="001D6255" w:rsidRDefault="00CA0664" w:rsidP="00CA0664">
            <w:r>
              <w:t>Ancillary reference charges</w:t>
            </w:r>
          </w:p>
        </w:tc>
      </w:tr>
      <w:tr w:rsidR="001D6255" w:rsidTr="00ED0862">
        <w:trPr>
          <w:cnfStyle w:val="000000010000" w:firstRow="0" w:lastRow="0" w:firstColumn="0" w:lastColumn="0" w:oddVBand="0" w:evenVBand="0" w:oddHBand="0" w:evenHBand="1" w:firstRowFirstColumn="0" w:firstRowLastColumn="0" w:lastRowFirstColumn="0" w:lastRowLastColumn="0"/>
        </w:trPr>
        <w:tc>
          <w:tcPr>
            <w:tcW w:w="1809" w:type="dxa"/>
          </w:tcPr>
          <w:p w:rsidR="001D6255" w:rsidRDefault="001D6255" w:rsidP="001D6255"/>
        </w:tc>
        <w:tc>
          <w:tcPr>
            <w:tcW w:w="1418" w:type="dxa"/>
          </w:tcPr>
          <w:p w:rsidR="001D6255" w:rsidRDefault="001D6255" w:rsidP="001D6255"/>
        </w:tc>
        <w:tc>
          <w:tcPr>
            <w:tcW w:w="2268" w:type="dxa"/>
          </w:tcPr>
          <w:p w:rsidR="001D6255" w:rsidRDefault="00CA0664" w:rsidP="001D6255">
            <w:r>
              <w:t>Large scale generation principally for residential end customers (VRG)</w:t>
            </w:r>
          </w:p>
        </w:tc>
        <w:tc>
          <w:tcPr>
            <w:tcW w:w="3198" w:type="dxa"/>
          </w:tcPr>
          <w:p w:rsidR="00CA0664" w:rsidRDefault="00CA0664" w:rsidP="00CA0664">
            <w:r>
              <w:t>One fixed charge</w:t>
            </w:r>
          </w:p>
          <w:p w:rsidR="00CA0664" w:rsidRDefault="00ED0862" w:rsidP="00CA0664">
            <w:r>
              <w:t>Three capacity</w:t>
            </w:r>
            <w:r w:rsidR="00CA0664">
              <w:t xml:space="preserve"> block charges</w:t>
            </w:r>
          </w:p>
          <w:p w:rsidR="001D6255" w:rsidRDefault="00CA0664" w:rsidP="00CA0664">
            <w:r>
              <w:t>Ancillary reference charges</w:t>
            </w:r>
          </w:p>
        </w:tc>
      </w:tr>
      <w:tr w:rsidR="001D6255" w:rsidTr="00ED0862">
        <w:tc>
          <w:tcPr>
            <w:tcW w:w="1809" w:type="dxa"/>
          </w:tcPr>
          <w:p w:rsidR="001D6255" w:rsidRDefault="001D6255" w:rsidP="001D6255"/>
        </w:tc>
        <w:tc>
          <w:tcPr>
            <w:tcW w:w="1418" w:type="dxa"/>
          </w:tcPr>
          <w:p w:rsidR="001D6255" w:rsidRPr="00E10A45" w:rsidRDefault="009653D1" w:rsidP="001D6255">
            <w:pPr>
              <w:rPr>
                <w:rStyle w:val="Strong"/>
              </w:rPr>
            </w:pPr>
            <w:r w:rsidRPr="00E10A45">
              <w:rPr>
                <w:rStyle w:val="Strong"/>
              </w:rPr>
              <w:t>Business (B)</w:t>
            </w:r>
          </w:p>
        </w:tc>
        <w:tc>
          <w:tcPr>
            <w:tcW w:w="2268" w:type="dxa"/>
          </w:tcPr>
          <w:p w:rsidR="001D6255" w:rsidRDefault="009653D1" w:rsidP="001D6255">
            <w:r>
              <w:t>Small business individually metered (VBS)</w:t>
            </w:r>
          </w:p>
        </w:tc>
        <w:tc>
          <w:tcPr>
            <w:tcW w:w="3198" w:type="dxa"/>
          </w:tcPr>
          <w:p w:rsidR="009653D1" w:rsidRDefault="009653D1" w:rsidP="009653D1">
            <w:r>
              <w:t>One fixed charge</w:t>
            </w:r>
          </w:p>
          <w:p w:rsidR="009653D1" w:rsidRDefault="009653D1" w:rsidP="009653D1">
            <w:r>
              <w:t>Three volume block charges</w:t>
            </w:r>
          </w:p>
          <w:p w:rsidR="001D6255" w:rsidRDefault="009653D1" w:rsidP="009653D1">
            <w:r>
              <w:t>Ancillary reference charges</w:t>
            </w:r>
          </w:p>
        </w:tc>
      </w:tr>
      <w:tr w:rsidR="001D6255" w:rsidTr="00ED0862">
        <w:trPr>
          <w:cnfStyle w:val="000000010000" w:firstRow="0" w:lastRow="0" w:firstColumn="0" w:lastColumn="0" w:oddVBand="0" w:evenVBand="0" w:oddHBand="0" w:evenHBand="1" w:firstRowFirstColumn="0" w:firstRowLastColumn="0" w:lastRowFirstColumn="0" w:lastRowLastColumn="0"/>
        </w:trPr>
        <w:tc>
          <w:tcPr>
            <w:tcW w:w="1809" w:type="dxa"/>
          </w:tcPr>
          <w:p w:rsidR="001D6255" w:rsidRDefault="001D6255" w:rsidP="001D6255"/>
        </w:tc>
        <w:tc>
          <w:tcPr>
            <w:tcW w:w="1418" w:type="dxa"/>
          </w:tcPr>
          <w:p w:rsidR="001D6255" w:rsidRDefault="001D6255" w:rsidP="001D6255"/>
        </w:tc>
        <w:tc>
          <w:tcPr>
            <w:tcW w:w="2268" w:type="dxa"/>
          </w:tcPr>
          <w:p w:rsidR="001D6255" w:rsidRDefault="009653D1" w:rsidP="001D6255">
            <w:r>
              <w:t>Medium business individually metered (VBM)</w:t>
            </w:r>
          </w:p>
        </w:tc>
        <w:tc>
          <w:tcPr>
            <w:tcW w:w="3198" w:type="dxa"/>
          </w:tcPr>
          <w:p w:rsidR="009653D1" w:rsidRDefault="009653D1" w:rsidP="009653D1">
            <w:r>
              <w:t>One fixed charge</w:t>
            </w:r>
          </w:p>
          <w:p w:rsidR="009653D1" w:rsidRDefault="009653D1" w:rsidP="009653D1">
            <w:r>
              <w:t>Three volume block charges</w:t>
            </w:r>
          </w:p>
          <w:p w:rsidR="001D6255" w:rsidRDefault="009653D1" w:rsidP="009653D1">
            <w:r>
              <w:t>Ancillary reference charges</w:t>
            </w:r>
          </w:p>
        </w:tc>
      </w:tr>
      <w:tr w:rsidR="001D6255" w:rsidTr="00ED0862">
        <w:tc>
          <w:tcPr>
            <w:tcW w:w="1809" w:type="dxa"/>
          </w:tcPr>
          <w:p w:rsidR="001D6255" w:rsidRPr="00E10A45" w:rsidRDefault="009653D1" w:rsidP="001D6255">
            <w:pPr>
              <w:rPr>
                <w:rStyle w:val="Strong"/>
              </w:rPr>
            </w:pPr>
            <w:r w:rsidRPr="00E10A45">
              <w:rPr>
                <w:rStyle w:val="Strong"/>
              </w:rPr>
              <w:t>Demand (D)</w:t>
            </w:r>
          </w:p>
        </w:tc>
        <w:tc>
          <w:tcPr>
            <w:tcW w:w="1418" w:type="dxa"/>
          </w:tcPr>
          <w:p w:rsidR="001D6255" w:rsidRPr="00E10A45" w:rsidRDefault="009653D1" w:rsidP="001D6255">
            <w:pPr>
              <w:rPr>
                <w:rStyle w:val="Strong"/>
              </w:rPr>
            </w:pPr>
            <w:r w:rsidRPr="00E10A45">
              <w:rPr>
                <w:rStyle w:val="Strong"/>
              </w:rPr>
              <w:t>Business (B)</w:t>
            </w:r>
          </w:p>
        </w:tc>
        <w:tc>
          <w:tcPr>
            <w:tcW w:w="2268" w:type="dxa"/>
          </w:tcPr>
          <w:p w:rsidR="001D6255" w:rsidRDefault="009653D1" w:rsidP="001D6255">
            <w:r>
              <w:t>Major customer capacity (DBC)</w:t>
            </w:r>
          </w:p>
        </w:tc>
        <w:tc>
          <w:tcPr>
            <w:tcW w:w="3198" w:type="dxa"/>
          </w:tcPr>
          <w:p w:rsidR="009653D1" w:rsidRDefault="009653D1" w:rsidP="009653D1">
            <w:r>
              <w:t>One provision of basic metering equipment charge</w:t>
            </w:r>
          </w:p>
          <w:p w:rsidR="009653D1" w:rsidRDefault="00650F4A" w:rsidP="009653D1">
            <w:r>
              <w:t xml:space="preserve">Three demand capacity </w:t>
            </w:r>
            <w:r w:rsidR="009653D1">
              <w:t>block charges</w:t>
            </w:r>
          </w:p>
          <w:p w:rsidR="001D6255" w:rsidRDefault="009653D1" w:rsidP="009653D1">
            <w:r>
              <w:t>Ancillary reference charges</w:t>
            </w:r>
          </w:p>
        </w:tc>
      </w:tr>
      <w:tr w:rsidR="001D6255" w:rsidTr="00ED0862">
        <w:trPr>
          <w:cnfStyle w:val="000000010000" w:firstRow="0" w:lastRow="0" w:firstColumn="0" w:lastColumn="0" w:oddVBand="0" w:evenVBand="0" w:oddHBand="0" w:evenHBand="1" w:firstRowFirstColumn="0" w:firstRowLastColumn="0" w:lastRowFirstColumn="0" w:lastRowLastColumn="0"/>
        </w:trPr>
        <w:tc>
          <w:tcPr>
            <w:tcW w:w="1809" w:type="dxa"/>
          </w:tcPr>
          <w:p w:rsidR="001D6255" w:rsidRDefault="001D6255" w:rsidP="001D6255"/>
        </w:tc>
        <w:tc>
          <w:tcPr>
            <w:tcW w:w="1418" w:type="dxa"/>
          </w:tcPr>
          <w:p w:rsidR="001D6255" w:rsidRDefault="001D6255" w:rsidP="001D6255"/>
        </w:tc>
        <w:tc>
          <w:tcPr>
            <w:tcW w:w="2268" w:type="dxa"/>
          </w:tcPr>
          <w:p w:rsidR="001D6255" w:rsidRDefault="009653D1" w:rsidP="001D6255">
            <w:r>
              <w:t>Major customer throughput (DBT)</w:t>
            </w:r>
          </w:p>
        </w:tc>
        <w:tc>
          <w:tcPr>
            <w:tcW w:w="3198" w:type="dxa"/>
          </w:tcPr>
          <w:p w:rsidR="009653D1" w:rsidRDefault="009653D1" w:rsidP="009653D1">
            <w:r>
              <w:t>One provision of basic metering equipment charge</w:t>
            </w:r>
          </w:p>
          <w:p w:rsidR="009653D1" w:rsidRDefault="009653D1" w:rsidP="009653D1">
            <w:r>
              <w:t xml:space="preserve">One volume </w:t>
            </w:r>
            <w:r w:rsidR="00ED0862">
              <w:t>ch</w:t>
            </w:r>
            <w:r>
              <w:t>arge</w:t>
            </w:r>
          </w:p>
          <w:p w:rsidR="001D6255" w:rsidRDefault="009653D1" w:rsidP="009653D1">
            <w:r>
              <w:t>Ancillary reference charges</w:t>
            </w:r>
          </w:p>
        </w:tc>
      </w:tr>
      <w:tr w:rsidR="001D6255" w:rsidTr="00ED0862">
        <w:tc>
          <w:tcPr>
            <w:tcW w:w="1809" w:type="dxa"/>
          </w:tcPr>
          <w:p w:rsidR="001D6255" w:rsidRDefault="001D6255" w:rsidP="001D6255"/>
        </w:tc>
        <w:tc>
          <w:tcPr>
            <w:tcW w:w="1418" w:type="dxa"/>
          </w:tcPr>
          <w:p w:rsidR="001D6255" w:rsidRDefault="001D6255" w:rsidP="001D6255"/>
        </w:tc>
        <w:tc>
          <w:tcPr>
            <w:tcW w:w="2268" w:type="dxa"/>
          </w:tcPr>
          <w:p w:rsidR="001D6255" w:rsidRDefault="009653D1" w:rsidP="001D6255">
            <w:r>
              <w:t xml:space="preserve">Demand </w:t>
            </w:r>
            <w:r w:rsidR="004F3CEE">
              <w:t>business large scale generation (DBG)</w:t>
            </w:r>
          </w:p>
        </w:tc>
        <w:tc>
          <w:tcPr>
            <w:tcW w:w="3198" w:type="dxa"/>
          </w:tcPr>
          <w:p w:rsidR="004F3CEE" w:rsidRDefault="004F3CEE" w:rsidP="004F3CEE">
            <w:r>
              <w:t>One provision of basic metering equipment charge</w:t>
            </w:r>
          </w:p>
          <w:p w:rsidR="004F3CEE" w:rsidRDefault="00650F4A" w:rsidP="004F3CEE">
            <w:r>
              <w:t xml:space="preserve">Three demand capacity </w:t>
            </w:r>
            <w:r w:rsidR="004F3CEE">
              <w:t>block charges</w:t>
            </w:r>
          </w:p>
          <w:p w:rsidR="001D6255" w:rsidRDefault="004F3CEE" w:rsidP="004F3CEE">
            <w:r>
              <w:lastRenderedPageBreak/>
              <w:t>Ancillary reference charges</w:t>
            </w:r>
          </w:p>
        </w:tc>
      </w:tr>
    </w:tbl>
    <w:p w:rsidR="001D6255" w:rsidRDefault="004F3CEE" w:rsidP="004F3CEE">
      <w:pPr>
        <w:pStyle w:val="AERtablesource"/>
      </w:pPr>
      <w:r>
        <w:lastRenderedPageBreak/>
        <w:t>Source:</w:t>
      </w:r>
      <w:r>
        <w:tab/>
        <w:t xml:space="preserve">ActewAGL, </w:t>
      </w:r>
      <w:r w:rsidRPr="00621A58">
        <w:rPr>
          <w:rStyle w:val="AERtextitalic"/>
        </w:rPr>
        <w:t>Access arrangement information, Attachment 12: Reference tariffs</w:t>
      </w:r>
      <w:r>
        <w:t xml:space="preserve">, June 2015, p. 15; ActewAGL, </w:t>
      </w:r>
      <w:r w:rsidRPr="00B404D1">
        <w:rPr>
          <w:rStyle w:val="AERtextitalic"/>
        </w:rPr>
        <w:t>Access arrangement 2016–21</w:t>
      </w:r>
      <w:r>
        <w:t>, July 2015, Schedule 3.</w:t>
      </w:r>
    </w:p>
    <w:p w:rsidR="005346BF" w:rsidRDefault="005346BF" w:rsidP="005346BF">
      <w:pPr>
        <w:pStyle w:val="Caption"/>
      </w:pPr>
      <w:bookmarkStart w:id="15" w:name="_Ref434911896"/>
      <w:r>
        <w:t xml:space="preserve">Table </w:t>
      </w:r>
      <w:fldSimple w:instr=" STYLEREF 1 \s ">
        <w:r w:rsidR="00443620">
          <w:rPr>
            <w:noProof/>
          </w:rPr>
          <w:t>10</w:t>
        </w:r>
      </w:fldSimple>
      <w:r>
        <w:t>.</w:t>
      </w:r>
      <w:fldSimple w:instr=" SEQ Table \* ARABIC \s 1 ">
        <w:r w:rsidR="00443620">
          <w:rPr>
            <w:noProof/>
          </w:rPr>
          <w:t>2</w:t>
        </w:r>
      </w:fldSimple>
      <w:bookmarkEnd w:id="15"/>
      <w:r>
        <w:tab/>
        <w:t>ActewAGL’s proposed ancillary reference services</w:t>
      </w:r>
    </w:p>
    <w:tbl>
      <w:tblPr>
        <w:tblStyle w:val="AERtable-text0"/>
        <w:tblW w:w="0" w:type="auto"/>
        <w:tblLook w:val="04A0" w:firstRow="1" w:lastRow="0" w:firstColumn="1" w:lastColumn="0" w:noHBand="0" w:noVBand="1"/>
      </w:tblPr>
      <w:tblGrid>
        <w:gridCol w:w="3510"/>
        <w:gridCol w:w="5183"/>
      </w:tblGrid>
      <w:tr w:rsidR="005346BF" w:rsidTr="00A10BFA">
        <w:trPr>
          <w:cnfStyle w:val="100000000000" w:firstRow="1" w:lastRow="0" w:firstColumn="0" w:lastColumn="0" w:oddVBand="0" w:evenVBand="0" w:oddHBand="0" w:evenHBand="0" w:firstRowFirstColumn="0" w:firstRowLastColumn="0" w:lastRowFirstColumn="0" w:lastRowLastColumn="0"/>
        </w:trPr>
        <w:tc>
          <w:tcPr>
            <w:tcW w:w="3510" w:type="dxa"/>
          </w:tcPr>
          <w:p w:rsidR="005346BF" w:rsidRDefault="005346BF" w:rsidP="005346BF">
            <w:r>
              <w:t>Ancillary reference service</w:t>
            </w:r>
          </w:p>
        </w:tc>
        <w:tc>
          <w:tcPr>
            <w:tcW w:w="5183" w:type="dxa"/>
          </w:tcPr>
          <w:p w:rsidR="005346BF" w:rsidRDefault="005346BF" w:rsidP="005346BF">
            <w:r>
              <w:t>Description of service</w:t>
            </w:r>
          </w:p>
        </w:tc>
      </w:tr>
      <w:tr w:rsidR="005346BF" w:rsidTr="00A10BFA">
        <w:tc>
          <w:tcPr>
            <w:tcW w:w="3510" w:type="dxa"/>
          </w:tcPr>
          <w:p w:rsidR="005346BF" w:rsidRDefault="005346BF" w:rsidP="005346BF">
            <w:r>
              <w:t>Special meter reads</w:t>
            </w:r>
          </w:p>
        </w:tc>
        <w:tc>
          <w:tcPr>
            <w:tcW w:w="5183" w:type="dxa"/>
          </w:tcPr>
          <w:p w:rsidR="005346BF" w:rsidRDefault="005346BF" w:rsidP="005346BF">
            <w:r>
              <w:t xml:space="preserve">Meter reading for a delivery point that is in addition </w:t>
            </w:r>
            <w:r w:rsidR="00A10BFA">
              <w:t>to the scheduled meter reading</w:t>
            </w:r>
          </w:p>
        </w:tc>
      </w:tr>
      <w:tr w:rsidR="005346BF" w:rsidTr="00A10BFA">
        <w:trPr>
          <w:cnfStyle w:val="000000010000" w:firstRow="0" w:lastRow="0" w:firstColumn="0" w:lastColumn="0" w:oddVBand="0" w:evenVBand="0" w:oddHBand="0" w:evenHBand="1" w:firstRowFirstColumn="0" w:firstRowLastColumn="0" w:lastRowFirstColumn="0" w:lastRowLastColumn="0"/>
        </w:trPr>
        <w:tc>
          <w:tcPr>
            <w:tcW w:w="3510" w:type="dxa"/>
          </w:tcPr>
          <w:p w:rsidR="005346BF" w:rsidRDefault="00A10BFA" w:rsidP="005346BF">
            <w:r>
              <w:t>Disconnections</w:t>
            </w:r>
          </w:p>
        </w:tc>
        <w:tc>
          <w:tcPr>
            <w:tcW w:w="5183" w:type="dxa"/>
          </w:tcPr>
          <w:p w:rsidR="005346BF" w:rsidRDefault="00A10BFA" w:rsidP="00A10BFA">
            <w:r>
              <w:t>Disconnection to prevent the withdrawal of gas at the delivery point (the method of disconnection is at the discretion of ActewAGL)</w:t>
            </w:r>
          </w:p>
        </w:tc>
      </w:tr>
      <w:tr w:rsidR="005346BF" w:rsidTr="00A10BFA">
        <w:tc>
          <w:tcPr>
            <w:tcW w:w="3510" w:type="dxa"/>
          </w:tcPr>
          <w:p w:rsidR="005346BF" w:rsidRDefault="00A10BFA" w:rsidP="005346BF">
            <w:r>
              <w:t>Reconnections</w:t>
            </w:r>
          </w:p>
        </w:tc>
        <w:tc>
          <w:tcPr>
            <w:tcW w:w="5183" w:type="dxa"/>
          </w:tcPr>
          <w:p w:rsidR="005346BF" w:rsidRDefault="00A10BFA" w:rsidP="005346BF">
            <w:r>
              <w:t>Reconnection to allow the withdrawal of gas at the delivery point but only where the equipment to allow the withdrawal of gas is still present at the delivery point</w:t>
            </w:r>
          </w:p>
        </w:tc>
      </w:tr>
      <w:tr w:rsidR="005346BF" w:rsidTr="00A10BFA">
        <w:trPr>
          <w:cnfStyle w:val="000000010000" w:firstRow="0" w:lastRow="0" w:firstColumn="0" w:lastColumn="0" w:oddVBand="0" w:evenVBand="0" w:oddHBand="0" w:evenHBand="1" w:firstRowFirstColumn="0" w:firstRowLastColumn="0" w:lastRowFirstColumn="0" w:lastRowLastColumn="0"/>
        </w:trPr>
        <w:tc>
          <w:tcPr>
            <w:tcW w:w="3510" w:type="dxa"/>
          </w:tcPr>
          <w:p w:rsidR="005346BF" w:rsidRDefault="00A10BFA" w:rsidP="005346BF">
            <w:r>
              <w:t>Decommissioning and meter removals (new)</w:t>
            </w:r>
          </w:p>
        </w:tc>
        <w:tc>
          <w:tcPr>
            <w:tcW w:w="5183" w:type="dxa"/>
          </w:tcPr>
          <w:p w:rsidR="005346BF" w:rsidRDefault="00A10BFA" w:rsidP="00A10BFA">
            <w:r>
              <w:t>Removal of a meter and the permanent decommissioning of a network connection (the method of disconnection is at the discretion of ActewAGL)</w:t>
            </w:r>
          </w:p>
        </w:tc>
      </w:tr>
      <w:tr w:rsidR="005346BF" w:rsidTr="00A10BFA">
        <w:tc>
          <w:tcPr>
            <w:tcW w:w="3510" w:type="dxa"/>
          </w:tcPr>
          <w:p w:rsidR="005346BF" w:rsidRDefault="00A10BFA" w:rsidP="005346BF">
            <w:r>
              <w:t>Request for service</w:t>
            </w:r>
          </w:p>
        </w:tc>
        <w:tc>
          <w:tcPr>
            <w:tcW w:w="5183" w:type="dxa"/>
          </w:tcPr>
          <w:p w:rsidR="005346BF" w:rsidRDefault="00A10BFA" w:rsidP="005346BF">
            <w:r>
              <w:t>Network users wishing to obtain a transport service for a delivery point must submit a request for service in accordance with the request</w:t>
            </w:r>
            <w:r>
              <w:noBreakHyphen/>
              <w:t>for</w:t>
            </w:r>
            <w:r>
              <w:noBreakHyphen/>
              <w:t>service procedure set out in the access arrangement.</w:t>
            </w:r>
          </w:p>
        </w:tc>
      </w:tr>
    </w:tbl>
    <w:p w:rsidR="005346BF" w:rsidRPr="005346BF" w:rsidRDefault="00A10BFA" w:rsidP="00A10BFA">
      <w:pPr>
        <w:pStyle w:val="AERtablesource"/>
      </w:pPr>
      <w:r>
        <w:t>Source:</w:t>
      </w:r>
      <w:r>
        <w:tab/>
        <w:t xml:space="preserve">ActewAGL, </w:t>
      </w:r>
      <w:r w:rsidRPr="00621A58">
        <w:rPr>
          <w:rStyle w:val="AERtextitalic"/>
        </w:rPr>
        <w:t xml:space="preserve">Access arrangement information, Attachment 2: </w:t>
      </w:r>
      <w:r>
        <w:rPr>
          <w:rStyle w:val="AERtextitalic"/>
        </w:rPr>
        <w:t>Services policy</w:t>
      </w:r>
      <w:r>
        <w:t>, June 2015, p. 8.</w:t>
      </w:r>
    </w:p>
    <w:p w:rsidR="009A5113" w:rsidRDefault="009A5113" w:rsidP="009A5113">
      <w:pPr>
        <w:pStyle w:val="Heading2"/>
      </w:pPr>
      <w:bookmarkStart w:id="16" w:name="_Toc408404322"/>
      <w:bookmarkStart w:id="17" w:name="_Toc436044955"/>
      <w:r w:rsidRPr="0074565D">
        <w:t>AER’s assessment approach</w:t>
      </w:r>
      <w:bookmarkEnd w:id="16"/>
      <w:bookmarkEnd w:id="17"/>
    </w:p>
    <w:p w:rsidR="00C722AA" w:rsidRDefault="00BB330E" w:rsidP="00C722AA">
      <w:r w:rsidRPr="00BB330E">
        <w:t>In a</w:t>
      </w:r>
      <w:r w:rsidR="005D6504">
        <w:t>n</w:t>
      </w:r>
      <w:r w:rsidRPr="00BB330E">
        <w:t xml:space="preserve"> access arrangement, a service provider is required to specify for each reference service the reference tariff and the proposed approach to the setting reference tariffs.</w:t>
      </w:r>
      <w:r>
        <w:rPr>
          <w:rStyle w:val="FootnoteReference"/>
        </w:rPr>
        <w:footnoteReference w:id="5"/>
      </w:r>
      <w:r w:rsidRPr="00BB330E">
        <w:t xml:space="preserve"> This is done by:</w:t>
      </w:r>
    </w:p>
    <w:p w:rsidR="00BB330E" w:rsidRDefault="00BB330E" w:rsidP="00BB330E">
      <w:pPr>
        <w:pStyle w:val="AERbulletlistfirststyle"/>
      </w:pPr>
      <w:r w:rsidRPr="00BB330E">
        <w:t>explaining how revenues and costs are allocated, including the relationship between costs and tariffs</w:t>
      </w:r>
      <w:r>
        <w:rPr>
          <w:rStyle w:val="FootnoteReference"/>
        </w:rPr>
        <w:footnoteReference w:id="6"/>
      </w:r>
    </w:p>
    <w:p w:rsidR="00BB330E" w:rsidRDefault="00BB330E" w:rsidP="00BB330E">
      <w:pPr>
        <w:pStyle w:val="AERbulletlistfirststyle"/>
      </w:pPr>
      <w:r>
        <w:t>d</w:t>
      </w:r>
      <w:r w:rsidRPr="00BB330E">
        <w:t>efining the tariff classes</w:t>
      </w:r>
      <w:r>
        <w:rPr>
          <w:rStyle w:val="FootnoteReference"/>
        </w:rPr>
        <w:footnoteReference w:id="7"/>
      </w:r>
    </w:p>
    <w:p w:rsidR="00BB330E" w:rsidRDefault="00BB330E" w:rsidP="00BB330E">
      <w:pPr>
        <w:pStyle w:val="AERbulletlistfirststyle"/>
      </w:pPr>
      <w:r w:rsidRPr="00BB330E">
        <w:t>comparing the revenue to be raised by each reference tariff with the cost of providing each individual reference service</w:t>
      </w:r>
      <w:r>
        <w:rPr>
          <w:rStyle w:val="FootnoteReference"/>
        </w:rPr>
        <w:footnoteReference w:id="8"/>
      </w:r>
    </w:p>
    <w:p w:rsidR="00BB330E" w:rsidRDefault="00BB330E" w:rsidP="00BB330E">
      <w:pPr>
        <w:pStyle w:val="AERbulletlistfirststyle"/>
      </w:pPr>
      <w:r w:rsidRPr="00BB330E">
        <w:t>explaining and describing any pricing principles it employed</w:t>
      </w:r>
      <w:r>
        <w:t>.</w:t>
      </w:r>
      <w:r>
        <w:rPr>
          <w:rStyle w:val="FootnoteReference"/>
        </w:rPr>
        <w:footnoteReference w:id="9"/>
      </w:r>
      <w:r>
        <w:rPr>
          <w:rStyle w:val="FootnoteReference"/>
        </w:rPr>
        <w:footnoteReference w:id="10"/>
      </w:r>
    </w:p>
    <w:p w:rsidR="00BB330E" w:rsidRPr="00BB330E" w:rsidRDefault="00BB330E" w:rsidP="00BB330E">
      <w:r>
        <w:lastRenderedPageBreak/>
        <w:t>We are required to assess ActewAGL’s</w:t>
      </w:r>
      <w:r w:rsidRPr="00BB330E">
        <w:t xml:space="preserve"> proposed reference tar</w:t>
      </w:r>
      <w:r>
        <w:t>iffs.</w:t>
      </w:r>
      <w:r w:rsidR="0041667A">
        <w:rPr>
          <w:rStyle w:val="FootnoteReference"/>
        </w:rPr>
        <w:footnoteReference w:id="11"/>
      </w:r>
      <w:r>
        <w:t xml:space="preserve"> Where we do not accept</w:t>
      </w:r>
      <w:r w:rsidR="009440D3">
        <w:t xml:space="preserve"> them, </w:t>
      </w:r>
      <w:r w:rsidRPr="00BB330E">
        <w:t>we must determine the initial reference tariffs</w:t>
      </w:r>
      <w:r w:rsidR="009440D3">
        <w:t xml:space="preserve"> to apply for each reference service</w:t>
      </w:r>
      <w:r w:rsidRPr="00BB330E">
        <w:t>.</w:t>
      </w:r>
    </w:p>
    <w:p w:rsidR="00BB330E" w:rsidRDefault="00BB330E" w:rsidP="00C722AA">
      <w:r w:rsidRPr="00BB330E">
        <w:t>In our assessment of the proposed r</w:t>
      </w:r>
      <w:r>
        <w:t>eference tariff, we reviewed ActewAGL</w:t>
      </w:r>
      <w:r w:rsidRPr="00BB330E">
        <w:t>'s:</w:t>
      </w:r>
    </w:p>
    <w:p w:rsidR="00BB330E" w:rsidRDefault="00BB330E" w:rsidP="00BB330E">
      <w:pPr>
        <w:pStyle w:val="AERbulletlistfirststyle"/>
      </w:pPr>
      <w:r>
        <w:t>access arrangement information</w:t>
      </w:r>
      <w:r>
        <w:rPr>
          <w:rStyle w:val="FootnoteReference"/>
        </w:rPr>
        <w:footnoteReference w:id="12"/>
      </w:r>
    </w:p>
    <w:p w:rsidR="00BB330E" w:rsidRDefault="00BB330E" w:rsidP="00BB330E">
      <w:pPr>
        <w:pStyle w:val="AERbulletlistfirststyle"/>
      </w:pPr>
      <w:r>
        <w:t>access arrangement proposal</w:t>
      </w:r>
      <w:r w:rsidR="00473D7B">
        <w:rPr>
          <w:rStyle w:val="FootnoteReference"/>
        </w:rPr>
        <w:footnoteReference w:id="13"/>
      </w:r>
    </w:p>
    <w:p w:rsidR="00BB330E" w:rsidRDefault="00BB330E" w:rsidP="00BB330E">
      <w:pPr>
        <w:pStyle w:val="AERbulletlistfirststyle"/>
      </w:pPr>
      <w:r>
        <w:t>tariff structure statement</w:t>
      </w:r>
      <w:r w:rsidR="007B590F">
        <w:rPr>
          <w:rStyle w:val="FootnoteReference"/>
        </w:rPr>
        <w:footnoteReference w:id="14"/>
      </w:r>
    </w:p>
    <w:p w:rsidR="00BB330E" w:rsidRDefault="00BB330E" w:rsidP="00BB330E">
      <w:pPr>
        <w:pStyle w:val="AERbulletlistfirststyle"/>
      </w:pPr>
      <w:r>
        <w:t>explanation of proposed revisions to the 2010 access arrangement.</w:t>
      </w:r>
    </w:p>
    <w:p w:rsidR="000E0AE4" w:rsidRDefault="000E0AE4" w:rsidP="000E0AE4">
      <w:r>
        <w:t>We also had regard to submissions received in the course of</w:t>
      </w:r>
      <w:r w:rsidR="009440D3">
        <w:t xml:space="preserve"> our consultation</w:t>
      </w:r>
      <w:r>
        <w:t xml:space="preserve"> on the</w:t>
      </w:r>
      <w:r w:rsidR="009440D3">
        <w:t xml:space="preserve"> proposed</w:t>
      </w:r>
      <w:r>
        <w:t xml:space="preserve"> access arrangement.</w:t>
      </w:r>
      <w:r>
        <w:rPr>
          <w:rStyle w:val="FootnoteReference"/>
        </w:rPr>
        <w:footnoteReference w:id="15"/>
      </w:r>
    </w:p>
    <w:p w:rsidR="000E0AE4" w:rsidRPr="008C5837" w:rsidRDefault="00621A58" w:rsidP="008C5837">
      <w:pPr>
        <w:pStyle w:val="HeadingBoldBlue"/>
      </w:pPr>
      <w:bookmarkStart w:id="18" w:name="_Toc435442872"/>
      <w:bookmarkStart w:id="19" w:name="_Toc435442911"/>
      <w:r w:rsidRPr="008C5837">
        <w:t>Identifying the reference service</w:t>
      </w:r>
      <w:bookmarkEnd w:id="18"/>
      <w:bookmarkEnd w:id="19"/>
    </w:p>
    <w:p w:rsidR="00621A58" w:rsidRPr="00B404D1" w:rsidRDefault="009440D3" w:rsidP="00621A58">
      <w:r>
        <w:t>Service providers are</w:t>
      </w:r>
      <w:r w:rsidR="00621A58">
        <w:t xml:space="preserve"> required by the NGR to specify a reference tariff for each reference service.</w:t>
      </w:r>
      <w:r w:rsidR="0090499C">
        <w:rPr>
          <w:rStyle w:val="FootnoteReference"/>
        </w:rPr>
        <w:footnoteReference w:id="16"/>
      </w:r>
      <w:r w:rsidR="00621A58">
        <w:t xml:space="preserve"> We first consider what is (or are) the reference service(s) for the purpose of the NGR when undertaking our review.</w:t>
      </w:r>
      <w:r w:rsidR="00621A58">
        <w:rPr>
          <w:rStyle w:val="FootnoteReference"/>
        </w:rPr>
        <w:footnoteReference w:id="17"/>
      </w:r>
      <w:r w:rsidR="00621A58">
        <w:t xml:space="preserve"> Our decision on what constitutes the reference service is set </w:t>
      </w:r>
      <w:r w:rsidR="007E3C1B">
        <w:t>out in the services attachment—</w:t>
      </w:r>
      <w:r w:rsidR="00621A58">
        <w:t>attachment 1.</w:t>
      </w:r>
    </w:p>
    <w:p w:rsidR="00621A58" w:rsidRDefault="00621A58" w:rsidP="00621A58">
      <w:pPr>
        <w:pStyle w:val="HeadingBoldBlue"/>
      </w:pPr>
      <w:bookmarkStart w:id="20" w:name="_Toc435442873"/>
      <w:bookmarkStart w:id="21" w:name="_Toc435442912"/>
      <w:r>
        <w:t>Assessing the tariff setting method for the reference service</w:t>
      </w:r>
      <w:bookmarkEnd w:id="20"/>
      <w:bookmarkEnd w:id="21"/>
    </w:p>
    <w:p w:rsidR="008A01B8" w:rsidRDefault="008A01B8" w:rsidP="008A01B8">
      <w:r>
        <w:t>The reference tariffs for a full access arrangement must be designed to meet the requirements of the NGR. Our discretion on tariff design is limited.</w:t>
      </w:r>
      <w:r>
        <w:rPr>
          <w:rStyle w:val="FootnoteReference"/>
        </w:rPr>
        <w:footnoteReference w:id="18"/>
      </w:r>
    </w:p>
    <w:p w:rsidR="008A01B8" w:rsidRDefault="008A01B8" w:rsidP="008A01B8">
      <w:r>
        <w:t>C</w:t>
      </w:r>
      <w:r w:rsidR="000C3EAF">
        <w:t>onsequently, we consider how ActewAGL</w:t>
      </w:r>
      <w:r>
        <w:t xml:space="preserve"> intends to charge for reference services by:</w:t>
      </w:r>
    </w:p>
    <w:p w:rsidR="008A01B8" w:rsidRDefault="000C3EAF" w:rsidP="008A01B8">
      <w:pPr>
        <w:pStyle w:val="ListNumber"/>
      </w:pPr>
      <w:r>
        <w:t>assessing how ActewAGL</w:t>
      </w:r>
      <w:r w:rsidR="008A01B8">
        <w:t xml:space="preserve"> intends to allocate costs and revenues between reference services and other services. It must demonstrate that total revenue is allocated between reference and other services in the ratio in which costs are allocated between reference services and other services. </w:t>
      </w:r>
      <w:r w:rsidR="005D6504">
        <w:t>Furthermore, c</w:t>
      </w:r>
      <w:r w:rsidR="008A01B8">
        <w:t>osts must also be allocated to the reference service and other services to which the cost is directly attributable.</w:t>
      </w:r>
      <w:r w:rsidR="008A01B8">
        <w:rPr>
          <w:rStyle w:val="FootnoteReference"/>
        </w:rPr>
        <w:footnoteReference w:id="19"/>
      </w:r>
    </w:p>
    <w:p w:rsidR="008A01B8" w:rsidRDefault="000C3EAF" w:rsidP="008A01B8">
      <w:pPr>
        <w:pStyle w:val="ListNumber"/>
      </w:pPr>
      <w:r>
        <w:lastRenderedPageBreak/>
        <w:t>assessing how ActewAGL</w:t>
      </w:r>
      <w:r w:rsidR="008A01B8">
        <w:t xml:space="preserve"> grouped its cu</w:t>
      </w:r>
      <w:r>
        <w:t>stomers into tariff classes. ActewAGL</w:t>
      </w:r>
      <w:r w:rsidR="008A01B8">
        <w:t xml:space="preserve"> is required to group together customers for reference services on an economically efficient basis and to avoid unnecessary transaction costs.</w:t>
      </w:r>
      <w:r w:rsidR="00BA3A35">
        <w:rPr>
          <w:rStyle w:val="FootnoteReference"/>
        </w:rPr>
        <w:footnoteReference w:id="20"/>
      </w:r>
      <w:r w:rsidR="008A01B8">
        <w:t xml:space="preserve"> We consider the nature of the reference service (e.g. volume and demand tariff classes) are consistent with the need to group customers for reference services together on an economically efficiently basis and avoid unnecessary transaction costs.</w:t>
      </w:r>
    </w:p>
    <w:p w:rsidR="008A01B8" w:rsidRDefault="008A01B8" w:rsidP="008A01B8">
      <w:pPr>
        <w:pStyle w:val="ListNumber"/>
      </w:pPr>
      <w:r>
        <w:t>assessing how:</w:t>
      </w:r>
    </w:p>
    <w:p w:rsidR="008A01B8" w:rsidRDefault="008A01B8" w:rsidP="008A01B8">
      <w:pPr>
        <w:pStyle w:val="AERnumberedlistsecondstyle"/>
      </w:pPr>
      <w:r>
        <w:t>the expected average revenue of a tariff class compares with the stand alone cost and avoidable cost of providing the reference service to that tariff class</w:t>
      </w:r>
    </w:p>
    <w:p w:rsidR="008A01B8" w:rsidRDefault="008A01B8" w:rsidP="008A01B8">
      <w:pPr>
        <w:pStyle w:val="AERnumberedlistsecondstyle"/>
      </w:pPr>
      <w:r>
        <w:t>whether the tariff takes into account trans</w:t>
      </w:r>
      <w:r w:rsidR="009440D3">
        <w:t>action costs associated with developing and applying the</w:t>
      </w:r>
      <w:r>
        <w:t xml:space="preserve"> tariff</w:t>
      </w:r>
    </w:p>
    <w:p w:rsidR="008A01B8" w:rsidRDefault="008A01B8" w:rsidP="008A01B8">
      <w:pPr>
        <w:pStyle w:val="AERnumberedlistsecondstyle"/>
      </w:pPr>
      <w:r>
        <w:t>whether the tariffs take into account the long run marginal costs of</w:t>
      </w:r>
      <w:r w:rsidR="009440D3">
        <w:t xml:space="preserve"> providing</w:t>
      </w:r>
      <w:r>
        <w:t xml:space="preserve"> reference services</w:t>
      </w:r>
    </w:p>
    <w:p w:rsidR="00621A58" w:rsidRPr="00621A58" w:rsidRDefault="008A01B8" w:rsidP="00621A58">
      <w:pPr>
        <w:pStyle w:val="AERnumberedlistsecondstyle"/>
      </w:pPr>
      <w:r>
        <w:t>whether customers belonging to the relevant tariff class are able to likely to respond to price signals.</w:t>
      </w:r>
      <w:r>
        <w:rPr>
          <w:rStyle w:val="FootnoteReference"/>
        </w:rPr>
        <w:footnoteReference w:id="21"/>
      </w:r>
    </w:p>
    <w:p w:rsidR="009A5113" w:rsidRDefault="009A5113" w:rsidP="009A5113">
      <w:pPr>
        <w:pStyle w:val="Heading2"/>
      </w:pPr>
      <w:bookmarkStart w:id="22" w:name="_Toc408404324"/>
      <w:bookmarkStart w:id="23" w:name="_Toc436044956"/>
      <w:r w:rsidRPr="0074565D">
        <w:t xml:space="preserve">Reasons for </w:t>
      </w:r>
      <w:r w:rsidR="008F12EE">
        <w:t>draft</w:t>
      </w:r>
      <w:r w:rsidR="00651CB2" w:rsidRPr="0074565D">
        <w:t xml:space="preserve"> </w:t>
      </w:r>
      <w:r w:rsidRPr="0074565D">
        <w:t>decision</w:t>
      </w:r>
      <w:bookmarkEnd w:id="22"/>
      <w:bookmarkEnd w:id="23"/>
    </w:p>
    <w:p w:rsidR="008019D8" w:rsidRDefault="008019D8" w:rsidP="008019D8">
      <w:r>
        <w:t xml:space="preserve">We accept ActewAGL’s proposed new tariff structure. While </w:t>
      </w:r>
      <w:r w:rsidR="00306ECC">
        <w:t>it</w:t>
      </w:r>
      <w:r>
        <w:t xml:space="preserve"> invo</w:t>
      </w:r>
      <w:r w:rsidR="00306ECC">
        <w:t>lves significant changes to the tariff structure</w:t>
      </w:r>
      <w:r>
        <w:t xml:space="preserve"> in ActewAGL’s current access arrangement, we note the new tariff s</w:t>
      </w:r>
      <w:r w:rsidR="00306ECC">
        <w:t>tructure is consistent with those</w:t>
      </w:r>
      <w:r>
        <w:t xml:space="preserve"> applied by other gas distribution networks</w:t>
      </w:r>
      <w:r w:rsidR="005D6504">
        <w:t xml:space="preserve"> in recent years</w:t>
      </w:r>
      <w:r>
        <w:t>.</w:t>
      </w:r>
      <w:r>
        <w:rPr>
          <w:rStyle w:val="FootnoteReference"/>
        </w:rPr>
        <w:footnoteReference w:id="22"/>
      </w:r>
      <w:r w:rsidR="009D725A">
        <w:t xml:space="preserve"> We also consider it is compliant with the requirements of the NGR.</w:t>
      </w:r>
      <w:r w:rsidR="00DE2832">
        <w:rPr>
          <w:rStyle w:val="FootnoteReference"/>
        </w:rPr>
        <w:footnoteReference w:id="23"/>
      </w:r>
    </w:p>
    <w:p w:rsidR="000B3117" w:rsidRDefault="00861C0B" w:rsidP="00861C0B">
      <w:r>
        <w:t xml:space="preserve">A number of submissions </w:t>
      </w:r>
      <w:r w:rsidR="005D6504">
        <w:t>were concerned about</w:t>
      </w:r>
      <w:r>
        <w:t xml:space="preserve"> </w:t>
      </w:r>
      <w:r w:rsidRPr="00861C0B">
        <w:t xml:space="preserve">ActewAGL’s proposed </w:t>
      </w:r>
      <w:r w:rsidR="005D6504">
        <w:t xml:space="preserve">new </w:t>
      </w:r>
      <w:r w:rsidRPr="00861C0B">
        <w:t>tariff structure</w:t>
      </w:r>
      <w:r>
        <w:t xml:space="preserve">. However, we found no compelling evidence in submissions </w:t>
      </w:r>
      <w:r w:rsidR="000B3117">
        <w:t xml:space="preserve">that would lead us </w:t>
      </w:r>
      <w:r>
        <w:t>to not accept ActewAGL’s proposed tariff structure.</w:t>
      </w:r>
    </w:p>
    <w:p w:rsidR="00B734BF" w:rsidRPr="00306ECC" w:rsidRDefault="000B3117" w:rsidP="00861C0B">
      <w:r>
        <w:t>We have also decided to permit</w:t>
      </w:r>
      <w:r w:rsidR="00B734BF">
        <w:t xml:space="preserve"> ActewAGL to introduce or withdraw tariff classes and/or tariff</w:t>
      </w:r>
      <w:r w:rsidR="006D7522">
        <w:t xml:space="preserve">s </w:t>
      </w:r>
      <w:r>
        <w:t>during</w:t>
      </w:r>
      <w:r w:rsidR="00B734BF">
        <w:t xml:space="preserve"> the 2016–2</w:t>
      </w:r>
      <w:r w:rsidR="00650F4A">
        <w:t>1</w:t>
      </w:r>
      <w:r w:rsidR="00B734BF">
        <w:t xml:space="preserve"> access arrangement. However, we note these will be limited to those </w:t>
      </w:r>
      <w:r w:rsidR="00B734BF" w:rsidRPr="00B734BF">
        <w:t xml:space="preserve">we have </w:t>
      </w:r>
      <w:r w:rsidR="006D7522">
        <w:t>pre-</w:t>
      </w:r>
      <w:r w:rsidR="00B734BF" w:rsidRPr="00B734BF">
        <w:t>approved.</w:t>
      </w:r>
      <w:r w:rsidR="00861C0B">
        <w:t xml:space="preserve"> Our discussion o</w:t>
      </w:r>
      <w:r w:rsidR="005D6504">
        <w:t xml:space="preserve">f </w:t>
      </w:r>
      <w:r w:rsidR="00861C0B">
        <w:t xml:space="preserve">these </w:t>
      </w:r>
      <w:r w:rsidR="005D6504">
        <w:t xml:space="preserve">matters </w:t>
      </w:r>
      <w:r w:rsidR="00861C0B">
        <w:t>is set out below.</w:t>
      </w:r>
    </w:p>
    <w:p w:rsidR="00F03933" w:rsidRDefault="00861C0B" w:rsidP="00F03933">
      <w:r>
        <w:t>The remainder of this attachment</w:t>
      </w:r>
      <w:r w:rsidR="00F03933">
        <w:t xml:space="preserve"> sets out the reasons for our draft decision under the following headings:</w:t>
      </w:r>
    </w:p>
    <w:p w:rsidR="00F03933" w:rsidRPr="00A928A4" w:rsidRDefault="00F03933" w:rsidP="00F03933">
      <w:pPr>
        <w:pStyle w:val="AERbulletlistfirststyle"/>
      </w:pPr>
      <w:r w:rsidRPr="00A928A4">
        <w:t>the allocation of revenues and costs to reference tariffs</w:t>
      </w:r>
    </w:p>
    <w:p w:rsidR="00F03933" w:rsidRPr="00A928A4" w:rsidRDefault="00F03933" w:rsidP="00F03933">
      <w:pPr>
        <w:pStyle w:val="AERbulletlistfirststyle"/>
      </w:pPr>
      <w:r w:rsidRPr="00A928A4">
        <w:t>the establishment of tariff classes</w:t>
      </w:r>
    </w:p>
    <w:p w:rsidR="00F03933" w:rsidRPr="00A928A4" w:rsidRDefault="00F03933" w:rsidP="00F03933">
      <w:pPr>
        <w:pStyle w:val="AERbulletlistfirststyle"/>
      </w:pPr>
      <w:r w:rsidRPr="00A928A4">
        <w:t>tariff classes and revenue limits.</w:t>
      </w:r>
    </w:p>
    <w:p w:rsidR="00F03933" w:rsidRDefault="0074419D" w:rsidP="0074419D">
      <w:pPr>
        <w:pStyle w:val="Heading3"/>
      </w:pPr>
      <w:bookmarkStart w:id="24" w:name="_Toc436044957"/>
      <w:r>
        <w:lastRenderedPageBreak/>
        <w:t>Tariff structure</w:t>
      </w:r>
      <w:bookmarkEnd w:id="24"/>
    </w:p>
    <w:p w:rsidR="007B3F47" w:rsidRDefault="007B3F47" w:rsidP="007B3F47">
      <w:r>
        <w:t>We received a number of submissions on ActewAGL’s proposed tariff structure with the following concerns:</w:t>
      </w:r>
    </w:p>
    <w:p w:rsidR="007B3F47" w:rsidRDefault="007B3F47" w:rsidP="007B3F47">
      <w:pPr>
        <w:pStyle w:val="AERbulletlistfirststyle"/>
      </w:pPr>
      <w:r>
        <w:t>tariff structure complexity</w:t>
      </w:r>
    </w:p>
    <w:p w:rsidR="007B3F47" w:rsidRDefault="007B3F47" w:rsidP="007B3F47">
      <w:pPr>
        <w:pStyle w:val="AERbulletlistfirststyle"/>
      </w:pPr>
      <w:r>
        <w:t>efficiency of declining block tariffs</w:t>
      </w:r>
    </w:p>
    <w:p w:rsidR="007B3F47" w:rsidRDefault="007B3F47" w:rsidP="007B3F47">
      <w:pPr>
        <w:pStyle w:val="AERbulletlistfirststyle"/>
      </w:pPr>
      <w:r>
        <w:t>tariff categories for customers with multiple gas appliances</w:t>
      </w:r>
    </w:p>
    <w:p w:rsidR="007B3F47" w:rsidRDefault="007B3F47" w:rsidP="007B3F47">
      <w:pPr>
        <w:pStyle w:val="AERbulletlistfirststyle"/>
      </w:pPr>
      <w:r>
        <w:t>impact of the tariff structure on vulnerable and disadvantaged customers.</w:t>
      </w:r>
      <w:r>
        <w:rPr>
          <w:rStyle w:val="FootnoteReference"/>
        </w:rPr>
        <w:footnoteReference w:id="24"/>
      </w:r>
    </w:p>
    <w:p w:rsidR="007B3F47" w:rsidRDefault="00861C0B" w:rsidP="006C6BE9">
      <w:r>
        <w:t>Our discussion of each of these concerns is set out below.</w:t>
      </w:r>
    </w:p>
    <w:p w:rsidR="00B0063D" w:rsidRDefault="00B0063D" w:rsidP="00B0063D">
      <w:pPr>
        <w:pStyle w:val="HeadingBoldBlue"/>
      </w:pPr>
      <w:bookmarkStart w:id="25" w:name="_Toc435442876"/>
      <w:bookmarkStart w:id="26" w:name="_Toc435442915"/>
      <w:r>
        <w:t>Tariff structure complexity</w:t>
      </w:r>
      <w:bookmarkEnd w:id="25"/>
      <w:bookmarkEnd w:id="26"/>
    </w:p>
    <w:p w:rsidR="002C625B" w:rsidRDefault="00B0063D" w:rsidP="0074419D">
      <w:r>
        <w:t xml:space="preserve">Origin Energy and the </w:t>
      </w:r>
      <w:r w:rsidRPr="00707E17">
        <w:t>No</w:t>
      </w:r>
      <w:r>
        <w:t>rth Canberra Community Council raised concern</w:t>
      </w:r>
      <w:r w:rsidR="004575E1">
        <w:t>s</w:t>
      </w:r>
      <w:r>
        <w:t xml:space="preserve"> that ActewAGL’s proposed tariff structure is </w:t>
      </w:r>
      <w:r w:rsidR="005D6504">
        <w:t>overly complex</w:t>
      </w:r>
      <w:r>
        <w:t xml:space="preserve"> and are not convinced it will result in a more efficient use of the gas network.</w:t>
      </w:r>
      <w:r>
        <w:rPr>
          <w:rStyle w:val="FootnoteReference"/>
        </w:rPr>
        <w:footnoteReference w:id="25"/>
      </w:r>
    </w:p>
    <w:p w:rsidR="002C625B" w:rsidRDefault="002C625B" w:rsidP="0074419D">
      <w:r>
        <w:t>The complexity of the proposed tariff structure is acknowledged by ActewAGL.</w:t>
      </w:r>
      <w:r>
        <w:rPr>
          <w:rStyle w:val="FootnoteReference"/>
        </w:rPr>
        <w:footnoteReference w:id="26"/>
      </w:r>
      <w:r>
        <w:t xml:space="preserve"> </w:t>
      </w:r>
      <w:r w:rsidR="00CB187B">
        <w:t>However,</w:t>
      </w:r>
      <w:r>
        <w:t xml:space="preserve"> we agree with ActewAGL that</w:t>
      </w:r>
      <w:r w:rsidR="00CB187B">
        <w:t xml:space="preserve"> although more </w:t>
      </w:r>
      <w:r w:rsidR="005D6504">
        <w:t>detailed</w:t>
      </w:r>
      <w:r w:rsidR="00CB187B">
        <w:t>,</w:t>
      </w:r>
      <w:r>
        <w:t xml:space="preserve"> the proposed tariff structure provides for tariff categories that better reflect the characteristics of end </w:t>
      </w:r>
      <w:r w:rsidR="005D6504">
        <w:t xml:space="preserve">use </w:t>
      </w:r>
      <w:r>
        <w:t>customers. In doing so, the</w:t>
      </w:r>
      <w:r w:rsidR="00AA2DA2">
        <w:t xml:space="preserve"> proposed</w:t>
      </w:r>
      <w:r>
        <w:t xml:space="preserve"> tariff structure allows a more cost reflective approach to </w:t>
      </w:r>
      <w:r w:rsidR="005D6504">
        <w:t>tariffs</w:t>
      </w:r>
      <w:r>
        <w:t xml:space="preserve">. </w:t>
      </w:r>
      <w:r w:rsidR="005D6504">
        <w:t>This is</w:t>
      </w:r>
      <w:r>
        <w:t xml:space="preserve"> an efficient outcome.</w:t>
      </w:r>
    </w:p>
    <w:p w:rsidR="00CB2524" w:rsidRDefault="002C625B" w:rsidP="002C625B">
      <w:r>
        <w:t>We also consider the increased cost reflectiv</w:t>
      </w:r>
      <w:r w:rsidR="00AA2DA2">
        <w:t>ity of the</w:t>
      </w:r>
      <w:r>
        <w:t xml:space="preserve"> tariff structure means the</w:t>
      </w:r>
      <w:r w:rsidR="00AA2DA2">
        <w:t xml:space="preserve"> underlying</w:t>
      </w:r>
      <w:r>
        <w:t xml:space="preserve"> tariffs send more appropriate price signals to end </w:t>
      </w:r>
      <w:r w:rsidR="006D7522">
        <w:t xml:space="preserve">use </w:t>
      </w:r>
      <w:r>
        <w:t xml:space="preserve">customers about their comparative costs for utilising the network. This will allow </w:t>
      </w:r>
      <w:r w:rsidR="006D7522">
        <w:t xml:space="preserve">them </w:t>
      </w:r>
      <w:r>
        <w:t>to make more informed choices about how they utilise the network.</w:t>
      </w:r>
    </w:p>
    <w:p w:rsidR="00CB2524" w:rsidRDefault="00CB2524" w:rsidP="00CB2524">
      <w:r>
        <w:t>Therefore, we consider the</w:t>
      </w:r>
      <w:r w:rsidR="004E4A58">
        <w:t>se</w:t>
      </w:r>
      <w:r>
        <w:t xml:space="preserve"> potential benefits of the proposed tariff structure</w:t>
      </w:r>
      <w:r w:rsidR="004E4A58">
        <w:t xml:space="preserve"> </w:t>
      </w:r>
      <w:r>
        <w:t xml:space="preserve">outweigh the cost of its increased complexity. </w:t>
      </w:r>
      <w:r w:rsidR="004E4A58">
        <w:t>Moreover, w</w:t>
      </w:r>
      <w:r>
        <w:t xml:space="preserve">e </w:t>
      </w:r>
      <w:r w:rsidR="004E4A58">
        <w:t xml:space="preserve">observe that </w:t>
      </w:r>
      <w:r>
        <w:t xml:space="preserve">the proposed tariff structure is </w:t>
      </w:r>
      <w:r w:rsidR="004E4A58">
        <w:t>the same as</w:t>
      </w:r>
      <w:r>
        <w:t xml:space="preserve"> that applied by gas distribution networks in other jurisdictions.</w:t>
      </w:r>
      <w:r w:rsidR="00CB187B">
        <w:rPr>
          <w:rStyle w:val="FootnoteReference"/>
        </w:rPr>
        <w:footnoteReference w:id="27"/>
      </w:r>
    </w:p>
    <w:p w:rsidR="00012AAB" w:rsidRDefault="00E57901" w:rsidP="003569EA">
      <w:pPr>
        <w:pStyle w:val="HeadingBoldBlue"/>
      </w:pPr>
      <w:bookmarkStart w:id="27" w:name="_Toc435442877"/>
      <w:bookmarkStart w:id="28" w:name="_Toc435442916"/>
      <w:r>
        <w:lastRenderedPageBreak/>
        <w:t>Declining block tariffs</w:t>
      </w:r>
      <w:bookmarkEnd w:id="27"/>
      <w:bookmarkEnd w:id="28"/>
    </w:p>
    <w:p w:rsidR="003569EA" w:rsidRDefault="00CB2524" w:rsidP="00CB2524">
      <w:r>
        <w:t xml:space="preserve">The North Canberra Community Council </w:t>
      </w:r>
      <w:r w:rsidR="003569EA">
        <w:t xml:space="preserve">considered that </w:t>
      </w:r>
      <w:r w:rsidR="009E3D5D">
        <w:t xml:space="preserve">ActewAGL’s proposed </w:t>
      </w:r>
      <w:r w:rsidR="003569EA">
        <w:t xml:space="preserve">declining block tariffs discourage energy efficiency and that </w:t>
      </w:r>
      <w:r w:rsidR="003569EA" w:rsidRPr="003569EA">
        <w:t>ActewAGL should provide additional data justifying the size of the tariff blocks.</w:t>
      </w:r>
      <w:r w:rsidR="003569EA">
        <w:rPr>
          <w:rStyle w:val="FootnoteReference"/>
        </w:rPr>
        <w:footnoteReference w:id="28"/>
      </w:r>
      <w:r w:rsidR="003569EA" w:rsidRPr="003569EA">
        <w:t xml:space="preserve"> </w:t>
      </w:r>
      <w:r w:rsidR="003569EA">
        <w:t xml:space="preserve">It also </w:t>
      </w:r>
      <w:r w:rsidR="009704F8">
        <w:t xml:space="preserve">submitted </w:t>
      </w:r>
      <w:r w:rsidR="003569EA">
        <w:t>that a simple dollar per gigajoule tariff could apply for all customers so that consumers pay in proportion to their usage of the network.</w:t>
      </w:r>
      <w:r w:rsidR="003569EA">
        <w:rPr>
          <w:rStyle w:val="FootnoteReference"/>
        </w:rPr>
        <w:footnoteReference w:id="29"/>
      </w:r>
    </w:p>
    <w:p w:rsidR="004E4A58" w:rsidRDefault="00CB2524" w:rsidP="00CB2524">
      <w:r>
        <w:t>We acknowledge t</w:t>
      </w:r>
      <w:r w:rsidR="00FA092E">
        <w:t>hat declining block</w:t>
      </w:r>
      <w:r>
        <w:t xml:space="preserve"> tariffs can have efficiency concerns. This is of particular </w:t>
      </w:r>
      <w:r w:rsidR="006D7522">
        <w:t>relevance</w:t>
      </w:r>
      <w:r w:rsidR="00F53B28">
        <w:t xml:space="preserve"> in electricity,</w:t>
      </w:r>
      <w:r w:rsidR="006D7522">
        <w:t xml:space="preserve"> </w:t>
      </w:r>
      <w:r w:rsidR="0005190B">
        <w:t xml:space="preserve">where declining block tariffs send relatively poor price signals to customer’ about how their use of the network impacts peak demand and </w:t>
      </w:r>
      <w:r w:rsidR="00F53B28">
        <w:t xml:space="preserve">electricity </w:t>
      </w:r>
      <w:r w:rsidR="0005190B" w:rsidRPr="0005190B">
        <w:t>network constraints</w:t>
      </w:r>
      <w:r w:rsidR="0005190B">
        <w:t>.</w:t>
      </w:r>
      <w:r w:rsidR="00F53B28">
        <w:t xml:space="preserve"> R</w:t>
      </w:r>
      <w:r w:rsidR="00E57901">
        <w:t>e</w:t>
      </w:r>
      <w:r w:rsidR="00101BC5">
        <w:t>solution of</w:t>
      </w:r>
      <w:r w:rsidR="00E57901">
        <w:t xml:space="preserve"> these</w:t>
      </w:r>
      <w:r w:rsidR="00101BC5">
        <w:t xml:space="preserve"> network constraints typically involve</w:t>
      </w:r>
      <w:r w:rsidR="009704F8">
        <w:t>s</w:t>
      </w:r>
      <w:r w:rsidR="00101BC5">
        <w:t xml:space="preserve"> additional capital expenditure</w:t>
      </w:r>
      <w:r w:rsidR="00F53B28">
        <w:t>,</w:t>
      </w:r>
      <w:r w:rsidR="00101BC5">
        <w:t xml:space="preserve"> which manifests in higher tariffs for </w:t>
      </w:r>
      <w:r w:rsidR="004E4A58">
        <w:t xml:space="preserve">all </w:t>
      </w:r>
      <w:r w:rsidR="00101BC5">
        <w:t xml:space="preserve">customers. </w:t>
      </w:r>
      <w:r w:rsidR="0086056B">
        <w:t>I</w:t>
      </w:r>
      <w:r w:rsidR="00862421">
        <w:t>n these instances</w:t>
      </w:r>
      <w:r w:rsidR="0042471A">
        <w:t>,</w:t>
      </w:r>
      <w:r w:rsidR="00862421">
        <w:t xml:space="preserve"> tariffs which send more appropriate price signals about network </w:t>
      </w:r>
      <w:r w:rsidR="004E4A58">
        <w:t>constraints should be employed.</w:t>
      </w:r>
    </w:p>
    <w:p w:rsidR="0005190B" w:rsidRDefault="00F53B28" w:rsidP="00CB2524">
      <w:r>
        <w:t>Nonetheless</w:t>
      </w:r>
      <w:r w:rsidR="0005190B">
        <w:t>, we note gas networks do not have the same peak load constraints and issues that befall electricity networks. Therefore, declining block tariffs for gas networks do not have the same efficiency concerns</w:t>
      </w:r>
      <w:r w:rsidR="00101BC5">
        <w:t xml:space="preserve"> as</w:t>
      </w:r>
      <w:r w:rsidR="0086056B">
        <w:t xml:space="preserve"> they</w:t>
      </w:r>
      <w:r w:rsidR="00101BC5">
        <w:t xml:space="preserve"> do for electricity networks</w:t>
      </w:r>
      <w:r w:rsidR="0005190B">
        <w:t>.</w:t>
      </w:r>
      <w:r>
        <w:t xml:space="preserve"> </w:t>
      </w:r>
    </w:p>
    <w:p w:rsidR="009B120D" w:rsidRDefault="00101BC5" w:rsidP="00101BC5">
      <w:r>
        <w:t xml:space="preserve">We also note the structure of declining bock tariffs is well known to ActewAGL’s customers </w:t>
      </w:r>
      <w:r w:rsidR="008A7B5E">
        <w:t xml:space="preserve">because </w:t>
      </w:r>
      <w:r>
        <w:t xml:space="preserve">they have been applied in the current access arrangement. </w:t>
      </w:r>
      <w:r w:rsidR="0042471A">
        <w:t>T</w:t>
      </w:r>
      <w:r>
        <w:t xml:space="preserve">he </w:t>
      </w:r>
      <w:r w:rsidR="0041667A">
        <w:t>structure of these tariffs allows</w:t>
      </w:r>
      <w:r>
        <w:t xml:space="preserve"> customers to respond to the prices within each block (or band) by adjusting their consumption. Doing so reduce</w:t>
      </w:r>
      <w:r w:rsidR="009704F8">
        <w:t>s</w:t>
      </w:r>
      <w:r>
        <w:t xml:space="preserve"> or increase</w:t>
      </w:r>
      <w:r w:rsidR="009704F8">
        <w:t>s</w:t>
      </w:r>
      <w:r>
        <w:t xml:space="preserve"> their overall network charges.</w:t>
      </w:r>
      <w:r w:rsidR="00AA2DA2">
        <w:t xml:space="preserve"> </w:t>
      </w:r>
    </w:p>
    <w:p w:rsidR="009B120D" w:rsidRDefault="00101BC5" w:rsidP="00101BC5">
      <w:r>
        <w:t xml:space="preserve">As </w:t>
      </w:r>
      <w:r w:rsidR="00862421">
        <w:t>ActewAGL’s</w:t>
      </w:r>
      <w:r>
        <w:t xml:space="preserve"> proposed tariff structure </w:t>
      </w:r>
      <w:r w:rsidRPr="00101BC5">
        <w:t>better reflect</w:t>
      </w:r>
      <w:r w:rsidR="00E57901">
        <w:t>s</w:t>
      </w:r>
      <w:r w:rsidRPr="00101BC5">
        <w:t xml:space="preserve"> the characteristics of customers</w:t>
      </w:r>
      <w:r w:rsidR="0042471A">
        <w:t>,</w:t>
      </w:r>
      <w:r w:rsidR="00862421">
        <w:t xml:space="preserve"> </w:t>
      </w:r>
      <w:r w:rsidRPr="00101BC5">
        <w:t>more appropriate price signals</w:t>
      </w:r>
      <w:r w:rsidR="0042471A">
        <w:t xml:space="preserve"> are provided</w:t>
      </w:r>
      <w:r w:rsidRPr="00101BC5">
        <w:t xml:space="preserve"> to </w:t>
      </w:r>
      <w:r w:rsidR="00F53B28">
        <w:t>them</w:t>
      </w:r>
      <w:r w:rsidR="00F53B28" w:rsidRPr="00101BC5">
        <w:t xml:space="preserve"> </w:t>
      </w:r>
      <w:r w:rsidRPr="00101BC5">
        <w:t>about their comparative costs</w:t>
      </w:r>
      <w:r w:rsidR="00E57901">
        <w:t xml:space="preserve"> for utilising the network. These price signals</w:t>
      </w:r>
      <w:r w:rsidRPr="00101BC5">
        <w:t xml:space="preserve"> will allow customers to make more informed choices about how they utilise the network.</w:t>
      </w:r>
      <w:r>
        <w:t xml:space="preserve"> </w:t>
      </w:r>
    </w:p>
    <w:p w:rsidR="009B120D" w:rsidRDefault="009B120D" w:rsidP="00101BC5">
      <w:r>
        <w:t xml:space="preserve">In comparison, </w:t>
      </w:r>
      <w:r w:rsidR="00101BC5">
        <w:t xml:space="preserve">we consider </w:t>
      </w:r>
      <w:r>
        <w:t xml:space="preserve">the </w:t>
      </w:r>
      <w:r w:rsidRPr="009B120D">
        <w:t>simple dollar per gigajoule tariff</w:t>
      </w:r>
      <w:r>
        <w:t xml:space="preserve"> </w:t>
      </w:r>
      <w:r w:rsidRPr="00B90758">
        <w:t>posited by</w:t>
      </w:r>
      <w:r>
        <w:t xml:space="preserve"> </w:t>
      </w:r>
      <w:r w:rsidRPr="00B90758">
        <w:t>the North Canberra Community Council</w:t>
      </w:r>
      <w:r>
        <w:t xml:space="preserve"> would considerably dilute these cost reflective price signals</w:t>
      </w:r>
      <w:r w:rsidR="002F0529">
        <w:t xml:space="preserve"> because</w:t>
      </w:r>
      <w:r>
        <w:t xml:space="preserve"> it does not take into account the specific costs for each tariff category. Rather it would harbour cross-subsidisation a</w:t>
      </w:r>
      <w:r w:rsidR="00C44267">
        <w:t xml:space="preserve">cross customers, with some customers paying the costs of the network directly attributed to </w:t>
      </w:r>
      <w:r w:rsidR="002F0529">
        <w:t>others</w:t>
      </w:r>
      <w:r w:rsidR="00C44267">
        <w:t>. We consider this outcome to be inefficient.</w:t>
      </w:r>
    </w:p>
    <w:p w:rsidR="00101BC5" w:rsidRDefault="002F0529" w:rsidP="00101BC5">
      <w:r>
        <w:t xml:space="preserve">As a result, </w:t>
      </w:r>
      <w:r w:rsidR="009B120D">
        <w:t>we</w:t>
      </w:r>
      <w:r w:rsidR="00C44267">
        <w:t xml:space="preserve"> consider </w:t>
      </w:r>
      <w:r w:rsidR="009B120D">
        <w:t xml:space="preserve">no compelling </w:t>
      </w:r>
      <w:r w:rsidR="00C44267">
        <w:t>evidence has been provided</w:t>
      </w:r>
      <w:r w:rsidR="00F53B28">
        <w:t xml:space="preserve"> that would lead us </w:t>
      </w:r>
      <w:r w:rsidR="009B120D">
        <w:t xml:space="preserve">not </w:t>
      </w:r>
      <w:r w:rsidR="00F53B28">
        <w:t xml:space="preserve">to </w:t>
      </w:r>
      <w:r w:rsidR="009B120D">
        <w:t>accept</w:t>
      </w:r>
      <w:r w:rsidR="00862421">
        <w:t xml:space="preserve"> the continuation of ActewAGL</w:t>
      </w:r>
      <w:r w:rsidR="00E21B84">
        <w:t>’s</w:t>
      </w:r>
      <w:r w:rsidR="00862421">
        <w:t xml:space="preserve"> declining </w:t>
      </w:r>
      <w:r w:rsidR="00D3311F">
        <w:t>block tariffs.</w:t>
      </w:r>
    </w:p>
    <w:p w:rsidR="00D3311F" w:rsidRDefault="00E21B84" w:rsidP="00E21B84">
      <w:r>
        <w:lastRenderedPageBreak/>
        <w:t>W</w:t>
      </w:r>
      <w:r w:rsidR="00C44267">
        <w:t xml:space="preserve">e </w:t>
      </w:r>
      <w:r w:rsidR="0042471A">
        <w:t xml:space="preserve">are satisfied with the information ActewAGL </w:t>
      </w:r>
      <w:r w:rsidR="00C44267">
        <w:t xml:space="preserve">provided to justify </w:t>
      </w:r>
      <w:r w:rsidR="0042471A">
        <w:t>its tariff block</w:t>
      </w:r>
      <w:r w:rsidR="00C44267">
        <w:t xml:space="preserve"> structure</w:t>
      </w:r>
      <w:r w:rsidR="0042471A">
        <w:t>s.</w:t>
      </w:r>
      <w:r>
        <w:rPr>
          <w:rStyle w:val="FootnoteReference"/>
        </w:rPr>
        <w:footnoteReference w:id="30"/>
      </w:r>
      <w:r w:rsidR="0042471A">
        <w:t xml:space="preserve"> </w:t>
      </w:r>
      <w:r w:rsidR="00D3311F">
        <w:t xml:space="preserve">However, </w:t>
      </w:r>
      <w:r w:rsidR="00C44267">
        <w:t xml:space="preserve">we </w:t>
      </w:r>
      <w:r w:rsidR="00F966A0">
        <w:t>also note</w:t>
      </w:r>
      <w:r w:rsidR="00C44267">
        <w:t xml:space="preserve"> the North </w:t>
      </w:r>
      <w:r w:rsidR="00C44267" w:rsidRPr="00C44267">
        <w:t>Canberra Community Council</w:t>
      </w:r>
      <w:r w:rsidR="00C44267">
        <w:t xml:space="preserve"> request for ActewAGL </w:t>
      </w:r>
      <w:r>
        <w:t xml:space="preserve">to provide </w:t>
      </w:r>
      <w:r w:rsidR="00D3311F">
        <w:t>additional data to support its</w:t>
      </w:r>
      <w:r>
        <w:t xml:space="preserve"> tariff block structure. </w:t>
      </w:r>
      <w:r w:rsidR="002F0529">
        <w:t>W</w:t>
      </w:r>
      <w:r>
        <w:t xml:space="preserve">e </w:t>
      </w:r>
      <w:r w:rsidR="00D3311F">
        <w:t xml:space="preserve">encourage </w:t>
      </w:r>
      <w:r>
        <w:t>ActewAGL</w:t>
      </w:r>
      <w:r w:rsidR="00D3311F">
        <w:t xml:space="preserve"> to include this</w:t>
      </w:r>
      <w:r>
        <w:t xml:space="preserve"> information</w:t>
      </w:r>
      <w:r w:rsidR="00D3311F">
        <w:t xml:space="preserve"> in its revised access arrangement proposa</w:t>
      </w:r>
      <w:r>
        <w:t xml:space="preserve">l for </w:t>
      </w:r>
      <w:r w:rsidR="002F0529">
        <w:t>stakeholders’ consideration.</w:t>
      </w:r>
    </w:p>
    <w:p w:rsidR="00B0063D" w:rsidRDefault="006C6BE9" w:rsidP="00B0063D">
      <w:pPr>
        <w:pStyle w:val="HeadingBoldBlue"/>
      </w:pPr>
      <w:bookmarkStart w:id="29" w:name="_Toc435442878"/>
      <w:bookmarkStart w:id="30" w:name="_Toc435442917"/>
      <w:r>
        <w:t>Tariff categories for customers with m</w:t>
      </w:r>
      <w:r w:rsidR="00B0063D">
        <w:t>ultiple gas appliance</w:t>
      </w:r>
      <w:r w:rsidR="00F62D42">
        <w:t>s</w:t>
      </w:r>
      <w:bookmarkEnd w:id="29"/>
      <w:bookmarkEnd w:id="30"/>
    </w:p>
    <w:p w:rsidR="00BE07BE" w:rsidRDefault="00F76EFE" w:rsidP="00D025B8">
      <w:r>
        <w:t xml:space="preserve">ActewAGL’s proposed tariff structure includes </w:t>
      </w:r>
      <w:r w:rsidR="00EE2262">
        <w:t>a number of</w:t>
      </w:r>
      <w:r w:rsidR="00D025B8">
        <w:t xml:space="preserve"> tariff categories specifically for customers with more than one gas appliance</w:t>
      </w:r>
      <w:r w:rsidR="001B33D1">
        <w:t xml:space="preserve"> (mul</w:t>
      </w:r>
      <w:r w:rsidR="00DE1769">
        <w:t>t</w:t>
      </w:r>
      <w:r w:rsidR="001B33D1">
        <w:t>i</w:t>
      </w:r>
      <w:r w:rsidR="00DE1769">
        <w:t>–appliance tariff categories</w:t>
      </w:r>
      <w:r w:rsidR="001B33D1">
        <w:rPr>
          <w:rStyle w:val="FootnoteReference"/>
        </w:rPr>
        <w:footnoteReference w:id="31"/>
      </w:r>
      <w:r w:rsidR="00DE1769">
        <w:t>)</w:t>
      </w:r>
      <w:r w:rsidR="00D025B8">
        <w:t>.</w:t>
      </w:r>
      <w:r w:rsidR="00D025B8">
        <w:rPr>
          <w:rStyle w:val="FootnoteReference"/>
        </w:rPr>
        <w:footnoteReference w:id="32"/>
      </w:r>
      <w:r w:rsidR="00D025B8">
        <w:t xml:space="preserve"> The</w:t>
      </w:r>
      <w:r w:rsidR="00DE1769">
        <w:t xml:space="preserve"> multi–appliance</w:t>
      </w:r>
      <w:r w:rsidR="00D025B8">
        <w:t xml:space="preserve"> tariff </w:t>
      </w:r>
      <w:r w:rsidR="00DE1769">
        <w:t>c</w:t>
      </w:r>
      <w:r w:rsidR="00D025B8">
        <w:t>ategories have a relatively higher fixed charge but lower usage</w:t>
      </w:r>
      <w:r w:rsidR="002F0529">
        <w:t xml:space="preserve"> (volumetric)</w:t>
      </w:r>
      <w:r w:rsidR="00D025B8">
        <w:t xml:space="preserve"> charges compared to the default volume residential individually metered tariff category. These </w:t>
      </w:r>
      <w:r w:rsidR="002F0529">
        <w:t xml:space="preserve">new </w:t>
      </w:r>
      <w:r w:rsidR="00A66060">
        <w:t xml:space="preserve">tariffs are </w:t>
      </w:r>
      <w:r w:rsidR="009E3D5D">
        <w:t>designe</w:t>
      </w:r>
      <w:r w:rsidR="00A66060">
        <w:t xml:space="preserve">d to </w:t>
      </w:r>
      <w:r w:rsidR="00EF2185">
        <w:t xml:space="preserve">encourage </w:t>
      </w:r>
      <w:r w:rsidR="00A66060">
        <w:t>install</w:t>
      </w:r>
      <w:r w:rsidR="00EF2185">
        <w:t>ation of</w:t>
      </w:r>
      <w:r w:rsidR="00A66060">
        <w:t xml:space="preserve"> additional gas appliances (such as gas cooking, gas powered washing machines and dryers)</w:t>
      </w:r>
      <w:r w:rsidR="00D025B8">
        <w:t xml:space="preserve"> in an effort to bring about </w:t>
      </w:r>
      <w:r w:rsidR="00496C55">
        <w:t>greater utilisation of the network</w:t>
      </w:r>
      <w:r w:rsidR="00EF2185">
        <w:t xml:space="preserve"> </w:t>
      </w:r>
      <w:r w:rsidR="00496C55">
        <w:t>throughout the year</w:t>
      </w:r>
      <w:r w:rsidR="00B93521">
        <w:t>.</w:t>
      </w:r>
      <w:r w:rsidR="002F0529">
        <w:t xml:space="preserve"> It is deigned to make the gas network more attractive vis a vis the competing electricity sector.</w:t>
      </w:r>
    </w:p>
    <w:p w:rsidR="00D025B8" w:rsidRPr="00EF2185" w:rsidRDefault="00D025B8" w:rsidP="00D025B8">
      <w:r>
        <w:t xml:space="preserve">For example, residential customers typically </w:t>
      </w:r>
      <w:r w:rsidR="00DE1769">
        <w:t>use gas during the winter mornings and afternoons predominantly for heating.</w:t>
      </w:r>
      <w:r w:rsidR="00DE1769">
        <w:rPr>
          <w:rStyle w:val="FootnoteReference"/>
        </w:rPr>
        <w:footnoteReference w:id="33"/>
      </w:r>
      <w:r w:rsidR="00DE1769">
        <w:t xml:space="preserve"> The intent of the</w:t>
      </w:r>
      <w:r w:rsidR="00EE2262">
        <w:t xml:space="preserve"> residential</w:t>
      </w:r>
      <w:r w:rsidR="00BE07BE">
        <w:t xml:space="preserve"> multi–appliance</w:t>
      </w:r>
      <w:r w:rsidR="00DE1769">
        <w:t xml:space="preserve"> tariff</w:t>
      </w:r>
      <w:r w:rsidR="00BE07BE">
        <w:t xml:space="preserve"> category</w:t>
      </w:r>
      <w:r w:rsidR="00DE1769">
        <w:t xml:space="preserve"> is to encourage these customers to use gas over the low gas usage </w:t>
      </w:r>
      <w:r w:rsidR="002F0529">
        <w:t>spring and summer periods,</w:t>
      </w:r>
      <w:r w:rsidR="00DE1769">
        <w:t xml:space="preserve"> by installing additional gas appliances.</w:t>
      </w:r>
      <w:r w:rsidR="00DE1769">
        <w:rPr>
          <w:rStyle w:val="FootnoteReference"/>
        </w:rPr>
        <w:footnoteReference w:id="34"/>
      </w:r>
    </w:p>
    <w:p w:rsidR="00EF2185" w:rsidRDefault="009F1E4D" w:rsidP="00EF2185">
      <w:r w:rsidRPr="00EF2185">
        <w:t>Origin Energy</w:t>
      </w:r>
      <w:r w:rsidR="00707E17" w:rsidRPr="00EF2185">
        <w:t xml:space="preserve"> </w:t>
      </w:r>
      <w:r w:rsidR="00EF2185" w:rsidRPr="00EF2185">
        <w:t>raised concerns with the proposed</w:t>
      </w:r>
      <w:r w:rsidR="00DE1769">
        <w:t xml:space="preserve"> multi–appliance</w:t>
      </w:r>
      <w:r w:rsidR="00EF2185" w:rsidRPr="00EF2185">
        <w:t xml:space="preserve"> tariff categories </w:t>
      </w:r>
      <w:r w:rsidR="00EF2185">
        <w:t>stating</w:t>
      </w:r>
      <w:r w:rsidR="00EF2185" w:rsidRPr="00EF2185">
        <w:t xml:space="preserve"> that </w:t>
      </w:r>
      <w:r w:rsidR="00EF2185">
        <w:t>t</w:t>
      </w:r>
      <w:r w:rsidR="00EF2185" w:rsidRPr="00EF2185">
        <w:t>ariff structures should be based on a customer’s usage</w:t>
      </w:r>
      <w:r w:rsidR="002F0529">
        <w:t xml:space="preserve"> not </w:t>
      </w:r>
      <w:r w:rsidR="00EF2185" w:rsidRPr="00EF2185">
        <w:t>the number of appliances installed.</w:t>
      </w:r>
      <w:r w:rsidR="00EF2185" w:rsidRPr="00EF2185">
        <w:rPr>
          <w:rStyle w:val="FootnoteReference"/>
        </w:rPr>
        <w:footnoteReference w:id="35"/>
      </w:r>
    </w:p>
    <w:p w:rsidR="00EE2262" w:rsidRDefault="00BE07BE" w:rsidP="00C04255">
      <w:r>
        <w:t xml:space="preserve">We note that overall, </w:t>
      </w:r>
      <w:r w:rsidR="00EF2185">
        <w:t xml:space="preserve">ActewAGL’s </w:t>
      </w:r>
      <w:r>
        <w:t>proposed</w:t>
      </w:r>
      <w:r w:rsidR="00EF2185">
        <w:t xml:space="preserve"> tariff structure has been based on customer usage characteristics. For example, a characteristic of difference between the volume and demand customer groups is whether the customer is expected to use equal to or more than 10 terajoules (TJ) of gas per year.</w:t>
      </w:r>
      <w:r w:rsidR="00C04255">
        <w:t xml:space="preserve"> Also, the underlying assumption of the multi–appliance tariff categories is that the customer’s usage profile </w:t>
      </w:r>
      <w:r w:rsidR="00E03577">
        <w:t>will be different to those on the default tariff.</w:t>
      </w:r>
      <w:r w:rsidR="0041325A">
        <w:t xml:space="preserve"> Therefore, we consider ActewAGL has </w:t>
      </w:r>
      <w:r w:rsidR="00D9021D">
        <w:t>considered</w:t>
      </w:r>
      <w:r w:rsidR="0041325A">
        <w:t xml:space="preserve"> customer’s usage in designing its proposed tariff structures.</w:t>
      </w:r>
    </w:p>
    <w:p w:rsidR="002F0529" w:rsidRDefault="002F0529" w:rsidP="0041325A">
      <w:r>
        <w:t>Relevantly,</w:t>
      </w:r>
      <w:r w:rsidR="0071290F">
        <w:t xml:space="preserve"> the proposed</w:t>
      </w:r>
      <w:r w:rsidR="00C04255">
        <w:t xml:space="preserve"> multi–appliance</w:t>
      </w:r>
      <w:r w:rsidR="0071290F">
        <w:t xml:space="preserve"> </w:t>
      </w:r>
      <w:r w:rsidR="0071290F" w:rsidRPr="00BA179F">
        <w:t>tariff categories</w:t>
      </w:r>
      <w:r w:rsidR="0071290F">
        <w:t xml:space="preserve"> </w:t>
      </w:r>
      <w:r w:rsidR="00DC4C3B">
        <w:t xml:space="preserve">are </w:t>
      </w:r>
      <w:r w:rsidR="0054616E">
        <w:t>optional</w:t>
      </w:r>
      <w:r w:rsidR="00C04255">
        <w:t xml:space="preserve"> tariff categories</w:t>
      </w:r>
      <w:r w:rsidR="00DC4C3B">
        <w:t xml:space="preserve"> for customers</w:t>
      </w:r>
      <w:r w:rsidR="0071290F" w:rsidRPr="00BA179F">
        <w:t xml:space="preserve">. That is customers are not automatically assigned to </w:t>
      </w:r>
      <w:r w:rsidR="0041325A">
        <w:t>a multi–appliance</w:t>
      </w:r>
      <w:r w:rsidR="0071290F" w:rsidRPr="00BA179F">
        <w:t xml:space="preserve"> tariff catego</w:t>
      </w:r>
      <w:r w:rsidR="0054616E">
        <w:t>r</w:t>
      </w:r>
      <w:r w:rsidR="0041325A">
        <w:t>y</w:t>
      </w:r>
      <w:r>
        <w:t>. R</w:t>
      </w:r>
      <w:r w:rsidR="0054616E">
        <w:t xml:space="preserve">ather they </w:t>
      </w:r>
      <w:r w:rsidR="0041325A">
        <w:t xml:space="preserve">will </w:t>
      </w:r>
      <w:r w:rsidR="008123BC">
        <w:t xml:space="preserve">be </w:t>
      </w:r>
      <w:r w:rsidR="0041325A">
        <w:t xml:space="preserve">initially assigned to </w:t>
      </w:r>
      <w:r w:rsidR="0041325A" w:rsidRPr="0071290F">
        <w:t>the</w:t>
      </w:r>
      <w:r w:rsidR="0041325A">
        <w:t xml:space="preserve"> default</w:t>
      </w:r>
      <w:r w:rsidR="0041325A" w:rsidRPr="0071290F">
        <w:t xml:space="preserve"> residential individually metered tariff category</w:t>
      </w:r>
      <w:r w:rsidR="0041325A">
        <w:t xml:space="preserve">. </w:t>
      </w:r>
      <w:r w:rsidR="007C5676">
        <w:t xml:space="preserve">The tariffs of the default tariff category have been designed to </w:t>
      </w:r>
      <w:r w:rsidR="007C5676">
        <w:lastRenderedPageBreak/>
        <w:t>be consistent with the tariffs these customers incur in the current access arrangement period.</w:t>
      </w:r>
    </w:p>
    <w:p w:rsidR="007C5676" w:rsidRDefault="007C5676" w:rsidP="0041325A">
      <w:r>
        <w:t>To be reassigned to a multi–appliance tariff category a customer must request this through their retailer.</w:t>
      </w:r>
      <w:r w:rsidR="005A6B54">
        <w:t xml:space="preserve"> Simply having or installing </w:t>
      </w:r>
      <w:r w:rsidR="000346EF" w:rsidRPr="000346EF">
        <w:t xml:space="preserve">multiple gas appliances does </w:t>
      </w:r>
      <w:r w:rsidR="002F0529">
        <w:t xml:space="preserve">not </w:t>
      </w:r>
      <w:r w:rsidR="000346EF" w:rsidRPr="000346EF">
        <w:t>necessitate this customer being assigned to</w:t>
      </w:r>
      <w:r w:rsidR="000346EF">
        <w:t xml:space="preserve"> a multi–appliance tariff category. </w:t>
      </w:r>
      <w:r>
        <w:t xml:space="preserve">On this basis, we consider that customers will not be </w:t>
      </w:r>
      <w:r w:rsidR="002F0529">
        <w:t xml:space="preserve">discriminated against because they have </w:t>
      </w:r>
      <w:r w:rsidR="000346EF">
        <w:t xml:space="preserve">choice </w:t>
      </w:r>
      <w:r w:rsidR="002F0529">
        <w:t xml:space="preserve">about assignment </w:t>
      </w:r>
      <w:r w:rsidR="000346EF">
        <w:t>to a</w:t>
      </w:r>
      <w:r>
        <w:t xml:space="preserve"> multi–appliance tariff categor</w:t>
      </w:r>
      <w:r w:rsidR="000346EF">
        <w:t>y</w:t>
      </w:r>
      <w:r w:rsidR="008123BC">
        <w:t>.</w:t>
      </w:r>
    </w:p>
    <w:p w:rsidR="002F0529" w:rsidRDefault="008123BC" w:rsidP="00264656">
      <w:r>
        <w:t xml:space="preserve">We also consider the price signals </w:t>
      </w:r>
      <w:r w:rsidR="005A6B54">
        <w:t xml:space="preserve">of the </w:t>
      </w:r>
      <w:r w:rsidR="005A6B54" w:rsidRPr="005A6B54">
        <w:t>multi–appliance tariff categories</w:t>
      </w:r>
      <w:r w:rsidR="005A6B54">
        <w:t xml:space="preserve"> will </w:t>
      </w:r>
      <w:r w:rsidR="000346EF">
        <w:t>allow customers to make more informed d</w:t>
      </w:r>
      <w:r w:rsidR="002F0529">
        <w:t>ecisions about their gas usage. They</w:t>
      </w:r>
      <w:r w:rsidR="000346EF">
        <w:t xml:space="preserve"> may choose to install multiple gas appliances</w:t>
      </w:r>
      <w:r w:rsidR="001B33D1">
        <w:t xml:space="preserve"> and transition to a multi–appliance tariff category</w:t>
      </w:r>
      <w:r w:rsidR="000346EF">
        <w:t xml:space="preserve"> if they consider the</w:t>
      </w:r>
      <w:r w:rsidR="002F0529">
        <w:t>re is benefit in them doing so.</w:t>
      </w:r>
    </w:p>
    <w:p w:rsidR="00DC4C3B" w:rsidRDefault="00DC4C3B" w:rsidP="00264656">
      <w:r>
        <w:t xml:space="preserve">However, </w:t>
      </w:r>
      <w:r w:rsidR="00264656">
        <w:t xml:space="preserve">as noted by the </w:t>
      </w:r>
      <w:r w:rsidR="00264656" w:rsidRPr="00264656">
        <w:t xml:space="preserve">Alternative Technology Association </w:t>
      </w:r>
      <w:r>
        <w:t xml:space="preserve">the decision to </w:t>
      </w:r>
      <w:r w:rsidR="00264656">
        <w:t xml:space="preserve">choose gas appliances over electric </w:t>
      </w:r>
      <w:r w:rsidR="00496C55">
        <w:t xml:space="preserve">is sensitive to range of interrelated factors </w:t>
      </w:r>
      <w:r w:rsidR="00264656">
        <w:t>such as</w:t>
      </w:r>
      <w:r w:rsidR="00496C55">
        <w:t xml:space="preserve"> the age of</w:t>
      </w:r>
      <w:r w:rsidR="001B33D1">
        <w:t xml:space="preserve"> the</w:t>
      </w:r>
      <w:r w:rsidR="00496C55">
        <w:t xml:space="preserve"> gas and electricity appliances as well as </w:t>
      </w:r>
      <w:r w:rsidR="00264656">
        <w:t xml:space="preserve">comparable </w:t>
      </w:r>
      <w:r w:rsidR="00496C55">
        <w:t>gas and electricity tariff structures.</w:t>
      </w:r>
      <w:r w:rsidR="00496C55">
        <w:rPr>
          <w:rStyle w:val="FootnoteReference"/>
        </w:rPr>
        <w:footnoteReference w:id="36"/>
      </w:r>
    </w:p>
    <w:p w:rsidR="007D319E" w:rsidRDefault="000346EF" w:rsidP="00C04255">
      <w:r>
        <w:t xml:space="preserve">Origin Energy also noted it does not support the proposed requirement that evidence be provided for customer reassignment to a </w:t>
      </w:r>
      <w:r w:rsidR="001B33D1">
        <w:t>multi–appliance</w:t>
      </w:r>
      <w:r>
        <w:t xml:space="preserve"> tariff category</w:t>
      </w:r>
      <w:r w:rsidR="00A737BE">
        <w:t xml:space="preserve"> because</w:t>
      </w:r>
      <w:r>
        <w:t xml:space="preserve"> it is unclear, onerous and would ultimately lead to additional costs for customers.</w:t>
      </w:r>
      <w:r>
        <w:rPr>
          <w:rStyle w:val="FootnoteReference"/>
        </w:rPr>
        <w:footnoteReference w:id="37"/>
      </w:r>
      <w:r>
        <w:t xml:space="preserve"> However, </w:t>
      </w:r>
      <w:r w:rsidR="007D319E">
        <w:t xml:space="preserve">apart from providing evidence, it is unclear to us what other prudent process could be undertaken to ensure the customer has multiple gas appliances installed. </w:t>
      </w:r>
      <w:r>
        <w:t>We encourage ActewAGL to</w:t>
      </w:r>
      <w:r w:rsidR="007D319E">
        <w:t xml:space="preserve"> work with retailers to establish an</w:t>
      </w:r>
      <w:r w:rsidR="001B33D1">
        <w:t xml:space="preserve"> </w:t>
      </w:r>
      <w:r w:rsidR="007D319E">
        <w:t xml:space="preserve">administratively simple and cost effective </w:t>
      </w:r>
      <w:r w:rsidR="001B33D1">
        <w:t xml:space="preserve">process for </w:t>
      </w:r>
      <w:r w:rsidR="007D319E">
        <w:t>demonstrating a customer’s qualification for these tariffs.</w:t>
      </w:r>
    </w:p>
    <w:p w:rsidR="00C04255" w:rsidRDefault="007D319E" w:rsidP="007D319E">
      <w:r>
        <w:t xml:space="preserve">The </w:t>
      </w:r>
      <w:r w:rsidR="00C04255" w:rsidRPr="00707E17">
        <w:t>No</w:t>
      </w:r>
      <w:r w:rsidR="00C04255">
        <w:t xml:space="preserve">rth Canberra Community Council raised concerns with the proposed </w:t>
      </w:r>
      <w:r w:rsidR="001B33D1">
        <w:t xml:space="preserve">multi–appliance </w:t>
      </w:r>
      <w:r w:rsidR="00C04255">
        <w:t>tariff categories, noting that providing lower prices for larger gas users with multiple gas appliances will encourage increased gas use during peak periods.</w:t>
      </w:r>
      <w:r w:rsidR="00C04255">
        <w:rPr>
          <w:rStyle w:val="FootnoteReference"/>
        </w:rPr>
        <w:footnoteReference w:id="38"/>
      </w:r>
      <w:r w:rsidR="00C04255">
        <w:t xml:space="preserve"> As discussed, ActewAGL’s gas network does not have </w:t>
      </w:r>
      <w:r w:rsidR="00C04255" w:rsidRPr="00F31159">
        <w:t>the same peak load constraints and issues that befall electricity networks</w:t>
      </w:r>
      <w:r w:rsidR="00C04255">
        <w:t>. Therefore, peak time usage is less of a concern</w:t>
      </w:r>
      <w:r>
        <w:t xml:space="preserve"> for ActewAGL’s gas network</w:t>
      </w:r>
      <w:r w:rsidR="00C04255" w:rsidRPr="00D025B8">
        <w:t xml:space="preserve"> as </w:t>
      </w:r>
      <w:r>
        <w:t>it is for</w:t>
      </w:r>
      <w:r w:rsidR="00C04255" w:rsidRPr="00D025B8">
        <w:t xml:space="preserve"> electricity networks.</w:t>
      </w:r>
    </w:p>
    <w:p w:rsidR="00012AAB" w:rsidRDefault="00012AAB" w:rsidP="00012AAB">
      <w:r>
        <w:t>The North Canberra Community Council also considered a more efficient us</w:t>
      </w:r>
      <w:r w:rsidR="0088534C">
        <w:t>e</w:t>
      </w:r>
      <w:r>
        <w:t xml:space="preserve"> of the gas network could be achieved by establishing </w:t>
      </w:r>
      <w:r w:rsidR="00E716CA">
        <w:t>time of use</w:t>
      </w:r>
      <w:r>
        <w:t xml:space="preserve"> tariffs and seasonal tariffs that use price signals to encourage gas use during non</w:t>
      </w:r>
      <w:r>
        <w:noBreakHyphen/>
        <w:t>peak periods.</w:t>
      </w:r>
      <w:r>
        <w:rPr>
          <w:rStyle w:val="FootnoteReference"/>
        </w:rPr>
        <w:footnoteReference w:id="39"/>
      </w:r>
      <w:r>
        <w:t xml:space="preserve"> We</w:t>
      </w:r>
      <w:r w:rsidR="007D319E">
        <w:t xml:space="preserve"> generally</w:t>
      </w:r>
      <w:r>
        <w:t xml:space="preserve"> agree with this consideration </w:t>
      </w:r>
      <w:r w:rsidRPr="00442DA4">
        <w:t>and</w:t>
      </w:r>
      <w:r>
        <w:t xml:space="preserve"> encourage ActewAGL to consider including tariffs of this </w:t>
      </w:r>
      <w:r w:rsidR="00E716CA">
        <w:t xml:space="preserve">or a similar </w:t>
      </w:r>
      <w:r>
        <w:t xml:space="preserve">nature in its revised access arrangement proposal. However, we </w:t>
      </w:r>
      <w:r>
        <w:lastRenderedPageBreak/>
        <w:t>acknowledge the limitations</w:t>
      </w:r>
      <w:r w:rsidR="007D319E">
        <w:t xml:space="preserve"> upon</w:t>
      </w:r>
      <w:r>
        <w:t xml:space="preserve"> ActewAGL </w:t>
      </w:r>
      <w:r w:rsidR="007D319E">
        <w:t xml:space="preserve">to </w:t>
      </w:r>
      <w:r>
        <w:t>implement</w:t>
      </w:r>
      <w:r w:rsidR="007D319E">
        <w:t xml:space="preserve"> dynamic</w:t>
      </w:r>
      <w:r w:rsidR="00E716CA">
        <w:t xml:space="preserve"> tariffs</w:t>
      </w:r>
      <w:r w:rsidR="007D319E">
        <w:t xml:space="preserve"> </w:t>
      </w:r>
      <w:r>
        <w:t>given the current metering technologies installed on ActewAGL</w:t>
      </w:r>
      <w:r w:rsidR="00E716CA">
        <w:t>’s</w:t>
      </w:r>
      <w:r>
        <w:t xml:space="preserve"> network.</w:t>
      </w:r>
      <w:r w:rsidR="00E5207A">
        <w:rPr>
          <w:rStyle w:val="FootnoteReference"/>
        </w:rPr>
        <w:footnoteReference w:id="40"/>
      </w:r>
    </w:p>
    <w:p w:rsidR="003D05F2" w:rsidRDefault="00FD7AA5" w:rsidP="00FD7AA5">
      <w:pPr>
        <w:pStyle w:val="HeadingBoldBlue"/>
      </w:pPr>
      <w:bookmarkStart w:id="31" w:name="_Toc435442879"/>
      <w:bookmarkStart w:id="32" w:name="_Toc435442918"/>
      <w:r>
        <w:t>Impact on vulnerable and disadvantage customers</w:t>
      </w:r>
      <w:bookmarkEnd w:id="31"/>
      <w:bookmarkEnd w:id="32"/>
    </w:p>
    <w:p w:rsidR="00FD7AA5" w:rsidRDefault="00FD7AA5" w:rsidP="00FD7AA5">
      <w:r>
        <w:t>A number of stakeholders raised concern regarding the uncertain impact the proposed tariff structure may have on vulnerabl</w:t>
      </w:r>
      <w:r w:rsidR="00E716CA">
        <w:t xml:space="preserve">e and disadvantaged customers, </w:t>
      </w:r>
      <w:r>
        <w:t>such as</w:t>
      </w:r>
      <w:r w:rsidRPr="00CD1B0A">
        <w:t xml:space="preserve"> low income households</w:t>
      </w:r>
      <w:r>
        <w:t>.</w:t>
      </w:r>
      <w:r>
        <w:rPr>
          <w:rStyle w:val="FootnoteReference"/>
        </w:rPr>
        <w:footnoteReference w:id="41"/>
      </w:r>
      <w:r>
        <w:t xml:space="preserve"> These stakeholders considered that stability in tariff structures and prices were highly desirable for </w:t>
      </w:r>
      <w:r w:rsidR="00E716CA">
        <w:t xml:space="preserve">such </w:t>
      </w:r>
      <w:r>
        <w:t xml:space="preserve">customers. We </w:t>
      </w:r>
      <w:r w:rsidR="00E716CA">
        <w:t>think that</w:t>
      </w:r>
      <w:r>
        <w:t xml:space="preserve"> to the extent possible</w:t>
      </w:r>
      <w:r w:rsidR="00E716CA">
        <w:t>,</w:t>
      </w:r>
      <w:r>
        <w:t xml:space="preserve"> ActewAGL’s proposed tariff structure addresses these concerns. Initially ActewAGL will assign residential customers (unless </w:t>
      </w:r>
      <w:r w:rsidR="005C75D4">
        <w:t xml:space="preserve">otherwise </w:t>
      </w:r>
      <w:r>
        <w:t xml:space="preserve">instructed by the customer’s retailer) to the </w:t>
      </w:r>
      <w:r w:rsidRPr="00BA2BCC">
        <w:t>residential individually metered</w:t>
      </w:r>
      <w:r>
        <w:t xml:space="preserve"> tariff category.</w:t>
      </w:r>
      <w:r>
        <w:rPr>
          <w:rStyle w:val="FootnoteReference"/>
        </w:rPr>
        <w:footnoteReference w:id="42"/>
      </w:r>
      <w:r>
        <w:t xml:space="preserve"> ActewAGL has designed </w:t>
      </w:r>
      <w:r w:rsidR="0001020B">
        <w:t>this</w:t>
      </w:r>
      <w:r>
        <w:t xml:space="preserve"> tariff category to be similar to the tariffs these customers incur under the current access arrangement. Therefore, the proposed tariff structure </w:t>
      </w:r>
      <w:r w:rsidR="00E716CA">
        <w:t>takes account of possible</w:t>
      </w:r>
      <w:r>
        <w:t xml:space="preserve"> adverse impact</w:t>
      </w:r>
      <w:r w:rsidR="00E716CA">
        <w:t>s</w:t>
      </w:r>
      <w:r>
        <w:t xml:space="preserve"> on </w:t>
      </w:r>
      <w:r w:rsidR="00E716CA">
        <w:t xml:space="preserve">vulnerable </w:t>
      </w:r>
      <w:r>
        <w:t>customers. ActewAGL noted this initial tariff assignment process will be done to:</w:t>
      </w:r>
    </w:p>
    <w:p w:rsidR="00FD7AA5" w:rsidRDefault="00FD7AA5" w:rsidP="00FD7AA5">
      <w:pPr>
        <w:pStyle w:val="AERbulletlistfirststyle"/>
      </w:pPr>
      <w:r>
        <w:t>minimise customer billing impacts</w:t>
      </w:r>
      <w:r w:rsidR="00E716CA">
        <w:t xml:space="preserve"> across access arrangements</w:t>
      </w:r>
    </w:p>
    <w:p w:rsidR="00FD7AA5" w:rsidRDefault="00FD7AA5" w:rsidP="00FD7AA5">
      <w:pPr>
        <w:pStyle w:val="AERbulletlistfirststyle"/>
      </w:pPr>
      <w:r>
        <w:t>enable customers to respond to the 2016–17 tariffs by requesting assignment to another tariff category through their retailer.</w:t>
      </w:r>
      <w:r>
        <w:rPr>
          <w:rStyle w:val="FootnoteReference"/>
        </w:rPr>
        <w:footnoteReference w:id="43"/>
      </w:r>
    </w:p>
    <w:p w:rsidR="00FD7AA5" w:rsidRDefault="005C75D4" w:rsidP="00FD7AA5">
      <w:r>
        <w:t>ActewAGL also noted</w:t>
      </w:r>
      <w:r w:rsidR="00FD7AA5">
        <w:t xml:space="preserve"> that it does not set retail gas prices, however it sets its tariff levels to minimise network price shocks.</w:t>
      </w:r>
      <w:r w:rsidR="00FD7AA5">
        <w:rPr>
          <w:rStyle w:val="FootnoteReference"/>
        </w:rPr>
        <w:footnoteReference w:id="44"/>
      </w:r>
      <w:r w:rsidR="00FD7AA5">
        <w:t xml:space="preserve"> Therefore, we are satisfied that to the extent possible ActewAGL has taken into consideration stable tariff structures and price impacts</w:t>
      </w:r>
      <w:r w:rsidR="003E0B16">
        <w:t xml:space="preserve"> in establishing its proposed tariff structure</w:t>
      </w:r>
      <w:r>
        <w:t>.</w:t>
      </w:r>
    </w:p>
    <w:p w:rsidR="00B734BF" w:rsidRDefault="00B734BF" w:rsidP="00B734BF">
      <w:pPr>
        <w:pStyle w:val="HeadingBoldBlue"/>
      </w:pPr>
      <w:bookmarkStart w:id="33" w:name="_Toc435442880"/>
      <w:bookmarkStart w:id="34" w:name="_Toc435442919"/>
      <w:r>
        <w:t>Ability to add, vary or remove tariffs</w:t>
      </w:r>
      <w:bookmarkEnd w:id="33"/>
      <w:bookmarkEnd w:id="34"/>
    </w:p>
    <w:p w:rsidR="00B734BF" w:rsidRDefault="009C20D7" w:rsidP="009C20D7">
      <w:r>
        <w:t>ActewAGL</w:t>
      </w:r>
      <w:r w:rsidRPr="009C20D7">
        <w:t xml:space="preserve"> proposed a mechanism to enable it to introduce or withdrawal reference tariffs via the annual tariff variation mechanism. This was so that it could respond in a timely manner to changes in customer preferences that may, for instance, necessitate introducing a new tariff class</w:t>
      </w:r>
      <w:r>
        <w:t>.</w:t>
      </w:r>
    </w:p>
    <w:p w:rsidR="000B3117" w:rsidRDefault="009C20D7" w:rsidP="009C20D7">
      <w:r w:rsidRPr="009C20D7">
        <w:t xml:space="preserve">We </w:t>
      </w:r>
      <w:r>
        <w:t xml:space="preserve">accept ActewAGL’s </w:t>
      </w:r>
      <w:r w:rsidRPr="009C20D7">
        <w:t>proposal that the introduction or withdrawal of reference tariffs be managed via the annual tariff variation mechanism, rather than reopening the access arrangement.</w:t>
      </w:r>
      <w:r w:rsidR="00C163CD" w:rsidRPr="00C163CD">
        <w:t xml:space="preserve"> </w:t>
      </w:r>
      <w:r w:rsidR="00C163CD">
        <w:t xml:space="preserve">In our determination for Jemena Gas Networks (NSW) we adopted the same approach as was proposed by ActewAGL. </w:t>
      </w:r>
    </w:p>
    <w:p w:rsidR="00C163CD" w:rsidRDefault="009C20D7" w:rsidP="009C20D7">
      <w:r w:rsidRPr="009C20D7">
        <w:lastRenderedPageBreak/>
        <w:t>This is administratively simpler and more efficient for network operators and customers, than reopening an access arrangement. The latter can be a lengthy process</w:t>
      </w:r>
      <w:r w:rsidR="000B3117">
        <w:t>,</w:t>
      </w:r>
      <w:r w:rsidRPr="009C20D7">
        <w:t xml:space="preserve"> generally only reserved for making amendments on account of errors in, or omissions from, access arrangements.</w:t>
      </w:r>
    </w:p>
    <w:p w:rsidR="00F03933" w:rsidRDefault="00F03933" w:rsidP="00F03933">
      <w:pPr>
        <w:pStyle w:val="Heading3"/>
      </w:pPr>
      <w:bookmarkStart w:id="35" w:name="_Toc436044958"/>
      <w:r>
        <w:t>Allocation of revenues and costs to reference tariffs</w:t>
      </w:r>
      <w:bookmarkEnd w:id="35"/>
    </w:p>
    <w:p w:rsidR="0085010A" w:rsidRDefault="004102B2" w:rsidP="0085010A">
      <w:r>
        <w:t>We are satisfied ActewAGL</w:t>
      </w:r>
      <w:r w:rsidR="0085010A">
        <w:t>’s approach</w:t>
      </w:r>
      <w:r w:rsidR="0085010A" w:rsidRPr="00AC5E38">
        <w:t xml:space="preserve"> to allocating revenue and </w:t>
      </w:r>
      <w:r w:rsidR="00E716CA" w:rsidRPr="00AC5E38">
        <w:t>costs be</w:t>
      </w:r>
      <w:r w:rsidR="00E716CA">
        <w:t>tween reference services and non</w:t>
      </w:r>
      <w:r w:rsidR="00E716CA">
        <w:noBreakHyphen/>
      </w:r>
      <w:r w:rsidR="00E716CA" w:rsidRPr="00AC5E38">
        <w:t>reference services comply</w:t>
      </w:r>
      <w:r w:rsidR="0085010A" w:rsidRPr="00AC5E38">
        <w:t xml:space="preserve"> with the NGR</w:t>
      </w:r>
      <w:r w:rsidR="0085010A">
        <w:rPr>
          <w:rStyle w:val="FootnoteReference"/>
        </w:rPr>
        <w:footnoteReference w:id="45"/>
      </w:r>
      <w:r w:rsidR="0085010A">
        <w:t xml:space="preserve"> for the following reasons:</w:t>
      </w:r>
    </w:p>
    <w:p w:rsidR="0085010A" w:rsidRDefault="00E716CA" w:rsidP="0085010A">
      <w:pPr>
        <w:pStyle w:val="AERbulletlistfirststyle"/>
      </w:pPr>
      <w:r>
        <w:t>its</w:t>
      </w:r>
      <w:r w:rsidR="0085010A">
        <w:t xml:space="preserve"> proposed costs relating to </w:t>
      </w:r>
      <w:r w:rsidR="004102B2">
        <w:t>haulage reference service</w:t>
      </w:r>
      <w:r w:rsidR="0085010A">
        <w:t xml:space="preserve"> do not include costs incurred </w:t>
      </w:r>
      <w:r w:rsidR="005F7898">
        <w:t>(</w:t>
      </w:r>
      <w:r w:rsidR="0085010A">
        <w:t>and recovered</w:t>
      </w:r>
      <w:r w:rsidR="005F7898">
        <w:t>)</w:t>
      </w:r>
      <w:r>
        <w:t xml:space="preserve"> from the provision of its</w:t>
      </w:r>
      <w:r w:rsidR="0085010A">
        <w:t xml:space="preserve"> non</w:t>
      </w:r>
      <w:r w:rsidR="0085010A">
        <w:noBreakHyphen/>
        <w:t>reference services.</w:t>
      </w:r>
    </w:p>
    <w:p w:rsidR="0085010A" w:rsidRDefault="004102B2" w:rsidP="0085010A">
      <w:pPr>
        <w:pStyle w:val="AERbulletlistfirststyle"/>
      </w:pPr>
      <w:r>
        <w:t>ActewAGL</w:t>
      </w:r>
      <w:r w:rsidR="0085010A">
        <w:t xml:space="preserve"> has not allocated the non</w:t>
      </w:r>
      <w:r w:rsidR="0085010A">
        <w:noBreakHyphen/>
        <w:t>reference service</w:t>
      </w:r>
      <w:r w:rsidR="0085010A" w:rsidRPr="002C1261">
        <w:t xml:space="preserve"> revenue to a reference service </w:t>
      </w:r>
      <w:r w:rsidR="005F7898">
        <w:t>because</w:t>
      </w:r>
      <w:r w:rsidR="0085010A" w:rsidRPr="002C1261">
        <w:t xml:space="preserve"> the unde</w:t>
      </w:r>
      <w:r w:rsidR="0085010A">
        <w:t>rlying costs</w:t>
      </w:r>
      <w:r w:rsidR="005F7898">
        <w:t xml:space="preserve"> have not been included in </w:t>
      </w:r>
      <w:r w:rsidR="0085010A">
        <w:t>A</w:t>
      </w:r>
      <w:r>
        <w:t>ctewAGL</w:t>
      </w:r>
      <w:r w:rsidR="00E716CA">
        <w:t>’s building block revenues</w:t>
      </w:r>
    </w:p>
    <w:p w:rsidR="0085010A" w:rsidRPr="00AC5E38" w:rsidRDefault="0085010A" w:rsidP="0085010A">
      <w:pPr>
        <w:pStyle w:val="AERbulletlistfirststyle"/>
      </w:pPr>
      <w:r>
        <w:t>A</w:t>
      </w:r>
      <w:r w:rsidR="004102B2">
        <w:t>ctewAGL</w:t>
      </w:r>
      <w:r w:rsidRPr="00AC5E38">
        <w:t xml:space="preserve">'s </w:t>
      </w:r>
      <w:r>
        <w:t>proposal</w:t>
      </w:r>
      <w:r w:rsidRPr="00AC5E38">
        <w:t xml:space="preserve"> included information outlining its stand</w:t>
      </w:r>
      <w:r>
        <w:noBreakHyphen/>
      </w:r>
      <w:r w:rsidRPr="00AC5E38">
        <w:t>alone costs, long run marginal costs and incremental costs which we have no objection to.</w:t>
      </w:r>
      <w:r>
        <w:rPr>
          <w:rStyle w:val="FootnoteReference"/>
        </w:rPr>
        <w:footnoteReference w:id="46"/>
      </w:r>
    </w:p>
    <w:p w:rsidR="00F03933" w:rsidRDefault="00F03933" w:rsidP="00F03933">
      <w:pPr>
        <w:pStyle w:val="Heading3"/>
      </w:pPr>
      <w:bookmarkStart w:id="36" w:name="_Toc436044959"/>
      <w:r>
        <w:t>Establishment of tariff classes</w:t>
      </w:r>
      <w:bookmarkEnd w:id="36"/>
    </w:p>
    <w:p w:rsidR="00DA5542" w:rsidRDefault="00FB4605" w:rsidP="00DA5542">
      <w:r>
        <w:t>A</w:t>
      </w:r>
      <w:r w:rsidR="00DA5542">
        <w:t>ctewAGL</w:t>
      </w:r>
      <w:r>
        <w:t xml:space="preserve"> groups its customers by the nature of the haulage reference service (</w:t>
      </w:r>
      <w:r w:rsidR="00DA5542">
        <w:t xml:space="preserve">volume </w:t>
      </w:r>
      <w:r>
        <w:t>or demand) and classifies them by</w:t>
      </w:r>
      <w:r w:rsidR="00DA5542">
        <w:t xml:space="preserve"> the type of end user (residential or business).</w:t>
      </w:r>
      <w:r>
        <w:t xml:space="preserve"> We consider that these characteristics are likely to</w:t>
      </w:r>
      <w:r w:rsidR="007E3C1B">
        <w:t xml:space="preserve"> be the</w:t>
      </w:r>
      <w:r>
        <w:t xml:space="preserve"> drive</w:t>
      </w:r>
      <w:r w:rsidR="007E3C1B">
        <w:t>r of</w:t>
      </w:r>
      <w:r>
        <w:t xml:space="preserve"> cos</w:t>
      </w:r>
      <w:r w:rsidR="00DA5542">
        <w:t>ts within ActewAGL</w:t>
      </w:r>
      <w:r>
        <w:t>'s gas distribution network. Therefore, using them to group customers into tariff c</w:t>
      </w:r>
      <w:r w:rsidR="00DA5542">
        <w:t>lasses is appropriate. We note ActewAGL</w:t>
      </w:r>
      <w:r>
        <w:t xml:space="preserve">’s proposed tariff classes are consistent with the tariff classes </w:t>
      </w:r>
      <w:r w:rsidR="00764220">
        <w:t>applied by other gas distribution networks.</w:t>
      </w:r>
      <w:r w:rsidR="00764220">
        <w:rPr>
          <w:rStyle w:val="FootnoteReference"/>
        </w:rPr>
        <w:footnoteReference w:id="47"/>
      </w:r>
      <w:r w:rsidR="00E716CA">
        <w:t xml:space="preserve"> The historical precedent is sound.</w:t>
      </w:r>
    </w:p>
    <w:p w:rsidR="00FB4605" w:rsidRPr="00E16566" w:rsidRDefault="00FB4605" w:rsidP="00FB4605">
      <w:r>
        <w:t>Based on the above reasons, we are satisfied that the proposed tariff classes are consistent with the requirements of the NGR.</w:t>
      </w:r>
      <w:r>
        <w:rPr>
          <w:rStyle w:val="FootnoteReference"/>
        </w:rPr>
        <w:footnoteReference w:id="48"/>
      </w:r>
    </w:p>
    <w:p w:rsidR="00F03933" w:rsidRDefault="00FB71C8" w:rsidP="00F03933">
      <w:pPr>
        <w:pStyle w:val="Heading3"/>
      </w:pPr>
      <w:bookmarkStart w:id="37" w:name="_Toc436044960"/>
      <w:r>
        <w:t>Tariff classes and revenue limits</w:t>
      </w:r>
      <w:bookmarkEnd w:id="37"/>
    </w:p>
    <w:p w:rsidR="00FB71C8" w:rsidRDefault="00FB71C8" w:rsidP="00FB71C8">
      <w:r>
        <w:t>We have assessed</w:t>
      </w:r>
      <w:r w:rsidR="00FB4605">
        <w:t xml:space="preserve"> ActewAGL</w:t>
      </w:r>
      <w:r>
        <w:t>’s</w:t>
      </w:r>
      <w:r w:rsidR="00FB4605">
        <w:t xml:space="preserve"> </w:t>
      </w:r>
      <w:r w:rsidR="0088534C">
        <w:t>proposed</w:t>
      </w:r>
      <w:r w:rsidRPr="008E59A3">
        <w:t xml:space="preserve"> </w:t>
      </w:r>
      <w:r>
        <w:t>tariff classes and revenue limits against the following considerations of the NGR:</w:t>
      </w:r>
      <w:r>
        <w:rPr>
          <w:rStyle w:val="FootnoteReference"/>
        </w:rPr>
        <w:footnoteReference w:id="49"/>
      </w:r>
    </w:p>
    <w:p w:rsidR="00FB71C8" w:rsidRPr="00FB71C8" w:rsidRDefault="00FB71C8" w:rsidP="00FB71C8">
      <w:pPr>
        <w:pStyle w:val="ListBullet2"/>
      </w:pPr>
      <w:r w:rsidRPr="00FB71C8">
        <w:t>the expected average revenue of a tariff class compares with the stand</w:t>
      </w:r>
      <w:r w:rsidRPr="00FB71C8">
        <w:noBreakHyphen/>
        <w:t>alone cost and avoidable cost of providing the reference service to that tariff class</w:t>
      </w:r>
    </w:p>
    <w:p w:rsidR="00FB71C8" w:rsidRPr="00FB71C8" w:rsidRDefault="00FB71C8" w:rsidP="00FB71C8">
      <w:pPr>
        <w:pStyle w:val="ListBullet2"/>
      </w:pPr>
      <w:r w:rsidRPr="00FB71C8">
        <w:lastRenderedPageBreak/>
        <w:t>whether the tariff takes into account transaction costs associated with</w:t>
      </w:r>
      <w:r w:rsidR="007E3C1B">
        <w:t xml:space="preserve"> developing and applying</w:t>
      </w:r>
      <w:r w:rsidRPr="00FB71C8">
        <w:t xml:space="preserve"> the tariff</w:t>
      </w:r>
    </w:p>
    <w:p w:rsidR="00FB71C8" w:rsidRPr="00FB71C8" w:rsidRDefault="00FB71C8" w:rsidP="00FB71C8">
      <w:pPr>
        <w:pStyle w:val="ListBullet2"/>
      </w:pPr>
      <w:r w:rsidRPr="00FB71C8">
        <w:t>whether the tariffs take into account the long run marginal costs of reference services</w:t>
      </w:r>
    </w:p>
    <w:p w:rsidR="00FB71C8" w:rsidRPr="00FB71C8" w:rsidRDefault="00FB71C8" w:rsidP="00FB71C8">
      <w:pPr>
        <w:pStyle w:val="ListBullet2"/>
      </w:pPr>
      <w:r w:rsidRPr="00FB71C8">
        <w:t>whether customers belonging to the r</w:t>
      </w:r>
      <w:r w:rsidR="007E3C1B">
        <w:t>el</w:t>
      </w:r>
      <w:r w:rsidR="00E716CA">
        <w:t>evant tariff class are able, or</w:t>
      </w:r>
      <w:r w:rsidRPr="00FB71C8">
        <w:t xml:space="preserve"> likely to respond to price signals.</w:t>
      </w:r>
    </w:p>
    <w:p w:rsidR="00FB71C8" w:rsidRDefault="00FB71C8" w:rsidP="00FB71C8">
      <w:pPr>
        <w:pStyle w:val="HeadingBoldBlue"/>
      </w:pPr>
      <w:bookmarkStart w:id="38" w:name="_Toc435442884"/>
      <w:bookmarkStart w:id="39" w:name="_Toc435442923"/>
      <w:r>
        <w:t>Stand</w:t>
      </w:r>
      <w:r>
        <w:noBreakHyphen/>
        <w:t>alone and avoidable costs</w:t>
      </w:r>
      <w:bookmarkEnd w:id="38"/>
      <w:bookmarkEnd w:id="39"/>
    </w:p>
    <w:p w:rsidR="00FB4605" w:rsidRDefault="00FB4605" w:rsidP="00FB4605">
      <w:r>
        <w:t>We are satisfied that ActewAGL's proposed reference tariffs are consistent with the NGR requirements because the expected revenue to be recovered lie on or between:</w:t>
      </w:r>
    </w:p>
    <w:p w:rsidR="00FB4605" w:rsidRDefault="00FB4605" w:rsidP="00FB4605">
      <w:pPr>
        <w:pStyle w:val="AERbulletlistfirststyle"/>
      </w:pPr>
      <w:r>
        <w:t>an upper bound representing the stand</w:t>
      </w:r>
      <w:r>
        <w:noBreakHyphen/>
        <w:t>alone cost of providing the reference service to customers who belong to that tariff class</w:t>
      </w:r>
    </w:p>
    <w:p w:rsidR="00FB4605" w:rsidRDefault="00FB4605" w:rsidP="00FB4605">
      <w:pPr>
        <w:pStyle w:val="AERbulletlistfirststyle"/>
      </w:pPr>
      <w:r>
        <w:t>a lower bound representing the avoidable cost of not providing the reference service to those customers.</w:t>
      </w:r>
      <w:r>
        <w:rPr>
          <w:rStyle w:val="FootnoteReference"/>
        </w:rPr>
        <w:footnoteReference w:id="50"/>
      </w:r>
    </w:p>
    <w:p w:rsidR="00FB71C8" w:rsidRPr="00FB71C8" w:rsidRDefault="007E3C1B" w:rsidP="00FB71C8">
      <w:r>
        <w:t>We consider that</w:t>
      </w:r>
      <w:r w:rsidR="00FB4605">
        <w:t xml:space="preserve"> ActewAGL's definitions of avoidable and stand</w:t>
      </w:r>
      <w:r w:rsidR="00FB4605">
        <w:noBreakHyphen/>
        <w:t>alone costs for the tariff classes are acceptable for assessing compliance with the NGR.</w:t>
      </w:r>
      <w:r w:rsidR="004102B2">
        <w:rPr>
          <w:rStyle w:val="FootnoteReference"/>
        </w:rPr>
        <w:footnoteReference w:id="51"/>
      </w:r>
      <w:r w:rsidR="0041667A">
        <w:rPr>
          <w:rStyle w:val="FootnoteReference"/>
        </w:rPr>
        <w:footnoteReference w:id="52"/>
      </w:r>
      <w:r w:rsidR="00FB4605">
        <w:t xml:space="preserve"> We have also reviewe</w:t>
      </w:r>
      <w:r w:rsidR="000002CA">
        <w:t>d the methodology applied by ActewAGL</w:t>
      </w:r>
      <w:r w:rsidR="00FB4605">
        <w:t xml:space="preserve"> to demonstrate that for each tariff, the expected tariff revenue lies on or between the avoidable and standalone costs.</w:t>
      </w:r>
      <w:r w:rsidR="00FB4605">
        <w:rPr>
          <w:rStyle w:val="FootnoteReference"/>
        </w:rPr>
        <w:footnoteReference w:id="53"/>
      </w:r>
      <w:r w:rsidR="00FB4605">
        <w:t xml:space="preserve"> This is comparable to the analysis we have undertaken for other energy businesses over a number of years, and the outcome is consistent.</w:t>
      </w:r>
    </w:p>
    <w:p w:rsidR="00FB71C8" w:rsidRDefault="00FB71C8" w:rsidP="00FB71C8">
      <w:pPr>
        <w:pStyle w:val="HeadingBoldBlue"/>
      </w:pPr>
      <w:bookmarkStart w:id="40" w:name="_Toc435442885"/>
      <w:bookmarkStart w:id="41" w:name="_Toc435442924"/>
      <w:r>
        <w:t>Transaction costs</w:t>
      </w:r>
      <w:bookmarkEnd w:id="40"/>
      <w:bookmarkEnd w:id="41"/>
    </w:p>
    <w:p w:rsidR="00E716CA" w:rsidRDefault="00E17B85" w:rsidP="002A7272">
      <w:r>
        <w:t xml:space="preserve">We are satisfied that </w:t>
      </w:r>
      <w:r w:rsidR="002A7272">
        <w:t xml:space="preserve">to the extent possible, </w:t>
      </w:r>
      <w:r>
        <w:t xml:space="preserve">ActewAGL’s proposed reference tariffs have </w:t>
      </w:r>
      <w:r w:rsidRPr="00BF48E8">
        <w:t>take</w:t>
      </w:r>
      <w:r>
        <w:t>n</w:t>
      </w:r>
      <w:r w:rsidRPr="00BF48E8">
        <w:t xml:space="preserve"> into account transaction costs associated with the tariff</w:t>
      </w:r>
      <w:r w:rsidR="002A7272">
        <w:t>s</w:t>
      </w:r>
      <w:r>
        <w:t xml:space="preserve"> and the need to avoid them where possible.</w:t>
      </w:r>
      <w:r>
        <w:rPr>
          <w:rStyle w:val="FootnoteReference"/>
        </w:rPr>
        <w:footnoteReference w:id="54"/>
      </w:r>
    </w:p>
    <w:p w:rsidR="00E17B85" w:rsidRDefault="00E21B84" w:rsidP="002A7272">
      <w:r>
        <w:t xml:space="preserve">We consider ActewAGL has </w:t>
      </w:r>
      <w:r w:rsidR="002A7272">
        <w:t xml:space="preserve">undertaken best endeavours to minimise transaction costs across access arrangements. </w:t>
      </w:r>
      <w:r>
        <w:t>However, w</w:t>
      </w:r>
      <w:r w:rsidR="00A04621">
        <w:t xml:space="preserve">e acknowledge </w:t>
      </w:r>
      <w:r w:rsidR="00E17B85">
        <w:t>that</w:t>
      </w:r>
      <w:r w:rsidR="00E17B85" w:rsidRPr="00E17B85">
        <w:t xml:space="preserve"> </w:t>
      </w:r>
      <w:r w:rsidR="00E17B85">
        <w:t xml:space="preserve">additional administrative costs will be incurred in the transition to the new tariff structure. </w:t>
      </w:r>
      <w:r>
        <w:t xml:space="preserve">We consider these </w:t>
      </w:r>
      <w:r w:rsidR="00E716CA">
        <w:t>to be</w:t>
      </w:r>
      <w:r>
        <w:t xml:space="preserve"> one</w:t>
      </w:r>
      <w:r>
        <w:noBreakHyphen/>
        <w:t>off costs and are unavoidable</w:t>
      </w:r>
      <w:r w:rsidR="002A7272">
        <w:t xml:space="preserve">. We also consider the benefits of the proposed tariff structure—such as more cost reflective pricing and increasing the customers’ ability to respond to price signals—outweigh these </w:t>
      </w:r>
      <w:r w:rsidR="00E716CA">
        <w:t>incremental</w:t>
      </w:r>
      <w:r w:rsidR="002A7272">
        <w:t xml:space="preserve"> administrative costs.</w:t>
      </w:r>
    </w:p>
    <w:p w:rsidR="00FB71C8" w:rsidRDefault="00FB71C8" w:rsidP="00FB71C8">
      <w:pPr>
        <w:pStyle w:val="HeadingBoldBlue"/>
      </w:pPr>
      <w:bookmarkStart w:id="42" w:name="_Toc435442886"/>
      <w:bookmarkStart w:id="43" w:name="_Toc435442925"/>
      <w:r>
        <w:lastRenderedPageBreak/>
        <w:t>Long run marginal cost</w:t>
      </w:r>
      <w:bookmarkEnd w:id="42"/>
      <w:bookmarkEnd w:id="43"/>
    </w:p>
    <w:p w:rsidR="009B1584" w:rsidRDefault="000002CA" w:rsidP="00FB71C8">
      <w:r w:rsidRPr="000002CA">
        <w:t>A</w:t>
      </w:r>
      <w:r w:rsidR="00C96527">
        <w:t>ctewAGL</w:t>
      </w:r>
      <w:r w:rsidR="009B1584">
        <w:t xml:space="preserve"> noted it used the average incremental c</w:t>
      </w:r>
      <w:r w:rsidRPr="000002CA">
        <w:t>ost approach to calculate the long run marginal cost (LRMC) by tariff class.</w:t>
      </w:r>
      <w:r w:rsidR="009B1584">
        <w:rPr>
          <w:rStyle w:val="FootnoteReference"/>
        </w:rPr>
        <w:footnoteReference w:id="55"/>
      </w:r>
      <w:r w:rsidRPr="000002CA">
        <w:t xml:space="preserve"> </w:t>
      </w:r>
    </w:p>
    <w:p w:rsidR="00FB71C8" w:rsidRPr="00FB71C8" w:rsidRDefault="000002CA" w:rsidP="00FB71C8">
      <w:r w:rsidRPr="000002CA">
        <w:t>We note our discretion under the NGR on LMRC is limited</w:t>
      </w:r>
      <w:r w:rsidR="00DD0AEE">
        <w:t>.</w:t>
      </w:r>
      <w:r w:rsidR="00204CDA">
        <w:rPr>
          <w:rStyle w:val="FootnoteReference"/>
        </w:rPr>
        <w:footnoteReference w:id="56"/>
      </w:r>
      <w:r w:rsidR="00DD0AEE">
        <w:t xml:space="preserve"> </w:t>
      </w:r>
      <w:r w:rsidRPr="000002CA">
        <w:t>However, we c</w:t>
      </w:r>
      <w:r w:rsidR="009B1584">
        <w:t xml:space="preserve">onsider the approach taken by ActewAGL </w:t>
      </w:r>
      <w:r w:rsidRPr="000002CA">
        <w:t>is generally consistent with that applied by other gas distribution networks</w:t>
      </w:r>
      <w:r w:rsidR="007E3C1B">
        <w:t xml:space="preserve"> and has historical precedent in past access arrangements</w:t>
      </w:r>
      <w:r w:rsidRPr="000002CA">
        <w:t xml:space="preserve">. </w:t>
      </w:r>
      <w:r w:rsidR="007E3C1B">
        <w:t>At any rate w</w:t>
      </w:r>
      <w:r w:rsidRPr="000002CA">
        <w:t>e</w:t>
      </w:r>
      <w:r w:rsidR="007E3C1B">
        <w:t xml:space="preserve"> observe</w:t>
      </w:r>
      <w:r w:rsidRPr="000002CA">
        <w:t xml:space="preserve"> that the calculated values of LRMC are sensitive to the assumptions made around a number of different variables. As such, these should only be used as a guide when assessing price levels and structures</w:t>
      </w:r>
      <w:r w:rsidR="007E3C1B">
        <w:t>, rather than be considered definitive</w:t>
      </w:r>
      <w:r w:rsidRPr="000002CA">
        <w:t>.</w:t>
      </w:r>
    </w:p>
    <w:p w:rsidR="00FB71C8" w:rsidRDefault="00FB71C8" w:rsidP="00FB71C8">
      <w:pPr>
        <w:pStyle w:val="HeadingBoldBlue"/>
      </w:pPr>
      <w:bookmarkStart w:id="44" w:name="_Toc435442887"/>
      <w:bookmarkStart w:id="45" w:name="_Toc435442926"/>
      <w:r>
        <w:t>Response to price signals</w:t>
      </w:r>
      <w:bookmarkEnd w:id="44"/>
      <w:bookmarkEnd w:id="45"/>
    </w:p>
    <w:p w:rsidR="00DD0AEE" w:rsidRDefault="000002CA" w:rsidP="000002CA">
      <w:r>
        <w:t xml:space="preserve">We are satisfied ActewAGL’s proposed reference tariffs have </w:t>
      </w:r>
      <w:r w:rsidRPr="00F81630">
        <w:t>be</w:t>
      </w:r>
      <w:r>
        <w:t>en</w:t>
      </w:r>
      <w:r w:rsidRPr="00F81630">
        <w:t xml:space="preserve"> determined having regard to whether customers are able</w:t>
      </w:r>
      <w:r w:rsidR="007E3C1B">
        <w:t>,</w:t>
      </w:r>
      <w:r w:rsidRPr="00F81630">
        <w:t xml:space="preserve"> or likely to respond to price signals.</w:t>
      </w:r>
      <w:r>
        <w:rPr>
          <w:rStyle w:val="FootnoteReference"/>
        </w:rPr>
        <w:footnoteReference w:id="57"/>
      </w:r>
    </w:p>
    <w:p w:rsidR="00FA092E" w:rsidRDefault="00FA092E" w:rsidP="000002CA">
      <w:r>
        <w:t>As discussed, t</w:t>
      </w:r>
      <w:r w:rsidR="00442DA4">
        <w:t xml:space="preserve">he proposed </w:t>
      </w:r>
      <w:r>
        <w:t xml:space="preserve">tariff structure </w:t>
      </w:r>
      <w:r w:rsidR="004B7713">
        <w:t xml:space="preserve">provides for more </w:t>
      </w:r>
      <w:r w:rsidR="004B7713" w:rsidRPr="004B7713">
        <w:t>cost reflective tariffs</w:t>
      </w:r>
      <w:r w:rsidR="004B7713">
        <w:t xml:space="preserve"> which will </w:t>
      </w:r>
      <w:r w:rsidR="004B7713" w:rsidRPr="004B7713">
        <w:t xml:space="preserve">send more appropriate price signals to end customers about </w:t>
      </w:r>
      <w:r w:rsidR="00E17B85">
        <w:t xml:space="preserve">their use of </w:t>
      </w:r>
      <w:r w:rsidR="00E21B84">
        <w:t>the network. These price signals</w:t>
      </w:r>
      <w:r w:rsidR="004B7713" w:rsidRPr="004B7713">
        <w:t xml:space="preserve"> will allow customers to make more informed choices about how they utilise the network.</w:t>
      </w:r>
    </w:p>
    <w:p w:rsidR="00474EC7" w:rsidRPr="00474EC7" w:rsidRDefault="007E3C1B" w:rsidP="00474EC7">
      <w:r>
        <w:t>We</w:t>
      </w:r>
      <w:r w:rsidR="00FA092E">
        <w:t xml:space="preserve"> also</w:t>
      </w:r>
      <w:r>
        <w:t xml:space="preserve"> consider the</w:t>
      </w:r>
      <w:r w:rsidR="000002CA">
        <w:t xml:space="preserve"> structure of </w:t>
      </w:r>
      <w:r w:rsidR="00FA092E">
        <w:t xml:space="preserve">declining bock </w:t>
      </w:r>
      <w:r w:rsidR="000002CA">
        <w:t>tariffs is well known to ActewAGL’s customers and</w:t>
      </w:r>
      <w:r w:rsidR="002047CD">
        <w:t xml:space="preserve"> their continuation in the </w:t>
      </w:r>
      <w:r w:rsidR="00DD0AEE">
        <w:t>2016–21</w:t>
      </w:r>
      <w:r w:rsidR="002047CD">
        <w:t xml:space="preserve"> access arrangement will allow</w:t>
      </w:r>
      <w:r w:rsidR="000002CA">
        <w:t xml:space="preserve"> them to respond to the price</w:t>
      </w:r>
      <w:r>
        <w:t xml:space="preserve">s within </w:t>
      </w:r>
      <w:r w:rsidR="000002CA">
        <w:t>each block</w:t>
      </w:r>
      <w:r>
        <w:t xml:space="preserve"> (or band)</w:t>
      </w:r>
      <w:r w:rsidR="000002CA">
        <w:t xml:space="preserve"> by adjusting their consumption.</w:t>
      </w:r>
      <w:r>
        <w:t xml:space="preserve"> Doing so will reduce or increase their overall network charges.</w:t>
      </w: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4A" w:rsidRPr="00290C63" w:rsidRDefault="00650F4A" w:rsidP="00290C63">
      <w:r>
        <w:separator/>
      </w:r>
    </w:p>
    <w:p w:rsidR="00650F4A" w:rsidRDefault="00650F4A"/>
  </w:endnote>
  <w:endnote w:type="continuationSeparator" w:id="0">
    <w:p w:rsidR="00650F4A" w:rsidRPr="00290C63" w:rsidRDefault="00650F4A" w:rsidP="00290C63">
      <w:r>
        <w:continuationSeparator/>
      </w:r>
    </w:p>
    <w:p w:rsidR="00650F4A" w:rsidRDefault="00650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4A" w:rsidRDefault="00650F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50F4A" w:rsidRDefault="00650F4A">
    <w:pPr>
      <w:pStyle w:val="Footer"/>
    </w:pPr>
  </w:p>
  <w:p w:rsidR="00650F4A" w:rsidRDefault="00650F4A">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50F4A" w:rsidRPr="00CA52A2" w:rsidRDefault="00650F4A" w:rsidP="00CA52A2">
        <w:pPr>
          <w:pStyle w:val="Footer"/>
        </w:pPr>
        <w:r w:rsidRPr="00CA52A2">
          <w:fldChar w:fldCharType="begin"/>
        </w:r>
        <w:r>
          <w:instrText xml:space="preserve"> PAGE   \* MERGEFORMAT </w:instrText>
        </w:r>
        <w:r w:rsidRPr="00CA52A2">
          <w:fldChar w:fldCharType="separate"/>
        </w:r>
        <w:r w:rsidR="007A3589">
          <w:rPr>
            <w:noProof/>
          </w:rPr>
          <w:t>10-3</w:t>
        </w:r>
        <w:r w:rsidRPr="00CA52A2">
          <w:fldChar w:fldCharType="end"/>
        </w:r>
        <w:r w:rsidRPr="00CA52A2">
          <w:t xml:space="preserve">          Attachment </w:t>
        </w:r>
        <w:r>
          <w:t xml:space="preserve">10 </w:t>
        </w:r>
        <w:r w:rsidRPr="00CA52A2">
          <w:t xml:space="preserve">– </w:t>
        </w:r>
        <w:r>
          <w:t xml:space="preserve">Reference tariff setting </w:t>
        </w:r>
        <w:r w:rsidRPr="00CA52A2">
          <w:t xml:space="preserve">| </w:t>
        </w:r>
        <w:r>
          <w:t>Draft decision: ActewAGL Distribution Access Arrangement 2016</w:t>
        </w:r>
        <w:r w:rsidRPr="00CA52A2">
          <w:t>–</w:t>
        </w:r>
        <w:r>
          <w:t>21</w:t>
        </w:r>
      </w:p>
    </w:sdtContent>
  </w:sdt>
  <w:p w:rsidR="00650F4A" w:rsidRDefault="00650F4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4A" w:rsidRPr="00290C63" w:rsidRDefault="00650F4A" w:rsidP="00290C63">
      <w:r>
        <w:separator/>
      </w:r>
    </w:p>
    <w:p w:rsidR="00650F4A" w:rsidRDefault="00650F4A"/>
  </w:footnote>
  <w:footnote w:type="continuationSeparator" w:id="0">
    <w:p w:rsidR="00650F4A" w:rsidRPr="00290C63" w:rsidRDefault="00650F4A" w:rsidP="00290C63">
      <w:r>
        <w:continuationSeparator/>
      </w:r>
    </w:p>
    <w:p w:rsidR="00650F4A" w:rsidRDefault="00650F4A"/>
  </w:footnote>
  <w:footnote w:id="1">
    <w:p w:rsidR="00650F4A" w:rsidRDefault="00650F4A">
      <w:pPr>
        <w:pStyle w:val="FootnoteText"/>
      </w:pPr>
      <w:r>
        <w:rPr>
          <w:rStyle w:val="FootnoteReference"/>
        </w:rPr>
        <w:footnoteRef/>
      </w:r>
      <w:r>
        <w:t xml:space="preserve"> </w:t>
      </w:r>
      <w:r>
        <w:tab/>
        <w:t>NGL</w:t>
      </w:r>
      <w:r w:rsidRPr="00C722AA">
        <w:t>, ss. 24(2)</w:t>
      </w:r>
      <w:r>
        <w:t>,</w:t>
      </w:r>
      <w:r w:rsidRPr="00C722AA">
        <w:t xml:space="preserve"> 24(5).</w:t>
      </w:r>
    </w:p>
  </w:footnote>
  <w:footnote w:id="2">
    <w:p w:rsidR="00650F4A" w:rsidRDefault="00650F4A">
      <w:pPr>
        <w:pStyle w:val="FootnoteText"/>
      </w:pPr>
      <w:r>
        <w:rPr>
          <w:rStyle w:val="FootnoteReference"/>
        </w:rPr>
        <w:footnoteRef/>
      </w:r>
      <w:r>
        <w:t xml:space="preserve"> </w:t>
      </w:r>
      <w:r>
        <w:tab/>
        <w:t>NGR, rr. 93;</w:t>
      </w:r>
      <w:r w:rsidRPr="00C722AA">
        <w:t xml:space="preserve"> 94.</w:t>
      </w:r>
    </w:p>
  </w:footnote>
  <w:footnote w:id="3">
    <w:p w:rsidR="00650F4A" w:rsidRDefault="00650F4A">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 5.</w:t>
      </w:r>
    </w:p>
  </w:footnote>
  <w:footnote w:id="4">
    <w:p w:rsidR="00650F4A" w:rsidRDefault="00650F4A">
      <w:pPr>
        <w:pStyle w:val="FootnoteText"/>
      </w:pPr>
      <w:r>
        <w:rPr>
          <w:rStyle w:val="FootnoteReference"/>
        </w:rPr>
        <w:footnoteRef/>
      </w:r>
      <w:r>
        <w:t xml:space="preserve"> </w:t>
      </w:r>
      <w:r>
        <w:tab/>
        <w:t xml:space="preserve">ActewAGL, </w:t>
      </w:r>
      <w:r w:rsidRPr="00621A58">
        <w:rPr>
          <w:rStyle w:val="AERtextitalic"/>
        </w:rPr>
        <w:t xml:space="preserve">Access arrangement information, Attachment 2: </w:t>
      </w:r>
      <w:r>
        <w:rPr>
          <w:rStyle w:val="AERtextitalic"/>
        </w:rPr>
        <w:t>Services policy</w:t>
      </w:r>
      <w:r>
        <w:t>, June 2015, pp. 8–9.</w:t>
      </w:r>
    </w:p>
  </w:footnote>
  <w:footnote w:id="5">
    <w:p w:rsidR="00650F4A" w:rsidRDefault="00650F4A">
      <w:pPr>
        <w:pStyle w:val="FootnoteText"/>
      </w:pPr>
      <w:r>
        <w:rPr>
          <w:rStyle w:val="FootnoteReference"/>
        </w:rPr>
        <w:footnoteRef/>
      </w:r>
      <w:r>
        <w:t xml:space="preserve"> </w:t>
      </w:r>
      <w:r>
        <w:tab/>
      </w:r>
      <w:r w:rsidRPr="00BB330E">
        <w:t>NGR, r</w:t>
      </w:r>
      <w:r>
        <w:t>r</w:t>
      </w:r>
      <w:r w:rsidRPr="00BB330E">
        <w:t>. 48(1)(d)(i); 72(1)(j)(i); 72(1)(j)(ii).</w:t>
      </w:r>
    </w:p>
  </w:footnote>
  <w:footnote w:id="6">
    <w:p w:rsidR="00650F4A" w:rsidRDefault="00650F4A">
      <w:pPr>
        <w:pStyle w:val="FootnoteText"/>
      </w:pPr>
      <w:r>
        <w:rPr>
          <w:rStyle w:val="FootnoteReference"/>
        </w:rPr>
        <w:footnoteRef/>
      </w:r>
      <w:r>
        <w:t xml:space="preserve"> </w:t>
      </w:r>
      <w:r>
        <w:tab/>
      </w:r>
      <w:r w:rsidRPr="00BB330E">
        <w:t>NGR, r. 93(1)–(2).</w:t>
      </w:r>
    </w:p>
  </w:footnote>
  <w:footnote w:id="7">
    <w:p w:rsidR="00650F4A" w:rsidRDefault="00650F4A">
      <w:pPr>
        <w:pStyle w:val="FootnoteText"/>
      </w:pPr>
      <w:r>
        <w:rPr>
          <w:rStyle w:val="FootnoteReference"/>
        </w:rPr>
        <w:footnoteRef/>
      </w:r>
      <w:r>
        <w:t xml:space="preserve"> </w:t>
      </w:r>
      <w:r>
        <w:tab/>
      </w:r>
      <w:r w:rsidRPr="00BB330E">
        <w:t>NGR</w:t>
      </w:r>
      <w:r>
        <w:t>,</w:t>
      </w:r>
      <w:r w:rsidRPr="00BB330E">
        <w:t xml:space="preserve"> r. 94(1)–(2).</w:t>
      </w:r>
    </w:p>
  </w:footnote>
  <w:footnote w:id="8">
    <w:p w:rsidR="00650F4A" w:rsidRDefault="00650F4A">
      <w:pPr>
        <w:pStyle w:val="FootnoteText"/>
      </w:pPr>
      <w:r>
        <w:rPr>
          <w:rStyle w:val="FootnoteReference"/>
        </w:rPr>
        <w:footnoteRef/>
      </w:r>
      <w:r>
        <w:t xml:space="preserve"> </w:t>
      </w:r>
      <w:r>
        <w:tab/>
      </w:r>
      <w:r w:rsidRPr="00BB330E">
        <w:t>NGR, r. 94(3).</w:t>
      </w:r>
    </w:p>
  </w:footnote>
  <w:footnote w:id="9">
    <w:p w:rsidR="00650F4A" w:rsidRDefault="00650F4A">
      <w:pPr>
        <w:pStyle w:val="FootnoteText"/>
      </w:pPr>
      <w:r>
        <w:rPr>
          <w:rStyle w:val="FootnoteReference"/>
        </w:rPr>
        <w:footnoteRef/>
      </w:r>
      <w:r>
        <w:t xml:space="preserve"> </w:t>
      </w:r>
      <w:r>
        <w:tab/>
      </w:r>
      <w:r w:rsidRPr="00BB330E">
        <w:t>NGR, r. 94(3)–(4).</w:t>
      </w:r>
    </w:p>
  </w:footnote>
  <w:footnote w:id="10">
    <w:p w:rsidR="00650F4A" w:rsidRDefault="00650F4A">
      <w:pPr>
        <w:pStyle w:val="FootnoteText"/>
      </w:pPr>
      <w:r>
        <w:rPr>
          <w:rStyle w:val="FootnoteReference"/>
        </w:rPr>
        <w:footnoteRef/>
      </w:r>
      <w:r>
        <w:t xml:space="preserve"> </w:t>
      </w:r>
      <w:r>
        <w:tab/>
      </w:r>
      <w:r w:rsidRPr="00BB330E">
        <w:t>NGR, rr. 48(1)(d)(i); 72(1)(j)(i); 72(1)(j)(ii).</w:t>
      </w:r>
    </w:p>
  </w:footnote>
  <w:footnote w:id="11">
    <w:p w:rsidR="00650F4A" w:rsidRDefault="00650F4A">
      <w:pPr>
        <w:pStyle w:val="FootnoteText"/>
      </w:pPr>
      <w:r>
        <w:rPr>
          <w:rStyle w:val="FootnoteReference"/>
        </w:rPr>
        <w:footnoteRef/>
      </w:r>
      <w:r>
        <w:t xml:space="preserve"> </w:t>
      </w:r>
      <w:r>
        <w:tab/>
        <w:t>NGR, r. 97(4).</w:t>
      </w:r>
    </w:p>
  </w:footnote>
  <w:footnote w:id="12">
    <w:p w:rsidR="00650F4A" w:rsidRDefault="00650F4A">
      <w:pPr>
        <w:pStyle w:val="FootnoteText"/>
      </w:pPr>
      <w:r>
        <w:rPr>
          <w:rStyle w:val="FootnoteReference"/>
        </w:rPr>
        <w:footnoteRef/>
      </w:r>
      <w:r>
        <w:t xml:space="preserve"> </w:t>
      </w:r>
      <w:r>
        <w:tab/>
        <w:t xml:space="preserve">ActewAGL, </w:t>
      </w:r>
      <w:r w:rsidRPr="00473D7B">
        <w:rPr>
          <w:rStyle w:val="AERtextitalic"/>
        </w:rPr>
        <w:t>Access arrangement information: Overview</w:t>
      </w:r>
      <w:r>
        <w:t xml:space="preserve">, June 2015, section 1.19; ActewAGL, </w:t>
      </w:r>
      <w:r w:rsidRPr="00621A58">
        <w:rPr>
          <w:rStyle w:val="AERtextitalic"/>
        </w:rPr>
        <w:t>Access arrangement information, Attachment 12: Reference tariffs</w:t>
      </w:r>
      <w:r>
        <w:t>, June 2015.</w:t>
      </w:r>
    </w:p>
  </w:footnote>
  <w:footnote w:id="13">
    <w:p w:rsidR="00650F4A" w:rsidRDefault="00650F4A">
      <w:pPr>
        <w:pStyle w:val="FootnoteText"/>
      </w:pPr>
      <w:r>
        <w:rPr>
          <w:rStyle w:val="FootnoteReference"/>
        </w:rPr>
        <w:footnoteRef/>
      </w:r>
      <w:r>
        <w:t xml:space="preserve"> </w:t>
      </w:r>
      <w:r>
        <w:tab/>
      </w:r>
      <w:r w:rsidRPr="00473D7B">
        <w:t>ActewAGL</w:t>
      </w:r>
      <w:r>
        <w:t xml:space="preserve">, </w:t>
      </w:r>
      <w:r w:rsidRPr="00473D7B">
        <w:rPr>
          <w:rStyle w:val="AERtextitalic"/>
        </w:rPr>
        <w:t>Access arrangement for the ACT Queanbeyan and Palerang gas distribution network 1 July 2016 to 30 June 2021</w:t>
      </w:r>
      <w:r>
        <w:t xml:space="preserve">, </w:t>
      </w:r>
      <w:r w:rsidRPr="00473D7B">
        <w:t>July 2015</w:t>
      </w:r>
      <w:r>
        <w:t xml:space="preserve"> (ActewAGL, </w:t>
      </w:r>
      <w:r w:rsidRPr="00B404D1">
        <w:rPr>
          <w:rStyle w:val="AERtextitalic"/>
        </w:rPr>
        <w:t>Access arrangement 2016–21</w:t>
      </w:r>
      <w:r>
        <w:t>, July 2015).</w:t>
      </w:r>
    </w:p>
  </w:footnote>
  <w:footnote w:id="14">
    <w:p w:rsidR="00650F4A" w:rsidRDefault="00650F4A">
      <w:pPr>
        <w:pStyle w:val="FootnoteText"/>
      </w:pPr>
      <w:r>
        <w:rPr>
          <w:rStyle w:val="FootnoteReference"/>
        </w:rPr>
        <w:footnoteRef/>
      </w:r>
      <w:r>
        <w:t xml:space="preserve"> </w:t>
      </w:r>
      <w:r>
        <w:tab/>
        <w:t xml:space="preserve">ActewAGL, </w:t>
      </w:r>
      <w:r w:rsidRPr="00473D7B">
        <w:rPr>
          <w:rStyle w:val="AERtextitalic"/>
        </w:rPr>
        <w:t>Access Arrangement Information, Appendix 12.01: Tariff structures statement</w:t>
      </w:r>
      <w:r>
        <w:t>, June 2015.</w:t>
      </w:r>
    </w:p>
  </w:footnote>
  <w:footnote w:id="15">
    <w:p w:rsidR="00650F4A" w:rsidRDefault="00650F4A">
      <w:pPr>
        <w:pStyle w:val="FootnoteText"/>
      </w:pPr>
      <w:r>
        <w:rPr>
          <w:rStyle w:val="FootnoteReference"/>
        </w:rPr>
        <w:footnoteRef/>
      </w:r>
      <w:r>
        <w:t xml:space="preserve"> </w:t>
      </w:r>
      <w:r>
        <w:tab/>
      </w:r>
      <w:r w:rsidRPr="000E0AE4">
        <w:t>NGR, r. 59.</w:t>
      </w:r>
    </w:p>
  </w:footnote>
  <w:footnote w:id="16">
    <w:p w:rsidR="00650F4A" w:rsidRDefault="00650F4A">
      <w:pPr>
        <w:pStyle w:val="FootnoteText"/>
      </w:pPr>
      <w:r>
        <w:rPr>
          <w:rStyle w:val="FootnoteReference"/>
        </w:rPr>
        <w:footnoteRef/>
      </w:r>
      <w:r>
        <w:t xml:space="preserve"> </w:t>
      </w:r>
      <w:r>
        <w:tab/>
        <w:t>NGR, r.</w:t>
      </w:r>
      <w:r w:rsidR="006D55D9">
        <w:t xml:space="preserve"> </w:t>
      </w:r>
      <w:r>
        <w:t>48(1)(d)(i).</w:t>
      </w:r>
    </w:p>
  </w:footnote>
  <w:footnote w:id="17">
    <w:p w:rsidR="00650F4A" w:rsidRDefault="00650F4A" w:rsidP="00621A58">
      <w:pPr>
        <w:pStyle w:val="FootnoteText"/>
      </w:pPr>
      <w:r>
        <w:rPr>
          <w:rStyle w:val="FootnoteReference"/>
        </w:rPr>
        <w:footnoteRef/>
      </w:r>
      <w:r>
        <w:t xml:space="preserve"> </w:t>
      </w:r>
      <w:r>
        <w:tab/>
        <w:t xml:space="preserve">ActewAGL, </w:t>
      </w:r>
      <w:r w:rsidRPr="00B404D1">
        <w:rPr>
          <w:rStyle w:val="AERtextitalic"/>
        </w:rPr>
        <w:t>Access arrangement 2016–21</w:t>
      </w:r>
      <w:r>
        <w:t>, July 2015, sections 2 and 3.</w:t>
      </w:r>
    </w:p>
  </w:footnote>
  <w:footnote w:id="18">
    <w:p w:rsidR="00650F4A" w:rsidRDefault="00650F4A" w:rsidP="008A01B8">
      <w:pPr>
        <w:pStyle w:val="FootnoteText"/>
      </w:pPr>
      <w:r>
        <w:rPr>
          <w:rStyle w:val="FootnoteReference"/>
        </w:rPr>
        <w:footnoteRef/>
      </w:r>
      <w:r>
        <w:t xml:space="preserve"> </w:t>
      </w:r>
      <w:r>
        <w:tab/>
        <w:t>NGR, rr. 93, 94.</w:t>
      </w:r>
    </w:p>
  </w:footnote>
  <w:footnote w:id="19">
    <w:p w:rsidR="00650F4A" w:rsidRDefault="00650F4A" w:rsidP="008A01B8">
      <w:pPr>
        <w:pStyle w:val="FootnoteText"/>
      </w:pPr>
      <w:r>
        <w:rPr>
          <w:rStyle w:val="FootnoteReference"/>
        </w:rPr>
        <w:footnoteRef/>
      </w:r>
      <w:r>
        <w:t xml:space="preserve"> </w:t>
      </w:r>
      <w:r>
        <w:tab/>
        <w:t>NGR, r. 93(2).</w:t>
      </w:r>
    </w:p>
  </w:footnote>
  <w:footnote w:id="20">
    <w:p w:rsidR="00650F4A" w:rsidRDefault="00650F4A">
      <w:pPr>
        <w:pStyle w:val="FootnoteText"/>
      </w:pPr>
      <w:r>
        <w:rPr>
          <w:rStyle w:val="FootnoteReference"/>
        </w:rPr>
        <w:footnoteRef/>
      </w:r>
      <w:r>
        <w:t xml:space="preserve"> </w:t>
      </w:r>
      <w:r>
        <w:tab/>
        <w:t>NGR, r.</w:t>
      </w:r>
      <w:r w:rsidR="006D55D9">
        <w:t xml:space="preserve"> </w:t>
      </w:r>
      <w:r>
        <w:t>94(2).</w:t>
      </w:r>
    </w:p>
  </w:footnote>
  <w:footnote w:id="21">
    <w:p w:rsidR="00650F4A" w:rsidRDefault="00650F4A" w:rsidP="008A01B8">
      <w:pPr>
        <w:pStyle w:val="FootnoteText"/>
      </w:pPr>
      <w:r>
        <w:rPr>
          <w:rStyle w:val="FootnoteReference"/>
        </w:rPr>
        <w:footnoteRef/>
      </w:r>
      <w:r>
        <w:t xml:space="preserve"> </w:t>
      </w:r>
      <w:r>
        <w:tab/>
        <w:t>NGR, r. 94(3)–(4).</w:t>
      </w:r>
    </w:p>
  </w:footnote>
  <w:footnote w:id="22">
    <w:p w:rsidR="00650F4A" w:rsidRDefault="00650F4A" w:rsidP="008019D8">
      <w:pPr>
        <w:pStyle w:val="FootnoteText"/>
      </w:pPr>
      <w:r>
        <w:rPr>
          <w:rStyle w:val="FootnoteReference"/>
        </w:rPr>
        <w:footnoteRef/>
      </w:r>
      <w:r>
        <w:t xml:space="preserve"> </w:t>
      </w:r>
      <w:r>
        <w:tab/>
        <w:t xml:space="preserve">For example see: Jemena Gas Networks (New South Wales), </w:t>
      </w:r>
      <w:r w:rsidRPr="00A04621">
        <w:rPr>
          <w:rStyle w:val="AERtextitalic"/>
        </w:rPr>
        <w:t>Access arrangement: JGN’s NSW gas distribution networks 1 July 2015–30 June 2020—(Incorporating revisions required by AER Final Decision 3 June 2015)</w:t>
      </w:r>
      <w:r>
        <w:t>, June 2015, schedule 2.</w:t>
      </w:r>
    </w:p>
  </w:footnote>
  <w:footnote w:id="23">
    <w:p w:rsidR="00650F4A" w:rsidRDefault="00650F4A">
      <w:pPr>
        <w:pStyle w:val="FootnoteText"/>
      </w:pPr>
      <w:r>
        <w:rPr>
          <w:rStyle w:val="FootnoteReference"/>
        </w:rPr>
        <w:footnoteRef/>
      </w:r>
      <w:r>
        <w:t xml:space="preserve"> </w:t>
      </w:r>
      <w:r>
        <w:tab/>
        <w:t>NGR, rr. 93, 94.</w:t>
      </w:r>
    </w:p>
  </w:footnote>
  <w:footnote w:id="24">
    <w:p w:rsidR="00650F4A" w:rsidRDefault="00650F4A" w:rsidP="007B3F47">
      <w:pPr>
        <w:pStyle w:val="FootnoteText"/>
      </w:pPr>
      <w:r>
        <w:rPr>
          <w:rStyle w:val="FootnoteReference"/>
        </w:rPr>
        <w:footnoteRef/>
      </w:r>
      <w:r>
        <w:t xml:space="preserve"> </w:t>
      </w:r>
      <w:r>
        <w:tab/>
        <w:t xml:space="preserve">ACTCOSS, </w:t>
      </w:r>
      <w:r w:rsidRPr="000C262E">
        <w:rPr>
          <w:rStyle w:val="AERtextitalic"/>
        </w:rPr>
        <w:t>Submission on ActewAGL gas distribution pricing determination 2016–2021</w:t>
      </w:r>
      <w:r>
        <w:t xml:space="preserve">, </w:t>
      </w:r>
      <w:r w:rsidRPr="000C262E">
        <w:t>3 September 2015</w:t>
      </w:r>
      <w:r>
        <w:t>;</w:t>
      </w:r>
      <w:r w:rsidRPr="009D725A">
        <w:t xml:space="preserve"> </w:t>
      </w:r>
      <w:r w:rsidRPr="00CD550F">
        <w:t>Alternative Technology Association</w:t>
      </w:r>
      <w:r>
        <w:t>,</w:t>
      </w:r>
      <w:r w:rsidRPr="00CD550F">
        <w:t xml:space="preserve"> </w:t>
      </w:r>
      <w:r w:rsidRPr="00CD550F">
        <w:rPr>
          <w:rStyle w:val="AERtextitalic"/>
        </w:rPr>
        <w:t>Submission on ActewAGL access arrangement proposal 2016–21</w:t>
      </w:r>
      <w:r>
        <w:t xml:space="preserve">, </w:t>
      </w:r>
      <w:r w:rsidRPr="00CD550F">
        <w:t>10</w:t>
      </w:r>
      <w:r>
        <w:t> </w:t>
      </w:r>
      <w:r w:rsidRPr="00CD550F">
        <w:t>August</w:t>
      </w:r>
      <w:r>
        <w:t> </w:t>
      </w:r>
      <w:r w:rsidRPr="00CD550F">
        <w:t>2015</w:t>
      </w:r>
      <w:r>
        <w:t xml:space="preserve">; </w:t>
      </w:r>
      <w:r w:rsidRPr="00FD7AA5">
        <w:t>No</w:t>
      </w:r>
      <w:r>
        <w:t xml:space="preserve">rth Canberra Community Council, </w:t>
      </w:r>
      <w:r w:rsidRPr="00FD7AA5">
        <w:rPr>
          <w:rStyle w:val="AERtextitalic"/>
        </w:rPr>
        <w:t>Submission on ActewAGL access arrangement proposal 2016–21</w:t>
      </w:r>
      <w:r>
        <w:t xml:space="preserve">, </w:t>
      </w:r>
      <w:r w:rsidRPr="00FD7AA5">
        <w:t>10</w:t>
      </w:r>
      <w:r>
        <w:t> </w:t>
      </w:r>
      <w:r w:rsidRPr="00FD7AA5">
        <w:t>August</w:t>
      </w:r>
      <w:r>
        <w:t> </w:t>
      </w:r>
      <w:r w:rsidRPr="00FD7AA5">
        <w:t>2015</w:t>
      </w:r>
      <w:r>
        <w:t xml:space="preserve">; Origin Energy, </w:t>
      </w:r>
      <w:r w:rsidRPr="00B8539B">
        <w:rPr>
          <w:rStyle w:val="AERtextitalic"/>
        </w:rPr>
        <w:t>Submission on ActewAGL access arrangement proposal 2016–21</w:t>
      </w:r>
      <w:r>
        <w:t xml:space="preserve">, </w:t>
      </w:r>
      <w:r w:rsidRPr="00B8539B">
        <w:t>10 August 2015</w:t>
      </w:r>
      <w:r>
        <w:t xml:space="preserve">. </w:t>
      </w:r>
    </w:p>
  </w:footnote>
  <w:footnote w:id="25">
    <w:p w:rsidR="00650F4A" w:rsidRDefault="00650F4A">
      <w:pPr>
        <w:pStyle w:val="FootnoteText"/>
      </w:pPr>
      <w:r>
        <w:rPr>
          <w:rStyle w:val="FootnoteReference"/>
        </w:rPr>
        <w:footnoteRef/>
      </w:r>
      <w:r>
        <w:t xml:space="preserve"> </w:t>
      </w:r>
      <w:r>
        <w:tab/>
        <w:t xml:space="preserve">Origin Energy, </w:t>
      </w:r>
      <w:r w:rsidRPr="00B8539B">
        <w:rPr>
          <w:rStyle w:val="AERtextitalic"/>
        </w:rPr>
        <w:t>Submission on ActewAGL access arrangement proposal 2016–21</w:t>
      </w:r>
      <w:r>
        <w:t xml:space="preserve">, </w:t>
      </w:r>
      <w:r w:rsidRPr="00B8539B">
        <w:t>10 August 2015</w:t>
      </w:r>
      <w:r>
        <w:t>, p. 6;</w:t>
      </w:r>
      <w:r w:rsidRPr="00B0063D">
        <w:t xml:space="preserve"> </w:t>
      </w:r>
      <w:r w:rsidRPr="00FD7AA5">
        <w:t>No</w:t>
      </w:r>
      <w:r>
        <w:t xml:space="preserve">rth Canberra Community Council, </w:t>
      </w:r>
      <w:r w:rsidRPr="00FD7AA5">
        <w:rPr>
          <w:rStyle w:val="AERtextitalic"/>
        </w:rPr>
        <w:t>Submission on ActewAGL access arrangement proposal 2016–21</w:t>
      </w:r>
      <w:r>
        <w:t xml:space="preserve">, </w:t>
      </w:r>
      <w:r w:rsidRPr="00FD7AA5">
        <w:t>10</w:t>
      </w:r>
      <w:r>
        <w:t> </w:t>
      </w:r>
      <w:r w:rsidRPr="00FD7AA5">
        <w:t>August</w:t>
      </w:r>
      <w:r>
        <w:t> </w:t>
      </w:r>
      <w:r w:rsidRPr="00FD7AA5">
        <w:t>2015</w:t>
      </w:r>
      <w:r>
        <w:t>, p. 2.</w:t>
      </w:r>
    </w:p>
  </w:footnote>
  <w:footnote w:id="26">
    <w:p w:rsidR="00650F4A" w:rsidRDefault="00650F4A" w:rsidP="002C625B">
      <w:pPr>
        <w:pStyle w:val="FootnoteText"/>
      </w:pPr>
      <w:r>
        <w:rPr>
          <w:rStyle w:val="FootnoteReference"/>
        </w:rPr>
        <w:footnoteRef/>
      </w:r>
      <w:r>
        <w:t xml:space="preserve"> </w:t>
      </w:r>
      <w:r>
        <w:tab/>
        <w:t xml:space="preserve">ActewAGL, </w:t>
      </w:r>
      <w:r w:rsidRPr="00621A58">
        <w:rPr>
          <w:rStyle w:val="AERtextitalic"/>
        </w:rPr>
        <w:t xml:space="preserve">Access arrangement information, </w:t>
      </w:r>
      <w:r>
        <w:rPr>
          <w:rStyle w:val="AERtextitalic"/>
        </w:rPr>
        <w:t xml:space="preserve">Appendix </w:t>
      </w:r>
      <w:r w:rsidRPr="00621A58">
        <w:rPr>
          <w:rStyle w:val="AERtextitalic"/>
        </w:rPr>
        <w:t>12</w:t>
      </w:r>
      <w:r>
        <w:rPr>
          <w:rStyle w:val="AERtextitalic"/>
        </w:rPr>
        <w:t>.01</w:t>
      </w:r>
      <w:r w:rsidRPr="00621A58">
        <w:rPr>
          <w:rStyle w:val="AERtextitalic"/>
        </w:rPr>
        <w:t xml:space="preserve">: </w:t>
      </w:r>
      <w:r>
        <w:rPr>
          <w:rStyle w:val="AERtextitalic"/>
        </w:rPr>
        <w:t>Tariff structure statement</w:t>
      </w:r>
      <w:r>
        <w:t>, June 2015, p. 22.</w:t>
      </w:r>
    </w:p>
  </w:footnote>
  <w:footnote w:id="27">
    <w:p w:rsidR="00650F4A" w:rsidRDefault="00650F4A">
      <w:pPr>
        <w:pStyle w:val="FootnoteText"/>
      </w:pPr>
      <w:r>
        <w:rPr>
          <w:rStyle w:val="FootnoteReference"/>
        </w:rPr>
        <w:footnoteRef/>
      </w:r>
      <w:r>
        <w:t xml:space="preserve"> </w:t>
      </w:r>
      <w:r>
        <w:tab/>
        <w:t xml:space="preserve">For example, see: Jemena Gas Networks (New South Wales), </w:t>
      </w:r>
      <w:r w:rsidRPr="00A04621">
        <w:rPr>
          <w:rStyle w:val="AERtextitalic"/>
        </w:rPr>
        <w:t>Access arrangement: JGN’s NSW gas distribution networks 1 July 2015–30 June 2020—(Incorporating revisions required by AER Final Decision 3 June 2015)</w:t>
      </w:r>
      <w:r>
        <w:t xml:space="preserve">, June 2015, schedule 2. </w:t>
      </w:r>
    </w:p>
  </w:footnote>
  <w:footnote w:id="28">
    <w:p w:rsidR="00650F4A" w:rsidRDefault="00650F4A" w:rsidP="003569EA">
      <w:pPr>
        <w:pStyle w:val="FootnoteText"/>
      </w:pPr>
      <w:r>
        <w:rPr>
          <w:rStyle w:val="FootnoteReference"/>
        </w:rPr>
        <w:footnoteRef/>
      </w:r>
      <w:r>
        <w:t xml:space="preserve"> </w:t>
      </w:r>
      <w:r>
        <w:tab/>
      </w:r>
      <w:r w:rsidRPr="00FD7AA5">
        <w:t>No</w:t>
      </w:r>
      <w:r>
        <w:t xml:space="preserve">rth Canberra Community Council, </w:t>
      </w:r>
      <w:r w:rsidRPr="00FD7AA5">
        <w:rPr>
          <w:rStyle w:val="AERtextitalic"/>
        </w:rPr>
        <w:t>Submission on ActewAGL access arrangement proposal 2016–21</w:t>
      </w:r>
      <w:r>
        <w:t xml:space="preserve">, </w:t>
      </w:r>
      <w:r w:rsidRPr="00FD7AA5">
        <w:t>10</w:t>
      </w:r>
      <w:r>
        <w:t> </w:t>
      </w:r>
      <w:r w:rsidRPr="00FD7AA5">
        <w:t>August</w:t>
      </w:r>
      <w:r>
        <w:t> </w:t>
      </w:r>
      <w:r w:rsidRPr="00FD7AA5">
        <w:t>2015</w:t>
      </w:r>
      <w:r>
        <w:t>, pp. 2–6.</w:t>
      </w:r>
    </w:p>
  </w:footnote>
  <w:footnote w:id="29">
    <w:p w:rsidR="00650F4A" w:rsidRDefault="00650F4A" w:rsidP="003569EA">
      <w:pPr>
        <w:pStyle w:val="FootnoteText"/>
      </w:pPr>
      <w:r>
        <w:rPr>
          <w:rStyle w:val="FootnoteReference"/>
        </w:rPr>
        <w:footnoteRef/>
      </w:r>
      <w:r>
        <w:t xml:space="preserve"> </w:t>
      </w:r>
      <w:r>
        <w:tab/>
      </w:r>
      <w:r w:rsidRPr="00FD7AA5">
        <w:t>No</w:t>
      </w:r>
      <w:r>
        <w:t xml:space="preserve">rth Canberra Community Council, </w:t>
      </w:r>
      <w:r w:rsidRPr="00FD7AA5">
        <w:rPr>
          <w:rStyle w:val="AERtextitalic"/>
        </w:rPr>
        <w:t>Submission on ActewAGL access arrangement proposal 2016–21</w:t>
      </w:r>
      <w:r>
        <w:t xml:space="preserve">, </w:t>
      </w:r>
      <w:r w:rsidRPr="00FD7AA5">
        <w:t>10</w:t>
      </w:r>
      <w:r>
        <w:t> </w:t>
      </w:r>
      <w:r w:rsidRPr="00FD7AA5">
        <w:t>August</w:t>
      </w:r>
      <w:r>
        <w:t> </w:t>
      </w:r>
      <w:r w:rsidRPr="00FD7AA5">
        <w:t>2015</w:t>
      </w:r>
      <w:r>
        <w:t>, pp. 2–6.</w:t>
      </w:r>
    </w:p>
  </w:footnote>
  <w:footnote w:id="30">
    <w:p w:rsidR="00650F4A" w:rsidRDefault="00650F4A" w:rsidP="00E21B84">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pp. 30–41.</w:t>
      </w:r>
    </w:p>
  </w:footnote>
  <w:footnote w:id="31">
    <w:p w:rsidR="00650F4A" w:rsidRDefault="00650F4A">
      <w:pPr>
        <w:pStyle w:val="FootnoteText"/>
      </w:pPr>
      <w:r>
        <w:rPr>
          <w:rStyle w:val="FootnoteReference"/>
        </w:rPr>
        <w:footnoteRef/>
      </w:r>
      <w:r>
        <w:t xml:space="preserve"> </w:t>
      </w:r>
      <w:r>
        <w:tab/>
        <w:t>Multi–appliance tariff category is the term we have used in our draft decision to distinguish these tariff categories from other types of tariff categories. We note ActewAGL simply refers to the multi–appliance tariff categories as ‘other proposed tariff categories’.</w:t>
      </w:r>
    </w:p>
  </w:footnote>
  <w:footnote w:id="32">
    <w:p w:rsidR="00650F4A" w:rsidRDefault="00650F4A" w:rsidP="00D025B8">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 28.</w:t>
      </w:r>
    </w:p>
  </w:footnote>
  <w:footnote w:id="33">
    <w:p w:rsidR="00650F4A" w:rsidRDefault="00650F4A">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 23.</w:t>
      </w:r>
    </w:p>
  </w:footnote>
  <w:footnote w:id="34">
    <w:p w:rsidR="00650F4A" w:rsidRDefault="00650F4A">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 24.</w:t>
      </w:r>
    </w:p>
  </w:footnote>
  <w:footnote w:id="35">
    <w:p w:rsidR="00650F4A" w:rsidRDefault="00650F4A" w:rsidP="00EF2185">
      <w:pPr>
        <w:pStyle w:val="FootnoteText"/>
      </w:pPr>
      <w:r>
        <w:rPr>
          <w:rStyle w:val="FootnoteReference"/>
        </w:rPr>
        <w:footnoteRef/>
      </w:r>
      <w:r>
        <w:t xml:space="preserve"> </w:t>
      </w:r>
      <w:r>
        <w:tab/>
        <w:t xml:space="preserve">Origin Energy, </w:t>
      </w:r>
      <w:r w:rsidRPr="00B8539B">
        <w:rPr>
          <w:rStyle w:val="AERtextitalic"/>
        </w:rPr>
        <w:t>Submission on ActewAGL access arrangement proposal 2016–21</w:t>
      </w:r>
      <w:r>
        <w:t xml:space="preserve">, </w:t>
      </w:r>
      <w:r w:rsidRPr="00B8539B">
        <w:t>10 August 2015</w:t>
      </w:r>
      <w:r>
        <w:t>, p. 6.</w:t>
      </w:r>
    </w:p>
  </w:footnote>
  <w:footnote w:id="36">
    <w:p w:rsidR="00650F4A" w:rsidRDefault="00650F4A" w:rsidP="00496C55">
      <w:pPr>
        <w:pStyle w:val="FootnoteText"/>
      </w:pPr>
      <w:r>
        <w:rPr>
          <w:rStyle w:val="FootnoteReference"/>
        </w:rPr>
        <w:footnoteRef/>
      </w:r>
      <w:r>
        <w:t xml:space="preserve"> </w:t>
      </w:r>
      <w:r>
        <w:tab/>
      </w:r>
      <w:r w:rsidRPr="00CD550F">
        <w:t>Alternative Technology Association</w:t>
      </w:r>
      <w:r>
        <w:t>,</w:t>
      </w:r>
      <w:r w:rsidRPr="00CD550F">
        <w:t xml:space="preserve"> </w:t>
      </w:r>
      <w:r w:rsidRPr="00CD550F">
        <w:rPr>
          <w:rStyle w:val="AERtextitalic"/>
        </w:rPr>
        <w:t>Submission on ActewAGL access arrangement proposal 2016–21</w:t>
      </w:r>
      <w:r>
        <w:t xml:space="preserve">, </w:t>
      </w:r>
      <w:r w:rsidRPr="00CD550F">
        <w:t>10</w:t>
      </w:r>
      <w:r>
        <w:t> </w:t>
      </w:r>
      <w:r w:rsidRPr="00CD550F">
        <w:t>August</w:t>
      </w:r>
      <w:r>
        <w:t> </w:t>
      </w:r>
      <w:r w:rsidRPr="00CD550F">
        <w:t>2015</w:t>
      </w:r>
      <w:r>
        <w:t>, pp. 3–6.</w:t>
      </w:r>
    </w:p>
  </w:footnote>
  <w:footnote w:id="37">
    <w:p w:rsidR="00650F4A" w:rsidRDefault="00650F4A" w:rsidP="000346EF">
      <w:pPr>
        <w:pStyle w:val="FootnoteText"/>
      </w:pPr>
      <w:r>
        <w:rPr>
          <w:rStyle w:val="FootnoteReference"/>
        </w:rPr>
        <w:footnoteRef/>
      </w:r>
      <w:r>
        <w:t xml:space="preserve"> </w:t>
      </w:r>
      <w:r>
        <w:tab/>
        <w:t xml:space="preserve">Origin Energy, </w:t>
      </w:r>
      <w:r w:rsidRPr="00B8539B">
        <w:rPr>
          <w:rStyle w:val="AERtextitalic"/>
        </w:rPr>
        <w:t>Submission on ActewAGL access arrangement proposal 2016–21</w:t>
      </w:r>
      <w:r>
        <w:t xml:space="preserve">, </w:t>
      </w:r>
      <w:r w:rsidRPr="00B8539B">
        <w:t>10 August 2015</w:t>
      </w:r>
      <w:r>
        <w:t>, p. 6.</w:t>
      </w:r>
    </w:p>
  </w:footnote>
  <w:footnote w:id="38">
    <w:p w:rsidR="00650F4A" w:rsidRDefault="00650F4A" w:rsidP="00C04255">
      <w:pPr>
        <w:pStyle w:val="FootnoteText"/>
      </w:pPr>
      <w:r>
        <w:rPr>
          <w:rStyle w:val="FootnoteReference"/>
        </w:rPr>
        <w:footnoteRef/>
      </w:r>
      <w:r>
        <w:t xml:space="preserve"> </w:t>
      </w:r>
      <w:r>
        <w:tab/>
      </w:r>
      <w:r w:rsidRPr="00FD7AA5">
        <w:t>No</w:t>
      </w:r>
      <w:r>
        <w:t xml:space="preserve">rth Canberra Community Council, </w:t>
      </w:r>
      <w:r w:rsidRPr="00FD7AA5">
        <w:rPr>
          <w:rStyle w:val="AERtextitalic"/>
        </w:rPr>
        <w:t>Submission on ActewAGL access arrangement proposal 2016–21</w:t>
      </w:r>
      <w:r>
        <w:t xml:space="preserve">, </w:t>
      </w:r>
      <w:r w:rsidRPr="00FD7AA5">
        <w:t>10</w:t>
      </w:r>
      <w:r>
        <w:t> </w:t>
      </w:r>
      <w:r w:rsidRPr="00FD7AA5">
        <w:t>August</w:t>
      </w:r>
      <w:r>
        <w:t> </w:t>
      </w:r>
      <w:r w:rsidRPr="00FD7AA5">
        <w:t>2015</w:t>
      </w:r>
      <w:r>
        <w:t>, p. 2.</w:t>
      </w:r>
    </w:p>
  </w:footnote>
  <w:footnote w:id="39">
    <w:p w:rsidR="00650F4A" w:rsidRDefault="00650F4A" w:rsidP="00012AAB">
      <w:pPr>
        <w:pStyle w:val="FootnoteText"/>
      </w:pPr>
      <w:r>
        <w:rPr>
          <w:rStyle w:val="FootnoteReference"/>
        </w:rPr>
        <w:footnoteRef/>
      </w:r>
      <w:r>
        <w:t xml:space="preserve"> </w:t>
      </w:r>
      <w:r>
        <w:tab/>
      </w:r>
      <w:r w:rsidRPr="00FD7AA5">
        <w:t>No</w:t>
      </w:r>
      <w:r>
        <w:t xml:space="preserve">rth Canberra Community Council, </w:t>
      </w:r>
      <w:r w:rsidRPr="00FD7AA5">
        <w:rPr>
          <w:rStyle w:val="AERtextitalic"/>
        </w:rPr>
        <w:t>Submission on ActewAGL access arrangement proposal 2016–21</w:t>
      </w:r>
      <w:r>
        <w:t xml:space="preserve">, </w:t>
      </w:r>
      <w:r w:rsidRPr="00FD7AA5">
        <w:t>10</w:t>
      </w:r>
      <w:r>
        <w:t> </w:t>
      </w:r>
      <w:r w:rsidRPr="00FD7AA5">
        <w:t>August</w:t>
      </w:r>
      <w:r>
        <w:t> </w:t>
      </w:r>
      <w:r w:rsidRPr="00FD7AA5">
        <w:t>2015</w:t>
      </w:r>
      <w:r>
        <w:t>, p. 2.</w:t>
      </w:r>
    </w:p>
  </w:footnote>
  <w:footnote w:id="40">
    <w:p w:rsidR="00650F4A" w:rsidRDefault="00650F4A">
      <w:pPr>
        <w:pStyle w:val="FootnoteText"/>
      </w:pPr>
      <w:r>
        <w:rPr>
          <w:rStyle w:val="FootnoteReference"/>
        </w:rPr>
        <w:footnoteRef/>
      </w:r>
      <w:r>
        <w:t xml:space="preserve"> </w:t>
      </w:r>
      <w:r>
        <w:tab/>
        <w:t xml:space="preserve">ActewAGL, </w:t>
      </w:r>
      <w:r w:rsidRPr="00621A58">
        <w:rPr>
          <w:rStyle w:val="AERtextitalic"/>
        </w:rPr>
        <w:t xml:space="preserve">Access arrangement information, </w:t>
      </w:r>
      <w:r>
        <w:rPr>
          <w:rStyle w:val="AERtextitalic"/>
        </w:rPr>
        <w:t xml:space="preserve">Appendix </w:t>
      </w:r>
      <w:r w:rsidRPr="00621A58">
        <w:rPr>
          <w:rStyle w:val="AERtextitalic"/>
        </w:rPr>
        <w:t>12</w:t>
      </w:r>
      <w:r>
        <w:rPr>
          <w:rStyle w:val="AERtextitalic"/>
        </w:rPr>
        <w:t>.01</w:t>
      </w:r>
      <w:r w:rsidRPr="00621A58">
        <w:rPr>
          <w:rStyle w:val="AERtextitalic"/>
        </w:rPr>
        <w:t xml:space="preserve">: </w:t>
      </w:r>
      <w:r>
        <w:rPr>
          <w:rStyle w:val="AERtextitalic"/>
        </w:rPr>
        <w:t>Tariff structure statement</w:t>
      </w:r>
      <w:r>
        <w:t>, June 2015, p. 22.</w:t>
      </w:r>
    </w:p>
  </w:footnote>
  <w:footnote w:id="41">
    <w:p w:rsidR="00650F4A" w:rsidRDefault="00650F4A" w:rsidP="00FD7AA5">
      <w:pPr>
        <w:pStyle w:val="FootnoteText"/>
      </w:pPr>
      <w:r>
        <w:rPr>
          <w:rStyle w:val="FootnoteReference"/>
        </w:rPr>
        <w:footnoteRef/>
      </w:r>
      <w:r>
        <w:t xml:space="preserve"> </w:t>
      </w:r>
      <w:r>
        <w:tab/>
      </w:r>
      <w:r w:rsidRPr="00CD550F">
        <w:t>Alternative Technology Association</w:t>
      </w:r>
      <w:r>
        <w:t>,</w:t>
      </w:r>
      <w:r w:rsidRPr="00CD550F">
        <w:t xml:space="preserve"> </w:t>
      </w:r>
      <w:r w:rsidRPr="00CD550F">
        <w:rPr>
          <w:rStyle w:val="AERtextitalic"/>
        </w:rPr>
        <w:t>Submission on ActewAGL access arrangement proposal 2016–21</w:t>
      </w:r>
      <w:r>
        <w:t xml:space="preserve">, </w:t>
      </w:r>
      <w:r w:rsidRPr="00CD550F">
        <w:t>10</w:t>
      </w:r>
      <w:r>
        <w:t> </w:t>
      </w:r>
      <w:r w:rsidRPr="00CD550F">
        <w:t>August</w:t>
      </w:r>
      <w:r>
        <w:t> </w:t>
      </w:r>
      <w:r w:rsidRPr="00CD550F">
        <w:t>2015</w:t>
      </w:r>
      <w:r>
        <w:t xml:space="preserve">, p. 9; Care Inc., </w:t>
      </w:r>
      <w:r w:rsidRPr="000C262E">
        <w:rPr>
          <w:rStyle w:val="AERtextitalic"/>
        </w:rPr>
        <w:t>Submission on ActewAGL access arrangement proposal 2016–21</w:t>
      </w:r>
      <w:r>
        <w:t xml:space="preserve">, </w:t>
      </w:r>
      <w:r w:rsidRPr="00A76874">
        <w:t>10</w:t>
      </w:r>
      <w:r>
        <w:t> </w:t>
      </w:r>
      <w:r w:rsidRPr="00A76874">
        <w:t>August 2015</w:t>
      </w:r>
      <w:r>
        <w:t xml:space="preserve">, p. 3; </w:t>
      </w:r>
      <w:r w:rsidRPr="00FD7AA5">
        <w:t xml:space="preserve">North Canberra Community Council, </w:t>
      </w:r>
      <w:r w:rsidRPr="00FD7AA5">
        <w:rPr>
          <w:rStyle w:val="AERtextitalic"/>
        </w:rPr>
        <w:t>Submission on ActewAGL access arrangement proposal 2016–21</w:t>
      </w:r>
      <w:r w:rsidRPr="00FD7AA5">
        <w:t>, 10 August 2015, pp. 2–</w:t>
      </w:r>
      <w:r>
        <w:t>3</w:t>
      </w:r>
      <w:r w:rsidRPr="00FD7AA5">
        <w:t>.</w:t>
      </w:r>
    </w:p>
  </w:footnote>
  <w:footnote w:id="42">
    <w:p w:rsidR="00650F4A" w:rsidRDefault="00650F4A" w:rsidP="00FD7AA5">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pp. 28–29.</w:t>
      </w:r>
    </w:p>
  </w:footnote>
  <w:footnote w:id="43">
    <w:p w:rsidR="00650F4A" w:rsidRDefault="00650F4A" w:rsidP="00FD7AA5">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 28.</w:t>
      </w:r>
    </w:p>
  </w:footnote>
  <w:footnote w:id="44">
    <w:p w:rsidR="00650F4A" w:rsidRDefault="00650F4A" w:rsidP="00FD7AA5">
      <w:pPr>
        <w:pStyle w:val="FootnoteText"/>
      </w:pPr>
      <w:r>
        <w:rPr>
          <w:rStyle w:val="FootnoteReference"/>
        </w:rPr>
        <w:footnoteRef/>
      </w:r>
      <w:r>
        <w:t xml:space="preserve"> </w:t>
      </w:r>
      <w:r>
        <w:tab/>
        <w:t xml:space="preserve">ActewAGL, </w:t>
      </w:r>
      <w:r w:rsidRPr="00621A58">
        <w:rPr>
          <w:rStyle w:val="AERtextitalic"/>
        </w:rPr>
        <w:t xml:space="preserve">Access arrangement information, </w:t>
      </w:r>
      <w:r>
        <w:rPr>
          <w:rStyle w:val="AERtextitalic"/>
        </w:rPr>
        <w:t xml:space="preserve">Appendix </w:t>
      </w:r>
      <w:r w:rsidRPr="00621A58">
        <w:rPr>
          <w:rStyle w:val="AERtextitalic"/>
        </w:rPr>
        <w:t>12</w:t>
      </w:r>
      <w:r>
        <w:rPr>
          <w:rStyle w:val="AERtextitalic"/>
        </w:rPr>
        <w:t>.01</w:t>
      </w:r>
      <w:r w:rsidRPr="00621A58">
        <w:rPr>
          <w:rStyle w:val="AERtextitalic"/>
        </w:rPr>
        <w:t xml:space="preserve">: </w:t>
      </w:r>
      <w:r>
        <w:rPr>
          <w:rStyle w:val="AERtextitalic"/>
        </w:rPr>
        <w:t>Tariff structure statement</w:t>
      </w:r>
      <w:r>
        <w:t>, June 2015, p. 22.</w:t>
      </w:r>
    </w:p>
  </w:footnote>
  <w:footnote w:id="45">
    <w:p w:rsidR="00650F4A" w:rsidRDefault="00650F4A" w:rsidP="0085010A">
      <w:pPr>
        <w:pStyle w:val="FootnoteText"/>
      </w:pPr>
      <w:r>
        <w:rPr>
          <w:rStyle w:val="FootnoteReference"/>
        </w:rPr>
        <w:footnoteRef/>
      </w:r>
      <w:r>
        <w:t xml:space="preserve"> </w:t>
      </w:r>
      <w:r>
        <w:tab/>
      </w:r>
      <w:r w:rsidRPr="00AC5E38">
        <w:t xml:space="preserve">NGR, </w:t>
      </w:r>
      <w:r w:rsidR="006D55D9">
        <w:t>r</w:t>
      </w:r>
      <w:r w:rsidRPr="00AC5E38">
        <w:t>r. 93(1)</w:t>
      </w:r>
      <w:r w:rsidR="006D55D9">
        <w:t>,</w:t>
      </w:r>
      <w:r w:rsidRPr="00AC5E38">
        <w:t xml:space="preserve"> (2).</w:t>
      </w:r>
    </w:p>
  </w:footnote>
  <w:footnote w:id="46">
    <w:p w:rsidR="00650F4A" w:rsidRDefault="00650F4A" w:rsidP="0085010A">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June 2015, pp. 43–47.</w:t>
      </w:r>
    </w:p>
  </w:footnote>
  <w:footnote w:id="47">
    <w:p w:rsidR="00650F4A" w:rsidRDefault="00650F4A">
      <w:pPr>
        <w:pStyle w:val="FootnoteText"/>
      </w:pPr>
      <w:r>
        <w:rPr>
          <w:rStyle w:val="FootnoteReference"/>
        </w:rPr>
        <w:footnoteRef/>
      </w:r>
      <w:r>
        <w:t xml:space="preserve"> </w:t>
      </w:r>
      <w:r>
        <w:tab/>
        <w:t xml:space="preserve">For example, see: Jemena Gas Networks New South Wales, </w:t>
      </w:r>
      <w:r w:rsidRPr="00A04621">
        <w:rPr>
          <w:rStyle w:val="AERtextitalic"/>
        </w:rPr>
        <w:t>Access arrangement: JGN’s NSW gas distribution networks 1 July 2015–30 June 2020—(Incorporating revisions required by AER Final Decision 3 June 2015)</w:t>
      </w:r>
      <w:r>
        <w:t>, June 2015, schedule 2.</w:t>
      </w:r>
    </w:p>
  </w:footnote>
  <w:footnote w:id="48">
    <w:p w:rsidR="00650F4A" w:rsidRDefault="00650F4A" w:rsidP="00FB4605">
      <w:pPr>
        <w:pStyle w:val="FootnoteText"/>
      </w:pPr>
      <w:r>
        <w:rPr>
          <w:rStyle w:val="FootnoteReference"/>
        </w:rPr>
        <w:footnoteRef/>
      </w:r>
      <w:r>
        <w:t xml:space="preserve"> </w:t>
      </w:r>
      <w:r>
        <w:tab/>
      </w:r>
      <w:r w:rsidRPr="00761A86">
        <w:t xml:space="preserve">NGR, </w:t>
      </w:r>
      <w:r w:rsidR="006D55D9">
        <w:t>r</w:t>
      </w:r>
      <w:r w:rsidRPr="00761A86">
        <w:t>r. 94(1)–(2).</w:t>
      </w:r>
    </w:p>
  </w:footnote>
  <w:footnote w:id="49">
    <w:p w:rsidR="00650F4A" w:rsidRDefault="00650F4A" w:rsidP="00FB71C8">
      <w:pPr>
        <w:pStyle w:val="FootnoteText"/>
      </w:pPr>
      <w:r>
        <w:rPr>
          <w:rStyle w:val="FootnoteReference"/>
        </w:rPr>
        <w:footnoteRef/>
      </w:r>
      <w:r>
        <w:t xml:space="preserve"> </w:t>
      </w:r>
      <w:r>
        <w:tab/>
        <w:t>NGR, r. 94.</w:t>
      </w:r>
    </w:p>
  </w:footnote>
  <w:footnote w:id="50">
    <w:p w:rsidR="00650F4A" w:rsidRDefault="00650F4A" w:rsidP="00FB4605">
      <w:pPr>
        <w:pStyle w:val="FootnoteText"/>
      </w:pPr>
      <w:r>
        <w:rPr>
          <w:rStyle w:val="FootnoteReference"/>
        </w:rPr>
        <w:footnoteRef/>
      </w:r>
      <w:r>
        <w:t xml:space="preserve"> </w:t>
      </w:r>
      <w:r>
        <w:tab/>
        <w:t xml:space="preserve">NGR, r. 94(3); ActewAGL, </w:t>
      </w:r>
      <w:r w:rsidRPr="00621A58">
        <w:rPr>
          <w:rStyle w:val="AERtextitalic"/>
        </w:rPr>
        <w:t>Access arrangement information, Attachment 12: Reference tariffs</w:t>
      </w:r>
      <w:r>
        <w:t>, June 2015, p. 43.</w:t>
      </w:r>
    </w:p>
  </w:footnote>
  <w:footnote w:id="51">
    <w:p w:rsidR="00650F4A" w:rsidRDefault="00650F4A">
      <w:pPr>
        <w:pStyle w:val="FootnoteText"/>
      </w:pPr>
      <w:r>
        <w:rPr>
          <w:rStyle w:val="FootnoteReference"/>
        </w:rPr>
        <w:footnoteRef/>
      </w:r>
      <w:r>
        <w:t xml:space="preserve"> </w:t>
      </w:r>
      <w:r>
        <w:tab/>
        <w:t xml:space="preserve">HoustonKemp, </w:t>
      </w:r>
      <w:r w:rsidRPr="000002CA">
        <w:rPr>
          <w:rStyle w:val="AERtextitalic"/>
        </w:rPr>
        <w:t>Development of a cost of service model for the ACT, Queanbeyan and Palerang gas distribution network: A report for ActewAGL Distribution</w:t>
      </w:r>
      <w:r>
        <w:t>, June 2015, p. 4.</w:t>
      </w:r>
    </w:p>
  </w:footnote>
  <w:footnote w:id="52">
    <w:p w:rsidR="00650F4A" w:rsidRDefault="00650F4A">
      <w:pPr>
        <w:pStyle w:val="FootnoteText"/>
      </w:pPr>
      <w:r>
        <w:rPr>
          <w:rStyle w:val="FootnoteReference"/>
        </w:rPr>
        <w:footnoteRef/>
      </w:r>
      <w:r>
        <w:t xml:space="preserve"> </w:t>
      </w:r>
      <w:r>
        <w:tab/>
        <w:t>NGR, r. 94(3).</w:t>
      </w:r>
    </w:p>
  </w:footnote>
  <w:footnote w:id="53">
    <w:p w:rsidR="00650F4A" w:rsidRDefault="00650F4A" w:rsidP="00FB4605">
      <w:pPr>
        <w:pStyle w:val="FootnoteText"/>
      </w:pPr>
      <w:r>
        <w:rPr>
          <w:rStyle w:val="FootnoteReference"/>
        </w:rPr>
        <w:footnoteRef/>
      </w:r>
      <w:r>
        <w:t xml:space="preserve"> </w:t>
      </w:r>
      <w:r>
        <w:tab/>
        <w:t xml:space="preserve">HoustonKemp, </w:t>
      </w:r>
      <w:r w:rsidRPr="000002CA">
        <w:rPr>
          <w:rStyle w:val="AERtextitalic"/>
        </w:rPr>
        <w:t>Development of a cost of service model for the ACT, Queanbeyan and Palerang gas distribution network: A report for ActewAGL Distribution</w:t>
      </w:r>
      <w:r>
        <w:t>, June 2015, pp. 4–7, 17.</w:t>
      </w:r>
    </w:p>
  </w:footnote>
  <w:footnote w:id="54">
    <w:p w:rsidR="00650F4A" w:rsidRDefault="00650F4A" w:rsidP="00E17B85">
      <w:pPr>
        <w:pStyle w:val="FootnoteText"/>
      </w:pPr>
      <w:r>
        <w:rPr>
          <w:rStyle w:val="FootnoteReference"/>
        </w:rPr>
        <w:footnoteRef/>
      </w:r>
      <w:r>
        <w:t xml:space="preserve"> </w:t>
      </w:r>
      <w:r>
        <w:tab/>
        <w:t xml:space="preserve">NGR, r. 94(2) and (4); ActewAGL, </w:t>
      </w:r>
      <w:r w:rsidRPr="00621A58">
        <w:rPr>
          <w:rStyle w:val="AERtextitalic"/>
        </w:rPr>
        <w:t>Access arrangement information, Attachment 12: Reference tariffs</w:t>
      </w:r>
      <w:r>
        <w:t>, June 2015, pp. 45–47.</w:t>
      </w:r>
    </w:p>
  </w:footnote>
  <w:footnote w:id="55">
    <w:p w:rsidR="00650F4A" w:rsidRDefault="00650F4A">
      <w:pPr>
        <w:pStyle w:val="FootnoteText"/>
      </w:pPr>
      <w:r>
        <w:rPr>
          <w:rStyle w:val="FootnoteReference"/>
        </w:rPr>
        <w:footnoteRef/>
      </w:r>
      <w:r>
        <w:t xml:space="preserve"> </w:t>
      </w:r>
      <w:r>
        <w:tab/>
        <w:t xml:space="preserve">ActewAGL, </w:t>
      </w:r>
      <w:r w:rsidRPr="00621A58">
        <w:rPr>
          <w:rStyle w:val="AERtextitalic"/>
        </w:rPr>
        <w:t>Access arrangement information, Attachment 12: Reference tariffs</w:t>
      </w:r>
      <w:r>
        <w:t xml:space="preserve">, June 2015, pp. 43–44; HoustonKemp, </w:t>
      </w:r>
      <w:r w:rsidRPr="000002CA">
        <w:rPr>
          <w:rStyle w:val="AERtextitalic"/>
        </w:rPr>
        <w:t>Development of a cost of service model for the ACT, Queanbeyan and Palerang gas distribution network: A report for ActewAGL Distribution</w:t>
      </w:r>
      <w:r>
        <w:t>, June 2015, pp. 8–17.</w:t>
      </w:r>
    </w:p>
  </w:footnote>
  <w:footnote w:id="56">
    <w:p w:rsidR="00650F4A" w:rsidRDefault="00650F4A">
      <w:pPr>
        <w:pStyle w:val="FootnoteText"/>
      </w:pPr>
      <w:r>
        <w:rPr>
          <w:rStyle w:val="FootnoteReference"/>
        </w:rPr>
        <w:footnoteRef/>
      </w:r>
      <w:r>
        <w:t xml:space="preserve"> </w:t>
      </w:r>
      <w:r>
        <w:tab/>
        <w:t>NGR, r.</w:t>
      </w:r>
      <w:r w:rsidR="006D55D9">
        <w:t xml:space="preserve"> </w:t>
      </w:r>
      <w:r>
        <w:t>94(6).</w:t>
      </w:r>
    </w:p>
  </w:footnote>
  <w:footnote w:id="57">
    <w:p w:rsidR="00650F4A" w:rsidRDefault="00650F4A" w:rsidP="000002CA">
      <w:pPr>
        <w:pStyle w:val="FootnoteText"/>
      </w:pPr>
      <w:r>
        <w:rPr>
          <w:rStyle w:val="FootnoteReference"/>
        </w:rPr>
        <w:footnoteRef/>
      </w:r>
      <w:r>
        <w:t xml:space="preserve"> </w:t>
      </w:r>
      <w:r>
        <w:tab/>
        <w:t>NGR, r. 94(4)(b)(ii).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4A" w:rsidRDefault="007A358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50F4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4A" w:rsidRDefault="007A358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4963AA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5nkZh2V6hKn+0nTc5ezNM7RfA3fmUD5uM52KOi8g94=" w:saltValue="4ZsNGzZF+BZ1Z7HpinAE4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02CA"/>
    <w:rsid w:val="0001020B"/>
    <w:rsid w:val="00010286"/>
    <w:rsid w:val="00012AAB"/>
    <w:rsid w:val="00021202"/>
    <w:rsid w:val="00021C2B"/>
    <w:rsid w:val="0002517F"/>
    <w:rsid w:val="00025A02"/>
    <w:rsid w:val="00026495"/>
    <w:rsid w:val="000346EF"/>
    <w:rsid w:val="0003578C"/>
    <w:rsid w:val="000401AF"/>
    <w:rsid w:val="0004093C"/>
    <w:rsid w:val="00043CF3"/>
    <w:rsid w:val="00050782"/>
    <w:rsid w:val="0005190B"/>
    <w:rsid w:val="00052701"/>
    <w:rsid w:val="00063247"/>
    <w:rsid w:val="00070F9F"/>
    <w:rsid w:val="0007137B"/>
    <w:rsid w:val="00085663"/>
    <w:rsid w:val="00085EBF"/>
    <w:rsid w:val="00091B15"/>
    <w:rsid w:val="000A3020"/>
    <w:rsid w:val="000A6C7B"/>
    <w:rsid w:val="000B14B6"/>
    <w:rsid w:val="000B3117"/>
    <w:rsid w:val="000C262E"/>
    <w:rsid w:val="000C2B40"/>
    <w:rsid w:val="000C3EAF"/>
    <w:rsid w:val="000D06C1"/>
    <w:rsid w:val="000D122C"/>
    <w:rsid w:val="000D3016"/>
    <w:rsid w:val="000E0AE4"/>
    <w:rsid w:val="000E1819"/>
    <w:rsid w:val="000E4821"/>
    <w:rsid w:val="000E6C72"/>
    <w:rsid w:val="000F0B2B"/>
    <w:rsid w:val="000F2C41"/>
    <w:rsid w:val="000F3E72"/>
    <w:rsid w:val="000F48B1"/>
    <w:rsid w:val="00101BC5"/>
    <w:rsid w:val="00116EB2"/>
    <w:rsid w:val="00124609"/>
    <w:rsid w:val="00126A4C"/>
    <w:rsid w:val="00130869"/>
    <w:rsid w:val="00142AB6"/>
    <w:rsid w:val="0014573B"/>
    <w:rsid w:val="001573E4"/>
    <w:rsid w:val="00160756"/>
    <w:rsid w:val="00160CC8"/>
    <w:rsid w:val="0017232E"/>
    <w:rsid w:val="00174102"/>
    <w:rsid w:val="001754EE"/>
    <w:rsid w:val="00180157"/>
    <w:rsid w:val="00185CB9"/>
    <w:rsid w:val="00186F77"/>
    <w:rsid w:val="001926A4"/>
    <w:rsid w:val="00192AD5"/>
    <w:rsid w:val="00196060"/>
    <w:rsid w:val="001B33D1"/>
    <w:rsid w:val="001B45A0"/>
    <w:rsid w:val="001B7D00"/>
    <w:rsid w:val="001C5A0A"/>
    <w:rsid w:val="001D055E"/>
    <w:rsid w:val="001D6255"/>
    <w:rsid w:val="001E5FFB"/>
    <w:rsid w:val="001F05A4"/>
    <w:rsid w:val="001F492E"/>
    <w:rsid w:val="001F6DA3"/>
    <w:rsid w:val="002010BC"/>
    <w:rsid w:val="002016E7"/>
    <w:rsid w:val="00201F98"/>
    <w:rsid w:val="00202E03"/>
    <w:rsid w:val="0020478D"/>
    <w:rsid w:val="002047CD"/>
    <w:rsid w:val="0020492C"/>
    <w:rsid w:val="00204CDA"/>
    <w:rsid w:val="00224DB9"/>
    <w:rsid w:val="00227DCE"/>
    <w:rsid w:val="002306E1"/>
    <w:rsid w:val="0023276C"/>
    <w:rsid w:val="00233775"/>
    <w:rsid w:val="0024183F"/>
    <w:rsid w:val="00251745"/>
    <w:rsid w:val="00263AC0"/>
    <w:rsid w:val="00264264"/>
    <w:rsid w:val="00264656"/>
    <w:rsid w:val="0026772D"/>
    <w:rsid w:val="00277132"/>
    <w:rsid w:val="00286874"/>
    <w:rsid w:val="00290C63"/>
    <w:rsid w:val="00294CC2"/>
    <w:rsid w:val="00296B65"/>
    <w:rsid w:val="002A3313"/>
    <w:rsid w:val="002A7272"/>
    <w:rsid w:val="002A7DEF"/>
    <w:rsid w:val="002B1003"/>
    <w:rsid w:val="002B573C"/>
    <w:rsid w:val="002C233C"/>
    <w:rsid w:val="002C3A06"/>
    <w:rsid w:val="002C625B"/>
    <w:rsid w:val="002D72E8"/>
    <w:rsid w:val="002E7B22"/>
    <w:rsid w:val="002F0529"/>
    <w:rsid w:val="002F7986"/>
    <w:rsid w:val="00301B40"/>
    <w:rsid w:val="003029EE"/>
    <w:rsid w:val="0030370B"/>
    <w:rsid w:val="00305CC8"/>
    <w:rsid w:val="00306ECC"/>
    <w:rsid w:val="00307F6D"/>
    <w:rsid w:val="003177A2"/>
    <w:rsid w:val="003271B5"/>
    <w:rsid w:val="00327A1E"/>
    <w:rsid w:val="00331264"/>
    <w:rsid w:val="00334C8D"/>
    <w:rsid w:val="00343A18"/>
    <w:rsid w:val="00344473"/>
    <w:rsid w:val="003518B3"/>
    <w:rsid w:val="003569EA"/>
    <w:rsid w:val="003814F8"/>
    <w:rsid w:val="003846F1"/>
    <w:rsid w:val="00392FEC"/>
    <w:rsid w:val="003931A7"/>
    <w:rsid w:val="003A6F47"/>
    <w:rsid w:val="003B484F"/>
    <w:rsid w:val="003B7FBA"/>
    <w:rsid w:val="003D05F2"/>
    <w:rsid w:val="003E0B16"/>
    <w:rsid w:val="003E3AB5"/>
    <w:rsid w:val="003F174D"/>
    <w:rsid w:val="003F7442"/>
    <w:rsid w:val="004102B2"/>
    <w:rsid w:val="0041325A"/>
    <w:rsid w:val="00415F31"/>
    <w:rsid w:val="0041667A"/>
    <w:rsid w:val="00422B26"/>
    <w:rsid w:val="00423A77"/>
    <w:rsid w:val="0042471A"/>
    <w:rsid w:val="004407E2"/>
    <w:rsid w:val="00442DA4"/>
    <w:rsid w:val="00443620"/>
    <w:rsid w:val="004575E1"/>
    <w:rsid w:val="0045777E"/>
    <w:rsid w:val="00457AB3"/>
    <w:rsid w:val="00471036"/>
    <w:rsid w:val="00473D7B"/>
    <w:rsid w:val="00474EC7"/>
    <w:rsid w:val="00477F3E"/>
    <w:rsid w:val="00480B4B"/>
    <w:rsid w:val="00485DC4"/>
    <w:rsid w:val="00496C55"/>
    <w:rsid w:val="004A43D1"/>
    <w:rsid w:val="004B355D"/>
    <w:rsid w:val="004B397F"/>
    <w:rsid w:val="004B4412"/>
    <w:rsid w:val="004B7713"/>
    <w:rsid w:val="004C348C"/>
    <w:rsid w:val="004D55BA"/>
    <w:rsid w:val="004E22EC"/>
    <w:rsid w:val="004E4A58"/>
    <w:rsid w:val="004F3CEE"/>
    <w:rsid w:val="004F6A0E"/>
    <w:rsid w:val="00512382"/>
    <w:rsid w:val="00512BE5"/>
    <w:rsid w:val="00526DA6"/>
    <w:rsid w:val="00530128"/>
    <w:rsid w:val="00532467"/>
    <w:rsid w:val="005346BF"/>
    <w:rsid w:val="00537FD6"/>
    <w:rsid w:val="0054616E"/>
    <w:rsid w:val="00563924"/>
    <w:rsid w:val="00564A4D"/>
    <w:rsid w:val="0056588A"/>
    <w:rsid w:val="00567BA5"/>
    <w:rsid w:val="00571B35"/>
    <w:rsid w:val="00571D57"/>
    <w:rsid w:val="00577A09"/>
    <w:rsid w:val="005829C2"/>
    <w:rsid w:val="00584D8F"/>
    <w:rsid w:val="00586819"/>
    <w:rsid w:val="00596166"/>
    <w:rsid w:val="0059704C"/>
    <w:rsid w:val="005A0904"/>
    <w:rsid w:val="005A404D"/>
    <w:rsid w:val="005A6B54"/>
    <w:rsid w:val="005B140A"/>
    <w:rsid w:val="005B1E3C"/>
    <w:rsid w:val="005B3FB7"/>
    <w:rsid w:val="005B704A"/>
    <w:rsid w:val="005C0A7F"/>
    <w:rsid w:val="005C26CC"/>
    <w:rsid w:val="005C4C9C"/>
    <w:rsid w:val="005C5E88"/>
    <w:rsid w:val="005C75D4"/>
    <w:rsid w:val="005D6504"/>
    <w:rsid w:val="005D7BA2"/>
    <w:rsid w:val="005E188B"/>
    <w:rsid w:val="005E36C2"/>
    <w:rsid w:val="005E4E87"/>
    <w:rsid w:val="005F243A"/>
    <w:rsid w:val="005F7898"/>
    <w:rsid w:val="006007DE"/>
    <w:rsid w:val="00600B92"/>
    <w:rsid w:val="00601638"/>
    <w:rsid w:val="00610EF9"/>
    <w:rsid w:val="00612F4F"/>
    <w:rsid w:val="00615C6B"/>
    <w:rsid w:val="00621A58"/>
    <w:rsid w:val="00621DCE"/>
    <w:rsid w:val="00632D6D"/>
    <w:rsid w:val="006424CB"/>
    <w:rsid w:val="00642C3E"/>
    <w:rsid w:val="0064363F"/>
    <w:rsid w:val="00650F4A"/>
    <w:rsid w:val="00651C3A"/>
    <w:rsid w:val="00651CB2"/>
    <w:rsid w:val="006560CA"/>
    <w:rsid w:val="0066104A"/>
    <w:rsid w:val="00661C63"/>
    <w:rsid w:val="00663DAD"/>
    <w:rsid w:val="00665649"/>
    <w:rsid w:val="006672AA"/>
    <w:rsid w:val="00671FA6"/>
    <w:rsid w:val="00675582"/>
    <w:rsid w:val="00675E20"/>
    <w:rsid w:val="00676679"/>
    <w:rsid w:val="00683C89"/>
    <w:rsid w:val="00691D9A"/>
    <w:rsid w:val="006A5B0B"/>
    <w:rsid w:val="006B2395"/>
    <w:rsid w:val="006B45A4"/>
    <w:rsid w:val="006B4CF9"/>
    <w:rsid w:val="006B785B"/>
    <w:rsid w:val="006B7AC8"/>
    <w:rsid w:val="006C1736"/>
    <w:rsid w:val="006C4798"/>
    <w:rsid w:val="006C6BE9"/>
    <w:rsid w:val="006D550F"/>
    <w:rsid w:val="006D55D9"/>
    <w:rsid w:val="006D7153"/>
    <w:rsid w:val="006D7522"/>
    <w:rsid w:val="006F3AD1"/>
    <w:rsid w:val="006F3FC8"/>
    <w:rsid w:val="0070011E"/>
    <w:rsid w:val="00701CAB"/>
    <w:rsid w:val="00707563"/>
    <w:rsid w:val="00707E17"/>
    <w:rsid w:val="0071290F"/>
    <w:rsid w:val="0072348C"/>
    <w:rsid w:val="00724A37"/>
    <w:rsid w:val="007303C3"/>
    <w:rsid w:val="00741C46"/>
    <w:rsid w:val="00741E23"/>
    <w:rsid w:val="007429BE"/>
    <w:rsid w:val="00743223"/>
    <w:rsid w:val="0074419D"/>
    <w:rsid w:val="00746E01"/>
    <w:rsid w:val="00747EEA"/>
    <w:rsid w:val="00757364"/>
    <w:rsid w:val="00757BDF"/>
    <w:rsid w:val="00760381"/>
    <w:rsid w:val="007609D0"/>
    <w:rsid w:val="00762DCD"/>
    <w:rsid w:val="00763E5D"/>
    <w:rsid w:val="00764220"/>
    <w:rsid w:val="00767740"/>
    <w:rsid w:val="00777EE6"/>
    <w:rsid w:val="00782EEA"/>
    <w:rsid w:val="007858DC"/>
    <w:rsid w:val="007A2AF4"/>
    <w:rsid w:val="007A3589"/>
    <w:rsid w:val="007B186E"/>
    <w:rsid w:val="007B2C72"/>
    <w:rsid w:val="007B3F47"/>
    <w:rsid w:val="007B590F"/>
    <w:rsid w:val="007B7449"/>
    <w:rsid w:val="007C1C53"/>
    <w:rsid w:val="007C5676"/>
    <w:rsid w:val="007C74BB"/>
    <w:rsid w:val="007D319E"/>
    <w:rsid w:val="007D44D8"/>
    <w:rsid w:val="007D456E"/>
    <w:rsid w:val="007E3C1B"/>
    <w:rsid w:val="007E4904"/>
    <w:rsid w:val="007E4CB5"/>
    <w:rsid w:val="007F066B"/>
    <w:rsid w:val="007F213A"/>
    <w:rsid w:val="007F7151"/>
    <w:rsid w:val="007F75C4"/>
    <w:rsid w:val="008019D8"/>
    <w:rsid w:val="008033C4"/>
    <w:rsid w:val="0080463B"/>
    <w:rsid w:val="00806C88"/>
    <w:rsid w:val="0081034E"/>
    <w:rsid w:val="008123BC"/>
    <w:rsid w:val="008221F2"/>
    <w:rsid w:val="00824C74"/>
    <w:rsid w:val="00825985"/>
    <w:rsid w:val="008344F6"/>
    <w:rsid w:val="00834FD8"/>
    <w:rsid w:val="0083510F"/>
    <w:rsid w:val="008408C5"/>
    <w:rsid w:val="00843893"/>
    <w:rsid w:val="0085010A"/>
    <w:rsid w:val="00851209"/>
    <w:rsid w:val="0085722A"/>
    <w:rsid w:val="0086056B"/>
    <w:rsid w:val="00861C0B"/>
    <w:rsid w:val="00862421"/>
    <w:rsid w:val="00864B35"/>
    <w:rsid w:val="0088240A"/>
    <w:rsid w:val="00882481"/>
    <w:rsid w:val="008837AC"/>
    <w:rsid w:val="0088534C"/>
    <w:rsid w:val="00891DC6"/>
    <w:rsid w:val="008A01B8"/>
    <w:rsid w:val="008A398F"/>
    <w:rsid w:val="008A4F3F"/>
    <w:rsid w:val="008A587D"/>
    <w:rsid w:val="008A7B5E"/>
    <w:rsid w:val="008B35CD"/>
    <w:rsid w:val="008B5FCC"/>
    <w:rsid w:val="008B7544"/>
    <w:rsid w:val="008C3374"/>
    <w:rsid w:val="008C5486"/>
    <w:rsid w:val="008C5837"/>
    <w:rsid w:val="008C708B"/>
    <w:rsid w:val="008D044D"/>
    <w:rsid w:val="008D1661"/>
    <w:rsid w:val="008D6800"/>
    <w:rsid w:val="008E7031"/>
    <w:rsid w:val="008E77DE"/>
    <w:rsid w:val="008F07A3"/>
    <w:rsid w:val="008F12EE"/>
    <w:rsid w:val="008F34DD"/>
    <w:rsid w:val="009001B6"/>
    <w:rsid w:val="00900E1B"/>
    <w:rsid w:val="00901C3C"/>
    <w:rsid w:val="00902F9F"/>
    <w:rsid w:val="0090499C"/>
    <w:rsid w:val="00906CFE"/>
    <w:rsid w:val="009233EE"/>
    <w:rsid w:val="009272AD"/>
    <w:rsid w:val="009277DC"/>
    <w:rsid w:val="009440D3"/>
    <w:rsid w:val="009460AA"/>
    <w:rsid w:val="00951978"/>
    <w:rsid w:val="00952752"/>
    <w:rsid w:val="00961A4A"/>
    <w:rsid w:val="009653D1"/>
    <w:rsid w:val="009661DE"/>
    <w:rsid w:val="009704F8"/>
    <w:rsid w:val="00983C25"/>
    <w:rsid w:val="009856B7"/>
    <w:rsid w:val="00985C86"/>
    <w:rsid w:val="00990CA3"/>
    <w:rsid w:val="009A5113"/>
    <w:rsid w:val="009A5FC3"/>
    <w:rsid w:val="009B120D"/>
    <w:rsid w:val="009B1584"/>
    <w:rsid w:val="009B6F84"/>
    <w:rsid w:val="009B74B0"/>
    <w:rsid w:val="009C20D7"/>
    <w:rsid w:val="009D3906"/>
    <w:rsid w:val="009D6B46"/>
    <w:rsid w:val="009D725A"/>
    <w:rsid w:val="009E3D5D"/>
    <w:rsid w:val="009F1E4D"/>
    <w:rsid w:val="009F4940"/>
    <w:rsid w:val="009F5BA1"/>
    <w:rsid w:val="009F7A3E"/>
    <w:rsid w:val="00A02A88"/>
    <w:rsid w:val="00A04621"/>
    <w:rsid w:val="00A0562E"/>
    <w:rsid w:val="00A06085"/>
    <w:rsid w:val="00A0726D"/>
    <w:rsid w:val="00A10BFA"/>
    <w:rsid w:val="00A1648A"/>
    <w:rsid w:val="00A32FBB"/>
    <w:rsid w:val="00A428EE"/>
    <w:rsid w:val="00A4478A"/>
    <w:rsid w:val="00A44852"/>
    <w:rsid w:val="00A4650A"/>
    <w:rsid w:val="00A50502"/>
    <w:rsid w:val="00A57D04"/>
    <w:rsid w:val="00A60A26"/>
    <w:rsid w:val="00A61598"/>
    <w:rsid w:val="00A66060"/>
    <w:rsid w:val="00A7206C"/>
    <w:rsid w:val="00A737BE"/>
    <w:rsid w:val="00A76874"/>
    <w:rsid w:val="00A84A99"/>
    <w:rsid w:val="00A84F46"/>
    <w:rsid w:val="00A871F4"/>
    <w:rsid w:val="00AA2DA2"/>
    <w:rsid w:val="00AC1B2C"/>
    <w:rsid w:val="00AC3264"/>
    <w:rsid w:val="00AE1BF1"/>
    <w:rsid w:val="00AE5DEF"/>
    <w:rsid w:val="00AF0DD2"/>
    <w:rsid w:val="00B0063D"/>
    <w:rsid w:val="00B0209D"/>
    <w:rsid w:val="00B07CEA"/>
    <w:rsid w:val="00B13048"/>
    <w:rsid w:val="00B1716D"/>
    <w:rsid w:val="00B17A1D"/>
    <w:rsid w:val="00B207A0"/>
    <w:rsid w:val="00B514DD"/>
    <w:rsid w:val="00B51F3F"/>
    <w:rsid w:val="00B52AF0"/>
    <w:rsid w:val="00B54D3A"/>
    <w:rsid w:val="00B561BD"/>
    <w:rsid w:val="00B56E03"/>
    <w:rsid w:val="00B61EDF"/>
    <w:rsid w:val="00B734BF"/>
    <w:rsid w:val="00B757A6"/>
    <w:rsid w:val="00B8080B"/>
    <w:rsid w:val="00B82223"/>
    <w:rsid w:val="00B8539B"/>
    <w:rsid w:val="00B87BA5"/>
    <w:rsid w:val="00B87C39"/>
    <w:rsid w:val="00B90758"/>
    <w:rsid w:val="00B93521"/>
    <w:rsid w:val="00B9562D"/>
    <w:rsid w:val="00BA179F"/>
    <w:rsid w:val="00BA2BCC"/>
    <w:rsid w:val="00BA3A35"/>
    <w:rsid w:val="00BA4665"/>
    <w:rsid w:val="00BA4F60"/>
    <w:rsid w:val="00BB0959"/>
    <w:rsid w:val="00BB2FB2"/>
    <w:rsid w:val="00BB3304"/>
    <w:rsid w:val="00BB330E"/>
    <w:rsid w:val="00BB7528"/>
    <w:rsid w:val="00BD310B"/>
    <w:rsid w:val="00BD3446"/>
    <w:rsid w:val="00BE07BE"/>
    <w:rsid w:val="00BE1F1B"/>
    <w:rsid w:val="00BE47B5"/>
    <w:rsid w:val="00C028FE"/>
    <w:rsid w:val="00C04223"/>
    <w:rsid w:val="00C04255"/>
    <w:rsid w:val="00C163CD"/>
    <w:rsid w:val="00C25FA6"/>
    <w:rsid w:val="00C3509C"/>
    <w:rsid w:val="00C42ACA"/>
    <w:rsid w:val="00C44267"/>
    <w:rsid w:val="00C538A9"/>
    <w:rsid w:val="00C53B5A"/>
    <w:rsid w:val="00C54F5A"/>
    <w:rsid w:val="00C569B4"/>
    <w:rsid w:val="00C56A3E"/>
    <w:rsid w:val="00C67A92"/>
    <w:rsid w:val="00C722AA"/>
    <w:rsid w:val="00C7497E"/>
    <w:rsid w:val="00C84560"/>
    <w:rsid w:val="00C84F52"/>
    <w:rsid w:val="00C86679"/>
    <w:rsid w:val="00C96527"/>
    <w:rsid w:val="00CA0664"/>
    <w:rsid w:val="00CA489E"/>
    <w:rsid w:val="00CA52A2"/>
    <w:rsid w:val="00CB0279"/>
    <w:rsid w:val="00CB187B"/>
    <w:rsid w:val="00CB2524"/>
    <w:rsid w:val="00CB666B"/>
    <w:rsid w:val="00CC7F1D"/>
    <w:rsid w:val="00CD1B0A"/>
    <w:rsid w:val="00CD550F"/>
    <w:rsid w:val="00CE484B"/>
    <w:rsid w:val="00CF0DEE"/>
    <w:rsid w:val="00CF6EDE"/>
    <w:rsid w:val="00D006AE"/>
    <w:rsid w:val="00D01CF0"/>
    <w:rsid w:val="00D01EFD"/>
    <w:rsid w:val="00D025B8"/>
    <w:rsid w:val="00D0442A"/>
    <w:rsid w:val="00D17683"/>
    <w:rsid w:val="00D2770F"/>
    <w:rsid w:val="00D3311F"/>
    <w:rsid w:val="00D45694"/>
    <w:rsid w:val="00D47F7D"/>
    <w:rsid w:val="00D61388"/>
    <w:rsid w:val="00D61A54"/>
    <w:rsid w:val="00D64DEA"/>
    <w:rsid w:val="00D7168E"/>
    <w:rsid w:val="00D71E57"/>
    <w:rsid w:val="00D75AA2"/>
    <w:rsid w:val="00D80893"/>
    <w:rsid w:val="00D84854"/>
    <w:rsid w:val="00D848B4"/>
    <w:rsid w:val="00D9021D"/>
    <w:rsid w:val="00D92CF1"/>
    <w:rsid w:val="00D92D38"/>
    <w:rsid w:val="00D950F5"/>
    <w:rsid w:val="00DA4752"/>
    <w:rsid w:val="00DA5542"/>
    <w:rsid w:val="00DA61F3"/>
    <w:rsid w:val="00DA6B93"/>
    <w:rsid w:val="00DB0F93"/>
    <w:rsid w:val="00DB1A67"/>
    <w:rsid w:val="00DB5074"/>
    <w:rsid w:val="00DB5B21"/>
    <w:rsid w:val="00DC4C3B"/>
    <w:rsid w:val="00DC7981"/>
    <w:rsid w:val="00DD0AEE"/>
    <w:rsid w:val="00DE1093"/>
    <w:rsid w:val="00DE1769"/>
    <w:rsid w:val="00DE2832"/>
    <w:rsid w:val="00DE4EFA"/>
    <w:rsid w:val="00DE5520"/>
    <w:rsid w:val="00DE563D"/>
    <w:rsid w:val="00DE5E2E"/>
    <w:rsid w:val="00DE772C"/>
    <w:rsid w:val="00DF3058"/>
    <w:rsid w:val="00DF312A"/>
    <w:rsid w:val="00E03577"/>
    <w:rsid w:val="00E04818"/>
    <w:rsid w:val="00E06442"/>
    <w:rsid w:val="00E06BCF"/>
    <w:rsid w:val="00E1001C"/>
    <w:rsid w:val="00E10A45"/>
    <w:rsid w:val="00E10BE8"/>
    <w:rsid w:val="00E17B85"/>
    <w:rsid w:val="00E21B84"/>
    <w:rsid w:val="00E23993"/>
    <w:rsid w:val="00E257D6"/>
    <w:rsid w:val="00E25B8C"/>
    <w:rsid w:val="00E3353A"/>
    <w:rsid w:val="00E503CF"/>
    <w:rsid w:val="00E51D65"/>
    <w:rsid w:val="00E5207A"/>
    <w:rsid w:val="00E57901"/>
    <w:rsid w:val="00E6200B"/>
    <w:rsid w:val="00E65C85"/>
    <w:rsid w:val="00E66199"/>
    <w:rsid w:val="00E67BDE"/>
    <w:rsid w:val="00E711C7"/>
    <w:rsid w:val="00E716CA"/>
    <w:rsid w:val="00E73E6C"/>
    <w:rsid w:val="00E755EC"/>
    <w:rsid w:val="00E7624D"/>
    <w:rsid w:val="00EA3D42"/>
    <w:rsid w:val="00EA6B1B"/>
    <w:rsid w:val="00EB5BC8"/>
    <w:rsid w:val="00EB606C"/>
    <w:rsid w:val="00EB77A7"/>
    <w:rsid w:val="00EC04F1"/>
    <w:rsid w:val="00ED0862"/>
    <w:rsid w:val="00ED0EC2"/>
    <w:rsid w:val="00ED7323"/>
    <w:rsid w:val="00EE2262"/>
    <w:rsid w:val="00EE28F3"/>
    <w:rsid w:val="00EE50D1"/>
    <w:rsid w:val="00EE77FA"/>
    <w:rsid w:val="00EF2185"/>
    <w:rsid w:val="00EF5110"/>
    <w:rsid w:val="00F0334E"/>
    <w:rsid w:val="00F03933"/>
    <w:rsid w:val="00F10411"/>
    <w:rsid w:val="00F14103"/>
    <w:rsid w:val="00F15882"/>
    <w:rsid w:val="00F171E0"/>
    <w:rsid w:val="00F20BD3"/>
    <w:rsid w:val="00F2115E"/>
    <w:rsid w:val="00F2526A"/>
    <w:rsid w:val="00F31159"/>
    <w:rsid w:val="00F373A5"/>
    <w:rsid w:val="00F379B1"/>
    <w:rsid w:val="00F47559"/>
    <w:rsid w:val="00F53B28"/>
    <w:rsid w:val="00F61176"/>
    <w:rsid w:val="00F62D42"/>
    <w:rsid w:val="00F64C7B"/>
    <w:rsid w:val="00F65B25"/>
    <w:rsid w:val="00F676DD"/>
    <w:rsid w:val="00F71667"/>
    <w:rsid w:val="00F75A26"/>
    <w:rsid w:val="00F76706"/>
    <w:rsid w:val="00F768C8"/>
    <w:rsid w:val="00F76B58"/>
    <w:rsid w:val="00F76EFE"/>
    <w:rsid w:val="00F81B8D"/>
    <w:rsid w:val="00F83FAD"/>
    <w:rsid w:val="00F8653A"/>
    <w:rsid w:val="00F92349"/>
    <w:rsid w:val="00F952A0"/>
    <w:rsid w:val="00F966A0"/>
    <w:rsid w:val="00FA092E"/>
    <w:rsid w:val="00FA3C7F"/>
    <w:rsid w:val="00FB05EA"/>
    <w:rsid w:val="00FB4402"/>
    <w:rsid w:val="00FB4605"/>
    <w:rsid w:val="00FB60FE"/>
    <w:rsid w:val="00FB71C8"/>
    <w:rsid w:val="00FB74E2"/>
    <w:rsid w:val="00FC71DC"/>
    <w:rsid w:val="00FD2ED2"/>
    <w:rsid w:val="00FD5614"/>
    <w:rsid w:val="00FD5E78"/>
    <w:rsid w:val="00FD7AA5"/>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891A6-C948-492E-A95F-10613CAD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19</Pages>
  <Words>4555</Words>
  <Characters>25965</Characters>
  <Application>Microsoft Office Word</Application>
  <DocSecurity>0</DocSecurity>
  <Lines>216</Lines>
  <Paragraphs>60</Paragraphs>
  <ScaleCrop>false</ScaleCrop>
  <Company/>
  <LinksUpToDate>false</LinksUpToDate>
  <CharactersWithSpaces>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2015-11-23T01:29:00Z</dcterms:created>
  <dcterms:modified xsi:type="dcterms:W3CDTF">2015-11-23T01:29:00Z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8430147</vt:lpwstr>
  </property>
</Properties>
</file>